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3A13" w14:textId="77777777" w:rsidR="00993779" w:rsidRDefault="00993779" w:rsidP="005E57FD">
      <w:pPr>
        <w:jc w:val="center"/>
        <w:rPr>
          <w:sz w:val="28"/>
        </w:rPr>
      </w:pPr>
    </w:p>
    <w:p w14:paraId="4E5F5F38" w14:textId="7B7741C6" w:rsidR="001063E0" w:rsidRPr="00993779" w:rsidRDefault="00753AA6" w:rsidP="005E57FD">
      <w:pPr>
        <w:jc w:val="center"/>
        <w:rPr>
          <w:b/>
          <w:sz w:val="32"/>
        </w:rPr>
      </w:pPr>
      <w:r w:rsidRPr="00993779">
        <w:rPr>
          <w:b/>
          <w:sz w:val="32"/>
        </w:rPr>
        <w:t xml:space="preserve">Lesotho Data for Sustainable Development </w:t>
      </w:r>
      <w:r w:rsidR="005E57FD" w:rsidRPr="00993779">
        <w:rPr>
          <w:b/>
          <w:sz w:val="32"/>
        </w:rPr>
        <w:t>End of Project Evaluation</w:t>
      </w:r>
    </w:p>
    <w:p w14:paraId="54A1AE49" w14:textId="250DBE70" w:rsidR="00993779" w:rsidRDefault="005E57FD" w:rsidP="00993779">
      <w:pPr>
        <w:jc w:val="center"/>
        <w:rPr>
          <w:sz w:val="28"/>
        </w:rPr>
      </w:pPr>
      <w:r w:rsidRPr="005E57FD">
        <w:rPr>
          <w:sz w:val="28"/>
        </w:rPr>
        <w:t>Management Responses and Actions</w:t>
      </w:r>
    </w:p>
    <w:p w14:paraId="1B4F9DBD" w14:textId="77777777" w:rsidR="003C6BC5" w:rsidRPr="00993779" w:rsidRDefault="003C6BC5" w:rsidP="00993779">
      <w:pPr>
        <w:jc w:val="center"/>
        <w:rPr>
          <w:sz w:val="28"/>
        </w:rPr>
      </w:pPr>
    </w:p>
    <w:p w14:paraId="1B14CD04" w14:textId="77777777" w:rsidR="00186112" w:rsidRDefault="000A7CD1" w:rsidP="000A7CD1">
      <w:pPr>
        <w:rPr>
          <w:sz w:val="28"/>
        </w:rPr>
      </w:pPr>
      <w:r w:rsidRPr="00186112">
        <w:rPr>
          <w:sz w:val="28"/>
        </w:rPr>
        <w:t>Name of Evaluation:</w:t>
      </w:r>
      <w:r w:rsidRPr="00186112">
        <w:rPr>
          <w:sz w:val="28"/>
        </w:rPr>
        <w:tab/>
      </w:r>
      <w:r w:rsidRPr="00186112">
        <w:rPr>
          <w:sz w:val="28"/>
        </w:rPr>
        <w:tab/>
      </w:r>
      <w:r w:rsidRPr="00186112">
        <w:rPr>
          <w:b/>
          <w:sz w:val="28"/>
        </w:rPr>
        <w:t>Lesotho Data for Sustainable Development Project</w:t>
      </w:r>
      <w:r w:rsidRPr="00186112">
        <w:rPr>
          <w:sz w:val="28"/>
        </w:rPr>
        <w:t xml:space="preserve">  </w:t>
      </w:r>
      <w:r w:rsidRPr="00186112">
        <w:rPr>
          <w:sz w:val="28"/>
        </w:rPr>
        <w:tab/>
      </w:r>
      <w:r w:rsidRPr="00186112">
        <w:rPr>
          <w:sz w:val="28"/>
        </w:rPr>
        <w:tab/>
      </w:r>
      <w:r w:rsidRPr="00186112">
        <w:rPr>
          <w:sz w:val="28"/>
        </w:rPr>
        <w:tab/>
      </w:r>
    </w:p>
    <w:p w14:paraId="6A7461E6" w14:textId="68A80D1A" w:rsidR="000A7CD1" w:rsidRPr="00186112" w:rsidRDefault="000A7CD1" w:rsidP="000A7CD1">
      <w:pPr>
        <w:rPr>
          <w:sz w:val="28"/>
        </w:rPr>
      </w:pPr>
      <w:r w:rsidRPr="00186112">
        <w:rPr>
          <w:sz w:val="28"/>
        </w:rPr>
        <w:t xml:space="preserve">Date: </w:t>
      </w:r>
      <w:r w:rsidRPr="00186112">
        <w:rPr>
          <w:sz w:val="28"/>
        </w:rPr>
        <w:tab/>
      </w:r>
      <w:r w:rsidRPr="00186112">
        <w:rPr>
          <w:sz w:val="28"/>
        </w:rPr>
        <w:tab/>
      </w:r>
      <w:r w:rsidR="00186112">
        <w:rPr>
          <w:sz w:val="28"/>
        </w:rPr>
        <w:tab/>
      </w:r>
      <w:r w:rsidR="00186112">
        <w:rPr>
          <w:sz w:val="28"/>
        </w:rPr>
        <w:tab/>
      </w:r>
      <w:r w:rsidR="00186112">
        <w:rPr>
          <w:sz w:val="28"/>
        </w:rPr>
        <w:tab/>
      </w:r>
      <w:r w:rsidR="00186112" w:rsidRPr="00186112">
        <w:rPr>
          <w:b/>
          <w:sz w:val="28"/>
        </w:rPr>
        <w:t>Novem</w:t>
      </w:r>
      <w:r w:rsidR="00186112">
        <w:rPr>
          <w:b/>
          <w:sz w:val="28"/>
        </w:rPr>
        <w:t>ber</w:t>
      </w:r>
      <w:r w:rsidR="00186112" w:rsidRPr="00186112">
        <w:rPr>
          <w:b/>
          <w:sz w:val="28"/>
        </w:rPr>
        <w:t xml:space="preserve"> 2019</w:t>
      </w:r>
      <w:r w:rsidR="00186112">
        <w:rPr>
          <w:sz w:val="28"/>
        </w:rPr>
        <w:t xml:space="preserve"> </w:t>
      </w:r>
      <w:r w:rsidRPr="00186112">
        <w:rPr>
          <w:sz w:val="28"/>
        </w:rPr>
        <w:tab/>
      </w:r>
      <w:r w:rsidRPr="00186112">
        <w:rPr>
          <w:sz w:val="28"/>
        </w:rPr>
        <w:tab/>
      </w:r>
    </w:p>
    <w:p w14:paraId="5D7096E3" w14:textId="77777777" w:rsidR="000A7CD1" w:rsidRPr="00186112" w:rsidRDefault="000A7CD1" w:rsidP="000A7CD1">
      <w:pPr>
        <w:rPr>
          <w:sz w:val="28"/>
        </w:rPr>
      </w:pPr>
    </w:p>
    <w:p w14:paraId="3C93497F" w14:textId="70E52B6A" w:rsidR="000A7CD1" w:rsidRPr="00186112" w:rsidRDefault="000A7CD1" w:rsidP="000A7CD1">
      <w:pPr>
        <w:spacing w:after="0" w:line="240" w:lineRule="auto"/>
        <w:ind w:left="1440" w:hanging="1440"/>
        <w:rPr>
          <w:sz w:val="28"/>
        </w:rPr>
      </w:pPr>
      <w:r w:rsidRPr="00186112">
        <w:rPr>
          <w:sz w:val="28"/>
        </w:rPr>
        <w:t>Prepared by:</w:t>
      </w:r>
      <w:r w:rsidRPr="00186112">
        <w:rPr>
          <w:sz w:val="28"/>
        </w:rPr>
        <w:tab/>
      </w:r>
      <w:r w:rsidRPr="00186112">
        <w:rPr>
          <w:sz w:val="28"/>
        </w:rPr>
        <w:tab/>
        <w:t xml:space="preserve"> Mabulara Tsuene</w:t>
      </w:r>
      <w:r w:rsidRPr="00186112">
        <w:rPr>
          <w:sz w:val="28"/>
        </w:rPr>
        <w:tab/>
      </w:r>
      <w:r w:rsidR="00186112">
        <w:rPr>
          <w:sz w:val="28"/>
        </w:rPr>
        <w:tab/>
      </w:r>
      <w:r w:rsidR="00186112">
        <w:rPr>
          <w:sz w:val="28"/>
        </w:rPr>
        <w:tab/>
      </w:r>
      <w:r w:rsidR="00186112">
        <w:rPr>
          <w:sz w:val="28"/>
        </w:rPr>
        <w:tab/>
      </w:r>
      <w:r w:rsidRPr="00186112">
        <w:rPr>
          <w:sz w:val="28"/>
        </w:rPr>
        <w:t xml:space="preserve">_____________________ </w:t>
      </w:r>
    </w:p>
    <w:p w14:paraId="435AD56C" w14:textId="471CF296" w:rsidR="000A7CD1" w:rsidRPr="00186112" w:rsidRDefault="000A7CD1" w:rsidP="00186112">
      <w:pPr>
        <w:spacing w:after="0" w:line="240" w:lineRule="auto"/>
        <w:ind w:left="2160" w:firstLine="720"/>
        <w:rPr>
          <w:sz w:val="28"/>
        </w:rPr>
      </w:pPr>
      <w:r w:rsidRPr="00186112">
        <w:rPr>
          <w:sz w:val="28"/>
        </w:rPr>
        <w:t xml:space="preserve">Programme Specialist (SPU ) </w:t>
      </w:r>
    </w:p>
    <w:p w14:paraId="1DFD69AD" w14:textId="064DBA69" w:rsidR="000A7CD1" w:rsidRPr="00186112" w:rsidRDefault="000A7CD1" w:rsidP="000A7CD1">
      <w:pPr>
        <w:spacing w:after="0" w:line="240" w:lineRule="auto"/>
        <w:rPr>
          <w:sz w:val="28"/>
        </w:rPr>
      </w:pPr>
    </w:p>
    <w:p w14:paraId="6EF50FDB" w14:textId="77777777" w:rsidR="000A7CD1" w:rsidRPr="00186112" w:rsidRDefault="000A7CD1" w:rsidP="000A7CD1">
      <w:pPr>
        <w:spacing w:after="0" w:line="240" w:lineRule="auto"/>
        <w:rPr>
          <w:sz w:val="28"/>
        </w:rPr>
      </w:pPr>
    </w:p>
    <w:p w14:paraId="0DDCA64D" w14:textId="22BF6B15" w:rsidR="000A7CD1" w:rsidRPr="00186112" w:rsidRDefault="000A7CD1" w:rsidP="00186112">
      <w:pPr>
        <w:spacing w:after="0" w:line="240" w:lineRule="auto"/>
        <w:ind w:left="2880" w:hanging="2880"/>
        <w:rPr>
          <w:sz w:val="28"/>
        </w:rPr>
      </w:pPr>
      <w:r w:rsidRPr="00186112">
        <w:rPr>
          <w:sz w:val="28"/>
        </w:rPr>
        <w:t xml:space="preserve">Cleared by: </w:t>
      </w:r>
      <w:r w:rsidRPr="00186112">
        <w:rPr>
          <w:sz w:val="28"/>
        </w:rPr>
        <w:tab/>
        <w:t xml:space="preserve">Christy Ahenkora  </w:t>
      </w:r>
      <w:r w:rsidR="00186112">
        <w:rPr>
          <w:sz w:val="28"/>
        </w:rPr>
        <w:tab/>
      </w:r>
      <w:r w:rsidR="00186112">
        <w:rPr>
          <w:sz w:val="28"/>
        </w:rPr>
        <w:tab/>
      </w:r>
      <w:r w:rsidRPr="00186112">
        <w:rPr>
          <w:sz w:val="28"/>
        </w:rPr>
        <w:t xml:space="preserve"> </w:t>
      </w:r>
      <w:r w:rsidRPr="00186112">
        <w:rPr>
          <w:sz w:val="28"/>
        </w:rPr>
        <w:tab/>
        <w:t xml:space="preserve"> _________________________</w:t>
      </w:r>
      <w:r w:rsidRPr="00186112">
        <w:rPr>
          <w:sz w:val="28"/>
        </w:rPr>
        <w:br/>
        <w:t xml:space="preserve">Deputy Resident Representative </w:t>
      </w:r>
    </w:p>
    <w:p w14:paraId="5DC8C8D6" w14:textId="2E4DBDA1" w:rsidR="000A7CD1" w:rsidRPr="00186112"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4"/>
          <w:szCs w:val="20"/>
          <w:lang w:val="en-LS" w:eastAsia="en-LS"/>
        </w:rPr>
      </w:pPr>
    </w:p>
    <w:p w14:paraId="7770A5DF" w14:textId="37985ACB" w:rsid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p w14:paraId="6ADFDE1B" w14:textId="2958B323" w:rsid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p w14:paraId="4ADD0CF9" w14:textId="1D477C55" w:rsid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p w14:paraId="5A79947B" w14:textId="05421717" w:rsid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p w14:paraId="537C901E" w14:textId="6CB1A2AA" w:rsid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p w14:paraId="75BA56CE" w14:textId="08A11134" w:rsid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p w14:paraId="261DAED1" w14:textId="5BC840DF" w:rsid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p w14:paraId="0D85B6FF" w14:textId="7C0F288B" w:rsid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p w14:paraId="6C935CFF" w14:textId="77777777" w:rsid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p w14:paraId="2DBF6E84" w14:textId="23FF7E78" w:rsid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p w14:paraId="1BA38422" w14:textId="6B10CB37" w:rsid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p w14:paraId="7E50E607" w14:textId="77777777" w:rsidR="000A7CD1" w:rsidRPr="000A7CD1" w:rsidRDefault="000A7CD1" w:rsidP="000A7CD1">
      <w:pPr>
        <w:tabs>
          <w:tab w:val="left" w:pos="4388"/>
          <w:tab w:val="left" w:pos="7648"/>
          <w:tab w:val="left" w:pos="10908"/>
          <w:tab w:val="left" w:pos="14168"/>
          <w:tab w:val="left" w:pos="17428"/>
          <w:tab w:val="left" w:pos="20688"/>
          <w:tab w:val="left" w:pos="23948"/>
        </w:tabs>
        <w:spacing w:after="0" w:line="240" w:lineRule="auto"/>
        <w:ind w:left="108"/>
        <w:rPr>
          <w:rFonts w:ascii="Times New Roman" w:eastAsia="Times New Roman" w:hAnsi="Times New Roman" w:cs="Times New Roman"/>
          <w:noProof w:val="0"/>
          <w:sz w:val="20"/>
          <w:szCs w:val="20"/>
          <w:lang w:val="en-LS" w:eastAsia="en-LS"/>
        </w:rPr>
      </w:pPr>
    </w:p>
    <w:tbl>
      <w:tblPr>
        <w:tblW w:w="5386" w:type="pct"/>
        <w:tblInd w:w="-572" w:type="dxa"/>
        <w:tblLayout w:type="fixed"/>
        <w:tblLook w:val="04A0" w:firstRow="1" w:lastRow="0" w:firstColumn="1" w:lastColumn="0" w:noHBand="0" w:noVBand="1"/>
      </w:tblPr>
      <w:tblGrid>
        <w:gridCol w:w="4680"/>
        <w:gridCol w:w="3684"/>
        <w:gridCol w:w="1418"/>
        <w:gridCol w:w="1133"/>
        <w:gridCol w:w="2070"/>
        <w:gridCol w:w="1331"/>
        <w:gridCol w:w="709"/>
      </w:tblGrid>
      <w:tr w:rsidR="00A4436E" w:rsidRPr="000A7CD1" w14:paraId="4C248810" w14:textId="77777777" w:rsidTr="00A4436E">
        <w:trPr>
          <w:trHeight w:val="288"/>
          <w:tblHeader/>
        </w:trPr>
        <w:tc>
          <w:tcPr>
            <w:tcW w:w="1557" w:type="pct"/>
            <w:vMerge w:val="restart"/>
            <w:tcBorders>
              <w:top w:val="single" w:sz="4" w:space="0" w:color="auto"/>
              <w:left w:val="single" w:sz="4" w:space="0" w:color="auto"/>
              <w:right w:val="single" w:sz="4" w:space="0" w:color="auto"/>
            </w:tcBorders>
            <w:shd w:val="clear" w:color="000000" w:fill="BFBFBF"/>
            <w:vAlign w:val="center"/>
            <w:hideMark/>
          </w:tcPr>
          <w:p w14:paraId="422CAA25" w14:textId="218C0036" w:rsidR="002752ED" w:rsidRPr="000A7CD1" w:rsidRDefault="002752ED" w:rsidP="000A7CD1">
            <w:pPr>
              <w:spacing w:after="0" w:line="240" w:lineRule="auto"/>
              <w:jc w:val="center"/>
              <w:rPr>
                <w:rFonts w:ascii="Calibri" w:eastAsia="Times New Roman" w:hAnsi="Calibri" w:cs="Calibri"/>
                <w:b/>
                <w:bCs/>
                <w:noProof w:val="0"/>
                <w:color w:val="000000"/>
                <w:lang w:val="en-LS" w:eastAsia="en-LS"/>
              </w:rPr>
            </w:pPr>
            <w:r w:rsidRPr="000A7CD1">
              <w:rPr>
                <w:rFonts w:ascii="Calibri" w:eastAsia="Times New Roman" w:hAnsi="Calibri" w:cs="Calibri"/>
                <w:b/>
                <w:bCs/>
                <w:noProof w:val="0"/>
                <w:color w:val="000000"/>
                <w:lang w:val="en-LS" w:eastAsia="en-LS"/>
              </w:rPr>
              <w:t>Management Action</w:t>
            </w:r>
            <w:r>
              <w:rPr>
                <w:rStyle w:val="FootnoteReference"/>
                <w:rFonts w:ascii="Calibri" w:eastAsia="Times New Roman" w:hAnsi="Calibri" w:cs="Calibri"/>
                <w:b/>
                <w:bCs/>
                <w:noProof w:val="0"/>
                <w:color w:val="000000"/>
                <w:lang w:val="en-LS" w:eastAsia="en-LS"/>
              </w:rPr>
              <w:footnoteReference w:id="1"/>
            </w:r>
            <w:r w:rsidRPr="000A7CD1">
              <w:rPr>
                <w:rFonts w:ascii="Calibri" w:eastAsia="Times New Roman" w:hAnsi="Calibri" w:cs="Calibri"/>
                <w:b/>
                <w:bCs/>
                <w:noProof w:val="0"/>
                <w:color w:val="000000"/>
                <w:lang w:val="en-LS" w:eastAsia="en-LS"/>
              </w:rPr>
              <w:t xml:space="preserve"> </w:t>
            </w:r>
          </w:p>
        </w:tc>
        <w:tc>
          <w:tcPr>
            <w:tcW w:w="122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6881885" w14:textId="77777777" w:rsidR="002752ED" w:rsidRPr="000A7CD1" w:rsidRDefault="002752ED" w:rsidP="000A7CD1">
            <w:pPr>
              <w:spacing w:after="0" w:line="240" w:lineRule="auto"/>
              <w:jc w:val="center"/>
              <w:rPr>
                <w:rFonts w:ascii="Calibri" w:eastAsia="Times New Roman" w:hAnsi="Calibri" w:cs="Calibri"/>
                <w:b/>
                <w:bCs/>
                <w:noProof w:val="0"/>
                <w:color w:val="000000"/>
                <w:lang w:val="en-LS" w:eastAsia="en-LS"/>
              </w:rPr>
            </w:pPr>
            <w:r w:rsidRPr="000A7CD1">
              <w:rPr>
                <w:rFonts w:ascii="Calibri" w:eastAsia="Times New Roman" w:hAnsi="Calibri" w:cs="Calibri"/>
                <w:b/>
                <w:bCs/>
                <w:noProof w:val="0"/>
                <w:color w:val="000000"/>
                <w:lang w:val="en-LS" w:eastAsia="en-LS"/>
              </w:rPr>
              <w:t xml:space="preserve">Key Action </w:t>
            </w:r>
          </w:p>
        </w:tc>
        <w:tc>
          <w:tcPr>
            <w:tcW w:w="47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E21804E" w14:textId="77777777" w:rsidR="002752ED" w:rsidRPr="000A7CD1" w:rsidRDefault="002752ED" w:rsidP="000A7CD1">
            <w:pPr>
              <w:spacing w:after="0" w:line="240" w:lineRule="auto"/>
              <w:jc w:val="center"/>
              <w:rPr>
                <w:rFonts w:ascii="Calibri" w:eastAsia="Times New Roman" w:hAnsi="Calibri" w:cs="Calibri"/>
                <w:b/>
                <w:bCs/>
                <w:noProof w:val="0"/>
                <w:color w:val="000000"/>
                <w:lang w:val="en-LS" w:eastAsia="en-LS"/>
              </w:rPr>
            </w:pPr>
            <w:r w:rsidRPr="000A7CD1">
              <w:rPr>
                <w:rFonts w:ascii="Calibri" w:eastAsia="Times New Roman" w:hAnsi="Calibri" w:cs="Calibri"/>
                <w:b/>
                <w:bCs/>
                <w:noProof w:val="0"/>
                <w:color w:val="000000"/>
                <w:lang w:val="en-LS" w:eastAsia="en-LS"/>
              </w:rPr>
              <w:t xml:space="preserve">Completion Date </w:t>
            </w:r>
          </w:p>
        </w:tc>
        <w:tc>
          <w:tcPr>
            <w:tcW w:w="1745" w:type="pct"/>
            <w:gridSpan w:val="4"/>
            <w:tcBorders>
              <w:top w:val="single" w:sz="4" w:space="0" w:color="auto"/>
              <w:left w:val="nil"/>
              <w:bottom w:val="single" w:sz="4" w:space="0" w:color="auto"/>
              <w:right w:val="single" w:sz="4" w:space="0" w:color="auto"/>
            </w:tcBorders>
            <w:shd w:val="clear" w:color="000000" w:fill="BFBFBF"/>
            <w:vAlign w:val="center"/>
            <w:hideMark/>
          </w:tcPr>
          <w:p w14:paraId="16440FF3" w14:textId="77777777" w:rsidR="002752ED" w:rsidRPr="000A7CD1" w:rsidRDefault="002752ED" w:rsidP="000A7CD1">
            <w:pPr>
              <w:spacing w:after="0" w:line="240" w:lineRule="auto"/>
              <w:jc w:val="center"/>
              <w:rPr>
                <w:rFonts w:ascii="Calibri" w:eastAsia="Times New Roman" w:hAnsi="Calibri" w:cs="Calibri"/>
                <w:b/>
                <w:bCs/>
                <w:noProof w:val="0"/>
                <w:color w:val="000000"/>
                <w:lang w:val="en-LS" w:eastAsia="en-LS"/>
              </w:rPr>
            </w:pPr>
            <w:r w:rsidRPr="000A7CD1">
              <w:rPr>
                <w:rFonts w:ascii="Calibri" w:eastAsia="Times New Roman" w:hAnsi="Calibri" w:cs="Calibri"/>
                <w:b/>
                <w:bCs/>
                <w:noProof w:val="0"/>
                <w:color w:val="000000"/>
                <w:lang w:val="en-LS" w:eastAsia="en-LS"/>
              </w:rPr>
              <w:t>Tracking Status</w:t>
            </w:r>
          </w:p>
        </w:tc>
      </w:tr>
      <w:tr w:rsidR="00A4436E" w:rsidRPr="000A7CD1" w14:paraId="145DF3C5" w14:textId="77777777" w:rsidTr="00A4436E">
        <w:trPr>
          <w:trHeight w:val="300"/>
          <w:tblHeader/>
        </w:trPr>
        <w:tc>
          <w:tcPr>
            <w:tcW w:w="1557" w:type="pct"/>
            <w:vMerge/>
            <w:tcBorders>
              <w:left w:val="single" w:sz="4" w:space="0" w:color="auto"/>
              <w:bottom w:val="single" w:sz="4" w:space="0" w:color="auto"/>
              <w:right w:val="single" w:sz="4" w:space="0" w:color="auto"/>
            </w:tcBorders>
            <w:vAlign w:val="center"/>
            <w:hideMark/>
          </w:tcPr>
          <w:p w14:paraId="6A7FB617" w14:textId="77777777" w:rsidR="002752ED" w:rsidRPr="000A7CD1" w:rsidRDefault="002752ED" w:rsidP="000A7CD1">
            <w:pPr>
              <w:spacing w:after="0" w:line="240" w:lineRule="auto"/>
              <w:rPr>
                <w:rFonts w:ascii="Calibri" w:eastAsia="Times New Roman" w:hAnsi="Calibri" w:cs="Calibri"/>
                <w:b/>
                <w:bCs/>
                <w:noProof w:val="0"/>
                <w:color w:val="000000"/>
                <w:lang w:val="en-LS" w:eastAsia="en-LS"/>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14:paraId="40797FD9" w14:textId="77777777" w:rsidR="002752ED" w:rsidRPr="000A7CD1" w:rsidRDefault="002752ED" w:rsidP="000A7CD1">
            <w:pPr>
              <w:spacing w:after="0" w:line="240" w:lineRule="auto"/>
              <w:rPr>
                <w:rFonts w:ascii="Calibri" w:eastAsia="Times New Roman" w:hAnsi="Calibri" w:cs="Calibri"/>
                <w:b/>
                <w:bCs/>
                <w:noProof w:val="0"/>
                <w:color w:val="000000"/>
                <w:lang w:val="en-LS" w:eastAsia="en-L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02A8C77" w14:textId="77777777" w:rsidR="002752ED" w:rsidRPr="000A7CD1" w:rsidRDefault="002752ED" w:rsidP="000A7CD1">
            <w:pPr>
              <w:spacing w:after="0" w:line="240" w:lineRule="auto"/>
              <w:rPr>
                <w:rFonts w:ascii="Calibri" w:eastAsia="Times New Roman" w:hAnsi="Calibri" w:cs="Calibri"/>
                <w:b/>
                <w:bCs/>
                <w:noProof w:val="0"/>
                <w:color w:val="000000"/>
                <w:lang w:val="en-LS" w:eastAsia="en-LS"/>
              </w:rPr>
            </w:pPr>
          </w:p>
        </w:tc>
        <w:tc>
          <w:tcPr>
            <w:tcW w:w="377" w:type="pct"/>
            <w:tcBorders>
              <w:top w:val="nil"/>
              <w:left w:val="nil"/>
              <w:bottom w:val="single" w:sz="4" w:space="0" w:color="auto"/>
              <w:right w:val="single" w:sz="4" w:space="0" w:color="auto"/>
            </w:tcBorders>
            <w:shd w:val="clear" w:color="000000" w:fill="BFBFBF"/>
            <w:vAlign w:val="center"/>
            <w:hideMark/>
          </w:tcPr>
          <w:p w14:paraId="4B5B6288" w14:textId="77777777" w:rsidR="002752ED" w:rsidRPr="000A7CD1" w:rsidRDefault="002752ED" w:rsidP="000A7CD1">
            <w:pPr>
              <w:spacing w:after="0" w:line="240" w:lineRule="auto"/>
              <w:rPr>
                <w:rFonts w:ascii="Calibri" w:eastAsia="Times New Roman" w:hAnsi="Calibri" w:cs="Calibri"/>
                <w:b/>
                <w:bCs/>
                <w:noProof w:val="0"/>
                <w:color w:val="000000"/>
                <w:lang w:val="en-LS" w:eastAsia="en-LS"/>
              </w:rPr>
            </w:pPr>
            <w:r w:rsidRPr="000A7CD1">
              <w:rPr>
                <w:rFonts w:ascii="Calibri" w:eastAsia="Times New Roman" w:hAnsi="Calibri" w:cs="Calibri"/>
                <w:b/>
                <w:bCs/>
                <w:noProof w:val="0"/>
                <w:color w:val="000000"/>
                <w:lang w:val="en-LS" w:eastAsia="en-LS"/>
              </w:rPr>
              <w:t xml:space="preserve">Status </w:t>
            </w:r>
          </w:p>
        </w:tc>
        <w:tc>
          <w:tcPr>
            <w:tcW w:w="689" w:type="pct"/>
            <w:tcBorders>
              <w:top w:val="nil"/>
              <w:left w:val="nil"/>
              <w:bottom w:val="single" w:sz="4" w:space="0" w:color="auto"/>
              <w:right w:val="single" w:sz="4" w:space="0" w:color="auto"/>
            </w:tcBorders>
            <w:shd w:val="clear" w:color="000000" w:fill="BFBFBF"/>
            <w:vAlign w:val="center"/>
            <w:hideMark/>
          </w:tcPr>
          <w:p w14:paraId="0BDFE92E" w14:textId="77777777" w:rsidR="002752ED" w:rsidRPr="000A7CD1" w:rsidRDefault="002752ED" w:rsidP="000A7CD1">
            <w:pPr>
              <w:spacing w:after="0" w:line="240" w:lineRule="auto"/>
              <w:rPr>
                <w:rFonts w:ascii="Calibri" w:eastAsia="Times New Roman" w:hAnsi="Calibri" w:cs="Calibri"/>
                <w:b/>
                <w:bCs/>
                <w:noProof w:val="0"/>
                <w:color w:val="000000"/>
                <w:lang w:val="en-LS" w:eastAsia="en-LS"/>
              </w:rPr>
            </w:pPr>
            <w:r w:rsidRPr="000A7CD1">
              <w:rPr>
                <w:rFonts w:ascii="Calibri" w:eastAsia="Times New Roman" w:hAnsi="Calibri" w:cs="Calibri"/>
                <w:b/>
                <w:bCs/>
                <w:noProof w:val="0"/>
                <w:color w:val="000000"/>
                <w:lang w:val="en-LS" w:eastAsia="en-LS"/>
              </w:rPr>
              <w:t>Comments</w:t>
            </w:r>
          </w:p>
        </w:tc>
        <w:tc>
          <w:tcPr>
            <w:tcW w:w="443" w:type="pct"/>
            <w:tcBorders>
              <w:top w:val="nil"/>
              <w:left w:val="nil"/>
              <w:bottom w:val="single" w:sz="4" w:space="0" w:color="auto"/>
              <w:right w:val="single" w:sz="4" w:space="0" w:color="auto"/>
            </w:tcBorders>
            <w:shd w:val="clear" w:color="000000" w:fill="BFBFBF"/>
            <w:vAlign w:val="center"/>
            <w:hideMark/>
          </w:tcPr>
          <w:p w14:paraId="28014129" w14:textId="77777777" w:rsidR="002752ED" w:rsidRPr="000A7CD1" w:rsidRDefault="002752ED" w:rsidP="000A7CD1">
            <w:pPr>
              <w:spacing w:after="0" w:line="240" w:lineRule="auto"/>
              <w:rPr>
                <w:rFonts w:ascii="Calibri" w:eastAsia="Times New Roman" w:hAnsi="Calibri" w:cs="Calibri"/>
                <w:b/>
                <w:bCs/>
                <w:noProof w:val="0"/>
                <w:color w:val="000000"/>
                <w:lang w:val="en-LS" w:eastAsia="en-LS"/>
              </w:rPr>
            </w:pPr>
            <w:r w:rsidRPr="000A7CD1">
              <w:rPr>
                <w:rFonts w:ascii="Calibri" w:eastAsia="Times New Roman" w:hAnsi="Calibri" w:cs="Calibri"/>
                <w:b/>
                <w:bCs/>
                <w:noProof w:val="0"/>
                <w:color w:val="000000"/>
                <w:lang w:val="en-LS" w:eastAsia="en-LS"/>
              </w:rPr>
              <w:t>Evidence</w:t>
            </w:r>
          </w:p>
        </w:tc>
        <w:tc>
          <w:tcPr>
            <w:tcW w:w="236" w:type="pct"/>
            <w:tcBorders>
              <w:top w:val="nil"/>
              <w:left w:val="nil"/>
              <w:bottom w:val="single" w:sz="4" w:space="0" w:color="auto"/>
              <w:right w:val="single" w:sz="4" w:space="0" w:color="auto"/>
            </w:tcBorders>
            <w:shd w:val="clear" w:color="000000" w:fill="BFBFBF"/>
            <w:vAlign w:val="center"/>
            <w:hideMark/>
          </w:tcPr>
          <w:p w14:paraId="532D8541" w14:textId="77777777" w:rsidR="002752ED" w:rsidRPr="000A7CD1" w:rsidRDefault="002752ED" w:rsidP="000A7CD1">
            <w:pPr>
              <w:spacing w:after="0" w:line="240" w:lineRule="auto"/>
              <w:rPr>
                <w:rFonts w:ascii="Calibri" w:eastAsia="Times New Roman" w:hAnsi="Calibri" w:cs="Calibri"/>
                <w:b/>
                <w:bCs/>
                <w:noProof w:val="0"/>
                <w:color w:val="000000"/>
                <w:lang w:val="en-LS" w:eastAsia="en-LS"/>
              </w:rPr>
            </w:pPr>
            <w:r w:rsidRPr="000A7CD1">
              <w:rPr>
                <w:rFonts w:ascii="Calibri" w:eastAsia="Times New Roman" w:hAnsi="Calibri" w:cs="Calibri"/>
                <w:b/>
                <w:bCs/>
                <w:noProof w:val="0"/>
                <w:color w:val="000000"/>
                <w:lang w:val="en-LS" w:eastAsia="en-LS"/>
              </w:rPr>
              <w:t>Date</w:t>
            </w:r>
          </w:p>
        </w:tc>
      </w:tr>
      <w:tr w:rsidR="00F35CB6" w:rsidRPr="000A7CD1" w14:paraId="52C428C0" w14:textId="77777777" w:rsidTr="00A4436E">
        <w:trPr>
          <w:trHeight w:val="1073"/>
        </w:trPr>
        <w:tc>
          <w:tcPr>
            <w:tcW w:w="5000" w:type="pct"/>
            <w:gridSpan w:val="7"/>
            <w:tcBorders>
              <w:top w:val="nil"/>
              <w:left w:val="single" w:sz="4" w:space="0" w:color="auto"/>
              <w:bottom w:val="single" w:sz="8" w:space="0" w:color="000000"/>
              <w:right w:val="single" w:sz="4" w:space="0" w:color="auto"/>
            </w:tcBorders>
            <w:shd w:val="clear" w:color="auto" w:fill="auto"/>
            <w:vAlign w:val="center"/>
          </w:tcPr>
          <w:p w14:paraId="79DDF31A" w14:textId="20733AD6" w:rsidR="00F35CB6" w:rsidRPr="000A7CD1" w:rsidRDefault="00F35CB6" w:rsidP="00F35CB6">
            <w:pPr>
              <w:spacing w:after="0" w:line="240" w:lineRule="auto"/>
              <w:rPr>
                <w:rFonts w:ascii="Calibri" w:eastAsia="Times New Roman" w:hAnsi="Calibri" w:cs="Calibri"/>
                <w:noProof w:val="0"/>
                <w:color w:val="000000"/>
                <w:lang w:val="en-LS" w:eastAsia="en-LS"/>
              </w:rPr>
            </w:pPr>
            <w:r w:rsidRPr="000A7CD1">
              <w:rPr>
                <w:rFonts w:ascii="Calibri Light" w:eastAsia="Times New Roman" w:hAnsi="Calibri Light" w:cs="Calibri Light"/>
                <w:b/>
                <w:bCs/>
                <w:noProof w:val="0"/>
                <w:color w:val="000000"/>
                <w:sz w:val="21"/>
                <w:szCs w:val="21"/>
                <w:lang w:val="en-LS" w:eastAsia="en-LS"/>
              </w:rPr>
              <w:t>Recommendation 1:</w:t>
            </w:r>
            <w:r w:rsidRPr="000A7CD1">
              <w:rPr>
                <w:rFonts w:ascii="Calibri Light" w:eastAsia="Times New Roman" w:hAnsi="Calibri Light" w:cs="Calibri Light"/>
                <w:noProof w:val="0"/>
                <w:color w:val="000000"/>
                <w:sz w:val="21"/>
                <w:szCs w:val="21"/>
                <w:lang w:val="en-LS" w:eastAsia="en-LS"/>
              </w:rPr>
              <w:t xml:space="preserve">  To ensure a sustainable national ecosystem, </w:t>
            </w:r>
            <w:r w:rsidRPr="000A7CD1">
              <w:rPr>
                <w:rFonts w:ascii="Calibri Light" w:eastAsia="Times New Roman" w:hAnsi="Calibri Light" w:cs="Calibri Light"/>
                <w:b/>
                <w:bCs/>
                <w:noProof w:val="0"/>
                <w:color w:val="000000"/>
                <w:sz w:val="21"/>
                <w:szCs w:val="21"/>
                <w:lang w:val="en-LS" w:eastAsia="en-LS"/>
              </w:rPr>
              <w:t>an enabling environment</w:t>
            </w:r>
            <w:r w:rsidRPr="000A7CD1">
              <w:rPr>
                <w:rFonts w:ascii="Calibri Light" w:eastAsia="Times New Roman" w:hAnsi="Calibri Light" w:cs="Calibri Light"/>
                <w:noProof w:val="0"/>
                <w:color w:val="000000"/>
                <w:sz w:val="21"/>
                <w:szCs w:val="21"/>
                <w:lang w:val="en-LS" w:eastAsia="en-LS"/>
              </w:rPr>
              <w:t xml:space="preserve"> </w:t>
            </w:r>
            <w:r w:rsidRPr="000A7CD1">
              <w:rPr>
                <w:rFonts w:ascii="Calibri Light" w:eastAsia="Times New Roman" w:hAnsi="Calibri Light" w:cs="Calibri Light"/>
                <w:b/>
                <w:bCs/>
                <w:noProof w:val="0"/>
                <w:color w:val="000000"/>
                <w:sz w:val="21"/>
                <w:szCs w:val="21"/>
                <w:lang w:val="en-LS" w:eastAsia="en-LS"/>
              </w:rPr>
              <w:t>supported by appropriate legal frameworks and policies</w:t>
            </w:r>
            <w:r w:rsidRPr="000A7CD1">
              <w:rPr>
                <w:rFonts w:ascii="Calibri Light" w:eastAsia="Times New Roman" w:hAnsi="Calibri Light" w:cs="Calibri Light"/>
                <w:noProof w:val="0"/>
                <w:color w:val="000000"/>
                <w:sz w:val="21"/>
                <w:szCs w:val="21"/>
                <w:lang w:val="en-LS" w:eastAsia="en-LS"/>
              </w:rPr>
              <w:t xml:space="preserve"> </w:t>
            </w:r>
            <w:proofErr w:type="gramStart"/>
            <w:r w:rsidRPr="000A7CD1">
              <w:rPr>
                <w:rFonts w:ascii="Calibri Light" w:eastAsia="Times New Roman" w:hAnsi="Calibri Light" w:cs="Calibri Light"/>
                <w:noProof w:val="0"/>
                <w:color w:val="000000"/>
                <w:sz w:val="21"/>
                <w:szCs w:val="21"/>
                <w:lang w:val="en-LS" w:eastAsia="en-LS"/>
              </w:rPr>
              <w:t>has to</w:t>
            </w:r>
            <w:proofErr w:type="gramEnd"/>
            <w:r w:rsidRPr="000A7CD1">
              <w:rPr>
                <w:rFonts w:ascii="Calibri Light" w:eastAsia="Times New Roman" w:hAnsi="Calibri Light" w:cs="Calibri Light"/>
                <w:noProof w:val="0"/>
                <w:color w:val="000000"/>
                <w:sz w:val="21"/>
                <w:szCs w:val="21"/>
                <w:lang w:val="en-LS" w:eastAsia="en-LS"/>
              </w:rPr>
              <w:t xml:space="preserve"> be put in place. This includes updated NSDS, a national M&amp;E policy, revised Statistics Act </w:t>
            </w:r>
            <w:r w:rsidRPr="000A7CD1">
              <w:rPr>
                <w:rFonts w:ascii="Calibri Light" w:eastAsia="Times New Roman" w:hAnsi="Calibri Light" w:cs="Calibri Light"/>
                <w:i/>
                <w:iCs/>
                <w:noProof w:val="0"/>
                <w:color w:val="000000"/>
                <w:sz w:val="21"/>
                <w:szCs w:val="21"/>
                <w:lang w:val="en-LS" w:eastAsia="en-LS"/>
              </w:rPr>
              <w:t>- (BOS and DM&amp;E).</w:t>
            </w:r>
          </w:p>
        </w:tc>
      </w:tr>
      <w:tr w:rsidR="00A4436E" w:rsidRPr="000A7CD1" w14:paraId="309F511B" w14:textId="77777777" w:rsidTr="00A4436E">
        <w:trPr>
          <w:trHeight w:val="1073"/>
        </w:trPr>
        <w:tc>
          <w:tcPr>
            <w:tcW w:w="1557" w:type="pct"/>
            <w:tcBorders>
              <w:top w:val="nil"/>
              <w:left w:val="single" w:sz="4" w:space="0" w:color="auto"/>
              <w:right w:val="single" w:sz="4" w:space="0" w:color="auto"/>
            </w:tcBorders>
            <w:shd w:val="clear" w:color="auto" w:fill="auto"/>
            <w:vAlign w:val="center"/>
          </w:tcPr>
          <w:p w14:paraId="66422971" w14:textId="1FB66A46" w:rsidR="002752ED" w:rsidRPr="00D857E6" w:rsidRDefault="002752ED" w:rsidP="00E854F6">
            <w:pPr>
              <w:pStyle w:val="ListParagraph"/>
              <w:numPr>
                <w:ilvl w:val="1"/>
                <w:numId w:val="14"/>
              </w:numPr>
              <w:spacing w:after="0" w:line="240" w:lineRule="auto"/>
              <w:rPr>
                <w:rFonts w:ascii="Calibri" w:eastAsia="Times New Roman" w:hAnsi="Calibri" w:cs="Calibri"/>
                <w:noProof w:val="0"/>
                <w:color w:val="000000"/>
                <w:lang w:val="en-LS" w:eastAsia="en-LS"/>
              </w:rPr>
            </w:pPr>
            <w:r w:rsidRPr="004F6160">
              <w:rPr>
                <w:rFonts w:ascii="Calibri" w:eastAsia="Times New Roman" w:hAnsi="Calibri" w:cs="Calibri"/>
                <w:noProof w:val="0"/>
                <w:color w:val="000000"/>
                <w:lang w:val="en-LS" w:eastAsia="en-LS"/>
              </w:rPr>
              <w:t xml:space="preserve">NSDS (2010/11 – 2015/16) has </w:t>
            </w:r>
            <w:r w:rsidRPr="004F6160">
              <w:rPr>
                <w:rFonts w:ascii="Calibri" w:eastAsia="Times New Roman" w:hAnsi="Calibri" w:cs="Calibri"/>
                <w:noProof w:val="0"/>
                <w:color w:val="000000"/>
                <w:lang w:val="en-LS" w:eastAsia="en-LS"/>
              </w:rPr>
              <w:t>been evaluated</w:t>
            </w:r>
            <w:r w:rsidRPr="004F6160">
              <w:rPr>
                <w:rFonts w:ascii="Calibri" w:eastAsia="Times New Roman" w:hAnsi="Calibri" w:cs="Calibri"/>
                <w:noProof w:val="0"/>
                <w:color w:val="000000"/>
                <w:lang w:val="en-LS" w:eastAsia="en-LS"/>
              </w:rPr>
              <w:t xml:space="preserve"> (PARIS21) to enable development of the new generation </w:t>
            </w:r>
            <w:proofErr w:type="gramStart"/>
            <w:r w:rsidRPr="004F6160">
              <w:rPr>
                <w:rFonts w:ascii="Calibri" w:eastAsia="Times New Roman" w:hAnsi="Calibri" w:cs="Calibri"/>
                <w:noProof w:val="0"/>
                <w:color w:val="000000"/>
                <w:lang w:val="en-LS" w:eastAsia="en-LS"/>
              </w:rPr>
              <w:t>NSDS  The</w:t>
            </w:r>
            <w:proofErr w:type="gramEnd"/>
            <w:r w:rsidRPr="004F6160">
              <w:rPr>
                <w:rFonts w:ascii="Calibri" w:eastAsia="Times New Roman" w:hAnsi="Calibri" w:cs="Calibri"/>
                <w:noProof w:val="0"/>
                <w:color w:val="000000"/>
                <w:lang w:val="en-LS" w:eastAsia="en-LS"/>
              </w:rPr>
              <w:t xml:space="preserve"> Statistics Act 2001 will be</w:t>
            </w:r>
            <w:r w:rsidR="00E854F6">
              <w:rPr>
                <w:rFonts w:ascii="Calibri" w:eastAsia="Times New Roman" w:hAnsi="Calibri" w:cs="Calibri"/>
                <w:noProof w:val="0"/>
                <w:color w:val="000000"/>
                <w:lang w:eastAsia="en-LS"/>
              </w:rPr>
              <w:t xml:space="preserve"> also</w:t>
            </w:r>
            <w:r w:rsidRPr="004F6160">
              <w:rPr>
                <w:rFonts w:ascii="Calibri" w:eastAsia="Times New Roman" w:hAnsi="Calibri" w:cs="Calibri"/>
                <w:noProof w:val="0"/>
                <w:color w:val="000000"/>
                <w:lang w:val="en-LS" w:eastAsia="en-LS"/>
              </w:rPr>
              <w:t xml:space="preserve"> reviewed as part of the development of the NSDS II</w:t>
            </w:r>
          </w:p>
        </w:tc>
        <w:tc>
          <w:tcPr>
            <w:tcW w:w="1226" w:type="pct"/>
            <w:tcBorders>
              <w:top w:val="nil"/>
              <w:left w:val="nil"/>
              <w:right w:val="single" w:sz="4" w:space="0" w:color="auto"/>
            </w:tcBorders>
            <w:shd w:val="clear" w:color="auto" w:fill="auto"/>
            <w:vAlign w:val="center"/>
            <w:hideMark/>
          </w:tcPr>
          <w:p w14:paraId="133CB47D" w14:textId="2AC4A938" w:rsidR="002752ED" w:rsidRPr="004F6160" w:rsidRDefault="002752ED" w:rsidP="00F35CB6">
            <w:pPr>
              <w:pStyle w:val="ListParagraph"/>
              <w:numPr>
                <w:ilvl w:val="0"/>
                <w:numId w:val="7"/>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val="en-US" w:eastAsia="en-LS"/>
              </w:rPr>
              <w:t xml:space="preserve">Support development of the </w:t>
            </w:r>
            <w:r w:rsidRPr="004F6160">
              <w:rPr>
                <w:rFonts w:ascii="Calibri" w:eastAsia="Times New Roman" w:hAnsi="Calibri" w:cs="Calibri"/>
                <w:noProof w:val="0"/>
                <w:color w:val="000000"/>
                <w:lang w:val="en-LS" w:eastAsia="en-LS"/>
              </w:rPr>
              <w:t xml:space="preserve">NSDS II </w:t>
            </w:r>
            <w:r w:rsidRPr="004F6160">
              <w:rPr>
                <w:rFonts w:ascii="Calibri" w:eastAsia="Times New Roman" w:hAnsi="Calibri" w:cs="Calibri"/>
                <w:noProof w:val="0"/>
                <w:color w:val="000000"/>
                <w:lang w:val="en-LS" w:eastAsia="en-LS"/>
              </w:rPr>
              <w:t xml:space="preserve">and review the Statistics Act 2021 </w:t>
            </w:r>
            <w:r w:rsidRPr="004F6160">
              <w:rPr>
                <w:rFonts w:ascii="Calibri" w:eastAsia="Times New Roman" w:hAnsi="Calibri" w:cs="Calibri"/>
                <w:noProof w:val="0"/>
                <w:color w:val="000000"/>
                <w:lang w:val="en-LS" w:eastAsia="en-LS"/>
              </w:rPr>
              <w:t xml:space="preserve"> </w:t>
            </w:r>
          </w:p>
        </w:tc>
        <w:tc>
          <w:tcPr>
            <w:tcW w:w="472" w:type="pct"/>
            <w:tcBorders>
              <w:top w:val="nil"/>
              <w:left w:val="nil"/>
              <w:bottom w:val="single" w:sz="4" w:space="0" w:color="auto"/>
              <w:right w:val="single" w:sz="4" w:space="0" w:color="auto"/>
            </w:tcBorders>
            <w:shd w:val="clear" w:color="auto" w:fill="auto"/>
            <w:vAlign w:val="center"/>
            <w:hideMark/>
          </w:tcPr>
          <w:p w14:paraId="1AE4CA1F" w14:textId="757384CF" w:rsidR="002752ED" w:rsidRPr="000A7CD1" w:rsidRDefault="002752ED" w:rsidP="00F35CB6">
            <w:pPr>
              <w:spacing w:after="0" w:line="240" w:lineRule="auto"/>
              <w:rPr>
                <w:rFonts w:ascii="Calibri" w:eastAsia="Times New Roman" w:hAnsi="Calibri" w:cs="Calibri"/>
                <w:noProof w:val="0"/>
                <w:color w:val="000000"/>
                <w:lang w:val="en-US" w:eastAsia="en-LS"/>
              </w:rPr>
            </w:pPr>
            <w:r w:rsidRPr="000A7CD1">
              <w:rPr>
                <w:rFonts w:ascii="Calibri" w:eastAsia="Times New Roman" w:hAnsi="Calibri" w:cs="Calibri"/>
                <w:noProof w:val="0"/>
                <w:color w:val="000000"/>
                <w:lang w:val="en-LS" w:eastAsia="en-LS"/>
              </w:rPr>
              <w:t>Dec-20</w:t>
            </w:r>
            <w:r>
              <w:rPr>
                <w:rFonts w:ascii="Calibri" w:eastAsia="Times New Roman" w:hAnsi="Calibri" w:cs="Calibri"/>
                <w:noProof w:val="0"/>
                <w:color w:val="000000"/>
                <w:lang w:val="en-US" w:eastAsia="en-LS"/>
              </w:rPr>
              <w:t>20</w:t>
            </w:r>
          </w:p>
        </w:tc>
        <w:tc>
          <w:tcPr>
            <w:tcW w:w="377" w:type="pct"/>
            <w:tcBorders>
              <w:top w:val="nil"/>
              <w:left w:val="nil"/>
              <w:bottom w:val="single" w:sz="4" w:space="0" w:color="auto"/>
              <w:right w:val="single" w:sz="4" w:space="0" w:color="auto"/>
            </w:tcBorders>
            <w:shd w:val="clear" w:color="auto" w:fill="auto"/>
            <w:vAlign w:val="center"/>
            <w:hideMark/>
          </w:tcPr>
          <w:p w14:paraId="562ACF44"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Started</w:t>
            </w:r>
          </w:p>
        </w:tc>
        <w:tc>
          <w:tcPr>
            <w:tcW w:w="689" w:type="pct"/>
            <w:tcBorders>
              <w:top w:val="nil"/>
              <w:left w:val="nil"/>
              <w:bottom w:val="single" w:sz="4" w:space="0" w:color="auto"/>
              <w:right w:val="single" w:sz="4" w:space="0" w:color="auto"/>
            </w:tcBorders>
            <w:shd w:val="clear" w:color="auto" w:fill="auto"/>
            <w:vAlign w:val="center"/>
            <w:hideMark/>
          </w:tcPr>
          <w:p w14:paraId="435E52E6"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4" w:space="0" w:color="auto"/>
              <w:right w:val="single" w:sz="4" w:space="0" w:color="auto"/>
            </w:tcBorders>
            <w:shd w:val="clear" w:color="auto" w:fill="auto"/>
            <w:vAlign w:val="center"/>
            <w:hideMark/>
          </w:tcPr>
          <w:p w14:paraId="149F0A50"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4" w:space="0" w:color="auto"/>
              <w:right w:val="single" w:sz="4" w:space="0" w:color="auto"/>
            </w:tcBorders>
            <w:shd w:val="clear" w:color="auto" w:fill="auto"/>
            <w:vAlign w:val="center"/>
            <w:hideMark/>
          </w:tcPr>
          <w:p w14:paraId="345B60DA"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4D53DA06" w14:textId="77777777" w:rsidTr="00A4436E">
        <w:trPr>
          <w:trHeight w:val="2028"/>
        </w:trPr>
        <w:tc>
          <w:tcPr>
            <w:tcW w:w="1557" w:type="pct"/>
            <w:tcBorders>
              <w:left w:val="single" w:sz="4" w:space="0" w:color="auto"/>
              <w:right w:val="single" w:sz="4" w:space="0" w:color="auto"/>
            </w:tcBorders>
            <w:shd w:val="clear" w:color="auto" w:fill="auto"/>
            <w:vAlign w:val="center"/>
            <w:hideMark/>
          </w:tcPr>
          <w:p w14:paraId="5519700E" w14:textId="7171381B" w:rsidR="002752ED" w:rsidRPr="000A7CD1" w:rsidRDefault="00D857E6" w:rsidP="00E854F6">
            <w:pPr>
              <w:pStyle w:val="ListParagraph"/>
              <w:numPr>
                <w:ilvl w:val="1"/>
                <w:numId w:val="13"/>
              </w:num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xml:space="preserve">BOS currently developing a Dissemination </w:t>
            </w:r>
            <w:r>
              <w:rPr>
                <w:rFonts w:ascii="Calibri" w:eastAsia="Times New Roman" w:hAnsi="Calibri" w:cs="Calibri"/>
                <w:noProof w:val="0"/>
                <w:color w:val="000000"/>
                <w:lang w:val="en-US" w:eastAsia="en-LS"/>
              </w:rPr>
              <w:t>P</w:t>
            </w:r>
            <w:proofErr w:type="spellStart"/>
            <w:r w:rsidRPr="000A7CD1">
              <w:rPr>
                <w:rFonts w:ascii="Calibri" w:eastAsia="Times New Roman" w:hAnsi="Calibri" w:cs="Calibri"/>
                <w:noProof w:val="0"/>
                <w:color w:val="000000"/>
                <w:lang w:val="en-LS" w:eastAsia="en-LS"/>
              </w:rPr>
              <w:t>olicy</w:t>
            </w:r>
            <w:proofErr w:type="spellEnd"/>
            <w:r w:rsidRPr="000A7CD1">
              <w:rPr>
                <w:rFonts w:ascii="Calibri" w:eastAsia="Times New Roman" w:hAnsi="Calibri" w:cs="Calibri"/>
                <w:noProof w:val="0"/>
                <w:color w:val="000000"/>
                <w:lang w:val="en-LS" w:eastAsia="en-LS"/>
              </w:rPr>
              <w:t xml:space="preserve"> (World Bank) to support implementation of the Communication, advocacy and Dissemination strategy developed under the Lesotho Data.</w:t>
            </w:r>
          </w:p>
        </w:tc>
        <w:tc>
          <w:tcPr>
            <w:tcW w:w="1226" w:type="pct"/>
            <w:tcBorders>
              <w:top w:val="nil"/>
              <w:left w:val="nil"/>
              <w:bottom w:val="single" w:sz="4" w:space="0" w:color="auto"/>
              <w:right w:val="single" w:sz="4" w:space="0" w:color="auto"/>
            </w:tcBorders>
            <w:shd w:val="clear" w:color="auto" w:fill="auto"/>
            <w:vAlign w:val="center"/>
            <w:hideMark/>
          </w:tcPr>
          <w:p w14:paraId="72E4DD8E" w14:textId="5EDC3939" w:rsidR="002752ED" w:rsidRDefault="002752ED" w:rsidP="00F35CB6">
            <w:pPr>
              <w:pStyle w:val="ListParagraph"/>
              <w:numPr>
                <w:ilvl w:val="0"/>
                <w:numId w:val="5"/>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val="en-US" w:eastAsia="en-LS"/>
              </w:rPr>
              <w:t xml:space="preserve">Support development of the </w:t>
            </w:r>
            <w:r w:rsidRPr="006A192E">
              <w:rPr>
                <w:rFonts w:ascii="Calibri" w:eastAsia="Times New Roman" w:hAnsi="Calibri" w:cs="Calibri"/>
                <w:noProof w:val="0"/>
                <w:color w:val="000000"/>
                <w:lang w:val="en-LS" w:eastAsia="en-LS"/>
              </w:rPr>
              <w:t>data sharing protocols</w:t>
            </w:r>
          </w:p>
          <w:p w14:paraId="4BECAED7" w14:textId="1CF20878" w:rsidR="002752ED" w:rsidRPr="006A192E" w:rsidRDefault="002752ED" w:rsidP="00F35CB6">
            <w:pPr>
              <w:pStyle w:val="ListParagraph"/>
              <w:numPr>
                <w:ilvl w:val="0"/>
                <w:numId w:val="5"/>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val="en-US" w:eastAsia="en-LS"/>
              </w:rPr>
              <w:t>Identify and support opportunities for sharing data</w:t>
            </w:r>
            <w:r w:rsidRPr="006A192E">
              <w:rPr>
                <w:rFonts w:ascii="Calibri" w:eastAsia="Times New Roman" w:hAnsi="Calibri" w:cs="Calibri"/>
                <w:noProof w:val="0"/>
                <w:color w:val="000000"/>
                <w:lang w:val="en-LS" w:eastAsia="en-LS"/>
              </w:rPr>
              <w:t xml:space="preserve"> </w:t>
            </w:r>
          </w:p>
        </w:tc>
        <w:tc>
          <w:tcPr>
            <w:tcW w:w="472" w:type="pct"/>
            <w:tcBorders>
              <w:top w:val="nil"/>
              <w:left w:val="nil"/>
              <w:bottom w:val="single" w:sz="4" w:space="0" w:color="auto"/>
              <w:right w:val="single" w:sz="4" w:space="0" w:color="auto"/>
            </w:tcBorders>
            <w:shd w:val="clear" w:color="auto" w:fill="auto"/>
            <w:vAlign w:val="center"/>
            <w:hideMark/>
          </w:tcPr>
          <w:p w14:paraId="51FC3B35" w14:textId="7EF61679"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Dec-</w:t>
            </w:r>
            <w:r>
              <w:rPr>
                <w:rFonts w:ascii="Calibri" w:eastAsia="Times New Roman" w:hAnsi="Calibri" w:cs="Calibri"/>
                <w:noProof w:val="0"/>
                <w:color w:val="000000"/>
                <w:lang w:val="en-US" w:eastAsia="en-LS"/>
              </w:rPr>
              <w:t>20</w:t>
            </w:r>
            <w:r w:rsidRPr="000A7CD1">
              <w:rPr>
                <w:rFonts w:ascii="Calibri" w:eastAsia="Times New Roman" w:hAnsi="Calibri" w:cs="Calibri"/>
                <w:noProof w:val="0"/>
                <w:color w:val="000000"/>
                <w:lang w:val="en-LS" w:eastAsia="en-LS"/>
              </w:rPr>
              <w:t>23</w:t>
            </w:r>
          </w:p>
        </w:tc>
        <w:tc>
          <w:tcPr>
            <w:tcW w:w="377" w:type="pct"/>
            <w:tcBorders>
              <w:top w:val="nil"/>
              <w:left w:val="nil"/>
              <w:bottom w:val="single" w:sz="4" w:space="0" w:color="auto"/>
              <w:right w:val="single" w:sz="4" w:space="0" w:color="auto"/>
            </w:tcBorders>
            <w:shd w:val="clear" w:color="auto" w:fill="auto"/>
            <w:vAlign w:val="center"/>
            <w:hideMark/>
          </w:tcPr>
          <w:p w14:paraId="54783692"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xml:space="preserve">Not initiated </w:t>
            </w:r>
          </w:p>
        </w:tc>
        <w:tc>
          <w:tcPr>
            <w:tcW w:w="689" w:type="pct"/>
            <w:tcBorders>
              <w:top w:val="nil"/>
              <w:left w:val="nil"/>
              <w:bottom w:val="single" w:sz="4" w:space="0" w:color="auto"/>
              <w:right w:val="single" w:sz="4" w:space="0" w:color="auto"/>
            </w:tcBorders>
            <w:shd w:val="clear" w:color="auto" w:fill="auto"/>
            <w:vAlign w:val="center"/>
            <w:hideMark/>
          </w:tcPr>
          <w:p w14:paraId="22D26279"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4" w:space="0" w:color="auto"/>
              <w:right w:val="single" w:sz="4" w:space="0" w:color="auto"/>
            </w:tcBorders>
            <w:shd w:val="clear" w:color="auto" w:fill="auto"/>
            <w:vAlign w:val="center"/>
            <w:hideMark/>
          </w:tcPr>
          <w:p w14:paraId="7C1870DA"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4" w:space="0" w:color="auto"/>
              <w:right w:val="single" w:sz="4" w:space="0" w:color="auto"/>
            </w:tcBorders>
            <w:shd w:val="clear" w:color="auto" w:fill="auto"/>
            <w:vAlign w:val="center"/>
            <w:hideMark/>
          </w:tcPr>
          <w:p w14:paraId="50AE648A"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557886DB" w14:textId="77777777" w:rsidTr="00A4436E">
        <w:trPr>
          <w:trHeight w:val="1605"/>
        </w:trPr>
        <w:tc>
          <w:tcPr>
            <w:tcW w:w="1557" w:type="pct"/>
            <w:vMerge w:val="restart"/>
            <w:tcBorders>
              <w:left w:val="single" w:sz="4" w:space="0" w:color="auto"/>
              <w:right w:val="single" w:sz="4" w:space="0" w:color="auto"/>
            </w:tcBorders>
            <w:shd w:val="clear" w:color="auto" w:fill="auto"/>
            <w:vAlign w:val="center"/>
            <w:hideMark/>
          </w:tcPr>
          <w:p w14:paraId="6577F59C" w14:textId="1030CF62" w:rsidR="00D857E6" w:rsidRPr="000A7CD1" w:rsidRDefault="00D857E6" w:rsidP="00E854F6">
            <w:pPr>
              <w:pStyle w:val="ListParagraph"/>
              <w:numPr>
                <w:ilvl w:val="1"/>
                <w:numId w:val="13"/>
              </w:num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National M&amp;E framework and plan for the NSDP II has been developed.  Sector level framework and plan</w:t>
            </w:r>
            <w:r>
              <w:rPr>
                <w:rFonts w:ascii="Calibri" w:eastAsia="Times New Roman" w:hAnsi="Calibri" w:cs="Calibri"/>
                <w:noProof w:val="0"/>
                <w:color w:val="000000"/>
                <w:lang w:val="en-US" w:eastAsia="en-LS"/>
              </w:rPr>
              <w:t xml:space="preserve"> are</w:t>
            </w:r>
            <w:r w:rsidRPr="000A7CD1">
              <w:rPr>
                <w:rFonts w:ascii="Calibri" w:eastAsia="Times New Roman" w:hAnsi="Calibri" w:cs="Calibri"/>
                <w:noProof w:val="0"/>
                <w:color w:val="000000"/>
                <w:lang w:val="en-LS" w:eastAsia="en-LS"/>
              </w:rPr>
              <w:t xml:space="preserve"> underway. </w:t>
            </w:r>
          </w:p>
          <w:p w14:paraId="3EB35739" w14:textId="5D5339E0" w:rsidR="00D857E6" w:rsidRPr="000A7CD1" w:rsidRDefault="00D857E6" w:rsidP="00D857E6">
            <w:pPr>
              <w:pStyle w:val="ListParagraph"/>
              <w:spacing w:after="0" w:line="240" w:lineRule="auto"/>
              <w:ind w:left="360"/>
              <w:rPr>
                <w:rFonts w:ascii="Calibri" w:eastAsia="Times New Roman" w:hAnsi="Calibri" w:cs="Calibri"/>
                <w:noProof w:val="0"/>
                <w:color w:val="000000"/>
                <w:lang w:val="en-LS" w:eastAsia="en-LS"/>
              </w:rPr>
            </w:pPr>
          </w:p>
        </w:tc>
        <w:tc>
          <w:tcPr>
            <w:tcW w:w="1226" w:type="pct"/>
            <w:tcBorders>
              <w:top w:val="nil"/>
              <w:left w:val="nil"/>
              <w:bottom w:val="single" w:sz="4" w:space="0" w:color="auto"/>
              <w:right w:val="single" w:sz="4" w:space="0" w:color="auto"/>
            </w:tcBorders>
            <w:shd w:val="clear" w:color="auto" w:fill="auto"/>
            <w:vAlign w:val="center"/>
            <w:hideMark/>
          </w:tcPr>
          <w:p w14:paraId="7EAE6E6E" w14:textId="00A75A40" w:rsidR="00D857E6" w:rsidRDefault="00D857E6" w:rsidP="00F35CB6">
            <w:pPr>
              <w:pStyle w:val="ListParagraph"/>
              <w:numPr>
                <w:ilvl w:val="0"/>
                <w:numId w:val="4"/>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val="en-US" w:eastAsia="en-LS"/>
              </w:rPr>
              <w:t xml:space="preserve">Support finalization of the </w:t>
            </w:r>
            <w:r w:rsidRPr="007F626D">
              <w:rPr>
                <w:rFonts w:ascii="Calibri" w:eastAsia="Times New Roman" w:hAnsi="Calibri" w:cs="Calibri"/>
                <w:noProof w:val="0"/>
                <w:color w:val="000000"/>
                <w:lang w:val="en-LS" w:eastAsia="en-LS"/>
              </w:rPr>
              <w:t xml:space="preserve">sector level M&amp;E frameworks to facilitate linkages to Ministerial plans and strategies </w:t>
            </w:r>
          </w:p>
          <w:p w14:paraId="0125EA32" w14:textId="1475E399" w:rsidR="00D857E6" w:rsidRPr="007F626D" w:rsidRDefault="00D857E6" w:rsidP="00F35CB6">
            <w:pPr>
              <w:pStyle w:val="ListParagraph"/>
              <w:numPr>
                <w:ilvl w:val="0"/>
                <w:numId w:val="4"/>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val="en-US" w:eastAsia="en-LS"/>
              </w:rPr>
              <w:t xml:space="preserve">Support development of the </w:t>
            </w:r>
            <w:r w:rsidRPr="007F626D">
              <w:rPr>
                <w:rFonts w:ascii="Calibri" w:eastAsia="Times New Roman" w:hAnsi="Calibri" w:cs="Calibri"/>
                <w:noProof w:val="0"/>
                <w:color w:val="000000"/>
                <w:lang w:val="en-LS" w:eastAsia="en-LS"/>
              </w:rPr>
              <w:t>M&amp;E policy</w:t>
            </w:r>
          </w:p>
        </w:tc>
        <w:tc>
          <w:tcPr>
            <w:tcW w:w="472" w:type="pct"/>
            <w:tcBorders>
              <w:top w:val="nil"/>
              <w:left w:val="nil"/>
              <w:bottom w:val="single" w:sz="4" w:space="0" w:color="auto"/>
              <w:right w:val="single" w:sz="4" w:space="0" w:color="auto"/>
            </w:tcBorders>
            <w:shd w:val="clear" w:color="auto" w:fill="auto"/>
            <w:vAlign w:val="center"/>
            <w:hideMark/>
          </w:tcPr>
          <w:p w14:paraId="26963464"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Dec-20</w:t>
            </w:r>
          </w:p>
        </w:tc>
        <w:tc>
          <w:tcPr>
            <w:tcW w:w="377" w:type="pct"/>
            <w:tcBorders>
              <w:top w:val="nil"/>
              <w:left w:val="nil"/>
              <w:bottom w:val="single" w:sz="4" w:space="0" w:color="auto"/>
              <w:right w:val="single" w:sz="4" w:space="0" w:color="auto"/>
            </w:tcBorders>
            <w:shd w:val="clear" w:color="auto" w:fill="auto"/>
            <w:vAlign w:val="center"/>
            <w:hideMark/>
          </w:tcPr>
          <w:p w14:paraId="6B64AAF5"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xml:space="preserve">Not initiated </w:t>
            </w:r>
          </w:p>
        </w:tc>
        <w:tc>
          <w:tcPr>
            <w:tcW w:w="689" w:type="pct"/>
            <w:tcBorders>
              <w:top w:val="nil"/>
              <w:left w:val="nil"/>
              <w:bottom w:val="single" w:sz="4" w:space="0" w:color="auto"/>
              <w:right w:val="single" w:sz="4" w:space="0" w:color="auto"/>
            </w:tcBorders>
            <w:shd w:val="clear" w:color="auto" w:fill="auto"/>
            <w:vAlign w:val="center"/>
            <w:hideMark/>
          </w:tcPr>
          <w:p w14:paraId="0FFF5B0D"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4" w:space="0" w:color="auto"/>
              <w:right w:val="single" w:sz="4" w:space="0" w:color="auto"/>
            </w:tcBorders>
            <w:shd w:val="clear" w:color="auto" w:fill="auto"/>
            <w:vAlign w:val="center"/>
            <w:hideMark/>
          </w:tcPr>
          <w:p w14:paraId="5254BC17"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4" w:space="0" w:color="auto"/>
              <w:right w:val="single" w:sz="4" w:space="0" w:color="auto"/>
            </w:tcBorders>
            <w:shd w:val="clear" w:color="auto" w:fill="auto"/>
            <w:vAlign w:val="center"/>
            <w:hideMark/>
          </w:tcPr>
          <w:p w14:paraId="17C0AB4E"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198FAD48" w14:textId="77777777" w:rsidTr="00A4436E">
        <w:trPr>
          <w:trHeight w:val="576"/>
        </w:trPr>
        <w:tc>
          <w:tcPr>
            <w:tcW w:w="1557" w:type="pct"/>
            <w:vMerge/>
            <w:tcBorders>
              <w:left w:val="single" w:sz="4" w:space="0" w:color="auto"/>
              <w:right w:val="single" w:sz="4" w:space="0" w:color="auto"/>
            </w:tcBorders>
            <w:shd w:val="clear" w:color="auto" w:fill="auto"/>
            <w:vAlign w:val="center"/>
            <w:hideMark/>
          </w:tcPr>
          <w:p w14:paraId="56112848" w14:textId="1EB0A338" w:rsidR="00D857E6" w:rsidRPr="007F626D" w:rsidRDefault="00D857E6" w:rsidP="00E854F6">
            <w:pPr>
              <w:pStyle w:val="ListParagraph"/>
              <w:numPr>
                <w:ilvl w:val="0"/>
                <w:numId w:val="13"/>
              </w:numPr>
              <w:spacing w:after="0" w:line="240" w:lineRule="auto"/>
              <w:rPr>
                <w:rFonts w:ascii="Calibri" w:eastAsia="Times New Roman" w:hAnsi="Calibri" w:cs="Calibri"/>
                <w:noProof w:val="0"/>
                <w:color w:val="000000"/>
                <w:lang w:val="en-LS" w:eastAsia="en-LS"/>
              </w:rPr>
            </w:pPr>
          </w:p>
        </w:tc>
        <w:tc>
          <w:tcPr>
            <w:tcW w:w="1226" w:type="pct"/>
            <w:tcBorders>
              <w:top w:val="nil"/>
              <w:left w:val="nil"/>
              <w:bottom w:val="single" w:sz="4" w:space="0" w:color="auto"/>
              <w:right w:val="single" w:sz="4" w:space="0" w:color="auto"/>
            </w:tcBorders>
            <w:shd w:val="clear" w:color="auto" w:fill="9CC2E5" w:themeFill="accent5" w:themeFillTint="99"/>
            <w:vAlign w:val="center"/>
            <w:hideMark/>
          </w:tcPr>
          <w:p w14:paraId="6B43349C" w14:textId="56338018" w:rsidR="00D857E6" w:rsidRPr="000A7CD1" w:rsidRDefault="00D857E6" w:rsidP="00F35CB6">
            <w:pPr>
              <w:pStyle w:val="ListParagraph"/>
              <w:numPr>
                <w:ilvl w:val="0"/>
                <w:numId w:val="4"/>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val="en-US" w:eastAsia="en-LS"/>
              </w:rPr>
              <w:t xml:space="preserve">Support production of the </w:t>
            </w:r>
            <w:r w:rsidRPr="000A7CD1">
              <w:rPr>
                <w:rFonts w:ascii="Calibri" w:eastAsia="Times New Roman" w:hAnsi="Calibri" w:cs="Calibri"/>
                <w:noProof w:val="0"/>
                <w:color w:val="000000"/>
                <w:lang w:val="en-LS" w:eastAsia="en-LS"/>
              </w:rPr>
              <w:t xml:space="preserve">NSDP midterm report </w:t>
            </w:r>
          </w:p>
        </w:tc>
        <w:tc>
          <w:tcPr>
            <w:tcW w:w="472" w:type="pct"/>
            <w:tcBorders>
              <w:top w:val="nil"/>
              <w:left w:val="nil"/>
              <w:bottom w:val="single" w:sz="4" w:space="0" w:color="auto"/>
              <w:right w:val="single" w:sz="4" w:space="0" w:color="auto"/>
            </w:tcBorders>
            <w:shd w:val="clear" w:color="auto" w:fill="auto"/>
            <w:vAlign w:val="center"/>
            <w:hideMark/>
          </w:tcPr>
          <w:p w14:paraId="0C463871"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Dec-20</w:t>
            </w:r>
          </w:p>
        </w:tc>
        <w:tc>
          <w:tcPr>
            <w:tcW w:w="377" w:type="pct"/>
            <w:tcBorders>
              <w:top w:val="nil"/>
              <w:left w:val="nil"/>
              <w:bottom w:val="single" w:sz="4" w:space="0" w:color="auto"/>
              <w:right w:val="single" w:sz="4" w:space="0" w:color="auto"/>
            </w:tcBorders>
            <w:shd w:val="clear" w:color="auto" w:fill="auto"/>
            <w:vAlign w:val="center"/>
            <w:hideMark/>
          </w:tcPr>
          <w:p w14:paraId="7CEFEC96" w14:textId="3B087F69" w:rsidR="00D857E6" w:rsidRPr="000A7CD1" w:rsidRDefault="00D857E6" w:rsidP="00F35CB6">
            <w:pPr>
              <w:spacing w:after="0" w:line="240" w:lineRule="auto"/>
              <w:rPr>
                <w:rFonts w:ascii="Calibri" w:eastAsia="Times New Roman" w:hAnsi="Calibri" w:cs="Calibri"/>
                <w:noProof w:val="0"/>
                <w:color w:val="000000"/>
                <w:lang w:val="en-US" w:eastAsia="en-LS"/>
              </w:rPr>
            </w:pPr>
            <w:r w:rsidRPr="000A7CD1">
              <w:rPr>
                <w:rFonts w:ascii="Calibri" w:eastAsia="Times New Roman" w:hAnsi="Calibri" w:cs="Calibri"/>
                <w:noProof w:val="0"/>
                <w:color w:val="000000"/>
                <w:lang w:val="en-LS" w:eastAsia="en-LS"/>
              </w:rPr>
              <w:t> </w:t>
            </w:r>
            <w:r>
              <w:rPr>
                <w:rFonts w:ascii="Calibri" w:eastAsia="Times New Roman" w:hAnsi="Calibri" w:cs="Calibri"/>
                <w:noProof w:val="0"/>
                <w:color w:val="000000"/>
                <w:lang w:val="en-US" w:eastAsia="en-LS"/>
              </w:rPr>
              <w:t xml:space="preserve">Started </w:t>
            </w:r>
          </w:p>
        </w:tc>
        <w:tc>
          <w:tcPr>
            <w:tcW w:w="689" w:type="pct"/>
            <w:tcBorders>
              <w:top w:val="nil"/>
              <w:left w:val="nil"/>
              <w:bottom w:val="single" w:sz="4" w:space="0" w:color="auto"/>
              <w:right w:val="single" w:sz="4" w:space="0" w:color="auto"/>
            </w:tcBorders>
            <w:shd w:val="clear" w:color="auto" w:fill="auto"/>
            <w:vAlign w:val="center"/>
            <w:hideMark/>
          </w:tcPr>
          <w:p w14:paraId="1B5436C6"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4" w:space="0" w:color="auto"/>
              <w:right w:val="single" w:sz="4" w:space="0" w:color="auto"/>
            </w:tcBorders>
            <w:shd w:val="clear" w:color="auto" w:fill="auto"/>
            <w:vAlign w:val="center"/>
            <w:hideMark/>
          </w:tcPr>
          <w:p w14:paraId="08C5FC36"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4" w:space="0" w:color="auto"/>
              <w:right w:val="single" w:sz="4" w:space="0" w:color="auto"/>
            </w:tcBorders>
            <w:shd w:val="clear" w:color="auto" w:fill="auto"/>
            <w:vAlign w:val="center"/>
            <w:hideMark/>
          </w:tcPr>
          <w:p w14:paraId="2E695286"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63238554" w14:textId="77777777" w:rsidTr="00A4436E">
        <w:trPr>
          <w:trHeight w:val="876"/>
        </w:trPr>
        <w:tc>
          <w:tcPr>
            <w:tcW w:w="1557" w:type="pct"/>
            <w:tcBorders>
              <w:left w:val="single" w:sz="4" w:space="0" w:color="auto"/>
              <w:bottom w:val="single" w:sz="12" w:space="0" w:color="auto"/>
              <w:right w:val="single" w:sz="4" w:space="0" w:color="auto"/>
            </w:tcBorders>
            <w:shd w:val="clear" w:color="auto" w:fill="auto"/>
            <w:vAlign w:val="center"/>
            <w:hideMark/>
          </w:tcPr>
          <w:p w14:paraId="29DF92B4" w14:textId="2280A476" w:rsidR="002752ED" w:rsidRPr="007F626D" w:rsidRDefault="00D857E6" w:rsidP="00E854F6">
            <w:pPr>
              <w:pStyle w:val="ListParagraph"/>
              <w:numPr>
                <w:ilvl w:val="1"/>
                <w:numId w:val="15"/>
              </w:numPr>
              <w:spacing w:after="0" w:line="240" w:lineRule="auto"/>
              <w:rPr>
                <w:rFonts w:ascii="Calibri" w:eastAsia="Times New Roman" w:hAnsi="Calibri" w:cs="Calibri"/>
                <w:noProof w:val="0"/>
                <w:color w:val="000000"/>
                <w:lang w:val="en-LS" w:eastAsia="en-LS"/>
              </w:rPr>
            </w:pPr>
            <w:r w:rsidRPr="007F626D">
              <w:rPr>
                <w:rFonts w:ascii="Calibri" w:eastAsia="Times New Roman" w:hAnsi="Calibri" w:cs="Calibri"/>
                <w:noProof w:val="0"/>
                <w:color w:val="000000"/>
                <w:lang w:val="en-LS" w:eastAsia="en-LS"/>
              </w:rPr>
              <w:t>Coordination mechanism for SDG coordination has been developed by MDP</w:t>
            </w:r>
          </w:p>
        </w:tc>
        <w:tc>
          <w:tcPr>
            <w:tcW w:w="1226" w:type="pct"/>
            <w:tcBorders>
              <w:top w:val="nil"/>
              <w:left w:val="nil"/>
              <w:bottom w:val="single" w:sz="12" w:space="0" w:color="auto"/>
              <w:right w:val="single" w:sz="4" w:space="0" w:color="auto"/>
            </w:tcBorders>
            <w:shd w:val="clear" w:color="auto" w:fill="9CC2E5" w:themeFill="accent5" w:themeFillTint="99"/>
            <w:vAlign w:val="center"/>
            <w:hideMark/>
          </w:tcPr>
          <w:p w14:paraId="010BBFC9" w14:textId="1F874B5F" w:rsidR="002752ED" w:rsidRPr="000A7CD1" w:rsidRDefault="002752ED" w:rsidP="00F35CB6">
            <w:pPr>
              <w:pStyle w:val="ListParagraph"/>
              <w:numPr>
                <w:ilvl w:val="0"/>
                <w:numId w:val="4"/>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val="en-US" w:eastAsia="en-LS"/>
              </w:rPr>
              <w:t xml:space="preserve">Support </w:t>
            </w:r>
            <w:r w:rsidRPr="000A7CD1">
              <w:rPr>
                <w:rFonts w:ascii="Calibri" w:eastAsia="Times New Roman" w:hAnsi="Calibri" w:cs="Calibri"/>
                <w:noProof w:val="0"/>
                <w:color w:val="000000"/>
                <w:lang w:val="en-LS" w:eastAsia="en-LS"/>
              </w:rPr>
              <w:t>orientation</w:t>
            </w:r>
            <w:r w:rsidRPr="000A7CD1">
              <w:rPr>
                <w:rFonts w:ascii="Calibri" w:eastAsia="Times New Roman" w:hAnsi="Calibri" w:cs="Calibri"/>
                <w:noProof w:val="0"/>
                <w:color w:val="000000"/>
                <w:lang w:val="en-LS" w:eastAsia="en-LS"/>
              </w:rPr>
              <w:t xml:space="preserve"> on the </w:t>
            </w:r>
            <w:proofErr w:type="spellStart"/>
            <w:r w:rsidRPr="000A7CD1">
              <w:rPr>
                <w:rFonts w:ascii="Calibri" w:eastAsia="Times New Roman" w:hAnsi="Calibri" w:cs="Calibri"/>
                <w:noProof w:val="0"/>
                <w:color w:val="000000"/>
                <w:lang w:val="en-LS" w:eastAsia="en-LS"/>
              </w:rPr>
              <w:t>TORs</w:t>
            </w:r>
            <w:proofErr w:type="spellEnd"/>
            <w:r w:rsidRPr="000A7CD1">
              <w:rPr>
                <w:rFonts w:ascii="Calibri" w:eastAsia="Times New Roman" w:hAnsi="Calibri" w:cs="Calibri"/>
                <w:noProof w:val="0"/>
                <w:color w:val="000000"/>
                <w:lang w:val="en-LS" w:eastAsia="en-LS"/>
              </w:rPr>
              <w:t xml:space="preserve"> and </w:t>
            </w:r>
            <w:r w:rsidRPr="000A7CD1">
              <w:rPr>
                <w:rFonts w:ascii="Calibri" w:eastAsia="Times New Roman" w:hAnsi="Calibri" w:cs="Calibri"/>
                <w:noProof w:val="0"/>
                <w:color w:val="000000"/>
                <w:lang w:val="en-LS" w:eastAsia="en-LS"/>
              </w:rPr>
              <w:t>launch</w:t>
            </w:r>
            <w:r w:rsidRPr="000A7CD1">
              <w:rPr>
                <w:rFonts w:ascii="Calibri" w:eastAsia="Times New Roman" w:hAnsi="Calibri" w:cs="Calibri"/>
                <w:noProof w:val="0"/>
                <w:color w:val="000000"/>
                <w:lang w:val="en-LS" w:eastAsia="en-LS"/>
              </w:rPr>
              <w:t xml:space="preserve"> the mechanism</w:t>
            </w:r>
            <w:r>
              <w:rPr>
                <w:rFonts w:ascii="Calibri" w:eastAsia="Times New Roman" w:hAnsi="Calibri" w:cs="Calibri"/>
                <w:noProof w:val="0"/>
                <w:color w:val="000000"/>
                <w:lang w:val="en-US" w:eastAsia="en-LS"/>
              </w:rPr>
              <w:t xml:space="preserve"> for SDGs coordination in context of the SDGs Country Platform model </w:t>
            </w:r>
          </w:p>
        </w:tc>
        <w:tc>
          <w:tcPr>
            <w:tcW w:w="472" w:type="pct"/>
            <w:tcBorders>
              <w:top w:val="nil"/>
              <w:left w:val="nil"/>
              <w:bottom w:val="single" w:sz="12" w:space="0" w:color="auto"/>
              <w:right w:val="single" w:sz="4" w:space="0" w:color="auto"/>
            </w:tcBorders>
            <w:shd w:val="clear" w:color="auto" w:fill="auto"/>
            <w:vAlign w:val="center"/>
            <w:hideMark/>
          </w:tcPr>
          <w:p w14:paraId="3AC944EE"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Dec-20</w:t>
            </w:r>
          </w:p>
        </w:tc>
        <w:tc>
          <w:tcPr>
            <w:tcW w:w="377" w:type="pct"/>
            <w:tcBorders>
              <w:top w:val="nil"/>
              <w:left w:val="nil"/>
              <w:bottom w:val="single" w:sz="12" w:space="0" w:color="auto"/>
              <w:right w:val="single" w:sz="4" w:space="0" w:color="auto"/>
            </w:tcBorders>
            <w:shd w:val="clear" w:color="auto" w:fill="auto"/>
            <w:vAlign w:val="center"/>
            <w:hideMark/>
          </w:tcPr>
          <w:p w14:paraId="5666402B"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xml:space="preserve">Not initiated </w:t>
            </w:r>
          </w:p>
        </w:tc>
        <w:tc>
          <w:tcPr>
            <w:tcW w:w="689" w:type="pct"/>
            <w:tcBorders>
              <w:top w:val="nil"/>
              <w:left w:val="nil"/>
              <w:bottom w:val="single" w:sz="12" w:space="0" w:color="auto"/>
              <w:right w:val="single" w:sz="4" w:space="0" w:color="auto"/>
            </w:tcBorders>
            <w:shd w:val="clear" w:color="auto" w:fill="auto"/>
            <w:vAlign w:val="center"/>
            <w:hideMark/>
          </w:tcPr>
          <w:p w14:paraId="2BB89188"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12" w:space="0" w:color="auto"/>
              <w:right w:val="single" w:sz="4" w:space="0" w:color="auto"/>
            </w:tcBorders>
            <w:shd w:val="clear" w:color="auto" w:fill="auto"/>
            <w:vAlign w:val="center"/>
            <w:hideMark/>
          </w:tcPr>
          <w:p w14:paraId="62B3D510"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12" w:space="0" w:color="auto"/>
              <w:right w:val="single" w:sz="4" w:space="0" w:color="auto"/>
            </w:tcBorders>
            <w:shd w:val="clear" w:color="auto" w:fill="auto"/>
            <w:vAlign w:val="center"/>
            <w:hideMark/>
          </w:tcPr>
          <w:p w14:paraId="2801ABAB" w14:textId="77777777" w:rsidR="002752ED" w:rsidRPr="000A7CD1" w:rsidRDefault="002752ED"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F35CB6" w:rsidRPr="000A7CD1" w14:paraId="1770D03D" w14:textId="77777777" w:rsidTr="00A4436E">
        <w:trPr>
          <w:trHeight w:val="300"/>
        </w:trPr>
        <w:tc>
          <w:tcPr>
            <w:tcW w:w="5000"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7372AAE9" w14:textId="77777777" w:rsidR="00BC1F06" w:rsidRDefault="00BC1F06"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b/>
                <w:noProof w:val="0"/>
                <w:color w:val="000000"/>
                <w:lang w:val="en-LS" w:eastAsia="en-LS"/>
              </w:rPr>
              <w:t>Recommendation 2</w:t>
            </w:r>
            <w:r w:rsidRPr="000A7CD1">
              <w:rPr>
                <w:rFonts w:ascii="Calibri" w:eastAsia="Times New Roman" w:hAnsi="Calibri" w:cs="Calibri"/>
                <w:noProof w:val="0"/>
                <w:color w:val="000000"/>
                <w:lang w:val="en-LS" w:eastAsia="en-LS"/>
              </w:rPr>
              <w:t xml:space="preserve">: Projects such as the Lesotho Data Project with an objective to develop a functional national ecosystem for statistics and M&amp;E should have a phased approach and should be developed as a multi-stakeholder initiative with multiple stakeholders supporting different activities with resources. </w:t>
            </w:r>
          </w:p>
          <w:p w14:paraId="1113A67B" w14:textId="77777777" w:rsidR="00BC1F06" w:rsidRDefault="00BC1F06" w:rsidP="00BC1F06">
            <w:pPr>
              <w:spacing w:after="0" w:line="240" w:lineRule="auto"/>
              <w:rPr>
                <w:rFonts w:ascii="Calibri" w:eastAsia="Times New Roman" w:hAnsi="Calibri" w:cs="Calibri"/>
                <w:noProof w:val="0"/>
                <w:color w:val="000000"/>
                <w:lang w:val="en-LS" w:eastAsia="en-LS"/>
              </w:rPr>
            </w:pPr>
          </w:p>
          <w:p w14:paraId="58F0581A" w14:textId="39E67DA6" w:rsidR="00F35CB6" w:rsidRPr="000A7CD1" w:rsidRDefault="00BC1F06"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Depending on resources, the Project (programme) may initially focus on a few selected ministries and then roll-out instead of spreading thin. (BOS/DM&amp;E; and UNDP and UN agencies/EU and other development partners)</w:t>
            </w:r>
          </w:p>
        </w:tc>
      </w:tr>
      <w:tr w:rsidR="00A4436E" w:rsidRPr="000A7CD1" w14:paraId="49C725A2" w14:textId="77777777" w:rsidTr="00A4436E">
        <w:trPr>
          <w:trHeight w:val="1337"/>
        </w:trPr>
        <w:tc>
          <w:tcPr>
            <w:tcW w:w="1557"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12B417C9" w14:textId="4ECE46B6" w:rsidR="00D857E6" w:rsidRPr="007F626D" w:rsidRDefault="00D857E6" w:rsidP="00E854F6">
            <w:pPr>
              <w:pStyle w:val="ListParagraph"/>
              <w:numPr>
                <w:ilvl w:val="1"/>
                <w:numId w:val="16"/>
              </w:numPr>
              <w:spacing w:after="240" w:line="240" w:lineRule="auto"/>
              <w:rPr>
                <w:rFonts w:ascii="Calibri" w:eastAsia="Times New Roman" w:hAnsi="Calibri" w:cs="Calibri"/>
                <w:noProof w:val="0"/>
                <w:color w:val="000000"/>
                <w:lang w:val="en-LS" w:eastAsia="en-LS"/>
              </w:rPr>
            </w:pPr>
            <w:r w:rsidRPr="007F626D">
              <w:rPr>
                <w:rFonts w:ascii="Calibri" w:eastAsia="Times New Roman" w:hAnsi="Calibri" w:cs="Calibri"/>
                <w:noProof w:val="0"/>
                <w:color w:val="000000"/>
                <w:lang w:eastAsia="en-LS"/>
              </w:rPr>
              <w:t xml:space="preserve">Lesotho Data project was an anchor initiative, </w:t>
            </w:r>
            <w:r>
              <w:rPr>
                <w:rFonts w:ascii="Calibri" w:eastAsia="Times New Roman" w:hAnsi="Calibri" w:cs="Calibri"/>
                <w:noProof w:val="0"/>
                <w:color w:val="000000"/>
                <w:lang w:eastAsia="en-LS"/>
              </w:rPr>
              <w:t xml:space="preserve">and it worked to establish baseline for support areas and capacity </w:t>
            </w:r>
            <w:r w:rsidRPr="007F626D">
              <w:rPr>
                <w:rFonts w:ascii="Calibri" w:eastAsia="Times New Roman" w:hAnsi="Calibri" w:cs="Calibri"/>
                <w:noProof w:val="0"/>
                <w:color w:val="000000"/>
                <w:lang w:eastAsia="en-LS"/>
              </w:rPr>
              <w:t xml:space="preserve">challenges in </w:t>
            </w:r>
            <w:r>
              <w:rPr>
                <w:rFonts w:ascii="Calibri" w:eastAsia="Times New Roman" w:hAnsi="Calibri" w:cs="Calibri"/>
                <w:noProof w:val="0"/>
                <w:color w:val="000000"/>
                <w:lang w:eastAsia="en-LS"/>
              </w:rPr>
              <w:t>in the areas of statistics</w:t>
            </w:r>
            <w:r w:rsidRPr="007F626D">
              <w:rPr>
                <w:rFonts w:ascii="Calibri" w:eastAsia="Times New Roman" w:hAnsi="Calibri" w:cs="Calibri"/>
                <w:noProof w:val="0"/>
                <w:color w:val="000000"/>
                <w:lang w:eastAsia="en-LS"/>
              </w:rPr>
              <w:t xml:space="preserve">  </w:t>
            </w:r>
          </w:p>
        </w:tc>
        <w:tc>
          <w:tcPr>
            <w:tcW w:w="1226" w:type="pct"/>
            <w:tcBorders>
              <w:top w:val="single" w:sz="12" w:space="0" w:color="auto"/>
              <w:left w:val="nil"/>
              <w:bottom w:val="single" w:sz="4" w:space="0" w:color="auto"/>
              <w:right w:val="single" w:sz="4" w:space="0" w:color="auto"/>
            </w:tcBorders>
            <w:shd w:val="clear" w:color="auto" w:fill="auto"/>
            <w:vAlign w:val="center"/>
            <w:hideMark/>
          </w:tcPr>
          <w:p w14:paraId="22012B8D"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xml:space="preserve"> </w:t>
            </w:r>
          </w:p>
        </w:tc>
        <w:tc>
          <w:tcPr>
            <w:tcW w:w="472" w:type="pct"/>
            <w:tcBorders>
              <w:top w:val="single" w:sz="12" w:space="0" w:color="auto"/>
              <w:left w:val="nil"/>
              <w:bottom w:val="single" w:sz="4" w:space="0" w:color="auto"/>
              <w:right w:val="single" w:sz="4" w:space="0" w:color="auto"/>
            </w:tcBorders>
            <w:shd w:val="clear" w:color="auto" w:fill="auto"/>
            <w:vAlign w:val="center"/>
            <w:hideMark/>
          </w:tcPr>
          <w:p w14:paraId="21F0762C"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Dec-21</w:t>
            </w:r>
          </w:p>
        </w:tc>
        <w:tc>
          <w:tcPr>
            <w:tcW w:w="377" w:type="pct"/>
            <w:tcBorders>
              <w:top w:val="single" w:sz="12" w:space="0" w:color="auto"/>
              <w:left w:val="nil"/>
              <w:bottom w:val="single" w:sz="4" w:space="0" w:color="auto"/>
              <w:right w:val="single" w:sz="4" w:space="0" w:color="auto"/>
            </w:tcBorders>
            <w:shd w:val="clear" w:color="auto" w:fill="auto"/>
            <w:vAlign w:val="center"/>
            <w:hideMark/>
          </w:tcPr>
          <w:p w14:paraId="20F2476F"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single" w:sz="12" w:space="0" w:color="auto"/>
              <w:left w:val="nil"/>
              <w:bottom w:val="single" w:sz="4" w:space="0" w:color="auto"/>
              <w:right w:val="single" w:sz="4" w:space="0" w:color="auto"/>
            </w:tcBorders>
            <w:shd w:val="clear" w:color="auto" w:fill="auto"/>
            <w:vAlign w:val="center"/>
            <w:hideMark/>
          </w:tcPr>
          <w:p w14:paraId="09AB31D0"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single" w:sz="12" w:space="0" w:color="auto"/>
              <w:left w:val="nil"/>
              <w:bottom w:val="single" w:sz="4" w:space="0" w:color="auto"/>
              <w:right w:val="single" w:sz="4" w:space="0" w:color="auto"/>
            </w:tcBorders>
            <w:shd w:val="clear" w:color="auto" w:fill="auto"/>
            <w:vAlign w:val="center"/>
            <w:hideMark/>
          </w:tcPr>
          <w:p w14:paraId="07A2ACCB"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single" w:sz="12" w:space="0" w:color="auto"/>
              <w:left w:val="nil"/>
              <w:bottom w:val="single" w:sz="4" w:space="0" w:color="auto"/>
              <w:right w:val="single" w:sz="4" w:space="0" w:color="auto"/>
            </w:tcBorders>
            <w:shd w:val="clear" w:color="auto" w:fill="auto"/>
            <w:vAlign w:val="center"/>
            <w:hideMark/>
          </w:tcPr>
          <w:p w14:paraId="06CB8C04"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38B51BFF" w14:textId="77777777" w:rsidTr="00893CD5">
        <w:trPr>
          <w:trHeight w:val="1311"/>
        </w:trPr>
        <w:tc>
          <w:tcPr>
            <w:tcW w:w="1557" w:type="pct"/>
            <w:vMerge w:val="restart"/>
            <w:tcBorders>
              <w:top w:val="single" w:sz="4" w:space="0" w:color="auto"/>
              <w:left w:val="single" w:sz="4" w:space="0" w:color="auto"/>
              <w:right w:val="single" w:sz="4" w:space="0" w:color="auto"/>
            </w:tcBorders>
            <w:shd w:val="clear" w:color="auto" w:fill="auto"/>
            <w:vAlign w:val="center"/>
            <w:hideMark/>
          </w:tcPr>
          <w:p w14:paraId="48F81998" w14:textId="77777777" w:rsidR="00D857E6" w:rsidRPr="004F6160" w:rsidRDefault="00D857E6" w:rsidP="00F35CB6">
            <w:pPr>
              <w:pStyle w:val="ListParagraph"/>
              <w:numPr>
                <w:ilvl w:val="0"/>
                <w:numId w:val="4"/>
              </w:numPr>
              <w:spacing w:after="0" w:line="240" w:lineRule="auto"/>
              <w:rPr>
                <w:rFonts w:ascii="Calibri" w:eastAsia="Times New Roman" w:hAnsi="Calibri" w:cs="Calibri"/>
                <w:noProof w:val="0"/>
                <w:color w:val="000000"/>
                <w:lang w:val="en-LS" w:eastAsia="en-LS"/>
              </w:rPr>
            </w:pPr>
            <w:r w:rsidRPr="007F626D">
              <w:rPr>
                <w:rFonts w:ascii="Calibri" w:eastAsia="Times New Roman" w:hAnsi="Calibri" w:cs="Calibri"/>
                <w:noProof w:val="0"/>
                <w:color w:val="000000"/>
                <w:lang w:eastAsia="en-LS"/>
              </w:rPr>
              <w:t>The Lesotho Data project supported development of a Data Gap</w:t>
            </w:r>
            <w:r>
              <w:rPr>
                <w:rFonts w:ascii="Calibri" w:eastAsia="Times New Roman" w:hAnsi="Calibri" w:cs="Calibri"/>
                <w:noProof w:val="0"/>
                <w:color w:val="000000"/>
                <w:lang w:eastAsia="en-LS"/>
              </w:rPr>
              <w:t xml:space="preserve"> analysis and </w:t>
            </w:r>
            <w:r w:rsidRPr="007F626D">
              <w:rPr>
                <w:rFonts w:ascii="Calibri" w:eastAsia="Times New Roman" w:hAnsi="Calibri" w:cs="Calibri"/>
                <w:noProof w:val="0"/>
                <w:color w:val="000000"/>
                <w:lang w:eastAsia="en-LS"/>
              </w:rPr>
              <w:t xml:space="preserve"> costing</w:t>
            </w:r>
            <w:r>
              <w:rPr>
                <w:rFonts w:ascii="Calibri" w:eastAsia="Times New Roman" w:hAnsi="Calibri" w:cs="Calibri"/>
                <w:noProof w:val="0"/>
                <w:color w:val="000000"/>
                <w:lang w:eastAsia="en-LS"/>
              </w:rPr>
              <w:t xml:space="preserve"> and</w:t>
            </w:r>
            <w:r w:rsidRPr="007F626D">
              <w:rPr>
                <w:rFonts w:ascii="Calibri" w:eastAsia="Times New Roman" w:hAnsi="Calibri" w:cs="Calibri"/>
                <w:noProof w:val="0"/>
                <w:color w:val="000000"/>
                <w:lang w:eastAsia="en-LS"/>
              </w:rPr>
              <w:t xml:space="preserve">, to enable prioritisation of data requirements and resources </w:t>
            </w:r>
            <w:r w:rsidRPr="007F626D">
              <w:rPr>
                <w:rFonts w:ascii="Calibri" w:eastAsia="Times New Roman" w:hAnsi="Calibri" w:cs="Calibri"/>
                <w:noProof w:val="0"/>
                <w:color w:val="000000"/>
                <w:lang w:eastAsia="en-LS"/>
              </w:rPr>
              <w:t>mobilization</w:t>
            </w:r>
            <w:r w:rsidRPr="007F626D">
              <w:rPr>
                <w:rFonts w:ascii="Calibri" w:eastAsia="Times New Roman" w:hAnsi="Calibri" w:cs="Calibri"/>
                <w:noProof w:val="0"/>
                <w:color w:val="000000"/>
                <w:lang w:eastAsia="en-LS"/>
              </w:rPr>
              <w:t xml:space="preserve">. </w:t>
            </w:r>
          </w:p>
          <w:p w14:paraId="07E3328E" w14:textId="67267234" w:rsidR="00D857E6" w:rsidRPr="007F626D" w:rsidRDefault="00D857E6" w:rsidP="00F35CB6">
            <w:pPr>
              <w:pStyle w:val="ListParagraph"/>
              <w:numPr>
                <w:ilvl w:val="0"/>
                <w:numId w:val="4"/>
              </w:numPr>
              <w:spacing w:after="0" w:line="240" w:lineRule="auto"/>
              <w:rPr>
                <w:rFonts w:ascii="Calibri" w:eastAsia="Times New Roman" w:hAnsi="Calibri" w:cs="Calibri"/>
                <w:noProof w:val="0"/>
                <w:color w:val="000000"/>
                <w:lang w:val="en-LS" w:eastAsia="en-LS"/>
              </w:rPr>
            </w:pPr>
            <w:r w:rsidRPr="007F626D">
              <w:rPr>
                <w:rFonts w:ascii="Calibri" w:eastAsia="Times New Roman" w:hAnsi="Calibri" w:cs="Calibri"/>
                <w:noProof w:val="0"/>
                <w:color w:val="000000"/>
                <w:lang w:eastAsia="en-LS"/>
              </w:rPr>
              <w:t>The project also supported development of the capacity building plan to enable strategic investments within the sector</w:t>
            </w:r>
          </w:p>
        </w:tc>
        <w:tc>
          <w:tcPr>
            <w:tcW w:w="1226" w:type="pct"/>
            <w:tcBorders>
              <w:top w:val="nil"/>
              <w:left w:val="nil"/>
              <w:bottom w:val="single" w:sz="4" w:space="0" w:color="auto"/>
              <w:right w:val="single" w:sz="4" w:space="0" w:color="auto"/>
            </w:tcBorders>
            <w:shd w:val="clear" w:color="auto" w:fill="9CC2E5" w:themeFill="accent5" w:themeFillTint="99"/>
            <w:vAlign w:val="center"/>
            <w:hideMark/>
          </w:tcPr>
          <w:p w14:paraId="32172F67" w14:textId="1A040FAD" w:rsidR="00D857E6" w:rsidRPr="00591CB2" w:rsidRDefault="00D857E6" w:rsidP="00F35CB6">
            <w:pPr>
              <w:pStyle w:val="ListParagraph"/>
              <w:numPr>
                <w:ilvl w:val="0"/>
                <w:numId w:val="4"/>
              </w:numPr>
              <w:spacing w:after="0" w:line="240" w:lineRule="auto"/>
              <w:rPr>
                <w:rFonts w:ascii="Calibri" w:eastAsia="Times New Roman" w:hAnsi="Calibri" w:cs="Calibri"/>
                <w:noProof w:val="0"/>
                <w:color w:val="000000"/>
                <w:lang w:val="en-LS" w:eastAsia="en-LS"/>
              </w:rPr>
            </w:pPr>
            <w:r w:rsidRPr="00591CB2">
              <w:rPr>
                <w:rFonts w:ascii="Calibri" w:eastAsia="Times New Roman" w:hAnsi="Calibri" w:cs="Calibri"/>
                <w:noProof w:val="0"/>
                <w:color w:val="000000"/>
                <w:lang w:val="en-LS" w:eastAsia="en-LS"/>
              </w:rPr>
              <w:t xml:space="preserve">Develop </w:t>
            </w:r>
            <w:r>
              <w:rPr>
                <w:rFonts w:ascii="Calibri" w:eastAsia="Times New Roman" w:hAnsi="Calibri" w:cs="Calibri"/>
                <w:noProof w:val="0"/>
                <w:color w:val="000000"/>
                <w:lang w:val="en-US" w:eastAsia="en-LS"/>
              </w:rPr>
              <w:t xml:space="preserve">support </w:t>
            </w:r>
            <w:r w:rsidRPr="00591CB2">
              <w:rPr>
                <w:rFonts w:ascii="Calibri" w:eastAsia="Times New Roman" w:hAnsi="Calibri" w:cs="Calibri"/>
                <w:noProof w:val="0"/>
                <w:color w:val="000000"/>
                <w:lang w:val="en-LS" w:eastAsia="en-LS"/>
              </w:rPr>
              <w:t xml:space="preserve">projects for implementation of </w:t>
            </w:r>
            <w:r w:rsidRPr="00591CB2">
              <w:rPr>
                <w:rFonts w:ascii="Calibri" w:eastAsia="Times New Roman" w:hAnsi="Calibri" w:cs="Calibri"/>
                <w:noProof w:val="0"/>
                <w:color w:val="000000"/>
                <w:lang w:val="en-LS" w:eastAsia="en-LS"/>
              </w:rPr>
              <w:t>some</w:t>
            </w:r>
            <w:r w:rsidRPr="00591CB2">
              <w:rPr>
                <w:rFonts w:ascii="Calibri" w:eastAsia="Times New Roman" w:hAnsi="Calibri" w:cs="Calibri"/>
                <w:noProof w:val="0"/>
                <w:color w:val="000000"/>
                <w:lang w:val="en-LS" w:eastAsia="en-LS"/>
              </w:rPr>
              <w:t xml:space="preserve"> key priorities from the data gap costing</w:t>
            </w:r>
          </w:p>
        </w:tc>
        <w:tc>
          <w:tcPr>
            <w:tcW w:w="472" w:type="pct"/>
            <w:tcBorders>
              <w:top w:val="nil"/>
              <w:left w:val="nil"/>
              <w:bottom w:val="single" w:sz="4" w:space="0" w:color="auto"/>
              <w:right w:val="single" w:sz="4" w:space="0" w:color="auto"/>
            </w:tcBorders>
            <w:shd w:val="clear" w:color="auto" w:fill="auto"/>
            <w:vAlign w:val="center"/>
            <w:hideMark/>
          </w:tcPr>
          <w:p w14:paraId="3E8256A3"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Dec-21</w:t>
            </w:r>
          </w:p>
        </w:tc>
        <w:tc>
          <w:tcPr>
            <w:tcW w:w="377" w:type="pct"/>
            <w:tcBorders>
              <w:top w:val="nil"/>
              <w:left w:val="nil"/>
              <w:bottom w:val="single" w:sz="4" w:space="0" w:color="auto"/>
              <w:right w:val="single" w:sz="4" w:space="0" w:color="auto"/>
            </w:tcBorders>
            <w:shd w:val="clear" w:color="auto" w:fill="auto"/>
            <w:vAlign w:val="center"/>
            <w:hideMark/>
          </w:tcPr>
          <w:p w14:paraId="29428B59"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nil"/>
              <w:left w:val="nil"/>
              <w:bottom w:val="single" w:sz="4" w:space="0" w:color="auto"/>
              <w:right w:val="single" w:sz="4" w:space="0" w:color="auto"/>
            </w:tcBorders>
            <w:shd w:val="clear" w:color="auto" w:fill="auto"/>
            <w:vAlign w:val="center"/>
            <w:hideMark/>
          </w:tcPr>
          <w:p w14:paraId="78E8B0E4"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4" w:space="0" w:color="auto"/>
              <w:right w:val="single" w:sz="4" w:space="0" w:color="auto"/>
            </w:tcBorders>
            <w:shd w:val="clear" w:color="auto" w:fill="auto"/>
            <w:vAlign w:val="center"/>
            <w:hideMark/>
          </w:tcPr>
          <w:p w14:paraId="11D719AF"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4" w:space="0" w:color="auto"/>
              <w:right w:val="single" w:sz="4" w:space="0" w:color="auto"/>
            </w:tcBorders>
            <w:shd w:val="clear" w:color="auto" w:fill="auto"/>
            <w:vAlign w:val="center"/>
            <w:hideMark/>
          </w:tcPr>
          <w:p w14:paraId="040115FC"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7C7837B5" w14:textId="77777777" w:rsidTr="00893CD5">
        <w:trPr>
          <w:trHeight w:val="654"/>
        </w:trPr>
        <w:tc>
          <w:tcPr>
            <w:tcW w:w="1557" w:type="pct"/>
            <w:vMerge/>
            <w:tcBorders>
              <w:left w:val="single" w:sz="4" w:space="0" w:color="auto"/>
              <w:bottom w:val="single" w:sz="12" w:space="0" w:color="auto"/>
              <w:right w:val="single" w:sz="4" w:space="0" w:color="auto"/>
            </w:tcBorders>
            <w:shd w:val="clear" w:color="auto" w:fill="auto"/>
            <w:vAlign w:val="center"/>
            <w:hideMark/>
          </w:tcPr>
          <w:p w14:paraId="6DCEC3CA"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p>
        </w:tc>
        <w:tc>
          <w:tcPr>
            <w:tcW w:w="1226" w:type="pct"/>
            <w:tcBorders>
              <w:top w:val="nil"/>
              <w:left w:val="nil"/>
              <w:bottom w:val="single" w:sz="12" w:space="0" w:color="auto"/>
              <w:right w:val="single" w:sz="4" w:space="0" w:color="auto"/>
            </w:tcBorders>
            <w:shd w:val="clear" w:color="auto" w:fill="9CC2E5" w:themeFill="accent5" w:themeFillTint="99"/>
            <w:vAlign w:val="center"/>
            <w:hideMark/>
          </w:tcPr>
          <w:p w14:paraId="3039FE77" w14:textId="6536B854" w:rsidR="00D857E6" w:rsidRPr="005359AD" w:rsidRDefault="00D857E6" w:rsidP="00F35CB6">
            <w:pPr>
              <w:pStyle w:val="ListParagraph"/>
              <w:numPr>
                <w:ilvl w:val="0"/>
                <w:numId w:val="8"/>
              </w:numPr>
              <w:spacing w:after="0" w:line="240" w:lineRule="auto"/>
              <w:rPr>
                <w:rFonts w:ascii="Calibri" w:eastAsia="Times New Roman" w:hAnsi="Calibri" w:cs="Calibri"/>
                <w:noProof w:val="0"/>
                <w:color w:val="000000"/>
                <w:lang w:val="en-LS" w:eastAsia="en-LS"/>
              </w:rPr>
            </w:pPr>
            <w:r w:rsidRPr="005359AD">
              <w:rPr>
                <w:rFonts w:ascii="Calibri" w:eastAsia="Times New Roman" w:hAnsi="Calibri" w:cs="Calibri"/>
                <w:noProof w:val="0"/>
                <w:color w:val="000000"/>
                <w:shd w:val="clear" w:color="auto" w:fill="9CC2E5" w:themeFill="accent5" w:themeFillTint="99"/>
                <w:lang w:val="en-LS" w:eastAsia="en-LS"/>
              </w:rPr>
              <w:t>Disseminate the Data Gap Costing analysis for resources mobilisation</w:t>
            </w:r>
          </w:p>
        </w:tc>
        <w:tc>
          <w:tcPr>
            <w:tcW w:w="472" w:type="pct"/>
            <w:tcBorders>
              <w:top w:val="nil"/>
              <w:left w:val="nil"/>
              <w:bottom w:val="single" w:sz="12" w:space="0" w:color="auto"/>
              <w:right w:val="single" w:sz="4" w:space="0" w:color="auto"/>
            </w:tcBorders>
            <w:shd w:val="clear" w:color="auto" w:fill="auto"/>
            <w:vAlign w:val="center"/>
            <w:hideMark/>
          </w:tcPr>
          <w:p w14:paraId="3BE3EC3B"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Dec-21</w:t>
            </w:r>
          </w:p>
        </w:tc>
        <w:tc>
          <w:tcPr>
            <w:tcW w:w="377" w:type="pct"/>
            <w:tcBorders>
              <w:top w:val="nil"/>
              <w:left w:val="nil"/>
              <w:bottom w:val="single" w:sz="12" w:space="0" w:color="auto"/>
              <w:right w:val="single" w:sz="4" w:space="0" w:color="auto"/>
            </w:tcBorders>
            <w:shd w:val="clear" w:color="auto" w:fill="auto"/>
            <w:vAlign w:val="center"/>
            <w:hideMark/>
          </w:tcPr>
          <w:p w14:paraId="31EA5479"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nil"/>
              <w:left w:val="nil"/>
              <w:bottom w:val="single" w:sz="12" w:space="0" w:color="auto"/>
              <w:right w:val="single" w:sz="4" w:space="0" w:color="auto"/>
            </w:tcBorders>
            <w:shd w:val="clear" w:color="auto" w:fill="auto"/>
            <w:vAlign w:val="center"/>
            <w:hideMark/>
          </w:tcPr>
          <w:p w14:paraId="05B772EA"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12" w:space="0" w:color="auto"/>
              <w:right w:val="single" w:sz="4" w:space="0" w:color="auto"/>
            </w:tcBorders>
            <w:shd w:val="clear" w:color="auto" w:fill="auto"/>
            <w:vAlign w:val="center"/>
            <w:hideMark/>
          </w:tcPr>
          <w:p w14:paraId="69C01D06"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12" w:space="0" w:color="auto"/>
              <w:right w:val="single" w:sz="4" w:space="0" w:color="auto"/>
            </w:tcBorders>
            <w:shd w:val="clear" w:color="auto" w:fill="auto"/>
            <w:vAlign w:val="center"/>
            <w:hideMark/>
          </w:tcPr>
          <w:p w14:paraId="0A265ADB" w14:textId="77777777" w:rsidR="00D857E6" w:rsidRPr="000A7CD1" w:rsidRDefault="00D857E6" w:rsidP="00F35CB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BC1F06" w:rsidRPr="000A7CD1" w14:paraId="1937EF16" w14:textId="77777777" w:rsidTr="00A4436E">
        <w:trPr>
          <w:trHeight w:val="336"/>
        </w:trPr>
        <w:tc>
          <w:tcPr>
            <w:tcW w:w="500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40D07C28" w14:textId="720BCCC5" w:rsidR="00BC1F06" w:rsidRPr="000A7CD1" w:rsidRDefault="00BC1F06"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b/>
                <w:noProof w:val="0"/>
                <w:color w:val="000000"/>
                <w:lang w:val="en-LS" w:eastAsia="en-LS"/>
              </w:rPr>
              <w:t>Recommendation 3:</w:t>
            </w:r>
            <w:r w:rsidRPr="000A7CD1">
              <w:rPr>
                <w:rFonts w:ascii="Calibri" w:eastAsia="Times New Roman" w:hAnsi="Calibri" w:cs="Calibri"/>
                <w:noProof w:val="0"/>
                <w:color w:val="000000"/>
                <w:lang w:val="en-LS" w:eastAsia="en-LS"/>
              </w:rPr>
              <w:t xml:space="preserve"> Sensitise top-level officials on data awareness and data literacy. This would not only help in creating demand for data for decision-making and policy planning but also would enable them to appreciate and support work being done by the mid-level officials on statistics (who have received training from the project). BOS/DM&amp;E; UNDP/UNRCO and development partners including EU.</w:t>
            </w:r>
          </w:p>
        </w:tc>
      </w:tr>
      <w:tr w:rsidR="00A4436E" w:rsidRPr="000A7CD1" w14:paraId="741D7731" w14:textId="77777777" w:rsidTr="00A4436E">
        <w:trPr>
          <w:trHeight w:val="2352"/>
        </w:trPr>
        <w:tc>
          <w:tcPr>
            <w:tcW w:w="1557" w:type="pct"/>
            <w:tcBorders>
              <w:top w:val="single" w:sz="12" w:space="0" w:color="auto"/>
              <w:left w:val="single" w:sz="4" w:space="0" w:color="auto"/>
              <w:bottom w:val="single" w:sz="4" w:space="0" w:color="auto"/>
              <w:right w:val="single" w:sz="4" w:space="0" w:color="auto"/>
            </w:tcBorders>
            <w:shd w:val="clear" w:color="auto" w:fill="auto"/>
            <w:vAlign w:val="center"/>
          </w:tcPr>
          <w:p w14:paraId="3D8724D4" w14:textId="733EEB2F" w:rsidR="006044ED" w:rsidRPr="004C44F4" w:rsidRDefault="006044ED" w:rsidP="00DB15D5">
            <w:pPr>
              <w:pStyle w:val="ListParagraph"/>
              <w:numPr>
                <w:ilvl w:val="1"/>
                <w:numId w:val="17"/>
              </w:numPr>
              <w:spacing w:after="0" w:line="240" w:lineRule="auto"/>
              <w:rPr>
                <w:rFonts w:ascii="Calibri" w:eastAsia="Times New Roman" w:hAnsi="Calibri" w:cs="Calibri"/>
                <w:noProof w:val="0"/>
                <w:color w:val="000000"/>
                <w:lang w:val="en-LS" w:eastAsia="en-LS"/>
              </w:rPr>
            </w:pPr>
            <w:r w:rsidRPr="004C44F4">
              <w:rPr>
                <w:rFonts w:ascii="Calibri" w:eastAsia="Times New Roman" w:hAnsi="Calibri" w:cs="Calibri"/>
                <w:noProof w:val="0"/>
                <w:color w:val="000000"/>
                <w:lang w:eastAsia="en-LS"/>
              </w:rPr>
              <w:t xml:space="preserve">The project sensitised principal secretaries on the deployment of the assistant statisticians to line ministries. </w:t>
            </w:r>
            <w:r w:rsidRPr="004C44F4">
              <w:rPr>
                <w:rFonts w:ascii="Calibri" w:eastAsia="Times New Roman" w:hAnsi="Calibri" w:cs="Calibri"/>
                <w:noProof w:val="0"/>
                <w:color w:val="000000"/>
                <w:lang w:eastAsia="en-LS"/>
              </w:rPr>
              <w:t>However,</w:t>
            </w:r>
            <w:r w:rsidRPr="004C44F4">
              <w:rPr>
                <w:rFonts w:ascii="Calibri" w:eastAsia="Times New Roman" w:hAnsi="Calibri" w:cs="Calibri"/>
                <w:noProof w:val="0"/>
                <w:color w:val="000000"/>
                <w:lang w:eastAsia="en-LS"/>
              </w:rPr>
              <w:t xml:space="preserve"> changes in the top management within line ministries resulted in information gaps. </w:t>
            </w:r>
          </w:p>
        </w:tc>
        <w:tc>
          <w:tcPr>
            <w:tcW w:w="1226" w:type="pct"/>
            <w:tcBorders>
              <w:top w:val="single" w:sz="12" w:space="0" w:color="auto"/>
              <w:left w:val="nil"/>
              <w:bottom w:val="single" w:sz="4" w:space="0" w:color="auto"/>
              <w:right w:val="single" w:sz="4" w:space="0" w:color="auto"/>
            </w:tcBorders>
            <w:shd w:val="clear" w:color="auto" w:fill="auto"/>
            <w:vAlign w:val="center"/>
            <w:hideMark/>
          </w:tcPr>
          <w:p w14:paraId="049CB675" w14:textId="196AF993" w:rsidR="006044ED" w:rsidRPr="004C44F4" w:rsidRDefault="006044ED" w:rsidP="00BC1F06">
            <w:pPr>
              <w:pStyle w:val="ListParagraph"/>
              <w:numPr>
                <w:ilvl w:val="0"/>
                <w:numId w:val="4"/>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val="en-US" w:eastAsia="en-LS"/>
              </w:rPr>
              <w:t xml:space="preserve">Support </w:t>
            </w:r>
            <w:r w:rsidRPr="004C44F4">
              <w:rPr>
                <w:rFonts w:ascii="Calibri" w:eastAsia="Times New Roman" w:hAnsi="Calibri" w:cs="Calibri"/>
                <w:noProof w:val="0"/>
                <w:color w:val="000000"/>
                <w:lang w:val="en-LS" w:eastAsia="en-LS"/>
              </w:rPr>
              <w:t>information sessions and capacity building for top officials for data literacy and demand for data in programmes/projects implementation and policy decisions</w:t>
            </w:r>
          </w:p>
        </w:tc>
        <w:tc>
          <w:tcPr>
            <w:tcW w:w="472" w:type="pct"/>
            <w:tcBorders>
              <w:top w:val="single" w:sz="12" w:space="0" w:color="auto"/>
              <w:left w:val="nil"/>
              <w:bottom w:val="single" w:sz="4" w:space="0" w:color="auto"/>
              <w:right w:val="single" w:sz="4" w:space="0" w:color="auto"/>
            </w:tcBorders>
            <w:shd w:val="clear" w:color="auto" w:fill="auto"/>
            <w:vAlign w:val="center"/>
            <w:hideMark/>
          </w:tcPr>
          <w:p w14:paraId="0B104707" w14:textId="77777777" w:rsidR="006044ED" w:rsidRPr="000A7CD1" w:rsidRDefault="006044ED"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377" w:type="pct"/>
            <w:tcBorders>
              <w:top w:val="single" w:sz="12" w:space="0" w:color="auto"/>
              <w:left w:val="nil"/>
              <w:bottom w:val="single" w:sz="4" w:space="0" w:color="auto"/>
              <w:right w:val="single" w:sz="4" w:space="0" w:color="auto"/>
            </w:tcBorders>
            <w:shd w:val="clear" w:color="auto" w:fill="auto"/>
            <w:vAlign w:val="center"/>
            <w:hideMark/>
          </w:tcPr>
          <w:p w14:paraId="0A818494" w14:textId="77777777" w:rsidR="006044ED" w:rsidRPr="000A7CD1" w:rsidRDefault="006044ED"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single" w:sz="12" w:space="0" w:color="auto"/>
              <w:left w:val="nil"/>
              <w:bottom w:val="single" w:sz="4" w:space="0" w:color="auto"/>
              <w:right w:val="single" w:sz="4" w:space="0" w:color="auto"/>
            </w:tcBorders>
            <w:shd w:val="clear" w:color="auto" w:fill="auto"/>
            <w:vAlign w:val="center"/>
            <w:hideMark/>
          </w:tcPr>
          <w:p w14:paraId="25C7DB9D" w14:textId="77777777" w:rsidR="006044ED" w:rsidRPr="000A7CD1" w:rsidRDefault="006044ED"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single" w:sz="12" w:space="0" w:color="auto"/>
              <w:left w:val="nil"/>
              <w:bottom w:val="single" w:sz="4" w:space="0" w:color="auto"/>
              <w:right w:val="single" w:sz="4" w:space="0" w:color="auto"/>
            </w:tcBorders>
            <w:shd w:val="clear" w:color="auto" w:fill="auto"/>
            <w:vAlign w:val="center"/>
            <w:hideMark/>
          </w:tcPr>
          <w:p w14:paraId="7F40D233" w14:textId="77777777" w:rsidR="006044ED" w:rsidRPr="000A7CD1" w:rsidRDefault="006044ED"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single" w:sz="12" w:space="0" w:color="auto"/>
              <w:left w:val="nil"/>
              <w:bottom w:val="single" w:sz="4" w:space="0" w:color="auto"/>
              <w:right w:val="single" w:sz="4" w:space="0" w:color="auto"/>
            </w:tcBorders>
            <w:shd w:val="clear" w:color="auto" w:fill="auto"/>
            <w:vAlign w:val="center"/>
            <w:hideMark/>
          </w:tcPr>
          <w:p w14:paraId="74CCE942" w14:textId="77777777" w:rsidR="006044ED" w:rsidRPr="000A7CD1" w:rsidRDefault="006044ED"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34D480C3" w14:textId="77777777" w:rsidTr="00893CD5">
        <w:trPr>
          <w:trHeight w:val="1453"/>
        </w:trPr>
        <w:tc>
          <w:tcPr>
            <w:tcW w:w="1557" w:type="pct"/>
            <w:vMerge w:val="restart"/>
            <w:tcBorders>
              <w:top w:val="single" w:sz="4" w:space="0" w:color="auto"/>
              <w:left w:val="single" w:sz="4" w:space="0" w:color="auto"/>
              <w:right w:val="single" w:sz="4" w:space="0" w:color="auto"/>
            </w:tcBorders>
            <w:shd w:val="clear" w:color="auto" w:fill="auto"/>
            <w:vAlign w:val="center"/>
            <w:hideMark/>
          </w:tcPr>
          <w:p w14:paraId="2C9DD22E" w14:textId="5C305E31" w:rsidR="00972039" w:rsidRPr="004C44F4" w:rsidRDefault="00972039" w:rsidP="00DB15D5">
            <w:pPr>
              <w:pStyle w:val="ListParagraph"/>
              <w:numPr>
                <w:ilvl w:val="1"/>
                <w:numId w:val="17"/>
              </w:numPr>
              <w:spacing w:after="0" w:line="240" w:lineRule="auto"/>
              <w:rPr>
                <w:rFonts w:ascii="Calibri" w:eastAsia="Times New Roman" w:hAnsi="Calibri" w:cs="Calibri"/>
                <w:noProof w:val="0"/>
                <w:color w:val="000000"/>
                <w:lang w:val="en-LS" w:eastAsia="en-LS"/>
              </w:rPr>
            </w:pPr>
            <w:r w:rsidRPr="004C44F4">
              <w:rPr>
                <w:rFonts w:ascii="Calibri" w:eastAsia="Times New Roman" w:hAnsi="Calibri" w:cs="Calibri"/>
                <w:noProof w:val="0"/>
                <w:color w:val="000000"/>
                <w:lang w:eastAsia="en-LS"/>
              </w:rPr>
              <w:t>Lesotho  Data has supported development of the Communication, Advocacy and dissemination strategy, which also segments stakeholders within National Statistical System (NSS).</w:t>
            </w:r>
          </w:p>
        </w:tc>
        <w:tc>
          <w:tcPr>
            <w:tcW w:w="1226" w:type="pct"/>
            <w:tcBorders>
              <w:top w:val="nil"/>
              <w:left w:val="nil"/>
              <w:bottom w:val="single" w:sz="4" w:space="0" w:color="auto"/>
              <w:right w:val="single" w:sz="4" w:space="0" w:color="auto"/>
            </w:tcBorders>
            <w:shd w:val="clear" w:color="auto" w:fill="auto"/>
            <w:vAlign w:val="center"/>
            <w:hideMark/>
          </w:tcPr>
          <w:p w14:paraId="3D94F299" w14:textId="30573B2B" w:rsidR="00972039" w:rsidRPr="00DB15D5" w:rsidRDefault="00972039" w:rsidP="00DB15D5">
            <w:pPr>
              <w:pStyle w:val="ListParagraph"/>
              <w:numPr>
                <w:ilvl w:val="0"/>
                <w:numId w:val="17"/>
              </w:numPr>
              <w:spacing w:after="0" w:line="240" w:lineRule="auto"/>
              <w:rPr>
                <w:rFonts w:ascii="Calibri" w:eastAsia="Times New Roman" w:hAnsi="Calibri" w:cs="Calibri"/>
                <w:noProof w:val="0"/>
                <w:color w:val="000000"/>
                <w:lang w:val="en-LS" w:eastAsia="en-LS"/>
              </w:rPr>
            </w:pPr>
            <w:r w:rsidRPr="00DB15D5">
              <w:rPr>
                <w:rFonts w:ascii="Calibri" w:eastAsia="Times New Roman" w:hAnsi="Calibri" w:cs="Calibri"/>
                <w:noProof w:val="0"/>
                <w:color w:val="000000"/>
                <w:lang w:val="en-US" w:eastAsia="en-LS"/>
              </w:rPr>
              <w:t xml:space="preserve">Support resources mobilization </w:t>
            </w:r>
            <w:r w:rsidRPr="00DB15D5">
              <w:rPr>
                <w:rFonts w:ascii="Calibri" w:eastAsia="Times New Roman" w:hAnsi="Calibri" w:cs="Calibri"/>
                <w:noProof w:val="0"/>
                <w:color w:val="000000"/>
                <w:lang w:val="en-LS" w:eastAsia="en-LS"/>
              </w:rPr>
              <w:t xml:space="preserve">for implementation of the Communication, Advocacy and Dissemination Strategy action plan  </w:t>
            </w:r>
          </w:p>
        </w:tc>
        <w:tc>
          <w:tcPr>
            <w:tcW w:w="472" w:type="pct"/>
            <w:tcBorders>
              <w:top w:val="nil"/>
              <w:left w:val="nil"/>
              <w:bottom w:val="single" w:sz="4" w:space="0" w:color="auto"/>
              <w:right w:val="single" w:sz="4" w:space="0" w:color="auto"/>
            </w:tcBorders>
            <w:shd w:val="clear" w:color="auto" w:fill="auto"/>
            <w:vAlign w:val="center"/>
            <w:hideMark/>
          </w:tcPr>
          <w:p w14:paraId="162BA0CA"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377" w:type="pct"/>
            <w:tcBorders>
              <w:top w:val="nil"/>
              <w:left w:val="nil"/>
              <w:bottom w:val="single" w:sz="4" w:space="0" w:color="auto"/>
              <w:right w:val="single" w:sz="4" w:space="0" w:color="auto"/>
            </w:tcBorders>
            <w:shd w:val="clear" w:color="auto" w:fill="auto"/>
            <w:vAlign w:val="center"/>
            <w:hideMark/>
          </w:tcPr>
          <w:p w14:paraId="22C42A9E"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nil"/>
              <w:left w:val="nil"/>
              <w:bottom w:val="single" w:sz="4" w:space="0" w:color="auto"/>
              <w:right w:val="single" w:sz="4" w:space="0" w:color="auto"/>
            </w:tcBorders>
            <w:shd w:val="clear" w:color="auto" w:fill="auto"/>
            <w:vAlign w:val="center"/>
            <w:hideMark/>
          </w:tcPr>
          <w:p w14:paraId="5AA3C2F1"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4" w:space="0" w:color="auto"/>
              <w:right w:val="single" w:sz="4" w:space="0" w:color="auto"/>
            </w:tcBorders>
            <w:shd w:val="clear" w:color="auto" w:fill="auto"/>
            <w:vAlign w:val="center"/>
            <w:hideMark/>
          </w:tcPr>
          <w:p w14:paraId="577A85B2"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4" w:space="0" w:color="auto"/>
              <w:right w:val="single" w:sz="4" w:space="0" w:color="auto"/>
            </w:tcBorders>
            <w:shd w:val="clear" w:color="auto" w:fill="auto"/>
            <w:vAlign w:val="center"/>
            <w:hideMark/>
          </w:tcPr>
          <w:p w14:paraId="1267D7F5"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6E230B90" w14:textId="77777777" w:rsidTr="00A4436E">
        <w:trPr>
          <w:trHeight w:val="588"/>
        </w:trPr>
        <w:tc>
          <w:tcPr>
            <w:tcW w:w="1557" w:type="pct"/>
            <w:vMerge/>
            <w:tcBorders>
              <w:left w:val="single" w:sz="4" w:space="0" w:color="auto"/>
              <w:bottom w:val="single" w:sz="12" w:space="0" w:color="auto"/>
              <w:right w:val="single" w:sz="4" w:space="0" w:color="auto"/>
            </w:tcBorders>
            <w:shd w:val="clear" w:color="auto" w:fill="auto"/>
            <w:vAlign w:val="center"/>
            <w:hideMark/>
          </w:tcPr>
          <w:p w14:paraId="11AE1A57" w14:textId="77777777" w:rsidR="00972039" w:rsidRPr="004C44F4" w:rsidRDefault="00972039" w:rsidP="00DB15D5">
            <w:pPr>
              <w:pStyle w:val="ListParagraph"/>
              <w:numPr>
                <w:ilvl w:val="0"/>
                <w:numId w:val="17"/>
              </w:numPr>
              <w:spacing w:after="0" w:line="240" w:lineRule="auto"/>
              <w:rPr>
                <w:rFonts w:ascii="Calibri" w:eastAsia="Times New Roman" w:hAnsi="Calibri" w:cs="Calibri"/>
                <w:noProof w:val="0"/>
                <w:color w:val="000000"/>
                <w:lang w:val="en-LS" w:eastAsia="en-LS"/>
              </w:rPr>
            </w:pPr>
          </w:p>
        </w:tc>
        <w:tc>
          <w:tcPr>
            <w:tcW w:w="1226" w:type="pct"/>
            <w:tcBorders>
              <w:top w:val="nil"/>
              <w:left w:val="nil"/>
              <w:bottom w:val="single" w:sz="12" w:space="0" w:color="auto"/>
              <w:right w:val="single" w:sz="4" w:space="0" w:color="auto"/>
            </w:tcBorders>
            <w:shd w:val="clear" w:color="auto" w:fill="auto"/>
            <w:vAlign w:val="center"/>
            <w:hideMark/>
          </w:tcPr>
          <w:p w14:paraId="5F35323A" w14:textId="7B46EAB9" w:rsidR="00972039" w:rsidRPr="004C44F4" w:rsidRDefault="00972039" w:rsidP="00DB15D5">
            <w:pPr>
              <w:pStyle w:val="ListParagraph"/>
              <w:numPr>
                <w:ilvl w:val="0"/>
                <w:numId w:val="17"/>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eastAsia="en-LS"/>
              </w:rPr>
              <w:t xml:space="preserve">Ensure integration of the </w:t>
            </w:r>
            <w:r w:rsidRPr="004C44F4">
              <w:rPr>
                <w:rFonts w:ascii="Calibri" w:eastAsia="Times New Roman" w:hAnsi="Calibri" w:cs="Calibri"/>
                <w:noProof w:val="0"/>
                <w:color w:val="000000"/>
                <w:lang w:eastAsia="en-LS"/>
              </w:rPr>
              <w:t>communication strategies in the new NSDS</w:t>
            </w:r>
          </w:p>
        </w:tc>
        <w:tc>
          <w:tcPr>
            <w:tcW w:w="472" w:type="pct"/>
            <w:tcBorders>
              <w:top w:val="nil"/>
              <w:left w:val="nil"/>
              <w:bottom w:val="single" w:sz="12" w:space="0" w:color="auto"/>
              <w:right w:val="single" w:sz="4" w:space="0" w:color="auto"/>
            </w:tcBorders>
            <w:shd w:val="clear" w:color="auto" w:fill="auto"/>
            <w:vAlign w:val="center"/>
            <w:hideMark/>
          </w:tcPr>
          <w:p w14:paraId="16D4C4DF"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377" w:type="pct"/>
            <w:tcBorders>
              <w:top w:val="nil"/>
              <w:left w:val="nil"/>
              <w:bottom w:val="single" w:sz="12" w:space="0" w:color="auto"/>
              <w:right w:val="single" w:sz="4" w:space="0" w:color="auto"/>
            </w:tcBorders>
            <w:shd w:val="clear" w:color="auto" w:fill="auto"/>
            <w:vAlign w:val="center"/>
            <w:hideMark/>
          </w:tcPr>
          <w:p w14:paraId="7B9164C4"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nil"/>
              <w:left w:val="nil"/>
              <w:bottom w:val="single" w:sz="12" w:space="0" w:color="auto"/>
              <w:right w:val="single" w:sz="4" w:space="0" w:color="auto"/>
            </w:tcBorders>
            <w:shd w:val="clear" w:color="auto" w:fill="auto"/>
            <w:vAlign w:val="center"/>
            <w:hideMark/>
          </w:tcPr>
          <w:p w14:paraId="13D3B788"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12" w:space="0" w:color="auto"/>
              <w:right w:val="single" w:sz="4" w:space="0" w:color="auto"/>
            </w:tcBorders>
            <w:shd w:val="clear" w:color="auto" w:fill="auto"/>
            <w:vAlign w:val="center"/>
            <w:hideMark/>
          </w:tcPr>
          <w:p w14:paraId="3C34877E"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12" w:space="0" w:color="auto"/>
              <w:right w:val="single" w:sz="4" w:space="0" w:color="auto"/>
            </w:tcBorders>
            <w:shd w:val="clear" w:color="auto" w:fill="auto"/>
            <w:vAlign w:val="center"/>
            <w:hideMark/>
          </w:tcPr>
          <w:p w14:paraId="463EB142"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BC1F06" w:rsidRPr="000A7CD1" w14:paraId="46F7B17C" w14:textId="77777777" w:rsidTr="00A4436E">
        <w:trPr>
          <w:trHeight w:val="300"/>
        </w:trPr>
        <w:tc>
          <w:tcPr>
            <w:tcW w:w="500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487EE3D8" w14:textId="62BB5F21" w:rsidR="00BC1F06" w:rsidRPr="000A7CD1" w:rsidRDefault="00BC1F06"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b/>
                <w:noProof w:val="0"/>
                <w:color w:val="000000"/>
                <w:lang w:val="en-LS" w:eastAsia="en-LS"/>
              </w:rPr>
              <w:t>Recommendation 4:</w:t>
            </w:r>
            <w:r w:rsidRPr="000A7CD1">
              <w:rPr>
                <w:rFonts w:ascii="Calibri" w:eastAsia="Times New Roman" w:hAnsi="Calibri" w:cs="Calibri"/>
                <w:noProof w:val="0"/>
                <w:color w:val="000000"/>
                <w:lang w:val="en-LS" w:eastAsia="en-LS"/>
              </w:rPr>
              <w:t xml:space="preserve"> Create a national data warehouse to also act as a back-up of databases from MDAs in addition to ensuring wider accessibility based on security protocols as deemed essential. Currently, databases and analysed data are in desktops and laptops of officials with backups only on USB keys (jump drives). This does not enable even officials in the ministry to access data.  Surveys collect data, and not all data is analysed and published; however, data not published may be useful for other programme/project design and/or other decision-making. In the current situation this data is not available/accessible, as many are not aware of its location. (BOS &amp; DM&amp;E; UNDP and other UN agencies/EU and other development partners).</w:t>
            </w:r>
          </w:p>
        </w:tc>
      </w:tr>
      <w:tr w:rsidR="00A4436E" w:rsidRPr="000A7CD1" w14:paraId="471893F8" w14:textId="77777777" w:rsidTr="00A4436E">
        <w:trPr>
          <w:trHeight w:val="1440"/>
        </w:trPr>
        <w:tc>
          <w:tcPr>
            <w:tcW w:w="1557" w:type="pct"/>
            <w:vMerge w:val="restart"/>
            <w:tcBorders>
              <w:top w:val="single" w:sz="12" w:space="0" w:color="auto"/>
              <w:left w:val="single" w:sz="4" w:space="0" w:color="auto"/>
              <w:right w:val="single" w:sz="4" w:space="0" w:color="auto"/>
            </w:tcBorders>
            <w:shd w:val="clear" w:color="auto" w:fill="auto"/>
            <w:vAlign w:val="center"/>
          </w:tcPr>
          <w:p w14:paraId="4317FC07" w14:textId="01992A5D" w:rsidR="00972039" w:rsidRPr="004C44F4" w:rsidRDefault="00972039" w:rsidP="00DB15D5">
            <w:pPr>
              <w:pStyle w:val="ListParagraph"/>
              <w:numPr>
                <w:ilvl w:val="1"/>
                <w:numId w:val="18"/>
              </w:numPr>
              <w:spacing w:after="0" w:line="240" w:lineRule="auto"/>
              <w:rPr>
                <w:rFonts w:ascii="Calibri" w:eastAsia="Times New Roman" w:hAnsi="Calibri" w:cs="Calibri"/>
                <w:noProof w:val="0"/>
                <w:color w:val="000000"/>
                <w:lang w:val="en-LS" w:eastAsia="en-LS"/>
              </w:rPr>
            </w:pPr>
            <w:r w:rsidRPr="004C44F4">
              <w:rPr>
                <w:rFonts w:ascii="Calibri" w:eastAsia="Times New Roman" w:hAnsi="Calibri" w:cs="Calibri"/>
                <w:noProof w:val="0"/>
                <w:color w:val="000000"/>
                <w:lang w:eastAsia="en-LS"/>
              </w:rPr>
              <w:t>Lesotho Data procured a backup server for the Bureau of Statistics to facilitate central storage of data and website support</w:t>
            </w:r>
          </w:p>
        </w:tc>
        <w:tc>
          <w:tcPr>
            <w:tcW w:w="1226" w:type="pct"/>
            <w:tcBorders>
              <w:top w:val="single" w:sz="12" w:space="0" w:color="auto"/>
              <w:left w:val="nil"/>
              <w:bottom w:val="single" w:sz="4" w:space="0" w:color="auto"/>
              <w:right w:val="single" w:sz="4" w:space="0" w:color="auto"/>
            </w:tcBorders>
            <w:shd w:val="clear" w:color="auto" w:fill="9CC2E5" w:themeFill="accent5" w:themeFillTint="99"/>
            <w:vAlign w:val="center"/>
            <w:hideMark/>
          </w:tcPr>
          <w:p w14:paraId="0A2C7276" w14:textId="2707CB80" w:rsidR="00972039" w:rsidRPr="004C44F4" w:rsidRDefault="00972039" w:rsidP="00DB15D5">
            <w:pPr>
              <w:pStyle w:val="ListParagraph"/>
              <w:numPr>
                <w:ilvl w:val="0"/>
                <w:numId w:val="17"/>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eastAsia="en-LS"/>
              </w:rPr>
              <w:t>Advocate for open</w:t>
            </w:r>
            <w:r w:rsidRPr="004C44F4">
              <w:rPr>
                <w:rFonts w:ascii="Calibri" w:eastAsia="Times New Roman" w:hAnsi="Calibri" w:cs="Calibri"/>
                <w:noProof w:val="0"/>
                <w:color w:val="000000"/>
                <w:lang w:eastAsia="en-LS"/>
              </w:rPr>
              <w:t xml:space="preserve"> central storage and data archiving for all reports, analytical work and metadata </w:t>
            </w:r>
            <w:r>
              <w:rPr>
                <w:rFonts w:ascii="Calibri" w:eastAsia="Times New Roman" w:hAnsi="Calibri" w:cs="Calibri"/>
                <w:noProof w:val="0"/>
                <w:color w:val="000000"/>
                <w:lang w:eastAsia="en-LS"/>
              </w:rPr>
              <w:t>on</w:t>
            </w:r>
            <w:r w:rsidRPr="004C44F4">
              <w:rPr>
                <w:rFonts w:ascii="Calibri" w:eastAsia="Times New Roman" w:hAnsi="Calibri" w:cs="Calibri"/>
                <w:noProof w:val="0"/>
                <w:color w:val="000000"/>
                <w:lang w:eastAsia="en-LS"/>
              </w:rPr>
              <w:t xml:space="preserve"> different </w:t>
            </w:r>
            <w:r>
              <w:rPr>
                <w:rFonts w:ascii="Calibri" w:eastAsia="Times New Roman" w:hAnsi="Calibri" w:cs="Calibri"/>
                <w:noProof w:val="0"/>
                <w:color w:val="000000"/>
                <w:lang w:eastAsia="en-LS"/>
              </w:rPr>
              <w:t xml:space="preserve">indicators on the BOS servers </w:t>
            </w:r>
          </w:p>
        </w:tc>
        <w:tc>
          <w:tcPr>
            <w:tcW w:w="472" w:type="pct"/>
            <w:tcBorders>
              <w:top w:val="single" w:sz="12" w:space="0" w:color="auto"/>
              <w:left w:val="nil"/>
              <w:bottom w:val="single" w:sz="4" w:space="0" w:color="auto"/>
              <w:right w:val="single" w:sz="4" w:space="0" w:color="auto"/>
            </w:tcBorders>
            <w:shd w:val="clear" w:color="auto" w:fill="auto"/>
            <w:vAlign w:val="center"/>
            <w:hideMark/>
          </w:tcPr>
          <w:p w14:paraId="662FCB24" w14:textId="02DCDE30" w:rsidR="00972039" w:rsidRPr="000A7CD1" w:rsidRDefault="00972039" w:rsidP="00BC1F06">
            <w:pPr>
              <w:spacing w:after="0" w:line="240" w:lineRule="auto"/>
              <w:rPr>
                <w:rFonts w:ascii="Calibri" w:eastAsia="Times New Roman" w:hAnsi="Calibri" w:cs="Calibri"/>
                <w:noProof w:val="0"/>
                <w:color w:val="000000"/>
                <w:lang w:val="en-US" w:eastAsia="en-LS"/>
              </w:rPr>
            </w:pPr>
            <w:r>
              <w:rPr>
                <w:rFonts w:ascii="Calibri" w:eastAsia="Times New Roman" w:hAnsi="Calibri" w:cs="Calibri"/>
                <w:noProof w:val="0"/>
                <w:color w:val="000000"/>
                <w:lang w:val="en-US" w:eastAsia="en-LS"/>
              </w:rPr>
              <w:t>Dec-2023</w:t>
            </w:r>
          </w:p>
        </w:tc>
        <w:tc>
          <w:tcPr>
            <w:tcW w:w="377" w:type="pct"/>
            <w:tcBorders>
              <w:top w:val="single" w:sz="12" w:space="0" w:color="auto"/>
              <w:left w:val="nil"/>
              <w:bottom w:val="single" w:sz="4" w:space="0" w:color="auto"/>
              <w:right w:val="single" w:sz="4" w:space="0" w:color="auto"/>
            </w:tcBorders>
            <w:shd w:val="clear" w:color="auto" w:fill="auto"/>
            <w:vAlign w:val="center"/>
            <w:hideMark/>
          </w:tcPr>
          <w:p w14:paraId="52911FB6"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single" w:sz="12" w:space="0" w:color="auto"/>
              <w:left w:val="nil"/>
              <w:bottom w:val="single" w:sz="4" w:space="0" w:color="auto"/>
              <w:right w:val="single" w:sz="4" w:space="0" w:color="auto"/>
            </w:tcBorders>
            <w:shd w:val="clear" w:color="auto" w:fill="auto"/>
            <w:vAlign w:val="center"/>
            <w:hideMark/>
          </w:tcPr>
          <w:p w14:paraId="247A57B8"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single" w:sz="12" w:space="0" w:color="auto"/>
              <w:left w:val="nil"/>
              <w:bottom w:val="single" w:sz="4" w:space="0" w:color="auto"/>
              <w:right w:val="single" w:sz="4" w:space="0" w:color="auto"/>
            </w:tcBorders>
            <w:shd w:val="clear" w:color="auto" w:fill="auto"/>
            <w:vAlign w:val="center"/>
            <w:hideMark/>
          </w:tcPr>
          <w:p w14:paraId="0483F614"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single" w:sz="12" w:space="0" w:color="auto"/>
              <w:left w:val="nil"/>
              <w:bottom w:val="single" w:sz="4" w:space="0" w:color="auto"/>
              <w:right w:val="single" w:sz="4" w:space="0" w:color="auto"/>
            </w:tcBorders>
            <w:shd w:val="clear" w:color="auto" w:fill="auto"/>
            <w:vAlign w:val="center"/>
            <w:hideMark/>
          </w:tcPr>
          <w:p w14:paraId="558414A3"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04F0973D" w14:textId="77777777" w:rsidTr="00A4436E">
        <w:trPr>
          <w:trHeight w:val="1728"/>
        </w:trPr>
        <w:tc>
          <w:tcPr>
            <w:tcW w:w="1557" w:type="pct"/>
            <w:vMerge/>
            <w:tcBorders>
              <w:left w:val="single" w:sz="4" w:space="0" w:color="auto"/>
              <w:right w:val="single" w:sz="4" w:space="0" w:color="auto"/>
            </w:tcBorders>
            <w:vAlign w:val="center"/>
            <w:hideMark/>
          </w:tcPr>
          <w:p w14:paraId="0EF049DC" w14:textId="77777777" w:rsidR="00972039" w:rsidRPr="004C44F4" w:rsidRDefault="00972039" w:rsidP="00DB15D5">
            <w:pPr>
              <w:pStyle w:val="ListParagraph"/>
              <w:numPr>
                <w:ilvl w:val="0"/>
                <w:numId w:val="18"/>
              </w:numPr>
              <w:spacing w:after="0" w:line="240" w:lineRule="auto"/>
              <w:rPr>
                <w:rFonts w:ascii="Calibri" w:eastAsia="Times New Roman" w:hAnsi="Calibri" w:cs="Calibri"/>
                <w:noProof w:val="0"/>
                <w:color w:val="000000"/>
                <w:lang w:val="en-LS" w:eastAsia="en-LS"/>
              </w:rPr>
            </w:pPr>
          </w:p>
        </w:tc>
        <w:tc>
          <w:tcPr>
            <w:tcW w:w="1226" w:type="pct"/>
            <w:tcBorders>
              <w:top w:val="nil"/>
              <w:left w:val="nil"/>
              <w:bottom w:val="single" w:sz="4" w:space="0" w:color="auto"/>
              <w:right w:val="single" w:sz="4" w:space="0" w:color="auto"/>
            </w:tcBorders>
            <w:shd w:val="clear" w:color="auto" w:fill="9CC2E5" w:themeFill="accent5" w:themeFillTint="99"/>
            <w:vAlign w:val="center"/>
            <w:hideMark/>
          </w:tcPr>
          <w:p w14:paraId="334E2B01" w14:textId="031C0DC2" w:rsidR="00972039" w:rsidRPr="004C44F4" w:rsidRDefault="00972039" w:rsidP="00DB15D5">
            <w:pPr>
              <w:pStyle w:val="ListParagraph"/>
              <w:numPr>
                <w:ilvl w:val="0"/>
                <w:numId w:val="17"/>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eastAsia="en-LS"/>
              </w:rPr>
              <w:t xml:space="preserve">Facilitate engagement with the </w:t>
            </w:r>
            <w:r w:rsidRPr="004C44F4">
              <w:rPr>
                <w:rFonts w:ascii="Calibri" w:eastAsia="Times New Roman" w:hAnsi="Calibri" w:cs="Calibri"/>
                <w:noProof w:val="0"/>
                <w:color w:val="000000"/>
                <w:lang w:eastAsia="en-LS"/>
              </w:rPr>
              <w:t xml:space="preserve">Ministry of Communications, Science and Technology on the opportunities presented by the e-government project for data management and synchronisation </w:t>
            </w:r>
          </w:p>
        </w:tc>
        <w:tc>
          <w:tcPr>
            <w:tcW w:w="472" w:type="pct"/>
            <w:tcBorders>
              <w:top w:val="nil"/>
              <w:left w:val="nil"/>
              <w:bottom w:val="single" w:sz="4" w:space="0" w:color="auto"/>
              <w:right w:val="single" w:sz="4" w:space="0" w:color="auto"/>
            </w:tcBorders>
            <w:shd w:val="clear" w:color="auto" w:fill="auto"/>
            <w:vAlign w:val="center"/>
            <w:hideMark/>
          </w:tcPr>
          <w:p w14:paraId="58D49409" w14:textId="3E3878E7" w:rsidR="00972039" w:rsidRPr="000A7CD1" w:rsidRDefault="00972039" w:rsidP="00BC1F06">
            <w:pPr>
              <w:spacing w:after="0" w:line="240" w:lineRule="auto"/>
              <w:rPr>
                <w:rFonts w:ascii="Calibri" w:eastAsia="Times New Roman" w:hAnsi="Calibri" w:cs="Calibri"/>
                <w:noProof w:val="0"/>
                <w:color w:val="000000"/>
                <w:lang w:val="en-US" w:eastAsia="en-LS"/>
              </w:rPr>
            </w:pPr>
            <w:r>
              <w:rPr>
                <w:rFonts w:ascii="Calibri" w:eastAsia="Times New Roman" w:hAnsi="Calibri" w:cs="Calibri"/>
                <w:noProof w:val="0"/>
                <w:color w:val="000000"/>
                <w:lang w:val="en-US" w:eastAsia="en-LS"/>
              </w:rPr>
              <w:t>Dec-2023</w:t>
            </w:r>
          </w:p>
        </w:tc>
        <w:tc>
          <w:tcPr>
            <w:tcW w:w="377" w:type="pct"/>
            <w:tcBorders>
              <w:top w:val="nil"/>
              <w:left w:val="nil"/>
              <w:bottom w:val="single" w:sz="4" w:space="0" w:color="auto"/>
              <w:right w:val="single" w:sz="4" w:space="0" w:color="auto"/>
            </w:tcBorders>
            <w:shd w:val="clear" w:color="auto" w:fill="auto"/>
            <w:vAlign w:val="center"/>
            <w:hideMark/>
          </w:tcPr>
          <w:p w14:paraId="6E4012D4"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nil"/>
              <w:left w:val="nil"/>
              <w:bottom w:val="single" w:sz="4" w:space="0" w:color="auto"/>
              <w:right w:val="single" w:sz="4" w:space="0" w:color="auto"/>
            </w:tcBorders>
            <w:shd w:val="clear" w:color="auto" w:fill="auto"/>
            <w:vAlign w:val="center"/>
            <w:hideMark/>
          </w:tcPr>
          <w:p w14:paraId="2B1F4EFF"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4" w:space="0" w:color="auto"/>
              <w:right w:val="single" w:sz="4" w:space="0" w:color="auto"/>
            </w:tcBorders>
            <w:shd w:val="clear" w:color="auto" w:fill="auto"/>
            <w:vAlign w:val="center"/>
            <w:hideMark/>
          </w:tcPr>
          <w:p w14:paraId="6B264967"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4" w:space="0" w:color="auto"/>
              <w:right w:val="single" w:sz="4" w:space="0" w:color="auto"/>
            </w:tcBorders>
            <w:shd w:val="clear" w:color="auto" w:fill="auto"/>
            <w:vAlign w:val="center"/>
            <w:hideMark/>
          </w:tcPr>
          <w:p w14:paraId="36DADA2C"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53F66AE9" w14:textId="77777777" w:rsidTr="00227EBC">
        <w:trPr>
          <w:trHeight w:val="1137"/>
        </w:trPr>
        <w:tc>
          <w:tcPr>
            <w:tcW w:w="1557" w:type="pct"/>
            <w:vMerge/>
            <w:tcBorders>
              <w:left w:val="single" w:sz="4" w:space="0" w:color="auto"/>
              <w:bottom w:val="single" w:sz="12" w:space="0" w:color="auto"/>
              <w:right w:val="single" w:sz="4" w:space="0" w:color="auto"/>
            </w:tcBorders>
            <w:vAlign w:val="center"/>
            <w:hideMark/>
          </w:tcPr>
          <w:p w14:paraId="5AEF76E9" w14:textId="77777777" w:rsidR="00972039" w:rsidRPr="004C44F4" w:rsidRDefault="00972039" w:rsidP="00DB15D5">
            <w:pPr>
              <w:pStyle w:val="ListParagraph"/>
              <w:numPr>
                <w:ilvl w:val="0"/>
                <w:numId w:val="18"/>
              </w:numPr>
              <w:spacing w:after="0" w:line="240" w:lineRule="auto"/>
              <w:rPr>
                <w:rFonts w:ascii="Calibri" w:eastAsia="Times New Roman" w:hAnsi="Calibri" w:cs="Calibri"/>
                <w:noProof w:val="0"/>
                <w:color w:val="000000"/>
                <w:lang w:val="en-LS" w:eastAsia="en-LS"/>
              </w:rPr>
            </w:pPr>
          </w:p>
        </w:tc>
        <w:tc>
          <w:tcPr>
            <w:tcW w:w="1226" w:type="pct"/>
            <w:tcBorders>
              <w:top w:val="nil"/>
              <w:left w:val="nil"/>
              <w:bottom w:val="single" w:sz="12" w:space="0" w:color="auto"/>
              <w:right w:val="single" w:sz="4" w:space="0" w:color="auto"/>
            </w:tcBorders>
            <w:shd w:val="clear" w:color="auto" w:fill="9CC2E5" w:themeFill="accent5" w:themeFillTint="99"/>
            <w:vAlign w:val="center"/>
            <w:hideMark/>
          </w:tcPr>
          <w:p w14:paraId="2FB1A4A8" w14:textId="21E66F83" w:rsidR="00972039" w:rsidRPr="004C44F4" w:rsidRDefault="00972039" w:rsidP="00DB15D5">
            <w:pPr>
              <w:pStyle w:val="ListParagraph"/>
              <w:numPr>
                <w:ilvl w:val="0"/>
                <w:numId w:val="17"/>
              </w:numPr>
              <w:spacing w:after="0" w:line="240" w:lineRule="auto"/>
              <w:rPr>
                <w:rFonts w:ascii="Calibri" w:eastAsia="Times New Roman" w:hAnsi="Calibri" w:cs="Calibri"/>
                <w:noProof w:val="0"/>
                <w:color w:val="000000"/>
                <w:lang w:val="en-LS" w:eastAsia="en-LS"/>
              </w:rPr>
            </w:pPr>
            <w:proofErr w:type="spellStart"/>
            <w:r>
              <w:rPr>
                <w:rFonts w:ascii="Calibri" w:eastAsia="Times New Roman" w:hAnsi="Calibri" w:cs="Calibri"/>
                <w:noProof w:val="0"/>
                <w:color w:val="000000"/>
                <w:lang w:val="en-US" w:eastAsia="en-LS"/>
              </w:rPr>
              <w:t>Mobilise</w:t>
            </w:r>
            <w:proofErr w:type="spellEnd"/>
            <w:r w:rsidRPr="004C44F4">
              <w:rPr>
                <w:rFonts w:ascii="Calibri" w:eastAsia="Times New Roman" w:hAnsi="Calibri" w:cs="Calibri"/>
                <w:noProof w:val="0"/>
                <w:color w:val="000000"/>
                <w:lang w:val="en-LS" w:eastAsia="en-LS"/>
              </w:rPr>
              <w:t xml:space="preserve"> technical assistance and capacity building on data </w:t>
            </w:r>
            <w:r w:rsidRPr="00DB15D5">
              <w:rPr>
                <w:rFonts w:ascii="Calibri" w:eastAsia="Times New Roman" w:hAnsi="Calibri" w:cs="Calibri"/>
                <w:noProof w:val="0"/>
                <w:color w:val="000000"/>
                <w:lang w:eastAsia="en-LS"/>
              </w:rPr>
              <w:t>management</w:t>
            </w:r>
            <w:r w:rsidRPr="004C44F4">
              <w:rPr>
                <w:rFonts w:ascii="Calibri" w:eastAsia="Times New Roman" w:hAnsi="Calibri" w:cs="Calibri"/>
                <w:noProof w:val="0"/>
                <w:color w:val="000000"/>
                <w:lang w:val="en-LS" w:eastAsia="en-LS"/>
              </w:rPr>
              <w:t xml:space="preserve"> </w:t>
            </w:r>
          </w:p>
        </w:tc>
        <w:tc>
          <w:tcPr>
            <w:tcW w:w="472" w:type="pct"/>
            <w:tcBorders>
              <w:top w:val="nil"/>
              <w:left w:val="nil"/>
              <w:bottom w:val="single" w:sz="12" w:space="0" w:color="auto"/>
              <w:right w:val="single" w:sz="4" w:space="0" w:color="auto"/>
            </w:tcBorders>
            <w:shd w:val="clear" w:color="auto" w:fill="auto"/>
            <w:vAlign w:val="center"/>
            <w:hideMark/>
          </w:tcPr>
          <w:p w14:paraId="4D069CF8" w14:textId="18A8368A" w:rsidR="00972039" w:rsidRPr="000A7CD1" w:rsidRDefault="00972039" w:rsidP="00BC1F06">
            <w:pPr>
              <w:spacing w:after="0" w:line="240" w:lineRule="auto"/>
              <w:rPr>
                <w:rFonts w:ascii="Calibri" w:eastAsia="Times New Roman" w:hAnsi="Calibri" w:cs="Calibri"/>
                <w:noProof w:val="0"/>
                <w:color w:val="000000"/>
                <w:lang w:val="en-US" w:eastAsia="en-LS"/>
              </w:rPr>
            </w:pPr>
            <w:r>
              <w:rPr>
                <w:rFonts w:ascii="Calibri" w:eastAsia="Times New Roman" w:hAnsi="Calibri" w:cs="Calibri"/>
                <w:noProof w:val="0"/>
                <w:color w:val="000000"/>
                <w:lang w:val="en-US" w:eastAsia="en-LS"/>
              </w:rPr>
              <w:t>Dec-2023</w:t>
            </w:r>
          </w:p>
        </w:tc>
        <w:tc>
          <w:tcPr>
            <w:tcW w:w="377" w:type="pct"/>
            <w:tcBorders>
              <w:top w:val="nil"/>
              <w:left w:val="nil"/>
              <w:bottom w:val="single" w:sz="12" w:space="0" w:color="auto"/>
              <w:right w:val="single" w:sz="4" w:space="0" w:color="auto"/>
            </w:tcBorders>
            <w:shd w:val="clear" w:color="auto" w:fill="auto"/>
            <w:vAlign w:val="center"/>
            <w:hideMark/>
          </w:tcPr>
          <w:p w14:paraId="11C0AB11"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nil"/>
              <w:left w:val="nil"/>
              <w:bottom w:val="single" w:sz="12" w:space="0" w:color="auto"/>
              <w:right w:val="single" w:sz="4" w:space="0" w:color="auto"/>
            </w:tcBorders>
            <w:shd w:val="clear" w:color="auto" w:fill="auto"/>
            <w:vAlign w:val="center"/>
            <w:hideMark/>
          </w:tcPr>
          <w:p w14:paraId="276F5DE7"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12" w:space="0" w:color="auto"/>
              <w:right w:val="single" w:sz="4" w:space="0" w:color="auto"/>
            </w:tcBorders>
            <w:shd w:val="clear" w:color="auto" w:fill="auto"/>
            <w:vAlign w:val="center"/>
            <w:hideMark/>
          </w:tcPr>
          <w:p w14:paraId="76723FA1"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12" w:space="0" w:color="auto"/>
              <w:right w:val="single" w:sz="4" w:space="0" w:color="auto"/>
            </w:tcBorders>
            <w:shd w:val="clear" w:color="auto" w:fill="auto"/>
            <w:vAlign w:val="center"/>
            <w:hideMark/>
          </w:tcPr>
          <w:p w14:paraId="18000617" w14:textId="77777777" w:rsidR="00972039" w:rsidRPr="000A7CD1" w:rsidRDefault="00972039"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BC1F06" w:rsidRPr="000A7CD1" w14:paraId="0125957B" w14:textId="77777777" w:rsidTr="00A4436E">
        <w:trPr>
          <w:trHeight w:val="300"/>
        </w:trPr>
        <w:tc>
          <w:tcPr>
            <w:tcW w:w="500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666DFC03" w14:textId="77777777" w:rsidR="002752ED" w:rsidRDefault="00BC1F06" w:rsidP="002752ED">
            <w:pPr>
              <w:spacing w:after="0" w:line="240" w:lineRule="auto"/>
              <w:rPr>
                <w:rFonts w:ascii="Calibri" w:eastAsia="Times New Roman" w:hAnsi="Calibri" w:cs="Calibri"/>
                <w:noProof w:val="0"/>
                <w:color w:val="000000"/>
                <w:lang w:val="en-LS" w:eastAsia="en-LS"/>
              </w:rPr>
            </w:pPr>
            <w:r w:rsidRPr="002752ED">
              <w:rPr>
                <w:rFonts w:ascii="Calibri" w:eastAsia="Times New Roman" w:hAnsi="Calibri" w:cs="Calibri"/>
                <w:b/>
                <w:noProof w:val="0"/>
                <w:color w:val="000000"/>
                <w:lang w:val="en-LS" w:eastAsia="en-LS"/>
              </w:rPr>
              <w:t>Recommendation 5</w:t>
            </w:r>
            <w:r w:rsidRPr="002752ED">
              <w:rPr>
                <w:rFonts w:ascii="Calibri" w:eastAsia="Times New Roman" w:hAnsi="Calibri" w:cs="Calibri"/>
                <w:noProof w:val="0"/>
                <w:color w:val="000000"/>
                <w:lang w:val="en-LS" w:eastAsia="en-LS"/>
              </w:rPr>
              <w:t xml:space="preserve">: A harmonised national coordination mechanism for statistics and M&amp;E should be established with a strengthened role for the BOS as a coordinator. </w:t>
            </w:r>
          </w:p>
          <w:p w14:paraId="0DDA64C7" w14:textId="77777777" w:rsidR="002752ED" w:rsidRDefault="00BC1F06" w:rsidP="00DB15D5">
            <w:pPr>
              <w:pStyle w:val="ListParagraph"/>
              <w:numPr>
                <w:ilvl w:val="0"/>
                <w:numId w:val="20"/>
              </w:numPr>
              <w:spacing w:after="0" w:line="240" w:lineRule="auto"/>
              <w:rPr>
                <w:rFonts w:ascii="Calibri" w:eastAsia="Times New Roman" w:hAnsi="Calibri" w:cs="Calibri"/>
                <w:noProof w:val="0"/>
                <w:color w:val="000000"/>
                <w:lang w:val="en-LS" w:eastAsia="en-LS"/>
              </w:rPr>
            </w:pPr>
            <w:r w:rsidRPr="002752ED">
              <w:rPr>
                <w:rFonts w:ascii="Calibri" w:eastAsia="Times New Roman" w:hAnsi="Calibri" w:cs="Calibri"/>
                <w:noProof w:val="0"/>
                <w:color w:val="000000"/>
                <w:lang w:val="en-LS" w:eastAsia="en-LS"/>
              </w:rPr>
              <w:t xml:space="preserve">It is important that the work of M&amp;E and statistics is synchronised, and therefore, there should only be one national mechanism. </w:t>
            </w:r>
          </w:p>
          <w:p w14:paraId="55CEFF50" w14:textId="3331857A" w:rsidR="00BC1F06" w:rsidRPr="002752ED" w:rsidRDefault="00BC1F06" w:rsidP="00DB15D5">
            <w:pPr>
              <w:pStyle w:val="ListParagraph"/>
              <w:numPr>
                <w:ilvl w:val="0"/>
                <w:numId w:val="20"/>
              </w:numPr>
              <w:spacing w:after="0" w:line="240" w:lineRule="auto"/>
              <w:rPr>
                <w:rFonts w:ascii="Calibri" w:eastAsia="Times New Roman" w:hAnsi="Calibri" w:cs="Calibri"/>
                <w:noProof w:val="0"/>
                <w:color w:val="000000"/>
                <w:lang w:val="en-LS" w:eastAsia="en-LS"/>
              </w:rPr>
            </w:pPr>
            <w:r w:rsidRPr="002752ED">
              <w:rPr>
                <w:rFonts w:ascii="Calibri" w:eastAsia="Times New Roman" w:hAnsi="Calibri" w:cs="Calibri"/>
                <w:noProof w:val="0"/>
                <w:color w:val="000000"/>
                <w:lang w:val="en-LS" w:eastAsia="en-LS"/>
              </w:rPr>
              <w:t>The national coordination structure should have clear mandates with</w:t>
            </w:r>
            <w:r w:rsidRPr="002752ED">
              <w:rPr>
                <w:rFonts w:ascii="Calibri" w:eastAsia="Times New Roman" w:hAnsi="Calibri" w:cs="Calibri"/>
                <w:noProof w:val="0"/>
                <w:color w:val="000000"/>
                <w:lang w:val="en-LS" w:eastAsia="en-LS"/>
              </w:rPr>
              <w:t xml:space="preserve"> </w:t>
            </w:r>
            <w:r w:rsidRPr="002752ED">
              <w:rPr>
                <w:rFonts w:ascii="Calibri" w:eastAsia="Times New Roman" w:hAnsi="Calibri" w:cs="Calibri"/>
                <w:noProof w:val="0"/>
                <w:color w:val="000000"/>
                <w:lang w:val="en-LS" w:eastAsia="en-LS"/>
              </w:rPr>
              <w:t>specific roles and responsibilities (backed by policies/legal frameworks) and could be multi-tiered. BOS and DM&amp;E should act as “agents of change” in creating this mechanism. (BOS/DM&amp;E; UNDP/UNRCO and UN agencies/EU and other development partners).</w:t>
            </w:r>
          </w:p>
        </w:tc>
      </w:tr>
      <w:tr w:rsidR="00A4436E" w:rsidRPr="000A7CD1" w14:paraId="4BAD07AD" w14:textId="77777777" w:rsidTr="00227EBC">
        <w:trPr>
          <w:trHeight w:val="1858"/>
        </w:trPr>
        <w:tc>
          <w:tcPr>
            <w:tcW w:w="1557"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62D20602" w14:textId="052CE094" w:rsidR="00B148B8" w:rsidRPr="00DB15D5" w:rsidRDefault="00B148B8" w:rsidP="00227EBC">
            <w:pPr>
              <w:pStyle w:val="ListParagraph"/>
              <w:numPr>
                <w:ilvl w:val="1"/>
                <w:numId w:val="24"/>
              </w:numPr>
              <w:spacing w:after="0" w:line="240" w:lineRule="auto"/>
              <w:rPr>
                <w:rFonts w:ascii="Calibri" w:eastAsia="Times New Roman" w:hAnsi="Calibri" w:cs="Calibri"/>
                <w:noProof w:val="0"/>
                <w:color w:val="000000"/>
                <w:lang w:val="en-LS" w:eastAsia="en-LS"/>
              </w:rPr>
            </w:pPr>
            <w:r w:rsidRPr="004C44F4">
              <w:rPr>
                <w:rFonts w:ascii="Calibri" w:eastAsia="Times New Roman" w:hAnsi="Calibri" w:cs="Calibri"/>
                <w:noProof w:val="0"/>
                <w:color w:val="000000"/>
                <w:lang w:eastAsia="en-LS"/>
              </w:rPr>
              <w:t xml:space="preserve">BOS coordinates only the NSS, while MDP </w:t>
            </w:r>
            <w:r w:rsidRPr="004C44F4">
              <w:rPr>
                <w:rFonts w:ascii="Calibri" w:eastAsia="Times New Roman" w:hAnsi="Calibri" w:cs="Calibri"/>
                <w:noProof w:val="0"/>
                <w:color w:val="000000"/>
                <w:lang w:eastAsia="en-LS"/>
              </w:rPr>
              <w:t>coordinates</w:t>
            </w:r>
            <w:r w:rsidRPr="004C44F4">
              <w:rPr>
                <w:rFonts w:ascii="Calibri" w:eastAsia="Times New Roman" w:hAnsi="Calibri" w:cs="Calibri"/>
                <w:noProof w:val="0"/>
                <w:color w:val="000000"/>
                <w:lang w:eastAsia="en-LS"/>
              </w:rPr>
              <w:t xml:space="preserve"> the M&amp;E system.</w:t>
            </w:r>
            <w:r w:rsidR="00DB15D5">
              <w:rPr>
                <w:rFonts w:ascii="Calibri" w:eastAsia="Times New Roman" w:hAnsi="Calibri" w:cs="Calibri"/>
                <w:noProof w:val="0"/>
                <w:color w:val="000000"/>
                <w:lang w:eastAsia="en-LS"/>
              </w:rPr>
              <w:t xml:space="preserve"> </w:t>
            </w:r>
            <w:r w:rsidRPr="00DB15D5">
              <w:rPr>
                <w:rFonts w:ascii="Calibri" w:eastAsia="Times New Roman" w:hAnsi="Calibri" w:cs="Calibri"/>
                <w:noProof w:val="0"/>
                <w:color w:val="000000"/>
                <w:lang w:eastAsia="en-LS"/>
              </w:rPr>
              <w:t>Both M&amp;E and statistics are under the Ministry of Development Planning, for harmonised and coordinated national mechanism for M&amp;E and statistics</w:t>
            </w:r>
          </w:p>
        </w:tc>
        <w:tc>
          <w:tcPr>
            <w:tcW w:w="1226" w:type="pct"/>
            <w:tcBorders>
              <w:top w:val="single" w:sz="12" w:space="0" w:color="auto"/>
              <w:left w:val="nil"/>
              <w:bottom w:val="single" w:sz="4" w:space="0" w:color="auto"/>
              <w:right w:val="single" w:sz="4" w:space="0" w:color="auto"/>
            </w:tcBorders>
            <w:shd w:val="clear" w:color="auto" w:fill="9CC2E5" w:themeFill="accent5" w:themeFillTint="99"/>
            <w:vAlign w:val="center"/>
            <w:hideMark/>
          </w:tcPr>
          <w:p w14:paraId="2E3D6B3C" w14:textId="77777777" w:rsidR="00B148B8" w:rsidRPr="00227EBC" w:rsidRDefault="00B148B8" w:rsidP="00227EBC">
            <w:pPr>
              <w:pStyle w:val="ListParagraph"/>
              <w:numPr>
                <w:ilvl w:val="0"/>
                <w:numId w:val="17"/>
              </w:numPr>
              <w:spacing w:after="0" w:line="240" w:lineRule="auto"/>
              <w:rPr>
                <w:rFonts w:ascii="Calibri" w:eastAsia="Times New Roman" w:hAnsi="Calibri" w:cs="Calibri"/>
                <w:noProof w:val="0"/>
                <w:color w:val="000000"/>
                <w:lang w:val="en-LS" w:eastAsia="en-LS"/>
              </w:rPr>
            </w:pPr>
            <w:r w:rsidRPr="00227EBC">
              <w:rPr>
                <w:rFonts w:ascii="Calibri" w:eastAsia="Times New Roman" w:hAnsi="Calibri" w:cs="Calibri"/>
                <w:noProof w:val="0"/>
                <w:color w:val="000000"/>
                <w:lang w:eastAsia="en-LS"/>
              </w:rPr>
              <w:t>Identify further programme opportunities for collaborative and partnership between the BOS and M&amp;E department to enhance coordination</w:t>
            </w:r>
          </w:p>
        </w:tc>
        <w:tc>
          <w:tcPr>
            <w:tcW w:w="472" w:type="pct"/>
            <w:tcBorders>
              <w:top w:val="single" w:sz="12" w:space="0" w:color="auto"/>
              <w:left w:val="nil"/>
              <w:bottom w:val="single" w:sz="4" w:space="0" w:color="auto"/>
              <w:right w:val="single" w:sz="4" w:space="0" w:color="auto"/>
            </w:tcBorders>
            <w:shd w:val="clear" w:color="auto" w:fill="auto"/>
            <w:vAlign w:val="center"/>
            <w:hideMark/>
          </w:tcPr>
          <w:p w14:paraId="05479931" w14:textId="2A5B5EB7" w:rsidR="00B148B8" w:rsidRPr="000A7CD1" w:rsidRDefault="00B148B8" w:rsidP="00BC1F06">
            <w:pPr>
              <w:spacing w:after="0" w:line="240" w:lineRule="auto"/>
              <w:rPr>
                <w:rFonts w:ascii="Calibri" w:eastAsia="Times New Roman" w:hAnsi="Calibri" w:cs="Calibri"/>
                <w:noProof w:val="0"/>
                <w:color w:val="000000"/>
                <w:lang w:val="en-US" w:eastAsia="en-LS"/>
              </w:rPr>
            </w:pPr>
            <w:r>
              <w:rPr>
                <w:rFonts w:ascii="Calibri" w:eastAsia="Times New Roman" w:hAnsi="Calibri" w:cs="Calibri"/>
                <w:noProof w:val="0"/>
                <w:color w:val="000000"/>
                <w:lang w:val="en-US" w:eastAsia="en-LS"/>
              </w:rPr>
              <w:t>Dec-2023</w:t>
            </w:r>
          </w:p>
        </w:tc>
        <w:tc>
          <w:tcPr>
            <w:tcW w:w="377" w:type="pct"/>
            <w:tcBorders>
              <w:top w:val="single" w:sz="12" w:space="0" w:color="auto"/>
              <w:left w:val="nil"/>
              <w:bottom w:val="single" w:sz="4" w:space="0" w:color="auto"/>
              <w:right w:val="single" w:sz="4" w:space="0" w:color="auto"/>
            </w:tcBorders>
            <w:shd w:val="clear" w:color="auto" w:fill="auto"/>
            <w:vAlign w:val="center"/>
            <w:hideMark/>
          </w:tcPr>
          <w:p w14:paraId="26CCAFB7" w14:textId="77777777" w:rsidR="00B148B8" w:rsidRPr="000A7CD1" w:rsidRDefault="00B148B8"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single" w:sz="12" w:space="0" w:color="auto"/>
              <w:left w:val="nil"/>
              <w:bottom w:val="single" w:sz="4" w:space="0" w:color="auto"/>
              <w:right w:val="single" w:sz="4" w:space="0" w:color="auto"/>
            </w:tcBorders>
            <w:shd w:val="clear" w:color="auto" w:fill="auto"/>
            <w:vAlign w:val="center"/>
            <w:hideMark/>
          </w:tcPr>
          <w:p w14:paraId="157DBAD4" w14:textId="77777777" w:rsidR="00B148B8" w:rsidRPr="000A7CD1" w:rsidRDefault="00B148B8"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single" w:sz="12" w:space="0" w:color="auto"/>
              <w:left w:val="nil"/>
              <w:bottom w:val="single" w:sz="4" w:space="0" w:color="auto"/>
              <w:right w:val="single" w:sz="4" w:space="0" w:color="auto"/>
            </w:tcBorders>
            <w:shd w:val="clear" w:color="auto" w:fill="auto"/>
            <w:vAlign w:val="center"/>
            <w:hideMark/>
          </w:tcPr>
          <w:p w14:paraId="13750519" w14:textId="77777777" w:rsidR="00B148B8" w:rsidRPr="000A7CD1" w:rsidRDefault="00B148B8"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single" w:sz="12" w:space="0" w:color="auto"/>
              <w:left w:val="nil"/>
              <w:bottom w:val="single" w:sz="4" w:space="0" w:color="auto"/>
              <w:right w:val="single" w:sz="4" w:space="0" w:color="auto"/>
            </w:tcBorders>
            <w:shd w:val="clear" w:color="auto" w:fill="auto"/>
            <w:vAlign w:val="center"/>
            <w:hideMark/>
          </w:tcPr>
          <w:p w14:paraId="0B515EC3" w14:textId="77777777" w:rsidR="00B148B8" w:rsidRPr="000A7CD1" w:rsidRDefault="00B148B8"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0FD5B28A" w14:textId="77777777" w:rsidTr="00227EBC">
        <w:trPr>
          <w:trHeight w:val="2117"/>
        </w:trPr>
        <w:tc>
          <w:tcPr>
            <w:tcW w:w="1557"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1B9DFF00" w14:textId="1EAF69CC" w:rsidR="00B148B8" w:rsidRPr="00227EBC" w:rsidRDefault="00B148B8" w:rsidP="00227EBC">
            <w:pPr>
              <w:pStyle w:val="ListParagraph"/>
              <w:numPr>
                <w:ilvl w:val="1"/>
                <w:numId w:val="24"/>
              </w:numPr>
              <w:spacing w:after="0" w:line="240" w:lineRule="auto"/>
              <w:rPr>
                <w:rFonts w:ascii="Calibri" w:eastAsia="Times New Roman" w:hAnsi="Calibri" w:cs="Calibri"/>
                <w:noProof w:val="0"/>
                <w:color w:val="000000"/>
                <w:lang w:val="en-LS" w:eastAsia="en-LS"/>
              </w:rPr>
            </w:pPr>
            <w:r w:rsidRPr="00227EBC">
              <w:rPr>
                <w:rFonts w:ascii="Calibri" w:eastAsia="Times New Roman" w:hAnsi="Calibri" w:cs="Calibri"/>
                <w:noProof w:val="0"/>
                <w:color w:val="000000"/>
                <w:lang w:val="en-LS" w:eastAsia="en-LS"/>
              </w:rPr>
              <w:t xml:space="preserve">The Lesotho Data supported the development </w:t>
            </w:r>
            <w:r w:rsidRPr="00227EBC">
              <w:rPr>
                <w:rFonts w:ascii="Calibri" w:eastAsia="Times New Roman" w:hAnsi="Calibri" w:cs="Calibri"/>
                <w:noProof w:val="0"/>
                <w:color w:val="000000"/>
                <w:lang w:val="en-LS" w:eastAsia="en-LS"/>
              </w:rPr>
              <w:t>of Indicator and</w:t>
            </w:r>
            <w:r w:rsidRPr="00227EBC">
              <w:rPr>
                <w:rFonts w:ascii="Calibri" w:eastAsia="Times New Roman" w:hAnsi="Calibri" w:cs="Calibri"/>
                <w:noProof w:val="0"/>
                <w:color w:val="000000"/>
                <w:lang w:val="en-LS" w:eastAsia="en-LS"/>
              </w:rPr>
              <w:t xml:space="preserve"> Information Management Working Groups (IIMWG) This will need review and adoption in line with the NSDP coordination </w:t>
            </w:r>
            <w:r w:rsidRPr="00227EBC">
              <w:rPr>
                <w:rFonts w:ascii="Calibri" w:eastAsia="Times New Roman" w:hAnsi="Calibri" w:cs="Calibri"/>
                <w:noProof w:val="0"/>
                <w:color w:val="000000"/>
                <w:lang w:val="en-LS" w:eastAsia="en-LS"/>
              </w:rPr>
              <w:t>mechanism</w:t>
            </w:r>
            <w:r w:rsidRPr="00227EBC">
              <w:rPr>
                <w:rFonts w:ascii="Calibri" w:eastAsia="Times New Roman" w:hAnsi="Calibri" w:cs="Calibri"/>
                <w:noProof w:val="0"/>
                <w:color w:val="000000"/>
                <w:lang w:val="en-LS" w:eastAsia="en-LS"/>
              </w:rPr>
              <w:t>.</w:t>
            </w:r>
          </w:p>
        </w:tc>
        <w:tc>
          <w:tcPr>
            <w:tcW w:w="1226" w:type="pct"/>
            <w:tcBorders>
              <w:top w:val="nil"/>
              <w:left w:val="nil"/>
              <w:bottom w:val="single" w:sz="12" w:space="0" w:color="auto"/>
              <w:right w:val="single" w:sz="4" w:space="0" w:color="auto"/>
            </w:tcBorders>
            <w:shd w:val="clear" w:color="auto" w:fill="9CC2E5" w:themeFill="accent5" w:themeFillTint="99"/>
            <w:noWrap/>
            <w:vAlign w:val="center"/>
            <w:hideMark/>
          </w:tcPr>
          <w:p w14:paraId="174C6264" w14:textId="7D8AEC4B" w:rsidR="00B148B8" w:rsidRPr="00227EBC" w:rsidRDefault="00B148B8" w:rsidP="00227EBC">
            <w:pPr>
              <w:pStyle w:val="ListParagraph"/>
              <w:numPr>
                <w:ilvl w:val="0"/>
                <w:numId w:val="17"/>
              </w:numPr>
              <w:spacing w:after="0" w:line="240" w:lineRule="auto"/>
              <w:rPr>
                <w:rFonts w:ascii="Calibri" w:eastAsia="Times New Roman" w:hAnsi="Calibri" w:cs="Calibri"/>
                <w:noProof w:val="0"/>
                <w:color w:val="000000"/>
                <w:lang w:val="en-LS" w:eastAsia="en-LS"/>
              </w:rPr>
            </w:pPr>
            <w:r w:rsidRPr="00227EBC">
              <w:rPr>
                <w:rFonts w:ascii="Calibri" w:eastAsia="Times New Roman" w:hAnsi="Calibri" w:cs="Calibri"/>
                <w:noProof w:val="0"/>
                <w:color w:val="000000"/>
                <w:lang w:eastAsia="en-LS"/>
              </w:rPr>
              <w:t xml:space="preserve">Review </w:t>
            </w:r>
            <w:r w:rsidRPr="00227EBC">
              <w:rPr>
                <w:rFonts w:ascii="Calibri" w:eastAsia="Times New Roman" w:hAnsi="Calibri" w:cs="Calibri"/>
                <w:noProof w:val="0"/>
                <w:color w:val="000000"/>
                <w:lang w:eastAsia="en-LS"/>
              </w:rPr>
              <w:t xml:space="preserve">TOR </w:t>
            </w:r>
            <w:r w:rsidRPr="00227EBC">
              <w:rPr>
                <w:rFonts w:ascii="Calibri" w:eastAsia="Times New Roman" w:hAnsi="Calibri" w:cs="Calibri"/>
                <w:noProof w:val="0"/>
                <w:color w:val="000000"/>
                <w:lang w:eastAsia="en-LS"/>
              </w:rPr>
              <w:t xml:space="preserve">and </w:t>
            </w:r>
            <w:r w:rsidRPr="00227EBC">
              <w:rPr>
                <w:rFonts w:ascii="Calibri" w:eastAsia="Times New Roman" w:hAnsi="Calibri" w:cs="Calibri"/>
                <w:noProof w:val="0"/>
                <w:color w:val="000000"/>
                <w:lang w:eastAsia="en-LS"/>
              </w:rPr>
              <w:t xml:space="preserve">support </w:t>
            </w:r>
            <w:r w:rsidRPr="00227EBC">
              <w:rPr>
                <w:rFonts w:ascii="Calibri" w:eastAsia="Times New Roman" w:hAnsi="Calibri" w:cs="Calibri"/>
                <w:noProof w:val="0"/>
                <w:color w:val="000000"/>
                <w:lang w:eastAsia="en-LS"/>
              </w:rPr>
              <w:t>adopt</w:t>
            </w:r>
            <w:r w:rsidRPr="00227EBC">
              <w:rPr>
                <w:rFonts w:ascii="Calibri" w:eastAsia="Times New Roman" w:hAnsi="Calibri" w:cs="Calibri"/>
                <w:noProof w:val="0"/>
                <w:color w:val="000000"/>
                <w:lang w:eastAsia="en-LS"/>
              </w:rPr>
              <w:t xml:space="preserve">ion of the </w:t>
            </w:r>
            <w:r w:rsidRPr="00227EBC">
              <w:rPr>
                <w:rFonts w:ascii="Calibri" w:eastAsia="Times New Roman" w:hAnsi="Calibri" w:cs="Calibri"/>
                <w:noProof w:val="0"/>
                <w:color w:val="000000"/>
                <w:lang w:eastAsia="en-LS"/>
              </w:rPr>
              <w:t>IIMWG</w:t>
            </w:r>
            <w:r w:rsidRPr="00227EBC">
              <w:rPr>
                <w:rFonts w:ascii="Calibri" w:eastAsia="Times New Roman" w:hAnsi="Calibri" w:cs="Calibri"/>
                <w:noProof w:val="0"/>
                <w:color w:val="000000"/>
                <w:lang w:eastAsia="en-LS"/>
              </w:rPr>
              <w:t xml:space="preserve"> in context of the SDGs Country Platforms model</w:t>
            </w:r>
          </w:p>
        </w:tc>
        <w:tc>
          <w:tcPr>
            <w:tcW w:w="472" w:type="pct"/>
            <w:tcBorders>
              <w:top w:val="nil"/>
              <w:left w:val="nil"/>
              <w:bottom w:val="single" w:sz="12" w:space="0" w:color="auto"/>
              <w:right w:val="single" w:sz="4" w:space="0" w:color="auto"/>
            </w:tcBorders>
            <w:shd w:val="clear" w:color="auto" w:fill="auto"/>
            <w:vAlign w:val="center"/>
            <w:hideMark/>
          </w:tcPr>
          <w:p w14:paraId="6867636D" w14:textId="33B38921" w:rsidR="00B148B8" w:rsidRPr="000A7CD1" w:rsidRDefault="00B148B8" w:rsidP="00BC1F06">
            <w:pPr>
              <w:spacing w:after="0" w:line="240" w:lineRule="auto"/>
              <w:rPr>
                <w:rFonts w:ascii="Calibri" w:eastAsia="Times New Roman" w:hAnsi="Calibri" w:cs="Calibri"/>
                <w:noProof w:val="0"/>
                <w:color w:val="000000"/>
                <w:lang w:val="en-US" w:eastAsia="en-LS"/>
              </w:rPr>
            </w:pPr>
            <w:r>
              <w:rPr>
                <w:rFonts w:ascii="Calibri" w:eastAsia="Times New Roman" w:hAnsi="Calibri" w:cs="Calibri"/>
                <w:noProof w:val="0"/>
                <w:color w:val="000000"/>
                <w:lang w:val="en-US" w:eastAsia="en-LS"/>
              </w:rPr>
              <w:t>Dec-2023</w:t>
            </w:r>
          </w:p>
        </w:tc>
        <w:tc>
          <w:tcPr>
            <w:tcW w:w="377" w:type="pct"/>
            <w:tcBorders>
              <w:top w:val="nil"/>
              <w:left w:val="nil"/>
              <w:bottom w:val="single" w:sz="12" w:space="0" w:color="auto"/>
              <w:right w:val="single" w:sz="4" w:space="0" w:color="auto"/>
            </w:tcBorders>
            <w:shd w:val="clear" w:color="auto" w:fill="auto"/>
            <w:vAlign w:val="center"/>
            <w:hideMark/>
          </w:tcPr>
          <w:p w14:paraId="615E4947" w14:textId="77777777" w:rsidR="00B148B8" w:rsidRPr="000A7CD1" w:rsidRDefault="00B148B8"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nil"/>
              <w:left w:val="nil"/>
              <w:bottom w:val="single" w:sz="12" w:space="0" w:color="auto"/>
              <w:right w:val="single" w:sz="4" w:space="0" w:color="auto"/>
            </w:tcBorders>
            <w:shd w:val="clear" w:color="auto" w:fill="auto"/>
            <w:vAlign w:val="center"/>
            <w:hideMark/>
          </w:tcPr>
          <w:p w14:paraId="792E0C38" w14:textId="77777777" w:rsidR="00B148B8" w:rsidRPr="000A7CD1" w:rsidRDefault="00B148B8"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12" w:space="0" w:color="auto"/>
              <w:right w:val="single" w:sz="4" w:space="0" w:color="auto"/>
            </w:tcBorders>
            <w:shd w:val="clear" w:color="auto" w:fill="auto"/>
            <w:vAlign w:val="center"/>
            <w:hideMark/>
          </w:tcPr>
          <w:p w14:paraId="7697C1F7" w14:textId="77777777" w:rsidR="00B148B8" w:rsidRPr="000A7CD1" w:rsidRDefault="00B148B8"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12" w:space="0" w:color="auto"/>
              <w:right w:val="single" w:sz="4" w:space="0" w:color="auto"/>
            </w:tcBorders>
            <w:shd w:val="clear" w:color="auto" w:fill="auto"/>
            <w:vAlign w:val="center"/>
            <w:hideMark/>
          </w:tcPr>
          <w:p w14:paraId="36F92A3A" w14:textId="77777777" w:rsidR="00B148B8" w:rsidRPr="000A7CD1" w:rsidRDefault="00B148B8" w:rsidP="00BC1F06">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2752ED" w:rsidRPr="000A7CD1" w14:paraId="4DE53E40" w14:textId="77777777" w:rsidTr="00A4436E">
        <w:trPr>
          <w:trHeight w:val="300"/>
        </w:trPr>
        <w:tc>
          <w:tcPr>
            <w:tcW w:w="5000"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1A980ABD" w14:textId="77777777" w:rsidR="002752ED" w:rsidRDefault="002752ED"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b/>
                <w:noProof w:val="0"/>
                <w:color w:val="000000"/>
                <w:lang w:val="en-LS" w:eastAsia="en-LS"/>
              </w:rPr>
              <w:t>Recommendation 6:</w:t>
            </w:r>
            <w:r w:rsidRPr="000A7CD1">
              <w:rPr>
                <w:rFonts w:ascii="Calibri" w:eastAsia="Times New Roman" w:hAnsi="Calibri" w:cs="Calibri"/>
                <w:noProof w:val="0"/>
                <w:color w:val="000000"/>
                <w:lang w:val="en-LS" w:eastAsia="en-LS"/>
              </w:rPr>
              <w:t xml:space="preserve"> UN support on data to the Government of Lesotho should be coordinated and harmonised to “deliver as one.” </w:t>
            </w:r>
          </w:p>
          <w:p w14:paraId="55E0AA75" w14:textId="1F35A211" w:rsidR="002752ED" w:rsidRPr="002752ED" w:rsidRDefault="002752ED" w:rsidP="002752ED">
            <w:pPr>
              <w:pStyle w:val="ListParagraph"/>
              <w:numPr>
                <w:ilvl w:val="0"/>
                <w:numId w:val="10"/>
              </w:numPr>
              <w:spacing w:after="0" w:line="240" w:lineRule="auto"/>
              <w:rPr>
                <w:rFonts w:ascii="Calibri" w:eastAsia="Times New Roman" w:hAnsi="Calibri" w:cs="Calibri"/>
                <w:noProof w:val="0"/>
                <w:color w:val="000000"/>
                <w:lang w:val="en-LS" w:eastAsia="en-LS"/>
              </w:rPr>
            </w:pPr>
            <w:r w:rsidRPr="002752ED">
              <w:rPr>
                <w:rFonts w:ascii="Calibri" w:eastAsia="Times New Roman" w:hAnsi="Calibri" w:cs="Calibri"/>
                <w:noProof w:val="0"/>
                <w:color w:val="000000"/>
                <w:lang w:val="en-LS" w:eastAsia="en-LS"/>
              </w:rPr>
              <w:t xml:space="preserve">It could be a “One Data Strategy for Lesotho,” wherein different agencies contribute technical and financial resources and work to achieve specific areas/results of the strategy. This not only avoids duplication but also saves costs to have a coherent approach and avoid confusion at the government’s end. </w:t>
            </w:r>
          </w:p>
          <w:p w14:paraId="19BDF473" w14:textId="77777777" w:rsidR="002752ED" w:rsidRDefault="002752ED" w:rsidP="002752ED">
            <w:pPr>
              <w:pStyle w:val="ListParagraph"/>
              <w:numPr>
                <w:ilvl w:val="0"/>
                <w:numId w:val="10"/>
              </w:numPr>
              <w:spacing w:after="0" w:line="240" w:lineRule="auto"/>
              <w:rPr>
                <w:rFonts w:ascii="Calibri" w:eastAsia="Times New Roman" w:hAnsi="Calibri" w:cs="Calibri"/>
                <w:noProof w:val="0"/>
                <w:color w:val="000000"/>
                <w:lang w:val="en-LS" w:eastAsia="en-LS"/>
              </w:rPr>
            </w:pPr>
            <w:r w:rsidRPr="002752ED">
              <w:rPr>
                <w:rFonts w:ascii="Calibri" w:eastAsia="Times New Roman" w:hAnsi="Calibri" w:cs="Calibri"/>
                <w:noProof w:val="0"/>
                <w:color w:val="000000"/>
                <w:lang w:val="en-LS" w:eastAsia="en-LS"/>
              </w:rPr>
              <w:t xml:space="preserve">When multiple agencies work with or support the same ministry on data collection there could be </w:t>
            </w:r>
            <w:proofErr w:type="gramStart"/>
            <w:r w:rsidRPr="002752ED">
              <w:rPr>
                <w:rFonts w:ascii="Calibri" w:eastAsia="Times New Roman" w:hAnsi="Calibri" w:cs="Calibri"/>
                <w:noProof w:val="0"/>
                <w:color w:val="000000"/>
                <w:lang w:val="en-LS" w:eastAsia="en-LS"/>
              </w:rPr>
              <w:t>lead</w:t>
            </w:r>
            <w:proofErr w:type="gramEnd"/>
            <w:r w:rsidRPr="002752ED">
              <w:rPr>
                <w:rFonts w:ascii="Calibri" w:eastAsia="Times New Roman" w:hAnsi="Calibri" w:cs="Calibri"/>
                <w:noProof w:val="0"/>
                <w:color w:val="000000"/>
                <w:lang w:val="en-LS" w:eastAsia="en-LS"/>
              </w:rPr>
              <w:t>/co-leads.</w:t>
            </w:r>
          </w:p>
          <w:p w14:paraId="3FFC5211" w14:textId="72148EFA" w:rsidR="002752ED" w:rsidRPr="002752ED" w:rsidRDefault="002752ED" w:rsidP="002752ED">
            <w:pPr>
              <w:pStyle w:val="ListParagraph"/>
              <w:numPr>
                <w:ilvl w:val="0"/>
                <w:numId w:val="10"/>
              </w:numPr>
              <w:spacing w:after="0" w:line="240" w:lineRule="auto"/>
              <w:rPr>
                <w:rFonts w:ascii="Calibri" w:eastAsia="Times New Roman" w:hAnsi="Calibri" w:cs="Calibri"/>
                <w:noProof w:val="0"/>
                <w:color w:val="000000"/>
                <w:lang w:val="en-LS" w:eastAsia="en-LS"/>
              </w:rPr>
            </w:pPr>
            <w:r w:rsidRPr="002752ED">
              <w:rPr>
                <w:rFonts w:ascii="Calibri" w:eastAsia="Times New Roman" w:hAnsi="Calibri" w:cs="Calibri"/>
                <w:noProof w:val="0"/>
                <w:color w:val="000000"/>
                <w:lang w:val="en-LS" w:eastAsia="en-LS"/>
              </w:rPr>
              <w:t>UN agencies should also explore option of “One Fund” mechanism for the country or multi-donor trust fund to improve data and the ecosystem in Lesotho. Funding from bilateral donors (including EU) could be mobilised for improving data availability and improving ecosystem through this one basket fund. (UNDP/UN RCO and UN agencies).</w:t>
            </w:r>
          </w:p>
        </w:tc>
      </w:tr>
      <w:tr w:rsidR="00A4436E" w:rsidRPr="000A7CD1" w14:paraId="2351EC05" w14:textId="77777777" w:rsidTr="00A4436E">
        <w:trPr>
          <w:trHeight w:val="576"/>
        </w:trPr>
        <w:tc>
          <w:tcPr>
            <w:tcW w:w="1557" w:type="pct"/>
            <w:vMerge w:val="restart"/>
            <w:tcBorders>
              <w:top w:val="single" w:sz="12" w:space="0" w:color="auto"/>
              <w:left w:val="single" w:sz="4" w:space="0" w:color="auto"/>
              <w:right w:val="single" w:sz="4" w:space="0" w:color="auto"/>
            </w:tcBorders>
            <w:shd w:val="clear" w:color="auto" w:fill="auto"/>
            <w:vAlign w:val="center"/>
          </w:tcPr>
          <w:p w14:paraId="7278CB3D" w14:textId="1CE55D00" w:rsidR="00B148B8" w:rsidRPr="004C44F4" w:rsidRDefault="00B148B8" w:rsidP="00227EBC">
            <w:pPr>
              <w:pStyle w:val="ListParagraph"/>
              <w:numPr>
                <w:ilvl w:val="1"/>
                <w:numId w:val="25"/>
              </w:numPr>
              <w:spacing w:after="0" w:line="240" w:lineRule="auto"/>
              <w:rPr>
                <w:rFonts w:ascii="Calibri" w:eastAsia="Times New Roman" w:hAnsi="Calibri" w:cs="Calibri"/>
                <w:noProof w:val="0"/>
                <w:color w:val="000000"/>
                <w:lang w:val="en-LS" w:eastAsia="en-LS"/>
              </w:rPr>
            </w:pPr>
            <w:r w:rsidRPr="004C44F4">
              <w:rPr>
                <w:rFonts w:ascii="Calibri" w:eastAsia="Times New Roman" w:hAnsi="Calibri" w:cs="Calibri"/>
                <w:noProof w:val="0"/>
                <w:color w:val="000000"/>
                <w:lang w:val="en-LS" w:eastAsia="en-LS"/>
              </w:rPr>
              <w:t>UNDAF (2019 – 23) identified data as one of the strategic areas for contribution in the implementation of the NSDP and the Agenda 2030</w:t>
            </w:r>
          </w:p>
        </w:tc>
        <w:tc>
          <w:tcPr>
            <w:tcW w:w="1226" w:type="pct"/>
            <w:tcBorders>
              <w:top w:val="single" w:sz="12" w:space="0" w:color="auto"/>
              <w:left w:val="nil"/>
              <w:right w:val="single" w:sz="4" w:space="0" w:color="auto"/>
            </w:tcBorders>
            <w:shd w:val="clear" w:color="auto" w:fill="9CC2E5" w:themeFill="accent5" w:themeFillTint="99"/>
            <w:vAlign w:val="center"/>
            <w:hideMark/>
          </w:tcPr>
          <w:p w14:paraId="1F19D248" w14:textId="1B8DF3B5" w:rsidR="00B148B8" w:rsidRPr="004C44F4" w:rsidRDefault="00B148B8" w:rsidP="00227EBC">
            <w:pPr>
              <w:pStyle w:val="ListParagraph"/>
              <w:numPr>
                <w:ilvl w:val="0"/>
                <w:numId w:val="17"/>
              </w:num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eastAsia="en-LS"/>
              </w:rPr>
              <w:t>Participate and contribute to development of joint</w:t>
            </w:r>
            <w:r w:rsidRPr="004C44F4">
              <w:rPr>
                <w:rFonts w:ascii="Calibri" w:eastAsia="Times New Roman" w:hAnsi="Calibri" w:cs="Calibri"/>
                <w:noProof w:val="0"/>
                <w:color w:val="000000"/>
                <w:lang w:eastAsia="en-LS"/>
              </w:rPr>
              <w:t xml:space="preserve"> </w:t>
            </w:r>
            <w:r>
              <w:rPr>
                <w:rFonts w:ascii="Calibri" w:eastAsia="Times New Roman" w:hAnsi="Calibri" w:cs="Calibri"/>
                <w:noProof w:val="0"/>
                <w:color w:val="000000"/>
                <w:lang w:eastAsia="en-LS"/>
              </w:rPr>
              <w:t xml:space="preserve">UN </w:t>
            </w:r>
            <w:r w:rsidRPr="004C44F4">
              <w:rPr>
                <w:rFonts w:ascii="Calibri" w:eastAsia="Times New Roman" w:hAnsi="Calibri" w:cs="Calibri"/>
                <w:noProof w:val="0"/>
                <w:color w:val="000000"/>
                <w:lang w:eastAsia="en-LS"/>
              </w:rPr>
              <w:t xml:space="preserve">action plans </w:t>
            </w:r>
            <w:r>
              <w:rPr>
                <w:rFonts w:ascii="Calibri" w:eastAsia="Times New Roman" w:hAnsi="Calibri" w:cs="Calibri"/>
                <w:noProof w:val="0"/>
                <w:color w:val="000000"/>
                <w:lang w:eastAsia="en-LS"/>
              </w:rPr>
              <w:t xml:space="preserve">and </w:t>
            </w:r>
            <w:r w:rsidRPr="004C44F4">
              <w:rPr>
                <w:rFonts w:ascii="Calibri" w:eastAsia="Times New Roman" w:hAnsi="Calibri" w:cs="Calibri"/>
                <w:noProof w:val="0"/>
                <w:color w:val="000000"/>
                <w:lang w:eastAsia="en-LS"/>
              </w:rPr>
              <w:t>project</w:t>
            </w:r>
            <w:r>
              <w:rPr>
                <w:rFonts w:ascii="Calibri" w:eastAsia="Times New Roman" w:hAnsi="Calibri" w:cs="Calibri"/>
                <w:noProof w:val="0"/>
                <w:color w:val="000000"/>
                <w:lang w:eastAsia="en-LS"/>
              </w:rPr>
              <w:t xml:space="preserve">s for data and M&amp;E </w:t>
            </w:r>
          </w:p>
        </w:tc>
        <w:tc>
          <w:tcPr>
            <w:tcW w:w="472" w:type="pct"/>
            <w:tcBorders>
              <w:top w:val="single" w:sz="12" w:space="0" w:color="auto"/>
              <w:left w:val="nil"/>
              <w:right w:val="single" w:sz="4" w:space="0" w:color="auto"/>
            </w:tcBorders>
            <w:shd w:val="clear" w:color="auto" w:fill="auto"/>
            <w:vAlign w:val="center"/>
          </w:tcPr>
          <w:p w14:paraId="3CA4D605" w14:textId="526F9892" w:rsidR="00B148B8" w:rsidRPr="000A7CD1" w:rsidRDefault="00B148B8" w:rsidP="002752ED">
            <w:pPr>
              <w:spacing w:after="0" w:line="240" w:lineRule="auto"/>
              <w:rPr>
                <w:rFonts w:ascii="Calibri" w:eastAsia="Times New Roman" w:hAnsi="Calibri" w:cs="Calibri"/>
                <w:noProof w:val="0"/>
                <w:color w:val="000000"/>
                <w:lang w:val="en-LS" w:eastAsia="en-LS"/>
              </w:rPr>
            </w:pPr>
          </w:p>
        </w:tc>
        <w:tc>
          <w:tcPr>
            <w:tcW w:w="377" w:type="pct"/>
            <w:tcBorders>
              <w:top w:val="single" w:sz="12" w:space="0" w:color="auto"/>
              <w:left w:val="nil"/>
              <w:right w:val="single" w:sz="4" w:space="0" w:color="auto"/>
            </w:tcBorders>
            <w:shd w:val="clear" w:color="auto" w:fill="auto"/>
            <w:vAlign w:val="center"/>
            <w:hideMark/>
          </w:tcPr>
          <w:p w14:paraId="1AB34AB2" w14:textId="1D2F2150"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single" w:sz="12" w:space="0" w:color="auto"/>
              <w:left w:val="nil"/>
              <w:bottom w:val="single" w:sz="4" w:space="0" w:color="auto"/>
              <w:right w:val="single" w:sz="4" w:space="0" w:color="auto"/>
            </w:tcBorders>
            <w:shd w:val="clear" w:color="auto" w:fill="auto"/>
            <w:vAlign w:val="center"/>
            <w:hideMark/>
          </w:tcPr>
          <w:p w14:paraId="6B455013"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single" w:sz="12" w:space="0" w:color="auto"/>
              <w:left w:val="nil"/>
              <w:bottom w:val="single" w:sz="4" w:space="0" w:color="auto"/>
              <w:right w:val="single" w:sz="4" w:space="0" w:color="auto"/>
            </w:tcBorders>
            <w:shd w:val="clear" w:color="auto" w:fill="auto"/>
            <w:vAlign w:val="center"/>
            <w:hideMark/>
          </w:tcPr>
          <w:p w14:paraId="5D1DD8B2"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single" w:sz="12" w:space="0" w:color="auto"/>
              <w:left w:val="nil"/>
              <w:bottom w:val="single" w:sz="4" w:space="0" w:color="auto"/>
              <w:right w:val="single" w:sz="4" w:space="0" w:color="auto"/>
            </w:tcBorders>
            <w:shd w:val="clear" w:color="auto" w:fill="auto"/>
            <w:vAlign w:val="center"/>
            <w:hideMark/>
          </w:tcPr>
          <w:p w14:paraId="5D0EFECD"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74EAB1A5" w14:textId="77777777" w:rsidTr="00227EBC">
        <w:trPr>
          <w:trHeight w:val="1986"/>
        </w:trPr>
        <w:tc>
          <w:tcPr>
            <w:tcW w:w="1557" w:type="pct"/>
            <w:vMerge/>
            <w:tcBorders>
              <w:left w:val="single" w:sz="4" w:space="0" w:color="auto"/>
              <w:bottom w:val="single" w:sz="12" w:space="0" w:color="auto"/>
              <w:right w:val="single" w:sz="4" w:space="0" w:color="auto"/>
            </w:tcBorders>
            <w:vAlign w:val="center"/>
            <w:hideMark/>
          </w:tcPr>
          <w:p w14:paraId="3F18515B"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p>
        </w:tc>
        <w:tc>
          <w:tcPr>
            <w:tcW w:w="1226" w:type="pct"/>
            <w:tcBorders>
              <w:top w:val="nil"/>
              <w:left w:val="nil"/>
              <w:bottom w:val="single" w:sz="12" w:space="0" w:color="auto"/>
              <w:right w:val="single" w:sz="4" w:space="0" w:color="auto"/>
            </w:tcBorders>
            <w:shd w:val="clear" w:color="auto" w:fill="auto"/>
            <w:vAlign w:val="center"/>
            <w:hideMark/>
          </w:tcPr>
          <w:p w14:paraId="22F5E302" w14:textId="794B3BDC"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xml:space="preserve">Identify comparative advantages and synergies for on data and M&amp;E for various UN agencies and partners to eliminate duplication and </w:t>
            </w:r>
            <w:r w:rsidRPr="000A7CD1">
              <w:rPr>
                <w:rFonts w:ascii="Calibri" w:eastAsia="Times New Roman" w:hAnsi="Calibri" w:cs="Calibri"/>
                <w:noProof w:val="0"/>
                <w:color w:val="000000"/>
                <w:lang w:val="en-LS" w:eastAsia="en-LS"/>
              </w:rPr>
              <w:t>enhance</w:t>
            </w:r>
            <w:r w:rsidRPr="000A7CD1">
              <w:rPr>
                <w:rFonts w:ascii="Calibri" w:eastAsia="Times New Roman" w:hAnsi="Calibri" w:cs="Calibri"/>
                <w:noProof w:val="0"/>
                <w:color w:val="000000"/>
                <w:lang w:val="en-LS" w:eastAsia="en-LS"/>
              </w:rPr>
              <w:t xml:space="preserve"> coherence of support to the government on data and M&amp;E </w:t>
            </w:r>
          </w:p>
        </w:tc>
        <w:tc>
          <w:tcPr>
            <w:tcW w:w="472" w:type="pct"/>
            <w:tcBorders>
              <w:top w:val="nil"/>
              <w:left w:val="nil"/>
              <w:bottom w:val="single" w:sz="12" w:space="0" w:color="auto"/>
              <w:right w:val="single" w:sz="4" w:space="0" w:color="auto"/>
            </w:tcBorders>
            <w:shd w:val="clear" w:color="auto" w:fill="auto"/>
            <w:vAlign w:val="center"/>
            <w:hideMark/>
          </w:tcPr>
          <w:p w14:paraId="4E127A20"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377" w:type="pct"/>
            <w:tcBorders>
              <w:top w:val="nil"/>
              <w:left w:val="nil"/>
              <w:bottom w:val="single" w:sz="12" w:space="0" w:color="auto"/>
              <w:right w:val="single" w:sz="4" w:space="0" w:color="auto"/>
            </w:tcBorders>
            <w:shd w:val="clear" w:color="auto" w:fill="auto"/>
            <w:vAlign w:val="center"/>
            <w:hideMark/>
          </w:tcPr>
          <w:p w14:paraId="35E3F285"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nil"/>
              <w:left w:val="nil"/>
              <w:bottom w:val="single" w:sz="12" w:space="0" w:color="auto"/>
              <w:right w:val="single" w:sz="4" w:space="0" w:color="auto"/>
            </w:tcBorders>
            <w:shd w:val="clear" w:color="auto" w:fill="auto"/>
            <w:vAlign w:val="center"/>
            <w:hideMark/>
          </w:tcPr>
          <w:p w14:paraId="04DBAA71" w14:textId="79B0ED6B"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12" w:space="0" w:color="auto"/>
              <w:right w:val="single" w:sz="4" w:space="0" w:color="auto"/>
            </w:tcBorders>
            <w:shd w:val="clear" w:color="auto" w:fill="auto"/>
            <w:vAlign w:val="center"/>
            <w:hideMark/>
          </w:tcPr>
          <w:p w14:paraId="7A266785"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12" w:space="0" w:color="auto"/>
              <w:right w:val="single" w:sz="4" w:space="0" w:color="auto"/>
            </w:tcBorders>
            <w:shd w:val="clear" w:color="auto" w:fill="auto"/>
            <w:vAlign w:val="center"/>
            <w:hideMark/>
          </w:tcPr>
          <w:p w14:paraId="2E5E5B8B"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2752ED" w:rsidRPr="000A7CD1" w14:paraId="18CF013E" w14:textId="77777777" w:rsidTr="00A4436E">
        <w:trPr>
          <w:trHeight w:val="420"/>
        </w:trPr>
        <w:tc>
          <w:tcPr>
            <w:tcW w:w="500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5FE2BF3A" w14:textId="7F3396F1" w:rsidR="002752ED" w:rsidRPr="000A7CD1" w:rsidRDefault="002752ED"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b/>
                <w:noProof w:val="0"/>
                <w:color w:val="000000"/>
                <w:lang w:val="en-LS" w:eastAsia="en-LS"/>
              </w:rPr>
              <w:t>Recommendation 7</w:t>
            </w:r>
            <w:r w:rsidRPr="000A7CD1">
              <w:rPr>
                <w:rFonts w:ascii="Calibri" w:eastAsia="Times New Roman" w:hAnsi="Calibri" w:cs="Calibri"/>
                <w:noProof w:val="0"/>
                <w:color w:val="000000"/>
                <w:lang w:val="en-LS" w:eastAsia="en-LS"/>
              </w:rPr>
              <w:t>: Coordination between BOS and DM&amp;E to avoid conflicting priorities and having an advance calendar of events of the Project activities shared with MDAs will help the MDAs to be informed and ensure them to be prepared to nominate appropriate and adequate delegates for participation. This should be done in addition to invitations sent with adequate notice time and not at a day or two before the event.  (BOS/DM&amp;E).</w:t>
            </w:r>
          </w:p>
        </w:tc>
      </w:tr>
      <w:tr w:rsidR="00A4436E" w:rsidRPr="000A7CD1" w14:paraId="54B1EA1A" w14:textId="77777777" w:rsidTr="00227EBC">
        <w:trPr>
          <w:trHeight w:val="1858"/>
        </w:trPr>
        <w:tc>
          <w:tcPr>
            <w:tcW w:w="1557" w:type="pct"/>
            <w:tcBorders>
              <w:top w:val="single" w:sz="12" w:space="0" w:color="auto"/>
              <w:left w:val="single" w:sz="4" w:space="0" w:color="auto"/>
              <w:bottom w:val="single" w:sz="12" w:space="0" w:color="auto"/>
              <w:right w:val="single" w:sz="4" w:space="0" w:color="auto"/>
            </w:tcBorders>
            <w:shd w:val="clear" w:color="auto" w:fill="auto"/>
            <w:vAlign w:val="center"/>
            <w:hideMark/>
          </w:tcPr>
          <w:p w14:paraId="46C0159B"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1226" w:type="pct"/>
            <w:tcBorders>
              <w:top w:val="single" w:sz="12" w:space="0" w:color="auto"/>
              <w:left w:val="nil"/>
              <w:bottom w:val="single" w:sz="12" w:space="0" w:color="auto"/>
              <w:right w:val="single" w:sz="4" w:space="0" w:color="auto"/>
            </w:tcBorders>
            <w:shd w:val="clear" w:color="auto" w:fill="auto"/>
            <w:vAlign w:val="center"/>
            <w:hideMark/>
          </w:tcPr>
          <w:p w14:paraId="5209BD77"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72" w:type="pct"/>
            <w:tcBorders>
              <w:top w:val="single" w:sz="12" w:space="0" w:color="auto"/>
              <w:left w:val="nil"/>
              <w:bottom w:val="single" w:sz="12" w:space="0" w:color="auto"/>
              <w:right w:val="single" w:sz="4" w:space="0" w:color="auto"/>
            </w:tcBorders>
            <w:shd w:val="clear" w:color="auto" w:fill="auto"/>
            <w:vAlign w:val="center"/>
            <w:hideMark/>
          </w:tcPr>
          <w:p w14:paraId="5AB6561F"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2012BF93"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single" w:sz="12" w:space="0" w:color="auto"/>
              <w:left w:val="nil"/>
              <w:bottom w:val="single" w:sz="12" w:space="0" w:color="auto"/>
              <w:right w:val="single" w:sz="4" w:space="0" w:color="auto"/>
            </w:tcBorders>
            <w:shd w:val="clear" w:color="auto" w:fill="auto"/>
            <w:vAlign w:val="center"/>
            <w:hideMark/>
          </w:tcPr>
          <w:p w14:paraId="0A4C3BDA"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single" w:sz="12" w:space="0" w:color="auto"/>
              <w:left w:val="nil"/>
              <w:bottom w:val="single" w:sz="12" w:space="0" w:color="auto"/>
              <w:right w:val="single" w:sz="4" w:space="0" w:color="auto"/>
            </w:tcBorders>
            <w:shd w:val="clear" w:color="auto" w:fill="auto"/>
            <w:vAlign w:val="center"/>
            <w:hideMark/>
          </w:tcPr>
          <w:p w14:paraId="29A0DEAE"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single" w:sz="12" w:space="0" w:color="auto"/>
              <w:left w:val="nil"/>
              <w:bottom w:val="single" w:sz="12" w:space="0" w:color="auto"/>
              <w:right w:val="single" w:sz="4" w:space="0" w:color="auto"/>
            </w:tcBorders>
            <w:shd w:val="clear" w:color="auto" w:fill="auto"/>
            <w:vAlign w:val="center"/>
            <w:hideMark/>
          </w:tcPr>
          <w:p w14:paraId="1B8B93CD"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2752ED" w:rsidRPr="000A7CD1" w14:paraId="4B7DBC6F" w14:textId="77777777" w:rsidTr="00A4436E">
        <w:trPr>
          <w:trHeight w:val="300"/>
        </w:trPr>
        <w:tc>
          <w:tcPr>
            <w:tcW w:w="5000"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74801AA8" w14:textId="77777777" w:rsidR="002752ED" w:rsidRDefault="002752ED"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b/>
                <w:noProof w:val="0"/>
                <w:color w:val="000000"/>
                <w:lang w:val="en-LS" w:eastAsia="en-LS"/>
              </w:rPr>
              <w:t>Recommendation 8:</w:t>
            </w:r>
            <w:r w:rsidRPr="000A7CD1">
              <w:rPr>
                <w:rFonts w:ascii="Calibri" w:eastAsia="Times New Roman" w:hAnsi="Calibri" w:cs="Calibri"/>
                <w:noProof w:val="0"/>
                <w:color w:val="000000"/>
                <w:lang w:val="en-LS" w:eastAsia="en-LS"/>
              </w:rPr>
              <w:t xml:space="preserve"> Continue to use a collaborative approach and modality with ministries to deliver/manage projects including having project coordinators in the ministry, housing the project team in the ministry while making focused efforts to leverage partnership and resources among UN agencies and development partners (including EU) for joint design and delivery of projects to enhance cohesive support in the country. </w:t>
            </w:r>
          </w:p>
          <w:p w14:paraId="55C040AB" w14:textId="7DDF1D79" w:rsidR="002752ED" w:rsidRPr="002752ED" w:rsidRDefault="002752ED" w:rsidP="002752ED">
            <w:pPr>
              <w:pStyle w:val="ListParagraph"/>
              <w:numPr>
                <w:ilvl w:val="0"/>
                <w:numId w:val="11"/>
              </w:numPr>
              <w:spacing w:after="0" w:line="240" w:lineRule="auto"/>
              <w:rPr>
                <w:rFonts w:ascii="Calibri" w:eastAsia="Times New Roman" w:hAnsi="Calibri" w:cs="Calibri"/>
                <w:noProof w:val="0"/>
                <w:color w:val="000000"/>
                <w:lang w:val="en-LS" w:eastAsia="en-LS"/>
              </w:rPr>
            </w:pPr>
            <w:r w:rsidRPr="002752ED">
              <w:rPr>
                <w:rFonts w:ascii="Calibri" w:eastAsia="Times New Roman" w:hAnsi="Calibri" w:cs="Calibri"/>
                <w:noProof w:val="0"/>
                <w:color w:val="000000"/>
                <w:lang w:val="en-LS" w:eastAsia="en-LS"/>
              </w:rPr>
              <w:t xml:space="preserve">Building partnership with </w:t>
            </w:r>
            <w:proofErr w:type="spellStart"/>
            <w:r w:rsidRPr="002752ED">
              <w:rPr>
                <w:rFonts w:ascii="Calibri" w:eastAsia="Times New Roman" w:hAnsi="Calibri" w:cs="Calibri"/>
                <w:noProof w:val="0"/>
                <w:color w:val="000000"/>
                <w:lang w:val="en-LS" w:eastAsia="en-LS"/>
              </w:rPr>
              <w:t>CSOs</w:t>
            </w:r>
            <w:proofErr w:type="spellEnd"/>
            <w:r w:rsidRPr="002752ED">
              <w:rPr>
                <w:rFonts w:ascii="Calibri" w:eastAsia="Times New Roman" w:hAnsi="Calibri" w:cs="Calibri"/>
                <w:noProof w:val="0"/>
                <w:color w:val="000000"/>
                <w:lang w:val="en-LS" w:eastAsia="en-LS"/>
              </w:rPr>
              <w:t xml:space="preserve"> and private sector will bring added value, complementary and synergistic skills and capacities including expertise on new tools and technologies. (UNDP).</w:t>
            </w:r>
          </w:p>
        </w:tc>
      </w:tr>
      <w:tr w:rsidR="00A4436E" w:rsidRPr="000A7CD1" w14:paraId="0F9FDDB0" w14:textId="77777777" w:rsidTr="00227EBC">
        <w:trPr>
          <w:trHeight w:val="1466"/>
        </w:trPr>
        <w:tc>
          <w:tcPr>
            <w:tcW w:w="1557" w:type="pct"/>
            <w:vMerge w:val="restart"/>
            <w:tcBorders>
              <w:top w:val="single" w:sz="12" w:space="0" w:color="auto"/>
              <w:left w:val="single" w:sz="4" w:space="0" w:color="auto"/>
              <w:right w:val="single" w:sz="4" w:space="0" w:color="auto"/>
            </w:tcBorders>
            <w:shd w:val="clear" w:color="auto" w:fill="auto"/>
            <w:vAlign w:val="center"/>
            <w:hideMark/>
          </w:tcPr>
          <w:p w14:paraId="3173D36A" w14:textId="438B34E0" w:rsidR="00B148B8" w:rsidRPr="000A7CD1" w:rsidRDefault="00227EBC" w:rsidP="002752ED">
            <w:pPr>
              <w:spacing w:after="0" w:line="240" w:lineRule="auto"/>
              <w:rPr>
                <w:rFonts w:ascii="Calibri" w:eastAsia="Times New Roman" w:hAnsi="Calibri" w:cs="Calibri"/>
                <w:noProof w:val="0"/>
                <w:color w:val="000000"/>
                <w:lang w:val="en-LS" w:eastAsia="en-LS"/>
              </w:rPr>
            </w:pPr>
            <w:r>
              <w:rPr>
                <w:rFonts w:ascii="Calibri" w:eastAsia="Times New Roman" w:hAnsi="Calibri" w:cs="Calibri"/>
                <w:noProof w:val="0"/>
                <w:color w:val="000000"/>
                <w:lang w:eastAsia="en-LS"/>
              </w:rPr>
              <w:t xml:space="preserve">8.1. </w:t>
            </w:r>
            <w:r w:rsidR="00B148B8" w:rsidRPr="000A7CD1">
              <w:rPr>
                <w:rFonts w:ascii="Calibri" w:eastAsia="Times New Roman" w:hAnsi="Calibri" w:cs="Calibri"/>
                <w:noProof w:val="0"/>
                <w:color w:val="000000"/>
                <w:lang w:val="en-LS" w:eastAsia="en-LS"/>
              </w:rPr>
              <w:t>UNDP (UN) partnership</w:t>
            </w:r>
            <w:bookmarkStart w:id="0" w:name="_GoBack"/>
            <w:bookmarkEnd w:id="0"/>
            <w:r w:rsidR="00B148B8" w:rsidRPr="000A7CD1">
              <w:rPr>
                <w:rFonts w:ascii="Calibri" w:eastAsia="Times New Roman" w:hAnsi="Calibri" w:cs="Calibri"/>
                <w:noProof w:val="0"/>
                <w:color w:val="000000"/>
                <w:lang w:val="en-LS" w:eastAsia="en-LS"/>
              </w:rPr>
              <w:t xml:space="preserve"> strategy recognises the roles of the different stakeholders in </w:t>
            </w:r>
            <w:r w:rsidR="00B148B8" w:rsidRPr="000A7CD1">
              <w:rPr>
                <w:rFonts w:ascii="Calibri" w:eastAsia="Times New Roman" w:hAnsi="Calibri" w:cs="Calibri"/>
                <w:noProof w:val="0"/>
                <w:color w:val="000000"/>
                <w:lang w:val="en-LS" w:eastAsia="en-LS"/>
              </w:rPr>
              <w:t>development and</w:t>
            </w:r>
            <w:r w:rsidR="00B148B8" w:rsidRPr="000A7CD1">
              <w:rPr>
                <w:rFonts w:ascii="Calibri" w:eastAsia="Times New Roman" w:hAnsi="Calibri" w:cs="Calibri"/>
                <w:noProof w:val="0"/>
                <w:color w:val="000000"/>
                <w:lang w:val="en-LS" w:eastAsia="en-LS"/>
              </w:rPr>
              <w:t xml:space="preserve"> continues to seek </w:t>
            </w:r>
            <w:r w:rsidR="00B148B8" w:rsidRPr="000A7CD1">
              <w:rPr>
                <w:rFonts w:ascii="Calibri" w:eastAsia="Times New Roman" w:hAnsi="Calibri" w:cs="Calibri"/>
                <w:noProof w:val="0"/>
                <w:color w:val="000000"/>
                <w:lang w:val="en-LS" w:eastAsia="en-LS"/>
              </w:rPr>
              <w:t>collaboration</w:t>
            </w:r>
            <w:r w:rsidR="00B148B8" w:rsidRPr="000A7CD1">
              <w:rPr>
                <w:rFonts w:ascii="Calibri" w:eastAsia="Times New Roman" w:hAnsi="Calibri" w:cs="Calibri"/>
                <w:noProof w:val="0"/>
                <w:color w:val="000000"/>
                <w:lang w:val="en-LS" w:eastAsia="en-LS"/>
              </w:rPr>
              <w:t xml:space="preserve"> in implementing development projects. </w:t>
            </w:r>
          </w:p>
        </w:tc>
        <w:tc>
          <w:tcPr>
            <w:tcW w:w="1226" w:type="pct"/>
            <w:tcBorders>
              <w:top w:val="single" w:sz="12" w:space="0" w:color="auto"/>
              <w:left w:val="nil"/>
              <w:bottom w:val="single" w:sz="4" w:space="0" w:color="auto"/>
              <w:right w:val="single" w:sz="4" w:space="0" w:color="auto"/>
            </w:tcBorders>
            <w:shd w:val="clear" w:color="auto" w:fill="auto"/>
            <w:vAlign w:val="bottom"/>
            <w:hideMark/>
          </w:tcPr>
          <w:p w14:paraId="43826419" w14:textId="7ADD4FFB"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xml:space="preserve">UNDP is developing its Partnership and </w:t>
            </w:r>
            <w:r w:rsidRPr="000A7CD1">
              <w:rPr>
                <w:rFonts w:ascii="Calibri" w:eastAsia="Times New Roman" w:hAnsi="Calibri" w:cs="Calibri"/>
                <w:noProof w:val="0"/>
                <w:color w:val="000000"/>
                <w:lang w:val="en-LS" w:eastAsia="en-LS"/>
              </w:rPr>
              <w:t>Communications</w:t>
            </w:r>
            <w:r w:rsidRPr="000A7CD1">
              <w:rPr>
                <w:rFonts w:ascii="Calibri" w:eastAsia="Times New Roman" w:hAnsi="Calibri" w:cs="Calibri"/>
                <w:noProof w:val="0"/>
                <w:color w:val="000000"/>
                <w:lang w:val="en-LS" w:eastAsia="en-LS"/>
              </w:rPr>
              <w:t xml:space="preserve"> Action Plan (2019 – 2023) to guide its partnership strategies and engagement.</w:t>
            </w:r>
          </w:p>
        </w:tc>
        <w:tc>
          <w:tcPr>
            <w:tcW w:w="472" w:type="pct"/>
            <w:tcBorders>
              <w:top w:val="single" w:sz="12" w:space="0" w:color="auto"/>
              <w:left w:val="nil"/>
              <w:bottom w:val="single" w:sz="4" w:space="0" w:color="auto"/>
              <w:right w:val="single" w:sz="4" w:space="0" w:color="auto"/>
            </w:tcBorders>
            <w:shd w:val="clear" w:color="auto" w:fill="auto"/>
            <w:vAlign w:val="center"/>
            <w:hideMark/>
          </w:tcPr>
          <w:p w14:paraId="7C46DDB5" w14:textId="7B40EEC6" w:rsidR="00B148B8" w:rsidRPr="000A7CD1" w:rsidRDefault="00B148B8" w:rsidP="002752ED">
            <w:pPr>
              <w:spacing w:after="0" w:line="240" w:lineRule="auto"/>
              <w:rPr>
                <w:rFonts w:ascii="Calibri" w:eastAsia="Times New Roman" w:hAnsi="Calibri" w:cs="Calibri"/>
                <w:noProof w:val="0"/>
                <w:color w:val="000000"/>
                <w:lang w:val="en-US" w:eastAsia="en-LS"/>
              </w:rPr>
            </w:pPr>
            <w:r>
              <w:rPr>
                <w:rFonts w:ascii="Calibri" w:eastAsia="Times New Roman" w:hAnsi="Calibri" w:cs="Calibri"/>
                <w:noProof w:val="0"/>
                <w:color w:val="000000"/>
                <w:lang w:val="en-US" w:eastAsia="en-LS"/>
              </w:rPr>
              <w:t>Dec-2021</w:t>
            </w:r>
          </w:p>
        </w:tc>
        <w:tc>
          <w:tcPr>
            <w:tcW w:w="377" w:type="pct"/>
            <w:tcBorders>
              <w:top w:val="single" w:sz="12" w:space="0" w:color="auto"/>
              <w:left w:val="nil"/>
              <w:bottom w:val="single" w:sz="4" w:space="0" w:color="auto"/>
              <w:right w:val="single" w:sz="4" w:space="0" w:color="auto"/>
            </w:tcBorders>
            <w:shd w:val="clear" w:color="auto" w:fill="auto"/>
            <w:vAlign w:val="center"/>
            <w:hideMark/>
          </w:tcPr>
          <w:p w14:paraId="45B465A9"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single" w:sz="12" w:space="0" w:color="auto"/>
              <w:left w:val="nil"/>
              <w:bottom w:val="single" w:sz="4" w:space="0" w:color="auto"/>
              <w:right w:val="single" w:sz="4" w:space="0" w:color="auto"/>
            </w:tcBorders>
            <w:shd w:val="clear" w:color="auto" w:fill="auto"/>
            <w:vAlign w:val="center"/>
            <w:hideMark/>
          </w:tcPr>
          <w:p w14:paraId="34ACD671"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single" w:sz="12" w:space="0" w:color="auto"/>
              <w:left w:val="nil"/>
              <w:bottom w:val="single" w:sz="4" w:space="0" w:color="auto"/>
              <w:right w:val="single" w:sz="4" w:space="0" w:color="auto"/>
            </w:tcBorders>
            <w:shd w:val="clear" w:color="auto" w:fill="auto"/>
            <w:vAlign w:val="center"/>
            <w:hideMark/>
          </w:tcPr>
          <w:p w14:paraId="65AB82EB"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single" w:sz="12" w:space="0" w:color="auto"/>
              <w:left w:val="nil"/>
              <w:bottom w:val="single" w:sz="4" w:space="0" w:color="auto"/>
              <w:right w:val="single" w:sz="4" w:space="0" w:color="auto"/>
            </w:tcBorders>
            <w:shd w:val="clear" w:color="auto" w:fill="auto"/>
            <w:vAlign w:val="center"/>
            <w:hideMark/>
          </w:tcPr>
          <w:p w14:paraId="7FCA515A"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r w:rsidR="00A4436E" w:rsidRPr="000A7CD1" w14:paraId="6F2524D7" w14:textId="77777777" w:rsidTr="00893CD5">
        <w:trPr>
          <w:trHeight w:val="1595"/>
        </w:trPr>
        <w:tc>
          <w:tcPr>
            <w:tcW w:w="1557" w:type="pct"/>
            <w:vMerge/>
            <w:tcBorders>
              <w:left w:val="single" w:sz="4" w:space="0" w:color="auto"/>
              <w:bottom w:val="single" w:sz="4" w:space="0" w:color="auto"/>
              <w:right w:val="single" w:sz="4" w:space="0" w:color="auto"/>
            </w:tcBorders>
            <w:vAlign w:val="center"/>
            <w:hideMark/>
          </w:tcPr>
          <w:p w14:paraId="73D69447"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p>
        </w:tc>
        <w:tc>
          <w:tcPr>
            <w:tcW w:w="1226" w:type="pct"/>
            <w:tcBorders>
              <w:top w:val="nil"/>
              <w:left w:val="nil"/>
              <w:bottom w:val="single" w:sz="4" w:space="0" w:color="auto"/>
              <w:right w:val="single" w:sz="4" w:space="0" w:color="auto"/>
            </w:tcBorders>
            <w:shd w:val="clear" w:color="auto" w:fill="auto"/>
            <w:vAlign w:val="center"/>
            <w:hideMark/>
          </w:tcPr>
          <w:p w14:paraId="0A036C0C"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eastAsia="en-LS"/>
              </w:rPr>
              <w:t>In collaboration with other UN agencies, UNDP will design follow-up projects to leverage partnerships and resources</w:t>
            </w:r>
          </w:p>
        </w:tc>
        <w:tc>
          <w:tcPr>
            <w:tcW w:w="472" w:type="pct"/>
            <w:tcBorders>
              <w:top w:val="nil"/>
              <w:left w:val="nil"/>
              <w:bottom w:val="single" w:sz="4" w:space="0" w:color="auto"/>
              <w:right w:val="single" w:sz="4" w:space="0" w:color="auto"/>
            </w:tcBorders>
            <w:shd w:val="clear" w:color="auto" w:fill="auto"/>
            <w:vAlign w:val="center"/>
            <w:hideMark/>
          </w:tcPr>
          <w:p w14:paraId="4054C354" w14:textId="3B635235" w:rsidR="00B148B8" w:rsidRPr="000A7CD1" w:rsidRDefault="00B148B8" w:rsidP="002752ED">
            <w:pPr>
              <w:spacing w:after="0" w:line="240" w:lineRule="auto"/>
              <w:rPr>
                <w:rFonts w:ascii="Calibri" w:eastAsia="Times New Roman" w:hAnsi="Calibri" w:cs="Calibri"/>
                <w:noProof w:val="0"/>
                <w:color w:val="000000"/>
                <w:lang w:val="en-US" w:eastAsia="en-LS"/>
              </w:rPr>
            </w:pPr>
            <w:r>
              <w:rPr>
                <w:rFonts w:ascii="Calibri" w:eastAsia="Times New Roman" w:hAnsi="Calibri" w:cs="Calibri"/>
                <w:noProof w:val="0"/>
                <w:color w:val="000000"/>
                <w:lang w:val="en-US" w:eastAsia="en-LS"/>
              </w:rPr>
              <w:t>Dec-2021</w:t>
            </w:r>
          </w:p>
        </w:tc>
        <w:tc>
          <w:tcPr>
            <w:tcW w:w="377" w:type="pct"/>
            <w:tcBorders>
              <w:top w:val="nil"/>
              <w:left w:val="nil"/>
              <w:bottom w:val="single" w:sz="4" w:space="0" w:color="auto"/>
              <w:right w:val="single" w:sz="4" w:space="0" w:color="auto"/>
            </w:tcBorders>
            <w:shd w:val="clear" w:color="auto" w:fill="auto"/>
            <w:vAlign w:val="center"/>
            <w:hideMark/>
          </w:tcPr>
          <w:p w14:paraId="0ED6457C"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689" w:type="pct"/>
            <w:tcBorders>
              <w:top w:val="nil"/>
              <w:left w:val="nil"/>
              <w:bottom w:val="single" w:sz="4" w:space="0" w:color="auto"/>
              <w:right w:val="single" w:sz="4" w:space="0" w:color="auto"/>
            </w:tcBorders>
            <w:shd w:val="clear" w:color="auto" w:fill="auto"/>
            <w:vAlign w:val="center"/>
            <w:hideMark/>
          </w:tcPr>
          <w:p w14:paraId="4D3462F7"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443" w:type="pct"/>
            <w:tcBorders>
              <w:top w:val="nil"/>
              <w:left w:val="nil"/>
              <w:bottom w:val="single" w:sz="4" w:space="0" w:color="auto"/>
              <w:right w:val="single" w:sz="4" w:space="0" w:color="auto"/>
            </w:tcBorders>
            <w:shd w:val="clear" w:color="auto" w:fill="auto"/>
            <w:vAlign w:val="center"/>
            <w:hideMark/>
          </w:tcPr>
          <w:p w14:paraId="6DC56B0E"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c>
          <w:tcPr>
            <w:tcW w:w="236" w:type="pct"/>
            <w:tcBorders>
              <w:top w:val="nil"/>
              <w:left w:val="nil"/>
              <w:bottom w:val="single" w:sz="4" w:space="0" w:color="auto"/>
              <w:right w:val="single" w:sz="4" w:space="0" w:color="auto"/>
            </w:tcBorders>
            <w:shd w:val="clear" w:color="auto" w:fill="auto"/>
            <w:vAlign w:val="center"/>
            <w:hideMark/>
          </w:tcPr>
          <w:p w14:paraId="49A8E34F" w14:textId="77777777" w:rsidR="00B148B8" w:rsidRPr="000A7CD1" w:rsidRDefault="00B148B8" w:rsidP="002752ED">
            <w:pPr>
              <w:spacing w:after="0" w:line="240" w:lineRule="auto"/>
              <w:rPr>
                <w:rFonts w:ascii="Calibri" w:eastAsia="Times New Roman" w:hAnsi="Calibri" w:cs="Calibri"/>
                <w:noProof w:val="0"/>
                <w:color w:val="000000"/>
                <w:lang w:val="en-LS" w:eastAsia="en-LS"/>
              </w:rPr>
            </w:pPr>
            <w:r w:rsidRPr="000A7CD1">
              <w:rPr>
                <w:rFonts w:ascii="Calibri" w:eastAsia="Times New Roman" w:hAnsi="Calibri" w:cs="Calibri"/>
                <w:noProof w:val="0"/>
                <w:color w:val="000000"/>
                <w:lang w:val="en-LS" w:eastAsia="en-LS"/>
              </w:rPr>
              <w:t> </w:t>
            </w:r>
          </w:p>
        </w:tc>
      </w:tr>
    </w:tbl>
    <w:p w14:paraId="3A566760" w14:textId="77777777" w:rsidR="001063E0" w:rsidRDefault="001063E0"/>
    <w:sectPr w:rsidR="001063E0" w:rsidSect="001063E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CC52A" w14:textId="77777777" w:rsidR="00361313" w:rsidRDefault="00361313" w:rsidP="00993779">
      <w:pPr>
        <w:spacing w:after="0" w:line="240" w:lineRule="auto"/>
      </w:pPr>
      <w:r>
        <w:separator/>
      </w:r>
    </w:p>
  </w:endnote>
  <w:endnote w:type="continuationSeparator" w:id="0">
    <w:p w14:paraId="27151EC7" w14:textId="77777777" w:rsidR="00361313" w:rsidRDefault="00361313" w:rsidP="0099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695459456"/>
      <w:docPartObj>
        <w:docPartGallery w:val="Page Numbers (Bottom of Page)"/>
        <w:docPartUnique/>
      </w:docPartObj>
    </w:sdtPr>
    <w:sdtEndPr>
      <w:rPr>
        <w:noProof/>
        <w:color w:val="7F7F7F" w:themeColor="background1" w:themeShade="7F"/>
        <w:spacing w:val="60"/>
      </w:rPr>
    </w:sdtEndPr>
    <w:sdtContent>
      <w:p w14:paraId="780160FE" w14:textId="6BEC8211" w:rsidR="00A531A4" w:rsidRDefault="00A531A4">
        <w:pPr>
          <w:pStyle w:val="Footer"/>
          <w:pBdr>
            <w:top w:val="single" w:sz="4" w:space="1" w:color="D9D9D9" w:themeColor="background1" w:themeShade="D9"/>
          </w:pBdr>
          <w:jc w:val="right"/>
        </w:pPr>
        <w:r>
          <w:rPr>
            <w:noProof w:val="0"/>
          </w:rPr>
          <w:fldChar w:fldCharType="begin"/>
        </w:r>
        <w:r>
          <w:instrText xml:space="preserve"> PAGE   \* MERGEFORMAT </w:instrText>
        </w:r>
        <w:r>
          <w:rPr>
            <w:noProof w:val="0"/>
          </w:rPr>
          <w:fldChar w:fldCharType="separate"/>
        </w:r>
        <w:r>
          <w:t>2</w:t>
        </w:r>
        <w:r>
          <w:fldChar w:fldCharType="end"/>
        </w:r>
        <w:r>
          <w:t xml:space="preserve"> | </w:t>
        </w:r>
        <w:r>
          <w:rPr>
            <w:color w:val="7F7F7F" w:themeColor="background1" w:themeShade="7F"/>
            <w:spacing w:val="60"/>
          </w:rPr>
          <w:t>Page</w:t>
        </w:r>
      </w:p>
    </w:sdtContent>
  </w:sdt>
  <w:p w14:paraId="5956B771" w14:textId="77777777" w:rsidR="00A531A4" w:rsidRDefault="00A5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EFD02" w14:textId="77777777" w:rsidR="00361313" w:rsidRDefault="00361313" w:rsidP="00993779">
      <w:pPr>
        <w:spacing w:after="0" w:line="240" w:lineRule="auto"/>
      </w:pPr>
      <w:r>
        <w:separator/>
      </w:r>
    </w:p>
  </w:footnote>
  <w:footnote w:type="continuationSeparator" w:id="0">
    <w:p w14:paraId="77777BE9" w14:textId="77777777" w:rsidR="00361313" w:rsidRDefault="00361313" w:rsidP="00993779">
      <w:pPr>
        <w:spacing w:after="0" w:line="240" w:lineRule="auto"/>
      </w:pPr>
      <w:r>
        <w:continuationSeparator/>
      </w:r>
    </w:p>
  </w:footnote>
  <w:footnote w:id="1">
    <w:p w14:paraId="15554977" w14:textId="4ED39F1D" w:rsidR="002752ED" w:rsidRPr="00186112" w:rsidRDefault="002752ED">
      <w:pPr>
        <w:pStyle w:val="FootnoteText"/>
        <w:rPr>
          <w:lang w:val="en-US"/>
        </w:rPr>
      </w:pPr>
      <w:r>
        <w:rPr>
          <w:rStyle w:val="FootnoteReference"/>
        </w:rPr>
        <w:footnoteRef/>
      </w:r>
      <w:r>
        <w:t xml:space="preserve"> </w:t>
      </w:r>
      <w:r>
        <w:rPr>
          <w:lang w:val="en-US"/>
        </w:rPr>
        <w:t xml:space="preserve">All management actions were developed in collaboration with the Ministry of Development Planning (DME and BOS)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128D" w14:textId="1A951689" w:rsidR="00993779" w:rsidRDefault="00993779" w:rsidP="00993779">
    <w:pPr>
      <w:pStyle w:val="Header"/>
      <w:ind w:hanging="567"/>
      <w:rPr>
        <w:lang w:val="en-US"/>
      </w:rPr>
    </w:pPr>
    <w:r>
      <w:rPr>
        <w:lang w:val="en-US"/>
      </w:rPr>
      <w:drawing>
        <wp:inline distT="0" distB="0" distL="0" distR="0" wp14:anchorId="5C1F8E28" wp14:editId="419D74E4">
          <wp:extent cx="1186774" cy="1021023"/>
          <wp:effectExtent l="0" t="0" r="0" b="8255"/>
          <wp:docPr id="2" name="Picture 2" descr="Y:\Press &amp; Information\EU logo\EU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 &amp; Information\EU logo\EUlogo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4737" cy="1027874"/>
                  </a:xfrm>
                  <a:prstGeom prst="rect">
                    <a:avLst/>
                  </a:prstGeom>
                  <a:noFill/>
                  <a:ln>
                    <a:noFill/>
                  </a:ln>
                </pic:spPr>
              </pic:pic>
            </a:graphicData>
          </a:graphic>
        </wp:inline>
      </w:drawing>
    </w:r>
    <w:r>
      <w:rPr>
        <w:b/>
        <w:lang w:val="en-US"/>
      </w:rPr>
      <w:drawing>
        <wp:anchor distT="0" distB="0" distL="114300" distR="114300" simplePos="0" relativeHeight="251658240" behindDoc="1" locked="0" layoutInCell="1" allowOverlap="1" wp14:anchorId="58F3E8E7" wp14:editId="7E32EA59">
          <wp:simplePos x="0" y="0"/>
          <wp:positionH relativeFrom="margin">
            <wp:posOffset>8672945</wp:posOffset>
          </wp:positionH>
          <wp:positionV relativeFrom="paragraph">
            <wp:posOffset>6581</wp:posOffset>
          </wp:positionV>
          <wp:extent cx="688340" cy="1513840"/>
          <wp:effectExtent l="0" t="0" r="0" b="0"/>
          <wp:wrapTight wrapText="bothSides">
            <wp:wrapPolygon edited="0">
              <wp:start x="0" y="0"/>
              <wp:lineTo x="0" y="21201"/>
              <wp:lineTo x="20923" y="21201"/>
              <wp:lineTo x="209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lum bright="16000" contrast="-8000"/>
                    <a:extLst>
                      <a:ext uri="{28A0092B-C50C-407E-A947-70E740481C1C}">
                        <a14:useLocalDpi xmlns:a14="http://schemas.microsoft.com/office/drawing/2010/main" val="0"/>
                      </a:ext>
                    </a:extLst>
                  </a:blip>
                  <a:srcRect/>
                  <a:stretch>
                    <a:fillRect/>
                  </a:stretch>
                </pic:blipFill>
                <pic:spPr bwMode="auto">
                  <a:xfrm>
                    <a:off x="0" y="0"/>
                    <a:ext cx="68834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ab/>
      <w:t xml:space="preserve">                                                                                             </w:t>
    </w:r>
    <w:r w:rsidRPr="001B4095">
      <w:rPr>
        <w:lang w:val="en-US"/>
      </w:rPr>
      <w:drawing>
        <wp:inline distT="0" distB="0" distL="0" distR="0" wp14:anchorId="28C39A16" wp14:editId="72FB08D8">
          <wp:extent cx="1157591" cy="1020635"/>
          <wp:effectExtent l="0" t="0" r="5080" b="8255"/>
          <wp:docPr id="23" name="Picture 23" descr="https://upload.wikimedia.org/wikipedia/commons/thumb/8/87/Coats_of_arms_of_Lesotho.svg/2000px-Coats_of_arms_of_Lesoth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7/Coats_of_arms_of_Lesotho.svg/2000px-Coats_of_arms_of_Lesotho.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1180" cy="1032617"/>
                  </a:xfrm>
                  <a:prstGeom prst="rect">
                    <a:avLst/>
                  </a:prstGeom>
                  <a:noFill/>
                  <a:ln>
                    <a:noFill/>
                  </a:ln>
                </pic:spPr>
              </pic:pic>
            </a:graphicData>
          </a:graphic>
        </wp:inline>
      </w:drawing>
    </w:r>
    <w:r>
      <w:rPr>
        <w:lang w:val="en-US"/>
      </w:rPr>
      <w:tab/>
    </w:r>
  </w:p>
  <w:p w14:paraId="648E4A2D" w14:textId="77777777" w:rsidR="003C6BC5" w:rsidRDefault="003C6BC5" w:rsidP="00993779">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B57"/>
    <w:multiLevelType w:val="hybridMultilevel"/>
    <w:tmpl w:val="B1128CAE"/>
    <w:lvl w:ilvl="0" w:tplc="AE0A631E">
      <w:start w:val="1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216C01"/>
    <w:multiLevelType w:val="hybridMultilevel"/>
    <w:tmpl w:val="497C7AC0"/>
    <w:lvl w:ilvl="0" w:tplc="8DAA258E">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4012167"/>
    <w:multiLevelType w:val="hybridMultilevel"/>
    <w:tmpl w:val="35068D32"/>
    <w:lvl w:ilvl="0" w:tplc="51326158">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827AD6"/>
    <w:multiLevelType w:val="hybridMultilevel"/>
    <w:tmpl w:val="1AD6ED00"/>
    <w:lvl w:ilvl="0" w:tplc="51326158">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F8267BE"/>
    <w:multiLevelType w:val="multilevel"/>
    <w:tmpl w:val="674675C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096534"/>
    <w:multiLevelType w:val="multilevel"/>
    <w:tmpl w:val="945867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095014"/>
    <w:multiLevelType w:val="hybridMultilevel"/>
    <w:tmpl w:val="1CE2598C"/>
    <w:lvl w:ilvl="0" w:tplc="51326158">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4E222A2"/>
    <w:multiLevelType w:val="hybridMultilevel"/>
    <w:tmpl w:val="C1207B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B07818"/>
    <w:multiLevelType w:val="multilevel"/>
    <w:tmpl w:val="13B4436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2D3B20"/>
    <w:multiLevelType w:val="multilevel"/>
    <w:tmpl w:val="FFBC56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3F1081"/>
    <w:multiLevelType w:val="multilevel"/>
    <w:tmpl w:val="93EC65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F54B9F"/>
    <w:multiLevelType w:val="multilevel"/>
    <w:tmpl w:val="F7644A28"/>
    <w:lvl w:ilvl="0">
      <w:numFmt w:val="bullet"/>
      <w:lvlText w:val="•"/>
      <w:lvlJc w:val="left"/>
      <w:pPr>
        <w:ind w:left="360" w:hanging="360"/>
      </w:pPr>
      <w:rPr>
        <w:rFonts w:ascii="Calibri" w:eastAsia="Times New Roman" w:hAnsi="Calibri" w:cs="Calibr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ED68A3"/>
    <w:multiLevelType w:val="hybridMultilevel"/>
    <w:tmpl w:val="34748CA0"/>
    <w:lvl w:ilvl="0" w:tplc="AE0A631E">
      <w:start w:val="12"/>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30B37E77"/>
    <w:multiLevelType w:val="hybridMultilevel"/>
    <w:tmpl w:val="D3084FBA"/>
    <w:lvl w:ilvl="0" w:tplc="8DAA258E">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417105E"/>
    <w:multiLevelType w:val="multilevel"/>
    <w:tmpl w:val="40C4EF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C3168FC"/>
    <w:multiLevelType w:val="multilevel"/>
    <w:tmpl w:val="9AF6678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0F61F7"/>
    <w:multiLevelType w:val="multilevel"/>
    <w:tmpl w:val="0C3A58F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FD02DFD"/>
    <w:multiLevelType w:val="multilevel"/>
    <w:tmpl w:val="F7644A28"/>
    <w:lvl w:ilvl="0">
      <w:numFmt w:val="bullet"/>
      <w:lvlText w:val="•"/>
      <w:lvlJc w:val="left"/>
      <w:pPr>
        <w:ind w:left="360" w:hanging="360"/>
      </w:pPr>
      <w:rPr>
        <w:rFonts w:ascii="Calibri" w:eastAsia="Times New Roman" w:hAnsi="Calibri" w:cs="Calibr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1881DA0"/>
    <w:multiLevelType w:val="multilevel"/>
    <w:tmpl w:val="F7644A28"/>
    <w:lvl w:ilvl="0">
      <w:numFmt w:val="bullet"/>
      <w:lvlText w:val="•"/>
      <w:lvlJc w:val="left"/>
      <w:pPr>
        <w:ind w:left="360" w:hanging="360"/>
      </w:pPr>
      <w:rPr>
        <w:rFonts w:ascii="Calibri" w:eastAsia="Times New Roman" w:hAnsi="Calibri" w:cs="Calibr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A7A503D"/>
    <w:multiLevelType w:val="multilevel"/>
    <w:tmpl w:val="01767C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BDC472D"/>
    <w:multiLevelType w:val="hybridMultilevel"/>
    <w:tmpl w:val="7B5C0C32"/>
    <w:lvl w:ilvl="0" w:tplc="51326158">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7962B01"/>
    <w:multiLevelType w:val="hybridMultilevel"/>
    <w:tmpl w:val="0A18964E"/>
    <w:lvl w:ilvl="0" w:tplc="8DAA258E">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AF22224"/>
    <w:multiLevelType w:val="hybridMultilevel"/>
    <w:tmpl w:val="DDAEE4C2"/>
    <w:lvl w:ilvl="0" w:tplc="51326158">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BFA1476"/>
    <w:multiLevelType w:val="multilevel"/>
    <w:tmpl w:val="2EA6F7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1150F77"/>
    <w:multiLevelType w:val="hybridMultilevel"/>
    <w:tmpl w:val="EDA8D224"/>
    <w:lvl w:ilvl="0" w:tplc="51326158">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6"/>
  </w:num>
  <w:num w:numId="5">
    <w:abstractNumId w:val="20"/>
  </w:num>
  <w:num w:numId="6">
    <w:abstractNumId w:val="22"/>
  </w:num>
  <w:num w:numId="7">
    <w:abstractNumId w:val="3"/>
  </w:num>
  <w:num w:numId="8">
    <w:abstractNumId w:val="24"/>
  </w:num>
  <w:num w:numId="9">
    <w:abstractNumId w:val="2"/>
  </w:num>
  <w:num w:numId="10">
    <w:abstractNumId w:val="21"/>
  </w:num>
  <w:num w:numId="11">
    <w:abstractNumId w:val="1"/>
  </w:num>
  <w:num w:numId="12">
    <w:abstractNumId w:val="5"/>
  </w:num>
  <w:num w:numId="13">
    <w:abstractNumId w:val="4"/>
  </w:num>
  <w:num w:numId="14">
    <w:abstractNumId w:val="14"/>
  </w:num>
  <w:num w:numId="15">
    <w:abstractNumId w:val="15"/>
  </w:num>
  <w:num w:numId="16">
    <w:abstractNumId w:val="19"/>
  </w:num>
  <w:num w:numId="17">
    <w:abstractNumId w:val="17"/>
  </w:num>
  <w:num w:numId="18">
    <w:abstractNumId w:val="23"/>
  </w:num>
  <w:num w:numId="19">
    <w:abstractNumId w:val="13"/>
  </w:num>
  <w:num w:numId="20">
    <w:abstractNumId w:val="18"/>
  </w:num>
  <w:num w:numId="21">
    <w:abstractNumId w:val="10"/>
  </w:num>
  <w:num w:numId="22">
    <w:abstractNumId w:val="16"/>
  </w:num>
  <w:num w:numId="23">
    <w:abstractNumId w:val="11"/>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E0"/>
    <w:rsid w:val="000A7CD1"/>
    <w:rsid w:val="001063E0"/>
    <w:rsid w:val="00186112"/>
    <w:rsid w:val="001D435A"/>
    <w:rsid w:val="001E7638"/>
    <w:rsid w:val="00227EBC"/>
    <w:rsid w:val="00255F16"/>
    <w:rsid w:val="002608DA"/>
    <w:rsid w:val="002752ED"/>
    <w:rsid w:val="0029583F"/>
    <w:rsid w:val="002B1CFD"/>
    <w:rsid w:val="00335877"/>
    <w:rsid w:val="0034082F"/>
    <w:rsid w:val="00361313"/>
    <w:rsid w:val="00373704"/>
    <w:rsid w:val="00377EF4"/>
    <w:rsid w:val="003A0D68"/>
    <w:rsid w:val="003A7A53"/>
    <w:rsid w:val="003C6BC5"/>
    <w:rsid w:val="00431602"/>
    <w:rsid w:val="00450D00"/>
    <w:rsid w:val="004519C4"/>
    <w:rsid w:val="004B0228"/>
    <w:rsid w:val="004C1088"/>
    <w:rsid w:val="004C44F4"/>
    <w:rsid w:val="004F6160"/>
    <w:rsid w:val="0050449C"/>
    <w:rsid w:val="00511FD8"/>
    <w:rsid w:val="005176CB"/>
    <w:rsid w:val="005359AD"/>
    <w:rsid w:val="00591CB2"/>
    <w:rsid w:val="005B6F27"/>
    <w:rsid w:val="005E57FD"/>
    <w:rsid w:val="005F6164"/>
    <w:rsid w:val="006044ED"/>
    <w:rsid w:val="006869AF"/>
    <w:rsid w:val="006A09AA"/>
    <w:rsid w:val="006A192E"/>
    <w:rsid w:val="006B5603"/>
    <w:rsid w:val="007172D8"/>
    <w:rsid w:val="00753AA6"/>
    <w:rsid w:val="007674D8"/>
    <w:rsid w:val="007A725E"/>
    <w:rsid w:val="007F626D"/>
    <w:rsid w:val="00840E88"/>
    <w:rsid w:val="00842D95"/>
    <w:rsid w:val="00853DBA"/>
    <w:rsid w:val="00893CD5"/>
    <w:rsid w:val="008F0EB6"/>
    <w:rsid w:val="00915E1D"/>
    <w:rsid w:val="009618D7"/>
    <w:rsid w:val="00972039"/>
    <w:rsid w:val="0099373A"/>
    <w:rsid w:val="00993779"/>
    <w:rsid w:val="009B1D48"/>
    <w:rsid w:val="009C7109"/>
    <w:rsid w:val="009D4219"/>
    <w:rsid w:val="00A4436E"/>
    <w:rsid w:val="00A531A4"/>
    <w:rsid w:val="00AB58E6"/>
    <w:rsid w:val="00AF4C45"/>
    <w:rsid w:val="00B046C1"/>
    <w:rsid w:val="00B148B8"/>
    <w:rsid w:val="00B36A2B"/>
    <w:rsid w:val="00BB626B"/>
    <w:rsid w:val="00BC1F06"/>
    <w:rsid w:val="00C16E0C"/>
    <w:rsid w:val="00C43109"/>
    <w:rsid w:val="00CE2003"/>
    <w:rsid w:val="00D47FE6"/>
    <w:rsid w:val="00D849F2"/>
    <w:rsid w:val="00D857E6"/>
    <w:rsid w:val="00DB15D5"/>
    <w:rsid w:val="00DC4AAD"/>
    <w:rsid w:val="00DF2278"/>
    <w:rsid w:val="00DF3324"/>
    <w:rsid w:val="00E65B2F"/>
    <w:rsid w:val="00E854F6"/>
    <w:rsid w:val="00F24F5D"/>
    <w:rsid w:val="00F35CB6"/>
    <w:rsid w:val="00F667FD"/>
    <w:rsid w:val="00F9793A"/>
    <w:rsid w:val="00FE6AAB"/>
  </w:rsids>
  <m:mathPr>
    <m:mathFont m:val="Cambria Math"/>
    <m:brkBin m:val="before"/>
    <m:brkBinSub m:val="--"/>
    <m:smallFrac m:val="0"/>
    <m:dispDef/>
    <m:lMargin m:val="0"/>
    <m:rMargin m:val="0"/>
    <m:defJc m:val="centerGroup"/>
    <m:wrapIndent m:val="1440"/>
    <m:intLim m:val="subSup"/>
    <m:naryLim m:val="undOvr"/>
  </m:mathPr>
  <w:themeFontLang w:val="en-L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00A1"/>
  <w15:docId w15:val="{93D32D1F-EE4F-437F-A1A3-0FC3F31E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IBody">
    <w:name w:val="GGI Body"/>
    <w:basedOn w:val="Normal"/>
    <w:uiPriority w:val="1"/>
    <w:qFormat/>
    <w:rsid w:val="001063E0"/>
    <w:pPr>
      <w:spacing w:before="40" w:after="200" w:line="288" w:lineRule="auto"/>
    </w:pPr>
    <w:rPr>
      <w:rFonts w:ascii="Cambria" w:eastAsia="Cambria" w:hAnsi="Cambria" w:cs="Times New Roman"/>
      <w:noProof w:val="0"/>
      <w:lang w:val="en-US" w:eastAsia="ja-JP"/>
    </w:rPr>
  </w:style>
  <w:style w:type="paragraph" w:styleId="ListParagraph">
    <w:name w:val="List Paragraph"/>
    <w:basedOn w:val="Normal"/>
    <w:uiPriority w:val="34"/>
    <w:qFormat/>
    <w:rsid w:val="006869AF"/>
    <w:pPr>
      <w:ind w:left="720"/>
      <w:contextualSpacing/>
    </w:pPr>
  </w:style>
  <w:style w:type="paragraph" w:styleId="BalloonText">
    <w:name w:val="Balloon Text"/>
    <w:basedOn w:val="Normal"/>
    <w:link w:val="BalloonTextChar"/>
    <w:uiPriority w:val="99"/>
    <w:semiHidden/>
    <w:unhideWhenUsed/>
    <w:rsid w:val="00CE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03"/>
    <w:rPr>
      <w:rFonts w:ascii="Tahoma" w:hAnsi="Tahoma" w:cs="Tahoma"/>
      <w:noProof/>
      <w:sz w:val="16"/>
      <w:szCs w:val="16"/>
      <w:lang w:val="en-GB"/>
    </w:rPr>
  </w:style>
  <w:style w:type="paragraph" w:styleId="Header">
    <w:name w:val="header"/>
    <w:basedOn w:val="Normal"/>
    <w:link w:val="HeaderChar"/>
    <w:uiPriority w:val="99"/>
    <w:unhideWhenUsed/>
    <w:rsid w:val="0099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779"/>
    <w:rPr>
      <w:noProof/>
      <w:lang w:val="en-GB"/>
    </w:rPr>
  </w:style>
  <w:style w:type="paragraph" w:styleId="Footer">
    <w:name w:val="footer"/>
    <w:basedOn w:val="Normal"/>
    <w:link w:val="FooterChar"/>
    <w:uiPriority w:val="99"/>
    <w:unhideWhenUsed/>
    <w:rsid w:val="00993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779"/>
    <w:rPr>
      <w:noProof/>
      <w:lang w:val="en-GB"/>
    </w:rPr>
  </w:style>
  <w:style w:type="paragraph" w:styleId="FootnoteText">
    <w:name w:val="footnote text"/>
    <w:basedOn w:val="Normal"/>
    <w:link w:val="FootnoteTextChar"/>
    <w:uiPriority w:val="99"/>
    <w:semiHidden/>
    <w:unhideWhenUsed/>
    <w:rsid w:val="00186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112"/>
    <w:rPr>
      <w:noProof/>
      <w:sz w:val="20"/>
      <w:szCs w:val="20"/>
      <w:lang w:val="en-GB"/>
    </w:rPr>
  </w:style>
  <w:style w:type="character" w:styleId="FootnoteReference">
    <w:name w:val="footnote reference"/>
    <w:basedOn w:val="DefaultParagraphFont"/>
    <w:uiPriority w:val="99"/>
    <w:semiHidden/>
    <w:unhideWhenUsed/>
    <w:rsid w:val="0018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0BB5-B61A-4C13-A020-79798DD1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8</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Mabulara Tsuene</dc:creator>
  <cp:lastModifiedBy>Mabulara Tsuene</cp:lastModifiedBy>
  <cp:revision>55</cp:revision>
  <dcterms:created xsi:type="dcterms:W3CDTF">2019-11-24T22:37:00Z</dcterms:created>
  <dcterms:modified xsi:type="dcterms:W3CDTF">2020-01-20T12:17:00Z</dcterms:modified>
</cp:coreProperties>
</file>