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DB00" w14:textId="1D46FA71" w:rsidR="00D13B5B" w:rsidRPr="003F4F09" w:rsidRDefault="00D13B5B" w:rsidP="001C0D5B">
      <w:pPr>
        <w:spacing w:after="0"/>
        <w:jc w:val="center"/>
        <w:rPr>
          <w:rFonts w:eastAsia="Times New Roman"/>
          <w:sz w:val="24"/>
          <w:lang w:eastAsia="fr-FR"/>
        </w:rPr>
      </w:pPr>
      <w:r w:rsidRPr="003F4F09">
        <w:rPr>
          <w:rFonts w:eastAsia="Times New Roman"/>
          <w:b/>
          <w:bCs/>
          <w:sz w:val="24"/>
          <w:lang w:eastAsia="fr-FR"/>
        </w:rPr>
        <w:t xml:space="preserve">Réponse </w:t>
      </w:r>
      <w:r w:rsidR="003F4F09" w:rsidRPr="003F4F09">
        <w:rPr>
          <w:rFonts w:eastAsia="Times New Roman"/>
          <w:b/>
          <w:bCs/>
          <w:sz w:val="24"/>
          <w:lang w:eastAsia="fr-FR"/>
        </w:rPr>
        <w:t>du PNUD aux recommandations</w:t>
      </w:r>
      <w:r w:rsidR="00A83B76">
        <w:rPr>
          <w:rFonts w:eastAsia="Times New Roman"/>
          <w:b/>
          <w:bCs/>
          <w:sz w:val="24"/>
          <w:lang w:eastAsia="fr-FR"/>
        </w:rPr>
        <w:t xml:space="preserve"> faites sur l’évaluation du projet </w:t>
      </w:r>
      <w:r w:rsidR="00386EDE">
        <w:rPr>
          <w:rFonts w:eastAsia="Times New Roman"/>
          <w:b/>
          <w:bCs/>
          <w:sz w:val="24"/>
          <w:lang w:eastAsia="fr-FR"/>
        </w:rPr>
        <w:t>HCRUN</w:t>
      </w:r>
    </w:p>
    <w:p w14:paraId="5A127FDF" w14:textId="5E034368" w:rsidR="00D13B5B" w:rsidRPr="004A2DA1" w:rsidRDefault="003F4F09" w:rsidP="00280C5B">
      <w:pPr>
        <w:rPr>
          <w:rFonts w:eastAsia="Times New Roman"/>
          <w:sz w:val="24"/>
          <w:lang w:eastAsia="fr-FR"/>
        </w:rPr>
      </w:pPr>
      <w:r>
        <w:rPr>
          <w:rFonts w:eastAsia="Times New Roman"/>
          <w:b/>
          <w:bCs/>
          <w:sz w:val="24"/>
          <w:lang w:eastAsia="fr-FR"/>
        </w:rPr>
        <w:t>M</w:t>
      </w:r>
      <w:r w:rsidR="004A2DA1" w:rsidRPr="004A2DA1">
        <w:rPr>
          <w:rFonts w:eastAsia="Times New Roman"/>
          <w:b/>
          <w:bCs/>
          <w:sz w:val="24"/>
          <w:lang w:eastAsia="fr-FR"/>
        </w:rPr>
        <w:t xml:space="preserve">anagement </w:t>
      </w:r>
      <w:r w:rsidR="00A4000C" w:rsidRPr="004A2DA1">
        <w:rPr>
          <w:rFonts w:eastAsia="Times New Roman"/>
          <w:b/>
          <w:bCs/>
          <w:sz w:val="24"/>
          <w:lang w:eastAsia="fr-FR"/>
        </w:rPr>
        <w:t>réponse</w:t>
      </w:r>
      <w:r w:rsidR="004A2DA1" w:rsidRPr="004A2DA1">
        <w:rPr>
          <w:rFonts w:eastAsia="Times New Roman"/>
          <w:b/>
          <w:bCs/>
          <w:sz w:val="24"/>
          <w:lang w:eastAsia="fr-FR"/>
        </w:rPr>
        <w:t xml:space="preserve"> des recommandations</w:t>
      </w:r>
    </w:p>
    <w:tbl>
      <w:tblPr>
        <w:tblpPr w:leftFromText="180" w:rightFromText="180" w:vertAnchor="text" w:horzAnchor="margin" w:tblpX="-204" w:tblpY="15"/>
        <w:tblW w:w="14119" w:type="dxa"/>
        <w:tblLayout w:type="fixed"/>
        <w:tblCellMar>
          <w:left w:w="0" w:type="dxa"/>
          <w:right w:w="0" w:type="dxa"/>
        </w:tblCellMar>
        <w:tblLook w:val="0000" w:firstRow="0" w:lastRow="0" w:firstColumn="0" w:lastColumn="0" w:noHBand="0" w:noVBand="0"/>
      </w:tblPr>
      <w:tblGrid>
        <w:gridCol w:w="5589"/>
        <w:gridCol w:w="2623"/>
        <w:gridCol w:w="2348"/>
        <w:gridCol w:w="1351"/>
        <w:gridCol w:w="2208"/>
      </w:tblGrid>
      <w:tr w:rsidR="00A83B76" w:rsidRPr="008E2EB0" w14:paraId="2169B402" w14:textId="77777777" w:rsidTr="00AD3ABD">
        <w:trPr>
          <w:trHeight w:val="332"/>
        </w:trPr>
        <w:tc>
          <w:tcPr>
            <w:tcW w:w="5589" w:type="dxa"/>
            <w:vMerge w:val="restart"/>
            <w:tcBorders>
              <w:top w:val="single" w:sz="8" w:space="0" w:color="auto"/>
              <w:left w:val="single" w:sz="8" w:space="0" w:color="auto"/>
              <w:bottom w:val="double" w:sz="12" w:space="0" w:color="auto"/>
              <w:right w:val="double" w:sz="4" w:space="0" w:color="auto"/>
            </w:tcBorders>
            <w:shd w:val="clear" w:color="auto" w:fill="C0C0C0"/>
            <w:tcMar>
              <w:top w:w="0" w:type="dxa"/>
              <w:left w:w="108" w:type="dxa"/>
              <w:bottom w:w="0" w:type="dxa"/>
              <w:right w:w="108" w:type="dxa"/>
            </w:tcMar>
            <w:vAlign w:val="center"/>
          </w:tcPr>
          <w:p w14:paraId="12C0829A" w14:textId="77777777" w:rsidR="00A83B76" w:rsidRPr="008E2EB0" w:rsidRDefault="00A83B76" w:rsidP="008E2EB0">
            <w:pPr>
              <w:spacing w:after="0" w:line="240" w:lineRule="auto"/>
              <w:rPr>
                <w:rFonts w:eastAsia="Times New Roman"/>
                <w:sz w:val="24"/>
                <w:szCs w:val="24"/>
                <w:lang w:eastAsia="fr-FR"/>
              </w:rPr>
            </w:pPr>
            <w:r>
              <w:rPr>
                <w:rFonts w:eastAsia="Times New Roman"/>
                <w:b/>
                <w:bCs/>
                <w:sz w:val="24"/>
                <w:szCs w:val="24"/>
                <w:lang w:eastAsia="fr-FR"/>
              </w:rPr>
              <w:t>R</w:t>
            </w:r>
            <w:r w:rsidRPr="008E2EB0">
              <w:rPr>
                <w:rFonts w:eastAsia="Times New Roman"/>
                <w:b/>
                <w:bCs/>
                <w:sz w:val="24"/>
                <w:szCs w:val="24"/>
                <w:lang w:eastAsia="fr-FR"/>
              </w:rPr>
              <w:t xml:space="preserve">ecommandations </w:t>
            </w:r>
          </w:p>
        </w:tc>
        <w:tc>
          <w:tcPr>
            <w:tcW w:w="8530" w:type="dxa"/>
            <w:gridSpan w:val="4"/>
            <w:tcBorders>
              <w:top w:val="single" w:sz="8" w:space="0" w:color="auto"/>
              <w:left w:val="nil"/>
              <w:bottom w:val="single" w:sz="8" w:space="0" w:color="auto"/>
              <w:right w:val="double" w:sz="4" w:space="0" w:color="auto"/>
            </w:tcBorders>
            <w:shd w:val="clear" w:color="auto" w:fill="C0C0C0"/>
            <w:tcMar>
              <w:top w:w="0" w:type="dxa"/>
              <w:left w:w="108" w:type="dxa"/>
              <w:bottom w:w="0" w:type="dxa"/>
              <w:right w:w="108" w:type="dxa"/>
            </w:tcMar>
            <w:vAlign w:val="center"/>
          </w:tcPr>
          <w:p w14:paraId="7E5F19B2" w14:textId="77777777" w:rsidR="00A83B76" w:rsidRPr="008E2EB0" w:rsidRDefault="00A83B76" w:rsidP="008E2EB0">
            <w:pPr>
              <w:spacing w:after="0" w:line="240" w:lineRule="auto"/>
              <w:jc w:val="center"/>
              <w:rPr>
                <w:rFonts w:eastAsia="Times New Roman"/>
                <w:sz w:val="24"/>
                <w:szCs w:val="24"/>
                <w:lang w:eastAsia="fr-FR"/>
              </w:rPr>
            </w:pPr>
            <w:r w:rsidRPr="008E2EB0">
              <w:rPr>
                <w:rFonts w:eastAsia="Times New Roman"/>
                <w:b/>
                <w:bCs/>
                <w:sz w:val="24"/>
                <w:szCs w:val="24"/>
                <w:lang w:eastAsia="fr-FR"/>
              </w:rPr>
              <w:t>*Réponse de l’administration</w:t>
            </w:r>
          </w:p>
        </w:tc>
      </w:tr>
      <w:tr w:rsidR="00A83B76" w:rsidRPr="008E2EB0" w14:paraId="10AE0A77" w14:textId="77777777" w:rsidTr="003729CE">
        <w:trPr>
          <w:trHeight w:val="603"/>
        </w:trPr>
        <w:tc>
          <w:tcPr>
            <w:tcW w:w="5589" w:type="dxa"/>
            <w:vMerge/>
            <w:tcBorders>
              <w:top w:val="single" w:sz="8" w:space="0" w:color="auto"/>
              <w:left w:val="single" w:sz="8" w:space="0" w:color="auto"/>
              <w:bottom w:val="single" w:sz="4" w:space="0" w:color="auto"/>
              <w:right w:val="double" w:sz="4" w:space="0" w:color="auto"/>
            </w:tcBorders>
            <w:vAlign w:val="center"/>
          </w:tcPr>
          <w:p w14:paraId="6F2B6B65" w14:textId="77777777" w:rsidR="00A83B76" w:rsidRPr="008E2EB0" w:rsidRDefault="00A83B76" w:rsidP="008E2EB0">
            <w:pPr>
              <w:spacing w:after="0" w:line="240" w:lineRule="auto"/>
              <w:rPr>
                <w:rFonts w:eastAsia="Times New Roman"/>
                <w:sz w:val="24"/>
                <w:szCs w:val="24"/>
                <w:lang w:eastAsia="fr-FR"/>
              </w:rPr>
            </w:pPr>
          </w:p>
        </w:tc>
        <w:tc>
          <w:tcPr>
            <w:tcW w:w="2623" w:type="dxa"/>
            <w:tcBorders>
              <w:top w:val="nil"/>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6FC3E425" w14:textId="77777777" w:rsidR="00A83B76" w:rsidRPr="008E2EB0" w:rsidRDefault="00A83B76" w:rsidP="008E2EB0">
            <w:pPr>
              <w:spacing w:after="0" w:line="240" w:lineRule="auto"/>
              <w:jc w:val="center"/>
              <w:rPr>
                <w:rFonts w:eastAsia="Times New Roman"/>
                <w:sz w:val="24"/>
                <w:szCs w:val="24"/>
                <w:lang w:eastAsia="fr-FR"/>
              </w:rPr>
            </w:pPr>
            <w:r w:rsidRPr="008E2EB0">
              <w:rPr>
                <w:rFonts w:eastAsia="Times New Roman"/>
                <w:b/>
                <w:bCs/>
                <w:sz w:val="24"/>
                <w:szCs w:val="24"/>
                <w:lang w:eastAsia="fr-FR"/>
              </w:rPr>
              <w:t>Réponse</w:t>
            </w:r>
            <w:r>
              <w:rPr>
                <w:rFonts w:eastAsia="Times New Roman"/>
                <w:b/>
                <w:bCs/>
                <w:sz w:val="24"/>
                <w:szCs w:val="24"/>
                <w:lang w:eastAsia="fr-FR"/>
              </w:rPr>
              <w:t xml:space="preserve"> </w:t>
            </w:r>
          </w:p>
        </w:tc>
        <w:tc>
          <w:tcPr>
            <w:tcW w:w="2348" w:type="dxa"/>
            <w:tcBorders>
              <w:top w:val="nil"/>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4914535B" w14:textId="77777777" w:rsidR="00A83B76" w:rsidRPr="008E2EB0" w:rsidRDefault="00A83B76" w:rsidP="008E2EB0">
            <w:pPr>
              <w:spacing w:after="0" w:line="240" w:lineRule="auto"/>
              <w:jc w:val="center"/>
              <w:rPr>
                <w:rFonts w:eastAsia="Times New Roman"/>
                <w:sz w:val="24"/>
                <w:szCs w:val="24"/>
                <w:lang w:eastAsia="fr-FR"/>
              </w:rPr>
            </w:pPr>
            <w:r w:rsidRPr="008E2EB0">
              <w:rPr>
                <w:rFonts w:eastAsia="Times New Roman"/>
                <w:b/>
                <w:bCs/>
                <w:sz w:val="24"/>
                <w:szCs w:val="24"/>
                <w:lang w:eastAsia="fr-FR"/>
              </w:rPr>
              <w:t>Actions principales</w:t>
            </w:r>
          </w:p>
        </w:tc>
        <w:tc>
          <w:tcPr>
            <w:tcW w:w="1351" w:type="dxa"/>
            <w:tcBorders>
              <w:top w:val="nil"/>
              <w:left w:val="nil"/>
              <w:bottom w:val="single" w:sz="4" w:space="0" w:color="auto"/>
              <w:right w:val="single" w:sz="8" w:space="0" w:color="auto"/>
            </w:tcBorders>
            <w:shd w:val="clear" w:color="auto" w:fill="E6E6E6"/>
            <w:tcMar>
              <w:top w:w="0" w:type="dxa"/>
              <w:left w:w="108" w:type="dxa"/>
              <w:bottom w:w="0" w:type="dxa"/>
              <w:right w:w="108" w:type="dxa"/>
            </w:tcMar>
            <w:vAlign w:val="center"/>
          </w:tcPr>
          <w:p w14:paraId="2BCEA3E6" w14:textId="77777777" w:rsidR="00A83B76" w:rsidRPr="008E2EB0" w:rsidRDefault="00A83B76" w:rsidP="008E2EB0">
            <w:pPr>
              <w:spacing w:after="0" w:line="240" w:lineRule="auto"/>
              <w:jc w:val="center"/>
              <w:rPr>
                <w:rFonts w:eastAsia="Times New Roman"/>
                <w:sz w:val="24"/>
                <w:szCs w:val="24"/>
                <w:lang w:eastAsia="fr-FR"/>
              </w:rPr>
            </w:pPr>
            <w:r>
              <w:rPr>
                <w:rFonts w:eastAsia="Times New Roman"/>
                <w:b/>
                <w:bCs/>
                <w:sz w:val="24"/>
                <w:szCs w:val="24"/>
                <w:lang w:eastAsia="fr-FR"/>
              </w:rPr>
              <w:t>Délai de mise en œuvre</w:t>
            </w:r>
            <w:r w:rsidRPr="008E2EB0">
              <w:rPr>
                <w:rFonts w:eastAsia="Times New Roman"/>
                <w:b/>
                <w:bCs/>
                <w:sz w:val="24"/>
                <w:szCs w:val="24"/>
                <w:lang w:eastAsia="fr-FR"/>
              </w:rPr>
              <w:t xml:space="preserve"> </w:t>
            </w:r>
          </w:p>
        </w:tc>
        <w:tc>
          <w:tcPr>
            <w:tcW w:w="2208" w:type="dxa"/>
            <w:tcBorders>
              <w:top w:val="nil"/>
              <w:left w:val="nil"/>
              <w:bottom w:val="single" w:sz="4" w:space="0" w:color="auto"/>
              <w:right w:val="double" w:sz="4" w:space="0" w:color="auto"/>
            </w:tcBorders>
            <w:shd w:val="clear" w:color="auto" w:fill="E6E6E6"/>
            <w:tcMar>
              <w:top w:w="0" w:type="dxa"/>
              <w:left w:w="108" w:type="dxa"/>
              <w:bottom w:w="0" w:type="dxa"/>
              <w:right w:w="108" w:type="dxa"/>
            </w:tcMar>
            <w:vAlign w:val="center"/>
          </w:tcPr>
          <w:p w14:paraId="3172803A" w14:textId="77777777" w:rsidR="00A83B76" w:rsidRPr="008E2EB0" w:rsidRDefault="00A83B76" w:rsidP="00237B7F">
            <w:pPr>
              <w:spacing w:after="0" w:line="240" w:lineRule="auto"/>
              <w:rPr>
                <w:rFonts w:eastAsia="Times New Roman"/>
                <w:sz w:val="24"/>
                <w:szCs w:val="24"/>
                <w:lang w:eastAsia="fr-FR"/>
              </w:rPr>
            </w:pPr>
            <w:r w:rsidRPr="008E2EB0">
              <w:rPr>
                <w:rFonts w:eastAsia="Times New Roman"/>
                <w:b/>
                <w:bCs/>
                <w:sz w:val="24"/>
                <w:szCs w:val="24"/>
                <w:lang w:eastAsia="fr-FR"/>
              </w:rPr>
              <w:t>Unité</w:t>
            </w:r>
            <w:r>
              <w:rPr>
                <w:rFonts w:eastAsia="Times New Roman"/>
                <w:b/>
                <w:bCs/>
                <w:sz w:val="24"/>
                <w:szCs w:val="24"/>
                <w:lang w:eastAsia="fr-FR"/>
              </w:rPr>
              <w:t xml:space="preserve"> Responsable</w:t>
            </w:r>
            <w:r w:rsidRPr="008E2EB0">
              <w:rPr>
                <w:rFonts w:eastAsia="Times New Roman"/>
                <w:b/>
                <w:bCs/>
                <w:sz w:val="24"/>
                <w:szCs w:val="24"/>
                <w:lang w:eastAsia="fr-FR"/>
              </w:rPr>
              <w:t xml:space="preserve"> </w:t>
            </w:r>
          </w:p>
        </w:tc>
      </w:tr>
      <w:tr w:rsidR="003729CE" w:rsidRPr="00BC0163" w14:paraId="2D91F805" w14:textId="77777777" w:rsidTr="00194E77">
        <w:trPr>
          <w:trHeight w:val="1948"/>
        </w:trPr>
        <w:tc>
          <w:tcPr>
            <w:tcW w:w="5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41F17" w14:textId="6F2EFD2D" w:rsidR="003729CE" w:rsidRPr="00BC0163" w:rsidRDefault="003729CE" w:rsidP="003729CE">
            <w:pPr>
              <w:jc w:val="both"/>
              <w:rPr>
                <w:rFonts w:ascii="Times New Roman" w:hAnsi="Times New Roman"/>
              </w:rPr>
            </w:pPr>
            <w:r w:rsidRPr="00534127">
              <w:rPr>
                <w:rFonts w:ascii="Garamond" w:hAnsi="Garamond"/>
                <w:bCs/>
                <w:lang w:val="fr-CA"/>
              </w:rPr>
              <w:t>Mettre en place un Plan d’action stratégique triennal basé sur les indicateurs précis, avec des cibles spécifiques et des moyens de vérification interne. Fondé sur le modèle Pareto, les principes de la</w:t>
            </w:r>
            <w:r w:rsidRPr="00534127">
              <w:rPr>
                <w:rFonts w:ascii="Garamond" w:hAnsi="Garamond"/>
                <w:lang w:val="fr-CA"/>
              </w:rPr>
              <w:t xml:space="preserve"> théorie du changement, la gestion axée vers les résultats incluant un plan d’action stratégique servira de cadre directeur aux Plans de travail annuel (PTA).</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1518D" w14:textId="77777777" w:rsidR="003729CE" w:rsidRDefault="003729CE" w:rsidP="003729CE">
            <w:pPr>
              <w:rPr>
                <w:rFonts w:ascii="Times New Roman" w:eastAsia="Times New Roman" w:hAnsi="Times New Roman"/>
                <w:sz w:val="24"/>
                <w:szCs w:val="24"/>
                <w:lang w:eastAsia="fr-FR"/>
              </w:rPr>
            </w:pPr>
            <w:r>
              <w:rPr>
                <w:rFonts w:ascii="Times New Roman" w:eastAsia="Times New Roman" w:hAnsi="Times New Roman"/>
                <w:sz w:val="24"/>
                <w:szCs w:val="24"/>
                <w:lang w:eastAsia="fr-FR"/>
              </w:rPr>
              <w:t>NA</w:t>
            </w:r>
          </w:p>
          <w:p w14:paraId="07B9A77A" w14:textId="2C525555" w:rsidR="003729CE" w:rsidRPr="00BC0163" w:rsidRDefault="003729CE" w:rsidP="003729CE">
            <w:pPr>
              <w:rPr>
                <w:rFonts w:ascii="Times New Roman" w:eastAsia="Times New Roman" w:hAnsi="Times New Roman"/>
                <w:sz w:val="24"/>
                <w:szCs w:val="24"/>
                <w:lang w:eastAsia="fr-FR"/>
              </w:rPr>
            </w:pPr>
            <w:r>
              <w:t>Le projet est clôturé. Le mandat du HCRUN vient à terme dans un an, en février 2021</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5A9902" w14:textId="6DA05FD0" w:rsidR="003729CE" w:rsidRPr="00BC0163" w:rsidRDefault="003729CE" w:rsidP="003729CE"/>
        </w:tc>
        <w:tc>
          <w:tcPr>
            <w:tcW w:w="1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CC994" w14:textId="07FEA82C" w:rsidR="003729CE" w:rsidRPr="00BC0163" w:rsidRDefault="003729CE" w:rsidP="003729CE">
            <w:pPr>
              <w:rPr>
                <w:rFonts w:ascii="Times New Roman" w:eastAsia="Times New Roman" w:hAnsi="Times New Roman"/>
                <w:sz w:val="24"/>
                <w:szCs w:val="24"/>
                <w:lang w:eastAsia="fr-FR"/>
              </w:rPr>
            </w:pPr>
            <w:r>
              <w:rPr>
                <w:rFonts w:ascii="Times New Roman" w:eastAsia="Times New Roman" w:hAnsi="Times New Roman"/>
                <w:sz w:val="24"/>
                <w:szCs w:val="24"/>
                <w:lang w:eastAsia="fr-FR"/>
              </w:rPr>
              <w:t>NA</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E0350" w14:textId="3553CC9D" w:rsidR="003729CE" w:rsidRPr="00BC0163" w:rsidRDefault="003729CE" w:rsidP="003729CE">
            <w:pPr>
              <w:rPr>
                <w:rFonts w:ascii="Times New Roman" w:eastAsia="Times New Roman" w:hAnsi="Times New Roman"/>
                <w:sz w:val="24"/>
                <w:szCs w:val="24"/>
                <w:lang w:eastAsia="fr-FR"/>
              </w:rPr>
            </w:pPr>
          </w:p>
        </w:tc>
      </w:tr>
      <w:tr w:rsidR="003729CE" w:rsidRPr="00BC0163" w14:paraId="561FCE78" w14:textId="77777777" w:rsidTr="00194E77">
        <w:trPr>
          <w:trHeight w:val="586"/>
        </w:trPr>
        <w:tc>
          <w:tcPr>
            <w:tcW w:w="5589" w:type="dxa"/>
            <w:tcBorders>
              <w:top w:val="single" w:sz="4" w:space="0" w:color="auto"/>
              <w:left w:val="single" w:sz="8" w:space="0" w:color="auto"/>
              <w:bottom w:val="single" w:sz="8" w:space="0" w:color="auto"/>
              <w:right w:val="double" w:sz="4" w:space="0" w:color="auto"/>
            </w:tcBorders>
            <w:tcMar>
              <w:top w:w="0" w:type="dxa"/>
              <w:left w:w="108" w:type="dxa"/>
              <w:bottom w:w="0" w:type="dxa"/>
              <w:right w:w="108" w:type="dxa"/>
            </w:tcMar>
            <w:vAlign w:val="center"/>
          </w:tcPr>
          <w:p w14:paraId="53E49748" w14:textId="6AA5B7C9" w:rsidR="003729CE" w:rsidRPr="00BC0163" w:rsidRDefault="003729CE" w:rsidP="003729CE">
            <w:pPr>
              <w:jc w:val="both"/>
              <w:rPr>
                <w:rFonts w:ascii="Times New Roman" w:hAnsi="Times New Roman"/>
                <w:sz w:val="24"/>
                <w:szCs w:val="24"/>
              </w:rPr>
            </w:pPr>
            <w:r w:rsidRPr="00534127">
              <w:rPr>
                <w:rFonts w:ascii="Garamond" w:hAnsi="Garamond"/>
                <w:color w:val="000000" w:themeColor="text1"/>
              </w:rPr>
              <w:t>Faire une revue interne de la stratégie de communication du HCRUN pour en connaître les avancées enregistrées, dégager les défis rencontrés et la recadrer à la lumière de la nouvelle vision de l’institution. Des thématiques actuelles à l’instar de l’extrémisme violent, des conflits communautaires, des mécanismes de dialogue, de cohésion sociale pourront enrichir les programmes médiatiques qui seront mis en œuvre</w:t>
            </w:r>
          </w:p>
        </w:tc>
        <w:tc>
          <w:tcPr>
            <w:tcW w:w="26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C793B" w14:textId="176199EC" w:rsidR="003729CE" w:rsidRPr="00BC0163" w:rsidRDefault="003729CE" w:rsidP="003729CE">
            <w:pPr>
              <w:rPr>
                <w:rFonts w:ascii="Times New Roman" w:eastAsia="Times New Roman" w:hAnsi="Times New Roman"/>
                <w:sz w:val="24"/>
                <w:szCs w:val="24"/>
                <w:lang w:eastAsia="fr-FR"/>
              </w:rPr>
            </w:pPr>
            <w:r>
              <w:rPr>
                <w:rFonts w:ascii="Arial" w:hAnsi="Arial" w:cs="Arial"/>
                <w:color w:val="333333"/>
                <w:sz w:val="20"/>
                <w:szCs w:val="20"/>
                <w:shd w:val="clear" w:color="auto" w:fill="FFFFFF"/>
              </w:rPr>
              <w:t>R</w:t>
            </w:r>
            <w:r>
              <w:rPr>
                <w:rFonts w:ascii="Arial" w:hAnsi="Arial" w:cs="Arial"/>
                <w:color w:val="333333"/>
                <w:sz w:val="20"/>
                <w:szCs w:val="20"/>
                <w:shd w:val="clear" w:color="auto" w:fill="FFFFFF"/>
              </w:rPr>
              <w:t>ecommandation non applicable car le projet est clôturé.</w:t>
            </w:r>
          </w:p>
        </w:tc>
        <w:tc>
          <w:tcPr>
            <w:tcW w:w="23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F137844" w14:textId="5A087CFB" w:rsidR="003729CE" w:rsidRPr="00BC0163" w:rsidRDefault="003729CE" w:rsidP="003729CE">
            <w:pPr>
              <w:pStyle w:val="Paragraphedeliste"/>
            </w:pPr>
            <w:r w:rsidRPr="00BC0163">
              <w:t xml:space="preserve"> </w:t>
            </w:r>
          </w:p>
        </w:tc>
        <w:tc>
          <w:tcPr>
            <w:tcW w:w="13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8F9AC81" w14:textId="12AF9BD4" w:rsidR="003729CE" w:rsidRPr="00BC0163" w:rsidRDefault="003729CE" w:rsidP="003729CE">
            <w:pPr>
              <w:rPr>
                <w:rFonts w:ascii="Times New Roman" w:eastAsia="Times New Roman" w:hAnsi="Times New Roman"/>
                <w:sz w:val="24"/>
                <w:szCs w:val="24"/>
                <w:lang w:eastAsia="fr-FR"/>
              </w:rPr>
            </w:pPr>
          </w:p>
        </w:tc>
        <w:tc>
          <w:tcPr>
            <w:tcW w:w="2208" w:type="dxa"/>
            <w:tcBorders>
              <w:top w:val="single" w:sz="4" w:space="0" w:color="auto"/>
              <w:left w:val="nil"/>
              <w:bottom w:val="single" w:sz="8" w:space="0" w:color="auto"/>
              <w:right w:val="double" w:sz="4" w:space="0" w:color="auto"/>
            </w:tcBorders>
            <w:tcMar>
              <w:top w:w="0" w:type="dxa"/>
              <w:left w:w="108" w:type="dxa"/>
              <w:bottom w:w="0" w:type="dxa"/>
              <w:right w:w="108" w:type="dxa"/>
            </w:tcMar>
          </w:tcPr>
          <w:p w14:paraId="4D5BCEF8" w14:textId="6ADD70A9" w:rsidR="003729CE" w:rsidRPr="00BC0163" w:rsidRDefault="003729CE" w:rsidP="003729CE">
            <w:pPr>
              <w:rPr>
                <w:rFonts w:ascii="Times New Roman" w:eastAsia="Times New Roman" w:hAnsi="Times New Roman"/>
                <w:sz w:val="24"/>
                <w:szCs w:val="24"/>
                <w:lang w:eastAsia="fr-FR"/>
              </w:rPr>
            </w:pPr>
          </w:p>
        </w:tc>
      </w:tr>
      <w:tr w:rsidR="00A83B76" w:rsidRPr="00BC0163" w14:paraId="13C5A8F5" w14:textId="77777777" w:rsidTr="003729CE">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1D40AB49" w14:textId="3002DE15" w:rsidR="00A83B76" w:rsidRPr="00BC0163" w:rsidRDefault="002B6C34" w:rsidP="00A83B76">
            <w:pPr>
              <w:rPr>
                <w:rFonts w:ascii="Times New Roman" w:hAnsi="Times New Roman"/>
                <w:sz w:val="24"/>
                <w:szCs w:val="24"/>
              </w:rPr>
            </w:pPr>
            <w:r w:rsidRPr="00534127">
              <w:rPr>
                <w:rFonts w:ascii="Garamond" w:hAnsi="Garamond"/>
              </w:rPr>
              <w:t>Diversifier le partenariat et les sources de financement en vue d’éviter le stress de fin de financement d’un PTF spécifique et de prendre en charge totalement les besoins des publics cibles du projet.</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B1F18" w14:textId="77777777" w:rsidR="00A83B76"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En cours</w:t>
            </w:r>
          </w:p>
          <w:p w14:paraId="15C4DB66" w14:textId="77777777" w:rsidR="0003799F" w:rsidRDefault="0003799F" w:rsidP="0003799F">
            <w:pPr>
              <w:pStyle w:val="Paragraphedeliste"/>
              <w:ind w:left="0"/>
            </w:pPr>
            <w:r>
              <w:t xml:space="preserve">Le PNUD poursuit son plaidoyer et ses efforts de mobilisation des ressources en faveur du Programme « Cohésion sociale, Sécurité et Etat de Droit » dans lequel </w:t>
            </w:r>
            <w:r>
              <w:lastRenderedPageBreak/>
              <w:t>les appuis au HCRUN sont inscrits.</w:t>
            </w:r>
            <w:r w:rsidRPr="00BC0163">
              <w:t xml:space="preserve"> </w:t>
            </w:r>
          </w:p>
          <w:p w14:paraId="54F7D341" w14:textId="086A4163" w:rsidR="0003799F" w:rsidRPr="00BC0163" w:rsidRDefault="0003799F" w:rsidP="00A83B76">
            <w:pPr>
              <w:rPr>
                <w:rFonts w:ascii="Times New Roman" w:eastAsia="Times New Roman" w:hAnsi="Times New Roman"/>
                <w:sz w:val="24"/>
                <w:szCs w:val="24"/>
                <w:lang w:eastAsia="fr-FR"/>
              </w:rPr>
            </w:pP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30A33" w14:textId="210D6B1B" w:rsidR="007E73AD" w:rsidRDefault="0003799F" w:rsidP="007E73AD">
            <w:pPr>
              <w:pStyle w:val="Paragraphedeliste"/>
              <w:ind w:left="0"/>
            </w:pPr>
            <w:r>
              <w:rPr>
                <w:rFonts w:ascii="Arial" w:hAnsi="Arial" w:cs="Arial"/>
                <w:color w:val="333333"/>
                <w:sz w:val="20"/>
                <w:szCs w:val="20"/>
                <w:shd w:val="clear" w:color="auto" w:fill="FFFFFF"/>
              </w:rPr>
              <w:lastRenderedPageBreak/>
              <w:t xml:space="preserve">Conduire des actions de plaidoyer pour la mobilisation de ressources pour la </w:t>
            </w:r>
            <w:proofErr w:type="spellStart"/>
            <w:r>
              <w:rPr>
                <w:rFonts w:ascii="Arial" w:hAnsi="Arial" w:cs="Arial"/>
                <w:color w:val="333333"/>
                <w:sz w:val="20"/>
                <w:szCs w:val="20"/>
                <w:shd w:val="clear" w:color="auto" w:fill="FFFFFF"/>
              </w:rPr>
              <w:t>reconciliation</w:t>
            </w:r>
            <w:proofErr w:type="spellEnd"/>
            <w:r>
              <w:rPr>
                <w:rFonts w:ascii="Arial" w:hAnsi="Arial" w:cs="Arial"/>
                <w:color w:val="333333"/>
                <w:sz w:val="20"/>
                <w:szCs w:val="20"/>
                <w:shd w:val="clear" w:color="auto" w:fill="FFFFFF"/>
              </w:rPr>
              <w:t xml:space="preserve"> et la cohésion sociale</w:t>
            </w:r>
          </w:p>
          <w:p w14:paraId="4270463F" w14:textId="4DAAFB50" w:rsidR="007E73AD" w:rsidRPr="00BC0163" w:rsidRDefault="007E73AD" w:rsidP="007E73AD">
            <w:pPr>
              <w:pStyle w:val="Paragraphedeliste"/>
              <w:ind w:left="0"/>
            </w:pP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43AC5C" w14:textId="23B2AFA0" w:rsidR="00A83B76" w:rsidRPr="00BC0163" w:rsidRDefault="003729CE"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Déc 2022</w:t>
            </w: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78CC3014" w14:textId="77777777" w:rsidR="007E73AD"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Gouvernance/CTP Justice transitionnelle</w:t>
            </w:r>
          </w:p>
          <w:p w14:paraId="07383E96" w14:textId="47E6B575" w:rsidR="00A83B76" w:rsidRPr="00BC0163"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HCRUN</w:t>
            </w:r>
          </w:p>
        </w:tc>
      </w:tr>
      <w:tr w:rsidR="00A83B76" w:rsidRPr="00136622" w14:paraId="2F48C4C3" w14:textId="77777777" w:rsidTr="003729CE">
        <w:trPr>
          <w:trHeight w:val="969"/>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vAlign w:val="center"/>
          </w:tcPr>
          <w:p w14:paraId="20EF75C7" w14:textId="3453AD75" w:rsidR="00A83B76" w:rsidRPr="00136622" w:rsidRDefault="002B6C34" w:rsidP="00A83B76">
            <w:pPr>
              <w:jc w:val="both"/>
              <w:rPr>
                <w:rFonts w:ascii="Times New Roman" w:hAnsi="Times New Roman"/>
                <w:sz w:val="24"/>
                <w:szCs w:val="24"/>
              </w:rPr>
            </w:pPr>
            <w:r w:rsidRPr="009C1454">
              <w:rPr>
                <w:rFonts w:ascii="Garamond" w:eastAsia="Times New Roman" w:hAnsi="Garamond"/>
                <w:sz w:val="24"/>
                <w:szCs w:val="24"/>
                <w:lang w:eastAsia="fr-FR"/>
              </w:rPr>
              <w:t>Assurer une mobilisation sociale afin d’obtenir la pleine adhésion de l’ensemble des couches sociales et socioprofessionnelles pour une synergie d’actions</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44C40" w14:textId="77777777" w:rsidR="0003799F" w:rsidRDefault="007E73AD" w:rsidP="00A83B76">
            <w:r>
              <w:rPr>
                <w:rFonts w:ascii="Times New Roman" w:eastAsia="Times New Roman" w:hAnsi="Times New Roman"/>
                <w:sz w:val="24"/>
                <w:szCs w:val="24"/>
                <w:lang w:eastAsia="fr-FR"/>
              </w:rPr>
              <w:t>En cours</w:t>
            </w:r>
            <w:r w:rsidR="0003799F">
              <w:t xml:space="preserve"> </w:t>
            </w:r>
          </w:p>
          <w:p w14:paraId="1D8624AB" w14:textId="0A7C01F8" w:rsidR="00A83B76" w:rsidRPr="00136622" w:rsidRDefault="0003799F" w:rsidP="00A83B76">
            <w:pPr>
              <w:rPr>
                <w:rFonts w:ascii="Times New Roman" w:eastAsia="Times New Roman" w:hAnsi="Times New Roman"/>
                <w:sz w:val="24"/>
                <w:szCs w:val="24"/>
                <w:lang w:eastAsia="fr-FR"/>
              </w:rPr>
            </w:pPr>
            <w:r>
              <w:t>Le PNUD poursuit son travail de plaidoyer en faveur de la réconciliation et de l’Unité nationale. Le HCRUN demeure cependant le principal acteur de cette dynamique de mobilisation sociale</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971A3" w14:textId="6E504A9A" w:rsidR="00C2767C" w:rsidRPr="00136622" w:rsidRDefault="0003799F" w:rsidP="007E73AD">
            <w:r>
              <w:rPr>
                <w:rFonts w:ascii="Arial" w:hAnsi="Arial" w:cs="Arial"/>
                <w:color w:val="333333"/>
                <w:sz w:val="20"/>
                <w:szCs w:val="20"/>
                <w:shd w:val="clear" w:color="auto" w:fill="FFFFFF"/>
              </w:rPr>
              <w:t>Inscrire des actions de plaidoyer en faveur de la réconciliation et de l’Unité nationale dans le nouveau programme de cohésion sociale, de sécurité et d'Etat de droit</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958ED" w14:textId="2112D9B6" w:rsidR="00A83B76" w:rsidRPr="00136622"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Continue </w:t>
            </w: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0E05BB92" w14:textId="77777777" w:rsidR="007E73AD" w:rsidRDefault="007E73AD" w:rsidP="007E73AD">
            <w:pPr>
              <w:rPr>
                <w:rFonts w:ascii="Times New Roman" w:eastAsia="Times New Roman" w:hAnsi="Times New Roman"/>
                <w:sz w:val="24"/>
                <w:szCs w:val="24"/>
                <w:lang w:eastAsia="fr-FR"/>
              </w:rPr>
            </w:pPr>
            <w:r>
              <w:rPr>
                <w:rFonts w:ascii="Times New Roman" w:eastAsia="Times New Roman" w:hAnsi="Times New Roman"/>
                <w:sz w:val="24"/>
                <w:szCs w:val="24"/>
                <w:lang w:eastAsia="fr-FR"/>
              </w:rPr>
              <w:t>Gouvernance/CTP Justice transitionnelle</w:t>
            </w:r>
          </w:p>
          <w:p w14:paraId="1365465B" w14:textId="0CF9961A" w:rsidR="00A83B76" w:rsidRPr="00136622" w:rsidRDefault="007E73AD" w:rsidP="007E73AD">
            <w:pPr>
              <w:rPr>
                <w:rFonts w:ascii="Times New Roman" w:eastAsia="Times New Roman" w:hAnsi="Times New Roman"/>
                <w:sz w:val="24"/>
                <w:szCs w:val="24"/>
                <w:lang w:eastAsia="fr-FR"/>
              </w:rPr>
            </w:pPr>
            <w:r>
              <w:rPr>
                <w:rFonts w:ascii="Times New Roman" w:eastAsia="Times New Roman" w:hAnsi="Times New Roman"/>
                <w:sz w:val="24"/>
                <w:szCs w:val="24"/>
                <w:lang w:eastAsia="fr-FR"/>
              </w:rPr>
              <w:t>HCRUN</w:t>
            </w:r>
          </w:p>
        </w:tc>
      </w:tr>
      <w:tr w:rsidR="00292217" w:rsidRPr="00136622" w14:paraId="2208CA17"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15B12D0E" w14:textId="0554CED1" w:rsidR="00A83B76" w:rsidRPr="00136622" w:rsidRDefault="002B6C34" w:rsidP="00A83B76">
            <w:pPr>
              <w:pStyle w:val="Paragraphedeliste"/>
              <w:ind w:left="0"/>
              <w:jc w:val="both"/>
            </w:pPr>
            <w:r w:rsidRPr="00534127">
              <w:rPr>
                <w:rFonts w:ascii="Garamond" w:hAnsi="Garamond"/>
              </w:rPr>
              <w:t>Considérant les leçons apprises relatives à l’exécution du projet – qu’on peut désigner d’expérience pilote – redéfinir le cadre logique du projet incluant une analyse de risques accompagnés de mesures d’atténuation. L’implication effective et davantage visible de la Présidence Faso et un Comité de pilotage effectif représentent des facteurs clés de médiation, de résolution de conflits et de canalisation des synergies de succès</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A3F1D" w14:textId="0A29757C" w:rsidR="00A83B76" w:rsidRPr="00136622" w:rsidRDefault="0003799F" w:rsidP="00A83B76">
            <w:pPr>
              <w:rPr>
                <w:rFonts w:ascii="Times New Roman" w:eastAsia="Times New Roman" w:hAnsi="Times New Roman"/>
                <w:sz w:val="24"/>
                <w:szCs w:val="24"/>
                <w:lang w:eastAsia="fr-FR"/>
              </w:rPr>
            </w:pPr>
            <w:r>
              <w:rPr>
                <w:rFonts w:ascii="Arial" w:hAnsi="Arial" w:cs="Arial"/>
                <w:color w:val="333333"/>
                <w:sz w:val="20"/>
                <w:szCs w:val="20"/>
                <w:shd w:val="clear" w:color="auto" w:fill="FFFFFF"/>
              </w:rPr>
              <w:t>Non applicable car le projet est clôturé. </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40AE3" w14:textId="6021750F" w:rsidR="00D401B9" w:rsidRPr="00136622" w:rsidRDefault="00D401B9" w:rsidP="00975182">
            <w:pPr>
              <w:pStyle w:val="Paragraphedeliste"/>
            </w:pP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267A7" w14:textId="2937E38E" w:rsidR="00A83B76" w:rsidRPr="00136622"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4B5F4C8E" w14:textId="5A4234D5" w:rsidR="00A83B76" w:rsidRPr="00136622" w:rsidRDefault="00A83B76" w:rsidP="00A83B76">
            <w:pPr>
              <w:rPr>
                <w:rFonts w:ascii="Times New Roman" w:eastAsia="Times New Roman" w:hAnsi="Times New Roman"/>
                <w:sz w:val="24"/>
                <w:szCs w:val="24"/>
                <w:lang w:eastAsia="fr-FR"/>
              </w:rPr>
            </w:pPr>
          </w:p>
        </w:tc>
      </w:tr>
      <w:tr w:rsidR="00A83B76" w:rsidRPr="00FD0E3F" w14:paraId="1EE9F1FF"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463D9A6A" w14:textId="4BAB7C69" w:rsidR="00A83B76" w:rsidRPr="00FD0E3F" w:rsidRDefault="002B6C34" w:rsidP="00A83B76">
            <w:pPr>
              <w:pStyle w:val="NormalWeb"/>
              <w:spacing w:before="0" w:beforeAutospacing="0" w:after="0" w:afterAutospacing="0" w:line="276" w:lineRule="auto"/>
              <w:jc w:val="both"/>
            </w:pPr>
            <w:r w:rsidRPr="00070F0E">
              <w:rPr>
                <w:rFonts w:ascii="Garamond" w:hAnsi="Garamond"/>
                <w:color w:val="000000" w:themeColor="text1"/>
                <w:sz w:val="22"/>
                <w:szCs w:val="22"/>
              </w:rPr>
              <w:t>Reconduire/redéfinir le projet avec plus d’inclusivité, de synergie et de complémentarité entre les partie</w:t>
            </w:r>
            <w:r>
              <w:rPr>
                <w:rFonts w:ascii="Garamond" w:hAnsi="Garamond"/>
                <w:color w:val="000000" w:themeColor="text1"/>
                <w:sz w:val="22"/>
                <w:szCs w:val="22"/>
              </w:rPr>
              <w:t>s</w:t>
            </w:r>
            <w:r w:rsidRPr="00070F0E">
              <w:rPr>
                <w:rFonts w:ascii="Garamond" w:hAnsi="Garamond"/>
                <w:color w:val="000000" w:themeColor="text1"/>
                <w:sz w:val="22"/>
                <w:szCs w:val="22"/>
              </w:rPr>
              <w:t xml:space="preserve"> prenantes clés au cœur de la prévention et la gestion des conflits. Il s’agit notamment des acteurs tels que les forces de sécurité (armée, gendarmerie, police, services de renseignement), le Conseil Supérieur de la Magistrature, le Médiateur du Faso, le Haut conseil pour le dialogue social, les associations des victimes, les OSC, les autorités traditionnelles et coutumières, les collectivités locales, les organisations syndicales, les différentes communautés religieuses, les médias publics comme privés</w:t>
            </w:r>
            <w:r w:rsidRPr="00070F0E">
              <w:rPr>
                <w:rFonts w:ascii="Garamond" w:hAnsi="Garamond"/>
                <w:sz w:val="22"/>
                <w:szCs w:val="22"/>
              </w:rPr>
              <w:t>.</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59A7FA" w14:textId="30FEE589" w:rsidR="00A83B76" w:rsidRPr="00FD0E3F" w:rsidRDefault="0003799F" w:rsidP="00A83B76">
            <w:pPr>
              <w:rPr>
                <w:rFonts w:ascii="Times New Roman" w:eastAsia="Times New Roman" w:hAnsi="Times New Roman"/>
                <w:sz w:val="24"/>
                <w:szCs w:val="24"/>
                <w:lang w:eastAsia="fr-FR"/>
              </w:rPr>
            </w:pPr>
            <w:r>
              <w:rPr>
                <w:rFonts w:ascii="Arial" w:hAnsi="Arial" w:cs="Arial"/>
                <w:color w:val="333333"/>
                <w:sz w:val="20"/>
                <w:szCs w:val="20"/>
                <w:shd w:val="clear" w:color="auto" w:fill="FFFFFF"/>
              </w:rPr>
              <w:t>Non applicable car le projet est clôturé. </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E08FF" w14:textId="4664C756" w:rsidR="00C2767C" w:rsidRPr="00FD0E3F" w:rsidRDefault="00C2767C" w:rsidP="00975182"/>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BFD0B" w14:textId="18EF0B6B" w:rsidR="00A83B76" w:rsidRPr="00FD0E3F"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03278A1B" w14:textId="7E633E6E" w:rsidR="00A83B76" w:rsidRPr="00FD0E3F" w:rsidRDefault="00A83B76" w:rsidP="001D54EA">
            <w:pPr>
              <w:rPr>
                <w:rFonts w:ascii="Times New Roman" w:eastAsia="Times New Roman" w:hAnsi="Times New Roman"/>
                <w:sz w:val="24"/>
                <w:szCs w:val="24"/>
                <w:lang w:eastAsia="fr-FR"/>
              </w:rPr>
            </w:pPr>
          </w:p>
        </w:tc>
      </w:tr>
      <w:tr w:rsidR="00A83B76" w:rsidRPr="009176A9" w14:paraId="1898011A"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46E4B62F" w14:textId="77777777" w:rsidR="002B6C34" w:rsidRPr="00070F0E" w:rsidRDefault="002B6C34" w:rsidP="002B6C34">
            <w:pPr>
              <w:spacing w:after="0" w:line="240" w:lineRule="auto"/>
              <w:jc w:val="both"/>
              <w:rPr>
                <w:rFonts w:ascii="Garamond" w:hAnsi="Garamond"/>
              </w:rPr>
            </w:pPr>
            <w:r w:rsidRPr="00FE7F51">
              <w:rPr>
                <w:rFonts w:ascii="Garamond" w:hAnsi="Garamond"/>
              </w:rPr>
              <w:t>Rendre plus flexible les mécanismes de gestion des projets à modalités d’implantation directe (DIM) pour impliquer davantage les parties nationales d’exécution des projets dans tous les processus de planification et de mise en œuvre surtout dans les prises de décisions importantes, dont la gestion du budget et le recrutement des experts du projet. Il</w:t>
            </w:r>
            <w:r w:rsidRPr="005E539C">
              <w:rPr>
                <w:rFonts w:ascii="Garamond" w:hAnsi="Garamond"/>
              </w:rPr>
              <w:t xml:space="preserve"> est crucial de mettre le HCRUN au centre du processus de conception, planification, implantation, suivi-évaluation, et surtout, au centre des prises de décisions relatives au projet dans l’esprit de la </w:t>
            </w:r>
          </w:p>
          <w:p w14:paraId="0FF5825B" w14:textId="4F2E0084" w:rsidR="00A83B76" w:rsidRPr="009176A9" w:rsidRDefault="002B6C34" w:rsidP="002B6C34">
            <w:pPr>
              <w:pStyle w:val="Paragraphedeliste"/>
              <w:ind w:left="0"/>
              <w:jc w:val="both"/>
            </w:pPr>
            <w:r w:rsidRPr="00070F0E">
              <w:rPr>
                <w:rFonts w:ascii="Garamond" w:hAnsi="Garamond"/>
              </w:rPr>
              <w:t>Déclaration de Paris sur l’efficacité de l’aide</w:t>
            </w:r>
            <w:r w:rsidRPr="00070F0E">
              <w:rPr>
                <w:rStyle w:val="Appelnotedebasdep"/>
                <w:rFonts w:ascii="Garamond" w:hAnsi="Garamond"/>
              </w:rPr>
              <w:footnoteReference w:id="1"/>
            </w:r>
            <w:r w:rsidRPr="00070F0E">
              <w:rPr>
                <w:rFonts w:ascii="Garamond" w:hAnsi="Garamond"/>
              </w:rPr>
              <w:t xml:space="preserve"> ainsi que du Programme d’action d’Accra</w:t>
            </w:r>
            <w:r w:rsidRPr="00070F0E">
              <w:rPr>
                <w:rStyle w:val="Appelnotedebasdep"/>
                <w:rFonts w:ascii="Garamond" w:hAnsi="Garamond"/>
              </w:rPr>
              <w:footnoteReference w:id="2"/>
            </w:r>
            <w:r w:rsidRPr="00070F0E">
              <w:rPr>
                <w:rFonts w:ascii="Garamond" w:hAnsi="Garamond"/>
              </w:rPr>
              <w:t>.</w:t>
            </w:r>
            <w:r>
              <w:rPr>
                <w:rFonts w:ascii="Garamond" w:hAnsi="Garamond"/>
              </w:rPr>
              <w:t xml:space="preserve"> Cela évitera les remises et les frustrations après coup de la part des homologues gouvernementaux/nationaux</w:t>
            </w:r>
            <w:r>
              <w:rPr>
                <w:rStyle w:val="Appelnotedebasdep"/>
                <w:rFonts w:ascii="Garamond" w:hAnsi="Garamond"/>
              </w:rPr>
              <w:footnoteReference w:id="3"/>
            </w:r>
            <w:r>
              <w:rPr>
                <w:rFonts w:ascii="Garamond" w:hAnsi="Garamond"/>
              </w:rPr>
              <w:t>.</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6A8CF" w14:textId="724281EE" w:rsidR="00EF28F7" w:rsidRPr="009176A9" w:rsidRDefault="00EF28F7" w:rsidP="00A83B76">
            <w:pPr>
              <w:rPr>
                <w:rFonts w:ascii="Times New Roman" w:eastAsia="Times New Roman" w:hAnsi="Times New Roman"/>
                <w:sz w:val="24"/>
                <w:szCs w:val="24"/>
                <w:lang w:eastAsia="fr-FR"/>
              </w:rPr>
            </w:pPr>
            <w:r>
              <w:rPr>
                <w:rFonts w:ascii="Arial" w:hAnsi="Arial" w:cs="Arial"/>
                <w:color w:val="333333"/>
                <w:sz w:val="20"/>
                <w:szCs w:val="20"/>
                <w:shd w:val="clear" w:color="auto" w:fill="FFFFFF"/>
              </w:rPr>
              <w:t xml:space="preserve">Pertinente. Le HCRUN sera impliqué dans le processus de planification du </w:t>
            </w:r>
            <w:proofErr w:type="spellStart"/>
            <w:r>
              <w:rPr>
                <w:rFonts w:ascii="Arial" w:hAnsi="Arial" w:cs="Arial"/>
                <w:color w:val="333333"/>
                <w:sz w:val="20"/>
                <w:szCs w:val="20"/>
                <w:shd w:val="clear" w:color="auto" w:fill="FFFFFF"/>
              </w:rPr>
              <w:t>CoSED</w:t>
            </w:r>
            <w:proofErr w:type="spellEnd"/>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6FF8B" w14:textId="00E78A22" w:rsidR="009142A0" w:rsidRPr="009176A9" w:rsidRDefault="003729CE" w:rsidP="009142A0">
            <w:r>
              <w:t>Impliquer le HCRUN dans l</w:t>
            </w:r>
            <w:r w:rsidR="009142A0">
              <w:t xml:space="preserve">’élaboration du PTA 2020 du </w:t>
            </w:r>
            <w:proofErr w:type="spellStart"/>
            <w:r w:rsidR="009142A0">
              <w:t>CoSED</w:t>
            </w:r>
            <w:proofErr w:type="spellEnd"/>
            <w:r w:rsidR="009142A0">
              <w:t>.</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63204" w14:textId="771AD760" w:rsidR="00A83B76" w:rsidRPr="009176A9" w:rsidRDefault="003729CE"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Janvier 2020</w:t>
            </w: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4C37E420" w14:textId="77777777" w:rsidR="003729CE" w:rsidRDefault="003729CE" w:rsidP="003729CE">
            <w:pPr>
              <w:rPr>
                <w:rFonts w:ascii="Times New Roman" w:eastAsia="Times New Roman" w:hAnsi="Times New Roman"/>
                <w:sz w:val="24"/>
                <w:szCs w:val="24"/>
                <w:lang w:eastAsia="fr-FR"/>
              </w:rPr>
            </w:pPr>
            <w:r>
              <w:rPr>
                <w:rFonts w:ascii="Times New Roman" w:eastAsia="Times New Roman" w:hAnsi="Times New Roman"/>
                <w:sz w:val="24"/>
                <w:szCs w:val="24"/>
                <w:lang w:eastAsia="fr-FR"/>
              </w:rPr>
              <w:t>Gouvernance/CTP Justice transitionnelle</w:t>
            </w:r>
          </w:p>
          <w:p w14:paraId="6B8997F8" w14:textId="68F5C956" w:rsidR="00305583" w:rsidRPr="009176A9" w:rsidRDefault="00305583" w:rsidP="00A90B3B">
            <w:pPr>
              <w:rPr>
                <w:rFonts w:ascii="Times New Roman" w:eastAsia="Times New Roman" w:hAnsi="Times New Roman"/>
                <w:sz w:val="24"/>
                <w:szCs w:val="24"/>
                <w:lang w:eastAsia="fr-FR"/>
              </w:rPr>
            </w:pPr>
          </w:p>
        </w:tc>
      </w:tr>
      <w:tr w:rsidR="00A83B76" w:rsidRPr="009176A9" w14:paraId="435186ED"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7E6927FA" w14:textId="70E1B778" w:rsidR="000A0271" w:rsidRDefault="002B6C34" w:rsidP="00A83B76">
            <w:pPr>
              <w:pStyle w:val="Paragraphedeliste"/>
              <w:ind w:left="0"/>
              <w:jc w:val="both"/>
              <w:rPr>
                <w:highlight w:val="yellow"/>
              </w:rPr>
            </w:pPr>
            <w:r w:rsidRPr="003F2BBD">
              <w:rPr>
                <w:rFonts w:ascii="Garamond" w:hAnsi="Garamond"/>
              </w:rPr>
              <w:t>Poursuivre le renforcement des capacités des acteurs à trave</w:t>
            </w:r>
            <w:r w:rsidRPr="00534127">
              <w:rPr>
                <w:rFonts w:ascii="Garamond" w:hAnsi="Garamond"/>
              </w:rPr>
              <w:t>rs la mise à disposition d’experts nationaux et étrangers pour le partage continu d’expériences. Dans la mesure où le PBF ne prévoi</w:t>
            </w:r>
            <w:r>
              <w:rPr>
                <w:rFonts w:ascii="Garamond" w:hAnsi="Garamond"/>
              </w:rPr>
              <w:t>t</w:t>
            </w:r>
            <w:r w:rsidRPr="00534127">
              <w:rPr>
                <w:rFonts w:ascii="Garamond" w:hAnsi="Garamond"/>
              </w:rPr>
              <w:t xml:space="preserve"> pas de renouvellement ou d’extension du projet, </w:t>
            </w:r>
            <w:r>
              <w:rPr>
                <w:rFonts w:ascii="Garamond" w:hAnsi="Garamond"/>
              </w:rPr>
              <w:t>i</w:t>
            </w:r>
            <w:r w:rsidRPr="00534127">
              <w:rPr>
                <w:rFonts w:ascii="Garamond" w:hAnsi="Garamond"/>
                <w:lang w:val="fr-CA"/>
              </w:rPr>
              <w:t>l est important de trouver d’autres mécanismes ou PTF pour poursuivre les actions</w:t>
            </w:r>
          </w:p>
          <w:p w14:paraId="1A6F0D9A" w14:textId="0366B4E1" w:rsidR="0040218A" w:rsidRPr="009176A9" w:rsidRDefault="0040218A" w:rsidP="00A83B76">
            <w:pPr>
              <w:pStyle w:val="Paragraphedeliste"/>
              <w:ind w:left="0"/>
              <w:jc w:val="both"/>
              <w:rPr>
                <w:highlight w:val="yellow"/>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F4296" w14:textId="77777777" w:rsidR="00A83B76" w:rsidRDefault="009142A0"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En cours</w:t>
            </w:r>
            <w:r w:rsidR="003729CE">
              <w:rPr>
                <w:rFonts w:ascii="Times New Roman" w:eastAsia="Times New Roman" w:hAnsi="Times New Roman"/>
                <w:sz w:val="24"/>
                <w:szCs w:val="24"/>
                <w:lang w:eastAsia="fr-FR"/>
              </w:rPr>
              <w:t xml:space="preserve"> </w:t>
            </w:r>
          </w:p>
          <w:p w14:paraId="3169878A" w14:textId="65AA2C03" w:rsidR="003729CE" w:rsidRPr="009176A9" w:rsidRDefault="003729CE" w:rsidP="00A83B76">
            <w:pPr>
              <w:rPr>
                <w:rFonts w:ascii="Times New Roman" w:eastAsia="Times New Roman" w:hAnsi="Times New Roman"/>
                <w:sz w:val="24"/>
                <w:szCs w:val="24"/>
                <w:lang w:eastAsia="fr-FR"/>
              </w:rPr>
            </w:pPr>
            <w:r>
              <w:t xml:space="preserve">Des appuis sont prévus dans ce sens dans le cadre du </w:t>
            </w:r>
            <w:proofErr w:type="spellStart"/>
            <w:r>
              <w:t>CoSED</w:t>
            </w:r>
            <w:proofErr w:type="spellEnd"/>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1949F" w14:textId="0097A07B" w:rsidR="0040218A" w:rsidRPr="009176A9" w:rsidRDefault="003729CE" w:rsidP="00975182">
            <w:pPr>
              <w:pStyle w:val="Paragraphedeliste"/>
            </w:pPr>
            <w:r>
              <w:rPr>
                <w:rFonts w:ascii="Arial" w:hAnsi="Arial" w:cs="Arial"/>
                <w:color w:val="333333"/>
                <w:sz w:val="20"/>
                <w:szCs w:val="20"/>
                <w:shd w:val="clear" w:color="auto" w:fill="FFFFFF"/>
              </w:rPr>
              <w:t>Améliorer les connaissances des acteurs de la réconciliation à travers des formations et la mise à disposition d'experts</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F6948" w14:textId="43688CAB" w:rsidR="00A83B76" w:rsidRPr="009176A9" w:rsidRDefault="003729CE"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Déc 2022</w:t>
            </w: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5BE6E0F9" w14:textId="6022F56D" w:rsidR="00A83B76" w:rsidRPr="009176A9" w:rsidRDefault="009142A0" w:rsidP="002406CB">
            <w:pPr>
              <w:rPr>
                <w:rFonts w:ascii="Times New Roman" w:eastAsia="Times New Roman" w:hAnsi="Times New Roman"/>
                <w:sz w:val="24"/>
                <w:szCs w:val="24"/>
                <w:lang w:eastAsia="fr-FR"/>
              </w:rPr>
            </w:pPr>
            <w:r>
              <w:rPr>
                <w:rFonts w:ascii="Times New Roman" w:eastAsia="Times New Roman" w:hAnsi="Times New Roman"/>
                <w:sz w:val="24"/>
                <w:szCs w:val="24"/>
                <w:lang w:eastAsia="fr-FR"/>
              </w:rPr>
              <w:t>Gouvernance/</w:t>
            </w:r>
            <w:proofErr w:type="spellStart"/>
            <w:r>
              <w:rPr>
                <w:rFonts w:ascii="Times New Roman" w:eastAsia="Times New Roman" w:hAnsi="Times New Roman"/>
                <w:sz w:val="24"/>
                <w:szCs w:val="24"/>
                <w:lang w:eastAsia="fr-FR"/>
              </w:rPr>
              <w:t>CoSED</w:t>
            </w:r>
            <w:proofErr w:type="spellEnd"/>
          </w:p>
        </w:tc>
      </w:tr>
      <w:tr w:rsidR="00A83B76" w:rsidRPr="009176A9" w14:paraId="45FD82B8" w14:textId="77777777" w:rsidTr="003729CE">
        <w:trPr>
          <w:trHeight w:val="2201"/>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29B1FD1A" w14:textId="3C00101E" w:rsidR="00A83B76" w:rsidRPr="009176A9" w:rsidRDefault="00975182" w:rsidP="00A83B76">
            <w:pPr>
              <w:pStyle w:val="Paragraphedeliste"/>
              <w:ind w:left="0"/>
              <w:jc w:val="both"/>
            </w:pPr>
            <w:r w:rsidRPr="00521A29">
              <w:rPr>
                <w:rFonts w:ascii="Garamond" w:hAnsi="Garamond"/>
                <w:sz w:val="22"/>
                <w:szCs w:val="22"/>
              </w:rPr>
              <w:t>Augmenter les ressources du projet pour soutenir, au-delà des charges de personnel, les activités qui ont un impact réel sur la réconciliation nationale (prise en charge des victimes notamment).</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7A178" w14:textId="5F1796D1" w:rsidR="00A83B76" w:rsidRPr="009176A9" w:rsidRDefault="009142A0" w:rsidP="00A83B76">
            <w:pPr>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NA</w:t>
            </w:r>
            <w:r w:rsidR="003729CE">
              <w:rPr>
                <w:rFonts w:ascii="Times New Roman" w:eastAsia="Times New Roman" w:hAnsi="Times New Roman"/>
                <w:sz w:val="24"/>
                <w:szCs w:val="24"/>
                <w:lang w:eastAsia="fr-FR"/>
              </w:rPr>
              <w:t xml:space="preserve"> </w:t>
            </w:r>
            <w:r w:rsidR="003729CE">
              <w:t xml:space="preserve"> </w:t>
            </w:r>
            <w:r w:rsidR="003729CE">
              <w:t>Projet</w:t>
            </w:r>
            <w:proofErr w:type="gramEnd"/>
            <w:r w:rsidR="003729CE">
              <w:t xml:space="preserve"> clôturé</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A35F6" w14:textId="1D49D8B7" w:rsidR="00A83B76" w:rsidRPr="009176A9" w:rsidRDefault="00A83B76" w:rsidP="00975182">
            <w:pPr>
              <w:pStyle w:val="Paragraphedeliste"/>
            </w:pP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C4EF24" w14:textId="26E6596F" w:rsidR="00A83B76" w:rsidRPr="009176A9"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23170A94" w14:textId="6841299D" w:rsidR="00A83B76" w:rsidRPr="009176A9" w:rsidRDefault="00A83B76" w:rsidP="00A83B76">
            <w:pPr>
              <w:rPr>
                <w:rFonts w:ascii="Times New Roman" w:eastAsia="Times New Roman" w:hAnsi="Times New Roman"/>
                <w:sz w:val="24"/>
                <w:szCs w:val="24"/>
                <w:lang w:eastAsia="fr-FR"/>
              </w:rPr>
            </w:pPr>
          </w:p>
        </w:tc>
      </w:tr>
      <w:tr w:rsidR="00A83B76" w:rsidRPr="009176A9" w14:paraId="4AE0F11D" w14:textId="77777777" w:rsidTr="003729CE">
        <w:trPr>
          <w:trHeight w:val="586"/>
        </w:trPr>
        <w:tc>
          <w:tcPr>
            <w:tcW w:w="5589" w:type="dxa"/>
            <w:tcBorders>
              <w:top w:val="nil"/>
              <w:left w:val="single" w:sz="8" w:space="0" w:color="auto"/>
              <w:bottom w:val="nil"/>
              <w:right w:val="double" w:sz="4" w:space="0" w:color="auto"/>
            </w:tcBorders>
            <w:tcMar>
              <w:top w:w="0" w:type="dxa"/>
              <w:left w:w="108" w:type="dxa"/>
              <w:bottom w:w="0" w:type="dxa"/>
              <w:right w:w="108" w:type="dxa"/>
            </w:tcMar>
          </w:tcPr>
          <w:p w14:paraId="52D138E6" w14:textId="0623B2B2" w:rsidR="00A83B76" w:rsidRPr="009176A9" w:rsidRDefault="00975182" w:rsidP="00A83B76">
            <w:pPr>
              <w:pStyle w:val="Paragraphedeliste"/>
              <w:ind w:left="0"/>
              <w:jc w:val="both"/>
            </w:pPr>
            <w:r w:rsidRPr="005B4B14">
              <w:rPr>
                <w:rFonts w:ascii="Garamond" w:hAnsi="Garamond"/>
                <w:color w:val="000000" w:themeColor="text1"/>
                <w:lang w:val="fr-CA"/>
              </w:rPr>
              <w:t>Que le PNUD fasse du plaidoyer pour davantage d’engagement, soutien et contribution financière de l’</w:t>
            </w:r>
            <w:r>
              <w:rPr>
                <w:rFonts w:ascii="Garamond" w:hAnsi="Garamond"/>
                <w:color w:val="000000" w:themeColor="text1"/>
                <w:lang w:val="fr-CA"/>
              </w:rPr>
              <w:t>É</w:t>
            </w:r>
            <w:r w:rsidRPr="005B4B14">
              <w:rPr>
                <w:rFonts w:ascii="Garamond" w:hAnsi="Garamond"/>
                <w:color w:val="000000" w:themeColor="text1"/>
                <w:lang w:val="fr-CA"/>
              </w:rPr>
              <w:t>tat dans la mise en œuvre du proje</w:t>
            </w:r>
            <w:r>
              <w:rPr>
                <w:rFonts w:ascii="Garamond" w:hAnsi="Garamond"/>
                <w:color w:val="000000" w:themeColor="text1"/>
                <w:lang w:val="fr-CA"/>
              </w:rPr>
              <w:t>t</w:t>
            </w:r>
            <w:r w:rsidRPr="009176A9">
              <w:t xml:space="preserve"> </w:t>
            </w:r>
            <w:r w:rsidR="00A83B76" w:rsidRPr="009176A9">
              <w:t xml:space="preserve"> </w:t>
            </w:r>
          </w:p>
        </w:tc>
        <w:tc>
          <w:tcPr>
            <w:tcW w:w="2623" w:type="dxa"/>
            <w:tcBorders>
              <w:top w:val="nil"/>
              <w:left w:val="nil"/>
              <w:bottom w:val="nil"/>
              <w:right w:val="single" w:sz="8" w:space="0" w:color="auto"/>
            </w:tcBorders>
            <w:tcMar>
              <w:top w:w="0" w:type="dxa"/>
              <w:left w:w="108" w:type="dxa"/>
              <w:bottom w:w="0" w:type="dxa"/>
              <w:right w:w="108" w:type="dxa"/>
            </w:tcMar>
            <w:vAlign w:val="center"/>
          </w:tcPr>
          <w:p w14:paraId="3F80BFB9" w14:textId="75BCEADE" w:rsidR="00A83B76" w:rsidRPr="009176A9" w:rsidRDefault="003729CE" w:rsidP="00A83B76">
            <w:pPr>
              <w:rPr>
                <w:rFonts w:ascii="Times New Roman" w:eastAsia="Times New Roman" w:hAnsi="Times New Roman"/>
                <w:sz w:val="24"/>
                <w:szCs w:val="24"/>
                <w:lang w:eastAsia="fr-FR"/>
              </w:rPr>
            </w:pPr>
            <w:r>
              <w:rPr>
                <w:rFonts w:ascii="Arial" w:hAnsi="Arial" w:cs="Arial"/>
                <w:color w:val="333333"/>
                <w:sz w:val="20"/>
                <w:szCs w:val="20"/>
                <w:shd w:val="clear" w:color="auto" w:fill="FFFFFF"/>
              </w:rPr>
              <w:t>Organiser un séminaire gouvernemental et un séminaire avec les parlementaires sur la réconciliation</w:t>
            </w:r>
          </w:p>
        </w:tc>
        <w:tc>
          <w:tcPr>
            <w:tcW w:w="2348" w:type="dxa"/>
            <w:tcBorders>
              <w:top w:val="nil"/>
              <w:left w:val="nil"/>
              <w:bottom w:val="nil"/>
              <w:right w:val="single" w:sz="8" w:space="0" w:color="auto"/>
            </w:tcBorders>
            <w:tcMar>
              <w:top w:w="0" w:type="dxa"/>
              <w:left w:w="108" w:type="dxa"/>
              <w:bottom w:w="0" w:type="dxa"/>
              <w:right w:w="108" w:type="dxa"/>
            </w:tcMar>
            <w:vAlign w:val="center"/>
          </w:tcPr>
          <w:p w14:paraId="4947F2D3" w14:textId="0318A5A0" w:rsidR="003729CE" w:rsidRPr="009176A9" w:rsidRDefault="003729CE" w:rsidP="009142A0">
            <w:r>
              <w:rPr>
                <w:rFonts w:ascii="Arial" w:hAnsi="Arial" w:cs="Arial"/>
                <w:color w:val="333333"/>
                <w:sz w:val="20"/>
                <w:szCs w:val="20"/>
                <w:shd w:val="clear" w:color="auto" w:fill="FFFFFF"/>
              </w:rPr>
              <w:t>Organiser un séminaire gouvernemental et un séminaire avec les parlementaires sur la réconciliation</w:t>
            </w:r>
          </w:p>
        </w:tc>
        <w:tc>
          <w:tcPr>
            <w:tcW w:w="1351" w:type="dxa"/>
            <w:tcBorders>
              <w:top w:val="nil"/>
              <w:left w:val="nil"/>
              <w:bottom w:val="nil"/>
              <w:right w:val="single" w:sz="8" w:space="0" w:color="auto"/>
            </w:tcBorders>
            <w:tcMar>
              <w:top w:w="0" w:type="dxa"/>
              <w:left w:w="108" w:type="dxa"/>
              <w:bottom w:w="0" w:type="dxa"/>
              <w:right w:w="108" w:type="dxa"/>
            </w:tcMar>
            <w:vAlign w:val="center"/>
          </w:tcPr>
          <w:p w14:paraId="683B6197" w14:textId="3F07912C" w:rsidR="00A83B76" w:rsidRPr="009176A9" w:rsidRDefault="003729CE" w:rsidP="00A83B76">
            <w:pPr>
              <w:rPr>
                <w:rFonts w:ascii="Times New Roman" w:eastAsia="Times New Roman" w:hAnsi="Times New Roman"/>
                <w:sz w:val="24"/>
                <w:szCs w:val="24"/>
                <w:lang w:eastAsia="fr-FR"/>
              </w:rPr>
            </w:pPr>
            <w:proofErr w:type="spellStart"/>
            <w:r>
              <w:rPr>
                <w:rFonts w:ascii="Times New Roman" w:eastAsia="Times New Roman" w:hAnsi="Times New Roman"/>
                <w:sz w:val="24"/>
                <w:szCs w:val="24"/>
                <w:lang w:eastAsia="fr-FR"/>
              </w:rPr>
              <w:t>Janv</w:t>
            </w:r>
            <w:proofErr w:type="spellEnd"/>
            <w:r>
              <w:rPr>
                <w:rFonts w:ascii="Times New Roman" w:eastAsia="Times New Roman" w:hAnsi="Times New Roman"/>
                <w:sz w:val="24"/>
                <w:szCs w:val="24"/>
                <w:lang w:eastAsia="fr-FR"/>
              </w:rPr>
              <w:t xml:space="preserve"> 2020</w:t>
            </w:r>
          </w:p>
        </w:tc>
        <w:tc>
          <w:tcPr>
            <w:tcW w:w="2208" w:type="dxa"/>
            <w:tcBorders>
              <w:top w:val="nil"/>
              <w:left w:val="nil"/>
              <w:bottom w:val="nil"/>
              <w:right w:val="double" w:sz="4" w:space="0" w:color="auto"/>
            </w:tcBorders>
            <w:tcMar>
              <w:top w:w="0" w:type="dxa"/>
              <w:left w:w="108" w:type="dxa"/>
              <w:bottom w:w="0" w:type="dxa"/>
              <w:right w:w="108" w:type="dxa"/>
            </w:tcMar>
            <w:vAlign w:val="center"/>
          </w:tcPr>
          <w:p w14:paraId="491BCEFF" w14:textId="01AFF5D2" w:rsidR="00A83B76" w:rsidRPr="009176A9" w:rsidRDefault="009142A0" w:rsidP="002406CB">
            <w:pPr>
              <w:rPr>
                <w:rFonts w:ascii="Times New Roman" w:eastAsia="Times New Roman" w:hAnsi="Times New Roman"/>
                <w:sz w:val="24"/>
                <w:szCs w:val="24"/>
                <w:lang w:eastAsia="fr-FR"/>
              </w:rPr>
            </w:pPr>
            <w:r>
              <w:rPr>
                <w:rFonts w:ascii="Times New Roman" w:eastAsia="Times New Roman" w:hAnsi="Times New Roman"/>
                <w:sz w:val="24"/>
                <w:szCs w:val="24"/>
                <w:lang w:eastAsia="fr-FR"/>
              </w:rPr>
              <w:t>Management</w:t>
            </w:r>
          </w:p>
        </w:tc>
      </w:tr>
      <w:tr w:rsidR="00A83B76" w:rsidRPr="008E2EB0" w14:paraId="71F14017" w14:textId="77777777" w:rsidTr="003729CE">
        <w:trPr>
          <w:trHeight w:val="284"/>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328ED5A1" w14:textId="77777777" w:rsidR="00A83B76" w:rsidRPr="00FC2F13" w:rsidRDefault="00A83B76" w:rsidP="00A83B76">
            <w:pPr>
              <w:pStyle w:val="Paragraphedeliste"/>
              <w:ind w:left="0"/>
              <w:jc w:val="both"/>
            </w:pP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A65123" w14:textId="77777777" w:rsidR="00A83B76" w:rsidRPr="008E2EB0" w:rsidRDefault="00A83B76" w:rsidP="00A83B76">
            <w:pPr>
              <w:rPr>
                <w:rFonts w:eastAsia="Times New Roman"/>
                <w:sz w:val="24"/>
                <w:szCs w:val="24"/>
                <w:lang w:eastAsia="fr-FR"/>
              </w:rPr>
            </w:pP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388C8" w14:textId="77777777" w:rsidR="00A83B76" w:rsidRPr="008E2EB0" w:rsidRDefault="00A83B76" w:rsidP="00A83B76">
            <w:pPr>
              <w:rPr>
                <w:rFonts w:eastAsia="Times New Roman"/>
                <w:sz w:val="24"/>
                <w:szCs w:val="24"/>
                <w:lang w:eastAsia="fr-FR"/>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2304B2" w14:textId="77777777" w:rsidR="00A83B76" w:rsidRPr="008E2EB0" w:rsidRDefault="00A83B76" w:rsidP="00A83B76">
            <w:pPr>
              <w:rPr>
                <w:rFonts w:eastAsia="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227808AB" w14:textId="77777777" w:rsidR="00A83B76" w:rsidRPr="008E2EB0" w:rsidRDefault="00A83B76" w:rsidP="00A83B76">
            <w:pPr>
              <w:rPr>
                <w:rFonts w:eastAsia="Times New Roman"/>
                <w:sz w:val="24"/>
                <w:szCs w:val="24"/>
                <w:lang w:eastAsia="fr-FR"/>
              </w:rPr>
            </w:pPr>
          </w:p>
        </w:tc>
      </w:tr>
      <w:tr w:rsidR="00A83B76" w:rsidRPr="009176A9" w14:paraId="1569E232"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4F34A67E" w14:textId="069F6F13" w:rsidR="00A83B76" w:rsidRPr="009176A9" w:rsidRDefault="00975182" w:rsidP="00975182">
            <w:pPr>
              <w:pStyle w:val="Paragraphedeliste"/>
              <w:ind w:left="0"/>
              <w:jc w:val="both"/>
            </w:pPr>
            <w:r w:rsidRPr="00521A29">
              <w:rPr>
                <w:rFonts w:ascii="Garamond" w:hAnsi="Garamond"/>
              </w:rPr>
              <w:t>Il est primordial de mettre en place le Comité de pilotage du projet et le rendre opérationnel</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E41E98" w14:textId="1BF76431" w:rsidR="00A83B76" w:rsidRPr="009176A9" w:rsidRDefault="009142A0"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NA</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7767980" w14:textId="47A58460" w:rsidR="009142A0" w:rsidRPr="009176A9" w:rsidRDefault="009142A0" w:rsidP="009142A0"/>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1FD388" w14:textId="613C23A7" w:rsidR="00A83B76" w:rsidRPr="009176A9"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5B02CC71" w14:textId="5B30B819" w:rsidR="005C789C" w:rsidRPr="00FF10EE" w:rsidRDefault="005C789C" w:rsidP="00A4000C">
            <w:pPr>
              <w:rPr>
                <w:rFonts w:ascii="Times New Roman" w:eastAsia="Times New Roman" w:hAnsi="Times New Roman"/>
                <w:sz w:val="24"/>
                <w:szCs w:val="24"/>
                <w:lang w:eastAsia="fr-FR"/>
              </w:rPr>
            </w:pPr>
          </w:p>
        </w:tc>
      </w:tr>
      <w:tr w:rsidR="00A83B76" w:rsidRPr="009176A9" w14:paraId="18AC9CF4"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1A175529" w14:textId="24F02F45" w:rsidR="00A83B76" w:rsidRPr="009176A9" w:rsidRDefault="00975182" w:rsidP="00A83B76">
            <w:pPr>
              <w:pStyle w:val="Paragraphedeliste"/>
              <w:ind w:left="0"/>
              <w:jc w:val="both"/>
            </w:pPr>
            <w:r w:rsidRPr="00521A29">
              <w:rPr>
                <w:rFonts w:ascii="Garamond" w:hAnsi="Garamond"/>
              </w:rPr>
              <w:t xml:space="preserve">Plutôt que leur association ponctuelle à des activités spécifiques, </w:t>
            </w:r>
            <w:r w:rsidRPr="00521A29">
              <w:rPr>
                <w:rFonts w:ascii="Garamond" w:hAnsi="Garamond"/>
                <w:b/>
                <w:bCs/>
              </w:rPr>
              <w:t>décentraliser certains volets spécifiques du projet vers des agences nationales et des OSC</w:t>
            </w:r>
            <w:r w:rsidRPr="00521A29">
              <w:rPr>
                <w:rFonts w:ascii="Garamond" w:hAnsi="Garamond"/>
              </w:rPr>
              <w:t xml:space="preserve"> impliquées dans les enjeux de violation des droits humains, de justice et de cohésion nationale, incluant les mécanismes traditionnels, coutumiers, et religieux de règlement des conflits, ce, sous la supervision du HCRUN. Cela donnera lieu à davantage d’inclusivité, d’échanges entre le HCRUN et les partenaires nationaux, d’adhésion de ces derniers aux stratégies opérationnelles du projet ainsi qu’à la visibilité du projet et du HCRUN au niveau national.</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BC709" w14:textId="77777777" w:rsidR="00A83B76"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NA</w:t>
            </w:r>
          </w:p>
          <w:p w14:paraId="02E057CF" w14:textId="77777777" w:rsidR="003729CE" w:rsidRDefault="003729CE" w:rsidP="003729CE">
            <w:r>
              <w:t>Le projet est clôturé. Cette recommandation n’est donc pas pertinente pour le PNUD.</w:t>
            </w:r>
          </w:p>
          <w:p w14:paraId="73955911" w14:textId="77777777" w:rsidR="003729CE" w:rsidRDefault="003729CE" w:rsidP="003729CE"/>
          <w:p w14:paraId="0C2AB3D4" w14:textId="4386DC36" w:rsidR="003729CE" w:rsidRPr="009176A9" w:rsidRDefault="003729CE" w:rsidP="003729CE">
            <w:pPr>
              <w:rPr>
                <w:rFonts w:ascii="Times New Roman" w:eastAsia="Times New Roman" w:hAnsi="Times New Roman"/>
                <w:sz w:val="24"/>
                <w:szCs w:val="24"/>
                <w:lang w:eastAsia="fr-FR"/>
              </w:rPr>
            </w:pPr>
            <w:r>
              <w:t>Cependant les acteurs nationaux avec le HCRUN peuvent travailler dans ce sens avec un appui du HCRUN</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18CC1" w14:textId="12F4F2E2" w:rsidR="009142A0" w:rsidRPr="009176A9" w:rsidRDefault="009142A0" w:rsidP="007E73AD"/>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19F8E" w14:textId="447A6A62" w:rsidR="00A83B76" w:rsidRPr="009176A9"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3D12E374" w14:textId="27500958" w:rsidR="00A83B76" w:rsidRPr="009176A9" w:rsidRDefault="00A83B76" w:rsidP="000E26C0">
            <w:pPr>
              <w:rPr>
                <w:rFonts w:ascii="Times New Roman" w:eastAsia="Times New Roman" w:hAnsi="Times New Roman"/>
                <w:sz w:val="24"/>
                <w:szCs w:val="24"/>
                <w:lang w:eastAsia="fr-FR"/>
              </w:rPr>
            </w:pPr>
            <w:bookmarkStart w:id="0" w:name="_GoBack"/>
            <w:bookmarkEnd w:id="0"/>
          </w:p>
        </w:tc>
      </w:tr>
      <w:tr w:rsidR="00A83B76" w:rsidRPr="0033044E" w14:paraId="0E669190" w14:textId="77777777" w:rsidTr="003729CE">
        <w:trPr>
          <w:trHeight w:val="586"/>
        </w:trPr>
        <w:tc>
          <w:tcPr>
            <w:tcW w:w="5589" w:type="dxa"/>
            <w:tcBorders>
              <w:top w:val="nil"/>
              <w:left w:val="single" w:sz="8" w:space="0" w:color="auto"/>
              <w:bottom w:val="single" w:sz="8" w:space="0" w:color="auto"/>
              <w:right w:val="double" w:sz="4" w:space="0" w:color="auto"/>
            </w:tcBorders>
            <w:tcMar>
              <w:top w:w="0" w:type="dxa"/>
              <w:left w:w="108" w:type="dxa"/>
              <w:bottom w:w="0" w:type="dxa"/>
              <w:right w:w="108" w:type="dxa"/>
            </w:tcMar>
          </w:tcPr>
          <w:p w14:paraId="310DFEE1" w14:textId="4CB520BA" w:rsidR="00A83B76" w:rsidRPr="0033044E" w:rsidRDefault="00975182" w:rsidP="00A83B76">
            <w:pPr>
              <w:pStyle w:val="NormalWeb"/>
              <w:spacing w:before="0" w:beforeAutospacing="0" w:after="0" w:afterAutospacing="0" w:line="276" w:lineRule="auto"/>
              <w:jc w:val="both"/>
              <w:rPr>
                <w:highlight w:val="yellow"/>
              </w:rPr>
            </w:pPr>
            <w:r w:rsidRPr="00CE0F2E">
              <w:rPr>
                <w:rFonts w:ascii="Garamond" w:hAnsi="Garamond"/>
                <w:color w:val="000000" w:themeColor="text1"/>
                <w:lang w:val="fr-CA"/>
              </w:rPr>
              <w:t>Clarifier le rôle des acteurs, là</w:t>
            </w:r>
            <w:r>
              <w:rPr>
                <w:rFonts w:ascii="Garamond" w:hAnsi="Garamond"/>
                <w:color w:val="000000" w:themeColor="text1"/>
                <w:lang w:val="fr-CA"/>
              </w:rPr>
              <w:t xml:space="preserve"> </w:t>
            </w:r>
            <w:r w:rsidRPr="00CE0F2E">
              <w:rPr>
                <w:rFonts w:ascii="Garamond" w:hAnsi="Garamond"/>
                <w:color w:val="000000" w:themeColor="text1"/>
                <w:lang w:val="fr-CA"/>
              </w:rPr>
              <w:t>où il y a des chevauchements e</w:t>
            </w:r>
            <w:r>
              <w:rPr>
                <w:rFonts w:ascii="Garamond" w:hAnsi="Garamond"/>
                <w:color w:val="000000" w:themeColor="text1"/>
                <w:lang w:val="fr-CA"/>
              </w:rPr>
              <w:t>n</w:t>
            </w:r>
            <w:r w:rsidRPr="00CE0F2E">
              <w:rPr>
                <w:rFonts w:ascii="Garamond" w:hAnsi="Garamond"/>
                <w:color w:val="000000" w:themeColor="text1"/>
                <w:lang w:val="fr-CA"/>
              </w:rPr>
              <w:t xml:space="preserve"> vue de créer des synergies d’actions plutôt que de conflits de compétence</w:t>
            </w:r>
            <w:r>
              <w:rPr>
                <w:rFonts w:ascii="Garamond" w:hAnsi="Garamond"/>
                <w:color w:val="000000" w:themeColor="text1"/>
                <w:lang w:val="fr-CA"/>
              </w:rPr>
              <w:t xml:space="preserve">s </w:t>
            </w:r>
            <w:r w:rsidRPr="001B7B3B">
              <w:rPr>
                <w:rFonts w:ascii="Garamond" w:hAnsi="Garamond"/>
                <w:color w:val="000000" w:themeColor="text1"/>
                <w:lang w:val="fr-CA"/>
              </w:rPr>
              <w:t>entre les différentes institutions au cœur des enjeux des droits humains, réconciliation et de cohésion nationale</w:t>
            </w:r>
            <w:r w:rsidRPr="00CE0F2E">
              <w:rPr>
                <w:rFonts w:ascii="Garamond" w:hAnsi="Garamond"/>
                <w:color w:val="000000" w:themeColor="text1"/>
                <w:lang w:val="fr-CA"/>
              </w:rPr>
              <w:t>.</w:t>
            </w:r>
          </w:p>
        </w:tc>
        <w:tc>
          <w:tcPr>
            <w:tcW w:w="26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6C7E2" w14:textId="77777777" w:rsidR="00A83B76" w:rsidRDefault="007E73AD" w:rsidP="00A83B76">
            <w:pPr>
              <w:rPr>
                <w:rFonts w:ascii="Times New Roman" w:eastAsia="Times New Roman" w:hAnsi="Times New Roman"/>
                <w:sz w:val="24"/>
                <w:szCs w:val="24"/>
                <w:lang w:eastAsia="fr-FR"/>
              </w:rPr>
            </w:pPr>
            <w:r>
              <w:rPr>
                <w:rFonts w:ascii="Times New Roman" w:eastAsia="Times New Roman" w:hAnsi="Times New Roman"/>
                <w:sz w:val="24"/>
                <w:szCs w:val="24"/>
                <w:lang w:eastAsia="fr-FR"/>
              </w:rPr>
              <w:t>NA</w:t>
            </w:r>
          </w:p>
          <w:p w14:paraId="359EECEA" w14:textId="77777777" w:rsidR="003729CE" w:rsidRPr="0033044E" w:rsidRDefault="003729CE" w:rsidP="003729CE">
            <w:r>
              <w:t>Il s’agit d’une recommandation qui s’adresse aux acteurs nationaux</w:t>
            </w:r>
          </w:p>
          <w:p w14:paraId="00F7C719" w14:textId="1FFC32D5" w:rsidR="003729CE" w:rsidRPr="0033044E" w:rsidRDefault="003729CE" w:rsidP="00A83B76">
            <w:pPr>
              <w:rPr>
                <w:rFonts w:ascii="Times New Roman" w:eastAsia="Times New Roman" w:hAnsi="Times New Roman"/>
                <w:sz w:val="24"/>
                <w:szCs w:val="24"/>
                <w:lang w:eastAsia="fr-FR"/>
              </w:rPr>
            </w:pP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9DB6E4" w14:textId="648CBEE9" w:rsidR="00B54CE4" w:rsidRPr="0033044E" w:rsidRDefault="00B54CE4" w:rsidP="003729CE"/>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7E1423" w14:textId="0684DF51" w:rsidR="00A83B76" w:rsidRPr="0033044E" w:rsidRDefault="00A83B76" w:rsidP="00A83B76">
            <w:pPr>
              <w:rPr>
                <w:rFonts w:ascii="Times New Roman" w:eastAsia="Times New Roman" w:hAnsi="Times New Roman"/>
                <w:sz w:val="24"/>
                <w:szCs w:val="24"/>
                <w:lang w:eastAsia="fr-FR"/>
              </w:rPr>
            </w:pPr>
          </w:p>
        </w:tc>
        <w:tc>
          <w:tcPr>
            <w:tcW w:w="2208" w:type="dxa"/>
            <w:tcBorders>
              <w:top w:val="nil"/>
              <w:left w:val="nil"/>
              <w:bottom w:val="single" w:sz="8" w:space="0" w:color="auto"/>
              <w:right w:val="double" w:sz="4" w:space="0" w:color="auto"/>
            </w:tcBorders>
            <w:tcMar>
              <w:top w:w="0" w:type="dxa"/>
              <w:left w:w="108" w:type="dxa"/>
              <w:bottom w:w="0" w:type="dxa"/>
              <w:right w:w="108" w:type="dxa"/>
            </w:tcMar>
            <w:vAlign w:val="center"/>
          </w:tcPr>
          <w:p w14:paraId="44D73059" w14:textId="3C9011D7" w:rsidR="00A83B76" w:rsidRPr="0033044E" w:rsidRDefault="00A83B76" w:rsidP="000E26C0">
            <w:pPr>
              <w:rPr>
                <w:rFonts w:ascii="Times New Roman" w:eastAsia="Times New Roman" w:hAnsi="Times New Roman"/>
                <w:sz w:val="24"/>
                <w:szCs w:val="24"/>
                <w:lang w:eastAsia="fr-FR"/>
              </w:rPr>
            </w:pPr>
          </w:p>
        </w:tc>
      </w:tr>
    </w:tbl>
    <w:p w14:paraId="0FEB02E1" w14:textId="77777777" w:rsidR="0064636A" w:rsidRDefault="0064636A" w:rsidP="0075103F"/>
    <w:sectPr w:rsidR="0064636A" w:rsidSect="00D13B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5A4A" w14:textId="77777777" w:rsidR="00F468D1" w:rsidRDefault="00F468D1" w:rsidP="002B6C34">
      <w:pPr>
        <w:spacing w:after="0" w:line="240" w:lineRule="auto"/>
      </w:pPr>
      <w:r>
        <w:separator/>
      </w:r>
    </w:p>
  </w:endnote>
  <w:endnote w:type="continuationSeparator" w:id="0">
    <w:p w14:paraId="12A8B8FC" w14:textId="77777777" w:rsidR="00F468D1" w:rsidRDefault="00F468D1" w:rsidP="002B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6742" w14:textId="77777777" w:rsidR="00F468D1" w:rsidRDefault="00F468D1" w:rsidP="002B6C34">
      <w:pPr>
        <w:spacing w:after="0" w:line="240" w:lineRule="auto"/>
      </w:pPr>
      <w:r>
        <w:separator/>
      </w:r>
    </w:p>
  </w:footnote>
  <w:footnote w:type="continuationSeparator" w:id="0">
    <w:p w14:paraId="53B856B9" w14:textId="77777777" w:rsidR="00F468D1" w:rsidRDefault="00F468D1" w:rsidP="002B6C34">
      <w:pPr>
        <w:spacing w:after="0" w:line="240" w:lineRule="auto"/>
      </w:pPr>
      <w:r>
        <w:continuationSeparator/>
      </w:r>
    </w:p>
  </w:footnote>
  <w:footnote w:id="1">
    <w:p w14:paraId="32D6A0D2" w14:textId="6C9B9F0F" w:rsidR="002B6C34" w:rsidRPr="00521A29" w:rsidRDefault="002B6C34" w:rsidP="002B6C34">
      <w:pPr>
        <w:pStyle w:val="Notedebasdepage"/>
        <w:jc w:val="both"/>
        <w:rPr>
          <w:rFonts w:ascii="Garamond" w:hAnsi="Garamond"/>
        </w:rPr>
      </w:pPr>
    </w:p>
  </w:footnote>
  <w:footnote w:id="2">
    <w:p w14:paraId="6EE45C19" w14:textId="6BFCFFF8" w:rsidR="002B6C34" w:rsidRPr="00124D5F" w:rsidRDefault="002B6C34" w:rsidP="002B6C34">
      <w:pPr>
        <w:pStyle w:val="NormalWeb"/>
        <w:shd w:val="clear" w:color="auto" w:fill="F9F9F9"/>
        <w:spacing w:before="75" w:beforeAutospacing="0" w:after="75" w:afterAutospacing="0"/>
        <w:jc w:val="both"/>
        <w:rPr>
          <w:rFonts w:ascii="Helvetica" w:hAnsi="Helvetica"/>
          <w:color w:val="333333"/>
          <w:sz w:val="18"/>
          <w:szCs w:val="18"/>
        </w:rPr>
      </w:pPr>
    </w:p>
  </w:footnote>
  <w:footnote w:id="3">
    <w:p w14:paraId="49AE13AF" w14:textId="59011412" w:rsidR="002B6C34" w:rsidRPr="005269BC" w:rsidRDefault="002B6C34" w:rsidP="002B6C34">
      <w:pPr>
        <w:pStyle w:val="Commentaire"/>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125B"/>
    <w:multiLevelType w:val="hybridMultilevel"/>
    <w:tmpl w:val="B86C9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6546D"/>
    <w:multiLevelType w:val="hybridMultilevel"/>
    <w:tmpl w:val="285CB2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C6937"/>
    <w:multiLevelType w:val="hybridMultilevel"/>
    <w:tmpl w:val="DF80B69A"/>
    <w:lvl w:ilvl="0" w:tplc="6D82918A">
      <w:start w:val="2"/>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2217FE"/>
    <w:multiLevelType w:val="hybridMultilevel"/>
    <w:tmpl w:val="78943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A7A53"/>
    <w:multiLevelType w:val="hybridMultilevel"/>
    <w:tmpl w:val="37ECB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0A"/>
    <w:multiLevelType w:val="hybridMultilevel"/>
    <w:tmpl w:val="CC6ABCD0"/>
    <w:lvl w:ilvl="0" w:tplc="6900BFC0">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FD2B4D"/>
    <w:multiLevelType w:val="hybridMultilevel"/>
    <w:tmpl w:val="AA5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2829F8"/>
    <w:multiLevelType w:val="hybridMultilevel"/>
    <w:tmpl w:val="8592D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202CF"/>
    <w:multiLevelType w:val="hybridMultilevel"/>
    <w:tmpl w:val="000AD8A6"/>
    <w:lvl w:ilvl="0" w:tplc="AF388B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34329B"/>
    <w:multiLevelType w:val="hybridMultilevel"/>
    <w:tmpl w:val="23FCD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E22C89"/>
    <w:multiLevelType w:val="hybridMultilevel"/>
    <w:tmpl w:val="64188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14638"/>
    <w:multiLevelType w:val="hybridMultilevel"/>
    <w:tmpl w:val="1C58C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E78E6"/>
    <w:multiLevelType w:val="hybridMultilevel"/>
    <w:tmpl w:val="B412C2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A67427B"/>
    <w:multiLevelType w:val="hybridMultilevel"/>
    <w:tmpl w:val="398E813A"/>
    <w:lvl w:ilvl="0" w:tplc="4596E566">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C972A0B"/>
    <w:multiLevelType w:val="hybridMultilevel"/>
    <w:tmpl w:val="3B00E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3544E"/>
    <w:multiLevelType w:val="hybridMultilevel"/>
    <w:tmpl w:val="DDE06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EB7001"/>
    <w:multiLevelType w:val="hybridMultilevel"/>
    <w:tmpl w:val="4BDEFD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5"/>
  </w:num>
  <w:num w:numId="5">
    <w:abstractNumId w:val="12"/>
  </w:num>
  <w:num w:numId="6">
    <w:abstractNumId w:val="14"/>
  </w:num>
  <w:num w:numId="7">
    <w:abstractNumId w:val="7"/>
  </w:num>
  <w:num w:numId="8">
    <w:abstractNumId w:val="13"/>
  </w:num>
  <w:num w:numId="9">
    <w:abstractNumId w:val="10"/>
  </w:num>
  <w:num w:numId="10">
    <w:abstractNumId w:val="16"/>
  </w:num>
  <w:num w:numId="11">
    <w:abstractNumId w:val="6"/>
  </w:num>
  <w:num w:numId="12">
    <w:abstractNumId w:val="4"/>
  </w:num>
  <w:num w:numId="13">
    <w:abstractNumId w:val="0"/>
  </w:num>
  <w:num w:numId="14">
    <w:abstractNumId w:val="1"/>
  </w:num>
  <w:num w:numId="15">
    <w:abstractNumId w:val="17"/>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5B"/>
    <w:rsid w:val="0003799F"/>
    <w:rsid w:val="000411AF"/>
    <w:rsid w:val="0004585E"/>
    <w:rsid w:val="00051443"/>
    <w:rsid w:val="0005298F"/>
    <w:rsid w:val="00091DE6"/>
    <w:rsid w:val="000A0271"/>
    <w:rsid w:val="000E0827"/>
    <w:rsid w:val="000E26C0"/>
    <w:rsid w:val="0010392E"/>
    <w:rsid w:val="00136622"/>
    <w:rsid w:val="00183514"/>
    <w:rsid w:val="001846D0"/>
    <w:rsid w:val="001967B5"/>
    <w:rsid w:val="001A681B"/>
    <w:rsid w:val="001A7383"/>
    <w:rsid w:val="001C0D5B"/>
    <w:rsid w:val="001D32B1"/>
    <w:rsid w:val="001D54EA"/>
    <w:rsid w:val="001F2013"/>
    <w:rsid w:val="002069FF"/>
    <w:rsid w:val="002127EA"/>
    <w:rsid w:val="00223DF9"/>
    <w:rsid w:val="002348F2"/>
    <w:rsid w:val="00237B7F"/>
    <w:rsid w:val="002406CB"/>
    <w:rsid w:val="00252DCC"/>
    <w:rsid w:val="00280C5B"/>
    <w:rsid w:val="00284648"/>
    <w:rsid w:val="00292217"/>
    <w:rsid w:val="002B6C34"/>
    <w:rsid w:val="002C109D"/>
    <w:rsid w:val="002C2109"/>
    <w:rsid w:val="002D474F"/>
    <w:rsid w:val="002E5395"/>
    <w:rsid w:val="003011B6"/>
    <w:rsid w:val="00305583"/>
    <w:rsid w:val="0033044E"/>
    <w:rsid w:val="0033486C"/>
    <w:rsid w:val="00361A96"/>
    <w:rsid w:val="003729CE"/>
    <w:rsid w:val="00386EDE"/>
    <w:rsid w:val="003C30F7"/>
    <w:rsid w:val="003F4F09"/>
    <w:rsid w:val="004020BC"/>
    <w:rsid w:val="0040218A"/>
    <w:rsid w:val="0044250B"/>
    <w:rsid w:val="00455C1E"/>
    <w:rsid w:val="004768CB"/>
    <w:rsid w:val="004971BF"/>
    <w:rsid w:val="004A2DA1"/>
    <w:rsid w:val="004B2F0F"/>
    <w:rsid w:val="00506605"/>
    <w:rsid w:val="00526523"/>
    <w:rsid w:val="005277A5"/>
    <w:rsid w:val="00596D41"/>
    <w:rsid w:val="005A71F4"/>
    <w:rsid w:val="005C5376"/>
    <w:rsid w:val="005C789C"/>
    <w:rsid w:val="005D2472"/>
    <w:rsid w:val="005D3A86"/>
    <w:rsid w:val="005D67AD"/>
    <w:rsid w:val="00613E34"/>
    <w:rsid w:val="00617447"/>
    <w:rsid w:val="00622B48"/>
    <w:rsid w:val="006231B2"/>
    <w:rsid w:val="006407D1"/>
    <w:rsid w:val="006441BB"/>
    <w:rsid w:val="0064636A"/>
    <w:rsid w:val="00683C4C"/>
    <w:rsid w:val="00692C95"/>
    <w:rsid w:val="00697380"/>
    <w:rsid w:val="006A21E3"/>
    <w:rsid w:val="006A7B20"/>
    <w:rsid w:val="006B4DE1"/>
    <w:rsid w:val="006B762F"/>
    <w:rsid w:val="006C2133"/>
    <w:rsid w:val="006E5B01"/>
    <w:rsid w:val="0075103F"/>
    <w:rsid w:val="007C19E6"/>
    <w:rsid w:val="007E73AD"/>
    <w:rsid w:val="00836EC1"/>
    <w:rsid w:val="00845E0A"/>
    <w:rsid w:val="00853BAF"/>
    <w:rsid w:val="008608CB"/>
    <w:rsid w:val="0086522F"/>
    <w:rsid w:val="00877326"/>
    <w:rsid w:val="00884F65"/>
    <w:rsid w:val="00885FA3"/>
    <w:rsid w:val="008910D8"/>
    <w:rsid w:val="008928EB"/>
    <w:rsid w:val="008B50AD"/>
    <w:rsid w:val="008D3E15"/>
    <w:rsid w:val="008E145A"/>
    <w:rsid w:val="008E2EB0"/>
    <w:rsid w:val="008E386C"/>
    <w:rsid w:val="009142A0"/>
    <w:rsid w:val="009176A9"/>
    <w:rsid w:val="00927F07"/>
    <w:rsid w:val="00954414"/>
    <w:rsid w:val="00975182"/>
    <w:rsid w:val="009B681A"/>
    <w:rsid w:val="009C1454"/>
    <w:rsid w:val="009C51DC"/>
    <w:rsid w:val="009E2157"/>
    <w:rsid w:val="009E7B4A"/>
    <w:rsid w:val="009F46DB"/>
    <w:rsid w:val="00A14CE9"/>
    <w:rsid w:val="00A4000C"/>
    <w:rsid w:val="00A40CBE"/>
    <w:rsid w:val="00A4227C"/>
    <w:rsid w:val="00A60075"/>
    <w:rsid w:val="00A83B76"/>
    <w:rsid w:val="00A904DD"/>
    <w:rsid w:val="00A90B3B"/>
    <w:rsid w:val="00AC1070"/>
    <w:rsid w:val="00AD3ABD"/>
    <w:rsid w:val="00AE232C"/>
    <w:rsid w:val="00AE69C8"/>
    <w:rsid w:val="00B03651"/>
    <w:rsid w:val="00B204EE"/>
    <w:rsid w:val="00B51101"/>
    <w:rsid w:val="00B54CE4"/>
    <w:rsid w:val="00B84B4B"/>
    <w:rsid w:val="00BC0163"/>
    <w:rsid w:val="00BD0B3C"/>
    <w:rsid w:val="00BD1294"/>
    <w:rsid w:val="00C17471"/>
    <w:rsid w:val="00C26C7C"/>
    <w:rsid w:val="00C2767C"/>
    <w:rsid w:val="00C41742"/>
    <w:rsid w:val="00C42696"/>
    <w:rsid w:val="00C44542"/>
    <w:rsid w:val="00C951A2"/>
    <w:rsid w:val="00CA4635"/>
    <w:rsid w:val="00CC2A51"/>
    <w:rsid w:val="00D13B5B"/>
    <w:rsid w:val="00D210C1"/>
    <w:rsid w:val="00D23AF2"/>
    <w:rsid w:val="00D338F1"/>
    <w:rsid w:val="00D35DE8"/>
    <w:rsid w:val="00D401B9"/>
    <w:rsid w:val="00D40FF4"/>
    <w:rsid w:val="00D4707F"/>
    <w:rsid w:val="00D66913"/>
    <w:rsid w:val="00D87C6E"/>
    <w:rsid w:val="00DB3429"/>
    <w:rsid w:val="00DC3357"/>
    <w:rsid w:val="00DC4574"/>
    <w:rsid w:val="00DE04A5"/>
    <w:rsid w:val="00DE5237"/>
    <w:rsid w:val="00E02A1C"/>
    <w:rsid w:val="00E3623C"/>
    <w:rsid w:val="00E74197"/>
    <w:rsid w:val="00EA0A79"/>
    <w:rsid w:val="00EA6FE3"/>
    <w:rsid w:val="00EC6265"/>
    <w:rsid w:val="00EC6BB9"/>
    <w:rsid w:val="00EF28F7"/>
    <w:rsid w:val="00F321C2"/>
    <w:rsid w:val="00F468D1"/>
    <w:rsid w:val="00F53530"/>
    <w:rsid w:val="00F66340"/>
    <w:rsid w:val="00F8413C"/>
    <w:rsid w:val="00F97BF1"/>
    <w:rsid w:val="00FA5F5E"/>
    <w:rsid w:val="00FB0F27"/>
    <w:rsid w:val="00FD0E3F"/>
    <w:rsid w:val="00FF1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779"/>
  <w15:docId w15:val="{52AC7CEB-C6C7-48EB-B24F-51F93C67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5B"/>
    <w:rPr>
      <w:rFonts w:ascii="Calibri" w:eastAsia="Calibri" w:hAnsi="Calibri" w:cs="Times New Roman"/>
    </w:rPr>
  </w:style>
  <w:style w:type="paragraph" w:styleId="Titre1">
    <w:name w:val="heading 1"/>
    <w:basedOn w:val="Normal"/>
    <w:next w:val="Normal"/>
    <w:link w:val="Titre1Car"/>
    <w:qFormat/>
    <w:rsid w:val="002B6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1C0D5B"/>
    <w:pPr>
      <w:keepNext/>
      <w:suppressAutoHyphens/>
      <w:spacing w:before="240" w:after="60" w:line="240" w:lineRule="auto"/>
      <w:jc w:val="both"/>
      <w:outlineLvl w:val="2"/>
    </w:pPr>
    <w:rPr>
      <w:rFonts w:ascii="Cambria" w:eastAsia="Times New Roman" w:hAnsi="Cambria"/>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Liste couleur - Accent 11,List Paragraph,L_4,References,Paragraphe de liste1,List Paragraph1,normal,Premier,Normal11,Normal2,Normal3,Normal4,Normal5,Normal6,Normal7,Normal8,Normal9,Normal10,Normal111,Normal12,Normal13,Normal14"/>
    <w:basedOn w:val="Normal"/>
    <w:link w:val="ParagraphedelisteCar"/>
    <w:uiPriority w:val="34"/>
    <w:qFormat/>
    <w:rsid w:val="00D13B5B"/>
    <w:pPr>
      <w:spacing w:after="0" w:line="240" w:lineRule="auto"/>
      <w:ind w:left="720"/>
    </w:pPr>
    <w:rPr>
      <w:rFonts w:ascii="Times New Roman" w:eastAsia="Times New Roman" w:hAnsi="Times New Roman"/>
      <w:sz w:val="24"/>
      <w:szCs w:val="24"/>
      <w:lang w:eastAsia="fr-FR"/>
    </w:rPr>
  </w:style>
  <w:style w:type="character" w:customStyle="1" w:styleId="ParagraphedelisteCar">
    <w:name w:val="Paragraphe de liste Car"/>
    <w:aliases w:val="texte Car,Liste couleur - Accent 11 Car,List Paragraph Car,L_4 Car,References Car,Paragraphe de liste1 Car,List Paragraph1 Car,normal Car,Premier Car,Normal11 Car,Normal2 Car,Normal3 Car,Normal4 Car,Normal5 Car,Normal6 Car"/>
    <w:basedOn w:val="Policepardfaut"/>
    <w:link w:val="Paragraphedeliste"/>
    <w:uiPriority w:val="34"/>
    <w:rsid w:val="00D13B5B"/>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33486C"/>
    <w:pPr>
      <w:spacing w:after="120" w:line="480" w:lineRule="auto"/>
    </w:pPr>
  </w:style>
  <w:style w:type="character" w:customStyle="1" w:styleId="Corpsdetexte2Car">
    <w:name w:val="Corps de texte 2 Car"/>
    <w:basedOn w:val="Policepardfaut"/>
    <w:link w:val="Corpsdetexte2"/>
    <w:rsid w:val="0033486C"/>
    <w:rPr>
      <w:rFonts w:ascii="Calibri" w:eastAsia="Calibri" w:hAnsi="Calibri" w:cs="Times New Roman"/>
    </w:rPr>
  </w:style>
  <w:style w:type="character" w:customStyle="1" w:styleId="Titre3Car">
    <w:name w:val="Titre 3 Car"/>
    <w:basedOn w:val="Policepardfaut"/>
    <w:link w:val="Titre3"/>
    <w:rsid w:val="001C0D5B"/>
    <w:rPr>
      <w:rFonts w:ascii="Cambria" w:eastAsia="Times New Roman" w:hAnsi="Cambria" w:cs="Times New Roman"/>
      <w:b/>
      <w:bCs/>
      <w:sz w:val="26"/>
      <w:szCs w:val="26"/>
      <w:lang w:eastAsia="ar-SA"/>
    </w:rPr>
  </w:style>
  <w:style w:type="paragraph" w:styleId="NormalWeb">
    <w:name w:val="Normal (Web)"/>
    <w:basedOn w:val="Normal"/>
    <w:uiPriority w:val="99"/>
    <w:rsid w:val="00A83B7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rsid w:val="002B6C34"/>
    <w:rPr>
      <w:rFonts w:asciiTheme="majorHAnsi" w:eastAsiaTheme="majorEastAsia" w:hAnsiTheme="majorHAnsi" w:cstheme="majorBidi"/>
      <w:color w:val="365F91" w:themeColor="accent1" w:themeShade="BF"/>
      <w:sz w:val="32"/>
      <w:szCs w:val="32"/>
    </w:rPr>
  </w:style>
  <w:style w:type="character" w:styleId="lev">
    <w:name w:val="Strong"/>
    <w:uiPriority w:val="22"/>
    <w:qFormat/>
    <w:rsid w:val="002B6C34"/>
    <w:rPr>
      <w:b/>
      <w:bCs/>
    </w:rPr>
  </w:style>
  <w:style w:type="paragraph" w:styleId="Notedebasdepage">
    <w:name w:val="footnote text"/>
    <w:aliases w:val="fn,ADB,single space,footnote text Char,fn Char,ADB Char,single space Char Char,Fußnotentextf,FOOTNOTES,Geneva 9,Font: Geneva 9,Boston 10,f,Footnote Text 1,Footnote Text Char Char Char,Char,ALTS FOOTNO,ft,Fußnote,Fu?notentextf"/>
    <w:basedOn w:val="Normal"/>
    <w:link w:val="NotedebasdepageCar"/>
    <w:uiPriority w:val="99"/>
    <w:unhideWhenUsed/>
    <w:rsid w:val="002B6C34"/>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aliases w:val="fn Car,ADB Car,single space Car,footnote text Char Car,fn Char Car,ADB Char Car,single space Char Char Car,Fußnotentextf Car,FOOTNOTES Car,Geneva 9 Car,Font: Geneva 9 Car,Boston 10 Car,f Car,Footnote Text 1 Car,Char Car,ft Car"/>
    <w:basedOn w:val="Policepardfaut"/>
    <w:link w:val="Notedebasdepage"/>
    <w:uiPriority w:val="99"/>
    <w:rsid w:val="002B6C34"/>
    <w:rPr>
      <w:sz w:val="20"/>
      <w:szCs w:val="20"/>
    </w:rPr>
  </w:style>
  <w:style w:type="character" w:styleId="Appelnotedebasdep">
    <w:name w:val="footnote reference"/>
    <w:aliases w:val="16 Point,Superscript 6 Point,ftref, BVI fnr,BVI fnr,Знак сноски 1,Normal + Font:9 Point,Superscript 3 Point Times,footnote ref,Superscript 6 Point + 11 pt,Carattere Char1,Carattere Char Char Carattere Carattere Char Char,fr"/>
    <w:basedOn w:val="Policepardfaut"/>
    <w:link w:val="BVIfnrCharCharChar"/>
    <w:uiPriority w:val="99"/>
    <w:unhideWhenUsed/>
    <w:rsid w:val="002B6C34"/>
    <w:rPr>
      <w:vertAlign w:val="superscript"/>
    </w:rPr>
  </w:style>
  <w:style w:type="paragraph" w:customStyle="1" w:styleId="BVIfnrCharCharChar">
    <w:name w:val="BVI fnr Char Char Char"/>
    <w:aliases w:val="ftref Char Char Char,16 Point Char Char Char,Superscript 6 Point Char Char Char"/>
    <w:basedOn w:val="Normal"/>
    <w:link w:val="Appelnotedebasdep"/>
    <w:uiPriority w:val="99"/>
    <w:rsid w:val="002B6C34"/>
    <w:pPr>
      <w:spacing w:before="120" w:after="160" w:line="240" w:lineRule="exact"/>
      <w:jc w:val="both"/>
    </w:pPr>
    <w:rPr>
      <w:rFonts w:asciiTheme="minorHAnsi" w:eastAsiaTheme="minorHAnsi" w:hAnsiTheme="minorHAnsi" w:cstheme="minorBidi"/>
      <w:vertAlign w:val="superscript"/>
    </w:rPr>
  </w:style>
  <w:style w:type="paragraph" w:styleId="Commentaire">
    <w:name w:val="annotation text"/>
    <w:basedOn w:val="Normal"/>
    <w:link w:val="CommentaireCar"/>
    <w:uiPriority w:val="99"/>
    <w:unhideWhenUsed/>
    <w:rsid w:val="002B6C34"/>
    <w:pPr>
      <w:widowControl w:val="0"/>
      <w:autoSpaceDE w:val="0"/>
      <w:autoSpaceDN w:val="0"/>
      <w:spacing w:after="0" w:line="240" w:lineRule="auto"/>
    </w:pPr>
    <w:rPr>
      <w:rFonts w:ascii="Arial" w:eastAsia="Arial" w:hAnsi="Arial" w:cs="Arial"/>
      <w:sz w:val="20"/>
      <w:szCs w:val="20"/>
      <w:lang w:val="en-US"/>
    </w:rPr>
  </w:style>
  <w:style w:type="character" w:customStyle="1" w:styleId="CommentaireCar">
    <w:name w:val="Commentaire Car"/>
    <w:basedOn w:val="Policepardfaut"/>
    <w:link w:val="Commentaire"/>
    <w:uiPriority w:val="99"/>
    <w:rsid w:val="002B6C34"/>
    <w:rPr>
      <w:rFonts w:ascii="Arial" w:eastAsia="Arial" w:hAnsi="Arial" w:cs="Arial"/>
      <w:sz w:val="20"/>
      <w:szCs w:val="20"/>
      <w:lang w:val="en-US"/>
    </w:rPr>
  </w:style>
  <w:style w:type="character" w:styleId="Accentuation">
    <w:name w:val="Emphasis"/>
    <w:basedOn w:val="Policepardfaut"/>
    <w:uiPriority w:val="20"/>
    <w:qFormat/>
    <w:rsid w:val="002B6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9921">
      <w:bodyDiv w:val="1"/>
      <w:marLeft w:val="0"/>
      <w:marRight w:val="0"/>
      <w:marTop w:val="0"/>
      <w:marBottom w:val="0"/>
      <w:divBdr>
        <w:top w:val="none" w:sz="0" w:space="0" w:color="auto"/>
        <w:left w:val="none" w:sz="0" w:space="0" w:color="auto"/>
        <w:bottom w:val="none" w:sz="0" w:space="0" w:color="auto"/>
        <w:right w:val="none" w:sz="0" w:space="0" w:color="auto"/>
      </w:divBdr>
    </w:div>
    <w:div w:id="172382325">
      <w:bodyDiv w:val="1"/>
      <w:marLeft w:val="0"/>
      <w:marRight w:val="0"/>
      <w:marTop w:val="0"/>
      <w:marBottom w:val="0"/>
      <w:divBdr>
        <w:top w:val="none" w:sz="0" w:space="0" w:color="auto"/>
        <w:left w:val="none" w:sz="0" w:space="0" w:color="auto"/>
        <w:bottom w:val="none" w:sz="0" w:space="0" w:color="auto"/>
        <w:right w:val="none" w:sz="0" w:space="0" w:color="auto"/>
      </w:divBdr>
    </w:div>
    <w:div w:id="2561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1447D-20BD-44C5-AAD3-427B639C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SNU</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ousmane.sedogo</dc:creator>
  <cp:lastModifiedBy>Salifou Zoungrana</cp:lastModifiedBy>
  <cp:revision>2</cp:revision>
  <dcterms:created xsi:type="dcterms:W3CDTF">2020-02-14T09:58:00Z</dcterms:created>
  <dcterms:modified xsi:type="dcterms:W3CDTF">2020-02-14T09:58:00Z</dcterms:modified>
</cp:coreProperties>
</file>