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5AB" w:rsidRDefault="00EB55AB" w:rsidP="00EB55AB">
      <w:pPr>
        <w:jc w:val="both"/>
        <w:rPr>
          <w:rFonts w:ascii="Times New Roman" w:hAnsi="Times New Roman"/>
          <w:sz w:val="24"/>
        </w:rPr>
      </w:pPr>
      <w:r w:rsidRPr="00DC4F91">
        <w:rPr>
          <w:rFonts w:ascii="Times New Roman" w:hAnsi="Times New Roman"/>
          <w:b/>
          <w:bCs/>
          <w:sz w:val="24"/>
        </w:rPr>
        <w:t>Increased synergy</w:t>
      </w:r>
      <w:r>
        <w:rPr>
          <w:rFonts w:ascii="Times New Roman" w:hAnsi="Times New Roman"/>
          <w:b/>
          <w:bCs/>
          <w:sz w:val="24"/>
        </w:rPr>
        <w:t xml:space="preserve"> between implementing partners</w:t>
      </w:r>
      <w:r w:rsidRPr="00DC4F91">
        <w:rPr>
          <w:rFonts w:ascii="Times New Roman" w:hAnsi="Times New Roman"/>
          <w:sz w:val="24"/>
        </w:rPr>
        <w:t xml:space="preserve">: </w:t>
      </w:r>
      <w:r w:rsidR="00D42994">
        <w:rPr>
          <w:rFonts w:ascii="Times New Roman" w:hAnsi="Times New Roman"/>
          <w:sz w:val="24"/>
        </w:rPr>
        <w:t>ERRY</w:t>
      </w:r>
      <w:r w:rsidRPr="00DC4F91">
        <w:rPr>
          <w:rFonts w:ascii="Times New Roman" w:hAnsi="Times New Roman"/>
          <w:sz w:val="24"/>
        </w:rPr>
        <w:t xml:space="preserve"> joint programme </w:t>
      </w:r>
      <w:r w:rsidR="00D42994">
        <w:rPr>
          <w:rFonts w:ascii="Times New Roman" w:hAnsi="Times New Roman"/>
          <w:sz w:val="24"/>
        </w:rPr>
        <w:t xml:space="preserve">is </w:t>
      </w:r>
      <w:r w:rsidRPr="00DC4F91">
        <w:rPr>
          <w:rFonts w:ascii="Times New Roman" w:hAnsi="Times New Roman"/>
          <w:sz w:val="24"/>
        </w:rPr>
        <w:t xml:space="preserve">implemented by UNDP, ILO, FAO and WFP through a comprehensive, integrated approach to address a broad range of interconnected issues, taking into account the multi-sectoral demand of vulnerability. The interventions draw on the comparative advantage of each Partnering UN Organization (PUNO) and the key lessons learnt </w:t>
      </w:r>
      <w:r w:rsidR="00D42994">
        <w:rPr>
          <w:rFonts w:ascii="Times New Roman" w:hAnsi="Times New Roman"/>
          <w:sz w:val="24"/>
        </w:rPr>
        <w:t xml:space="preserve">from implementing the </w:t>
      </w:r>
      <w:r w:rsidRPr="00DC4F91">
        <w:rPr>
          <w:rFonts w:ascii="Times New Roman" w:hAnsi="Times New Roman"/>
          <w:sz w:val="24"/>
        </w:rPr>
        <w:t>ongoing ERRY programme, as articulated by the MTR, to maximize the impacts of the programme. The joint-delivery demonstrated that the programme’s results can be achieved within a short span of time, maximizing impact and creating synergies between different activities by working in the same targeted locations. Key lessons from the MTR to enhance the synergies among PUNOs are summarized as below:</w:t>
      </w:r>
    </w:p>
    <w:p w:rsidR="00EB55AB" w:rsidRDefault="00EB55AB" w:rsidP="00EB55AB">
      <w:pPr>
        <w:jc w:val="both"/>
        <w:rPr>
          <w:rFonts w:ascii="Times New Roman" w:hAnsi="Times New Roman"/>
          <w:sz w:val="24"/>
        </w:rPr>
      </w:pPr>
    </w:p>
    <w:p w:rsidR="00A73235" w:rsidRDefault="00EB55AB" w:rsidP="00EB55AB">
      <w:pPr>
        <w:jc w:val="both"/>
        <w:rPr>
          <w:rFonts w:ascii="Times New Roman" w:hAnsi="Times New Roman"/>
          <w:sz w:val="24"/>
        </w:rPr>
      </w:pPr>
      <w:r>
        <w:rPr>
          <w:rFonts w:ascii="Times New Roman" w:hAnsi="Times New Roman"/>
          <w:b/>
          <w:sz w:val="24"/>
        </w:rPr>
        <w:t>I</w:t>
      </w:r>
      <w:r w:rsidRPr="0079307F">
        <w:rPr>
          <w:rFonts w:ascii="Times New Roman" w:hAnsi="Times New Roman"/>
          <w:b/>
          <w:sz w:val="24"/>
        </w:rPr>
        <w:t>ntegration and convergence</w:t>
      </w:r>
      <w:r>
        <w:rPr>
          <w:rFonts w:ascii="Times New Roman" w:hAnsi="Times New Roman"/>
          <w:b/>
          <w:sz w:val="24"/>
        </w:rPr>
        <w:t xml:space="preserve"> of action</w:t>
      </w:r>
      <w:r w:rsidRPr="00DC4F91">
        <w:rPr>
          <w:rFonts w:ascii="Times New Roman" w:hAnsi="Times New Roman"/>
          <w:sz w:val="24"/>
        </w:rPr>
        <w:t xml:space="preserve">: </w:t>
      </w:r>
      <w:r>
        <w:rPr>
          <w:rFonts w:ascii="Times New Roman" w:hAnsi="Times New Roman"/>
          <w:sz w:val="24"/>
        </w:rPr>
        <w:t xml:space="preserve">The four UN agencies </w:t>
      </w:r>
      <w:r w:rsidR="00A73235">
        <w:rPr>
          <w:rFonts w:ascii="Times New Roman" w:hAnsi="Times New Roman"/>
          <w:sz w:val="24"/>
        </w:rPr>
        <w:t xml:space="preserve">are </w:t>
      </w:r>
      <w:r w:rsidRPr="00DC4F91">
        <w:rPr>
          <w:rFonts w:ascii="Times New Roman" w:hAnsi="Times New Roman"/>
          <w:sz w:val="24"/>
        </w:rPr>
        <w:t>target</w:t>
      </w:r>
      <w:r w:rsidR="00A73235">
        <w:rPr>
          <w:rFonts w:ascii="Times New Roman" w:hAnsi="Times New Roman"/>
          <w:sz w:val="24"/>
        </w:rPr>
        <w:t>ing</w:t>
      </w:r>
      <w:r w:rsidRPr="00DC4F91">
        <w:rPr>
          <w:rFonts w:ascii="Times New Roman" w:hAnsi="Times New Roman"/>
          <w:sz w:val="24"/>
        </w:rPr>
        <w:t xml:space="preserve"> the same districts and communities in order to maximize impact in the same community with the diverse and integrated interventions from all PUNOs; increase synergies within the technical components such as the solar component which provided services to dairy product processing groups of FAO’s agriculture, UNDP and WFP’s livelihoods components;</w:t>
      </w:r>
      <w:r w:rsidRPr="00DC4F91">
        <w:t xml:space="preserve"> </w:t>
      </w:r>
      <w:r w:rsidRPr="00DC4F91">
        <w:rPr>
          <w:rFonts w:ascii="Times New Roman" w:hAnsi="Times New Roman"/>
          <w:sz w:val="24"/>
        </w:rPr>
        <w:t>ILO skill</w:t>
      </w:r>
      <w:r>
        <w:rPr>
          <w:rFonts w:ascii="Times New Roman" w:hAnsi="Times New Roman"/>
          <w:sz w:val="24"/>
        </w:rPr>
        <w:t>s</w:t>
      </w:r>
      <w:r w:rsidRPr="00DC4F91">
        <w:rPr>
          <w:rFonts w:ascii="Times New Roman" w:hAnsi="Times New Roman"/>
          <w:sz w:val="24"/>
        </w:rPr>
        <w:t xml:space="preserve"> and entrepreneurship training provided to all ERRY livelihoods interventions; provide post cash for work support by UNDP and ILO for the beneficiaries of cash for work to create sustainable livelihoods opportunities</w:t>
      </w:r>
      <w:r w:rsidR="00A73235">
        <w:rPr>
          <w:rFonts w:ascii="Times New Roman" w:hAnsi="Times New Roman"/>
          <w:sz w:val="24"/>
        </w:rPr>
        <w:t>.</w:t>
      </w:r>
    </w:p>
    <w:p w:rsidR="00A73235" w:rsidRDefault="00A73235" w:rsidP="00A73235">
      <w:pPr>
        <w:jc w:val="both"/>
        <w:rPr>
          <w:rFonts w:ascii="Times New Roman" w:hAnsi="Times New Roman"/>
          <w:sz w:val="24"/>
        </w:rPr>
      </w:pPr>
      <w:r>
        <w:rPr>
          <w:rFonts w:ascii="Times New Roman" w:hAnsi="Times New Roman"/>
          <w:sz w:val="24"/>
        </w:rPr>
        <w:t>C</w:t>
      </w:r>
      <w:r w:rsidR="00EB55AB" w:rsidRPr="00DC4F91">
        <w:rPr>
          <w:rFonts w:ascii="Times New Roman" w:hAnsi="Times New Roman"/>
          <w:sz w:val="24"/>
        </w:rPr>
        <w:t>oordination and collaboration among PUNOs through JCU-strengthening synergies between the different components of ERRY requires close coordination and collaboration among PUNOs; joint planning, assessments and monitoring visits to governorates and districts</w:t>
      </w:r>
      <w:r>
        <w:rPr>
          <w:rFonts w:ascii="Times New Roman" w:hAnsi="Times New Roman"/>
          <w:sz w:val="24"/>
        </w:rPr>
        <w:t>, which is one of the</w:t>
      </w:r>
      <w:r w:rsidR="00EB55AB" w:rsidRPr="00DC4F91">
        <w:rPr>
          <w:rFonts w:ascii="Times New Roman" w:hAnsi="Times New Roman"/>
          <w:sz w:val="24"/>
        </w:rPr>
        <w:t xml:space="preserve"> key lessons learned </w:t>
      </w:r>
      <w:r>
        <w:rPr>
          <w:rFonts w:ascii="Times New Roman" w:hAnsi="Times New Roman"/>
          <w:sz w:val="24"/>
        </w:rPr>
        <w:t xml:space="preserve">from </w:t>
      </w:r>
      <w:r w:rsidR="00EB55AB">
        <w:rPr>
          <w:rFonts w:ascii="Times New Roman" w:hAnsi="Times New Roman"/>
          <w:sz w:val="24"/>
        </w:rPr>
        <w:t>the present project</w:t>
      </w:r>
      <w:r w:rsidR="00EB55AB" w:rsidRPr="00DC4F91">
        <w:rPr>
          <w:rFonts w:ascii="Times New Roman" w:hAnsi="Times New Roman"/>
          <w:sz w:val="24"/>
        </w:rPr>
        <w:t xml:space="preserve"> for the exchange of information, sharing of progress and joint learning</w:t>
      </w:r>
      <w:r>
        <w:rPr>
          <w:rFonts w:ascii="Times New Roman" w:hAnsi="Times New Roman"/>
          <w:sz w:val="24"/>
        </w:rPr>
        <w:t>. C</w:t>
      </w:r>
      <w:r w:rsidR="00EB55AB" w:rsidRPr="00DC4F91">
        <w:rPr>
          <w:rFonts w:ascii="Times New Roman" w:hAnsi="Times New Roman"/>
          <w:sz w:val="24"/>
        </w:rPr>
        <w:t>ommunity resilience planning and strengthening VCC</w:t>
      </w:r>
      <w:r>
        <w:rPr>
          <w:rFonts w:ascii="Times New Roman" w:hAnsi="Times New Roman"/>
          <w:sz w:val="24"/>
        </w:rPr>
        <w:t xml:space="preserve">s are </w:t>
      </w:r>
      <w:r w:rsidR="00EB55AB" w:rsidRPr="00DC4F91">
        <w:rPr>
          <w:rFonts w:ascii="Times New Roman" w:hAnsi="Times New Roman"/>
          <w:sz w:val="24"/>
        </w:rPr>
        <w:t>the key to achieve community resilience through strengthening VCCs capacities to prepare resilience plan</w:t>
      </w:r>
      <w:r>
        <w:rPr>
          <w:rFonts w:ascii="Times New Roman" w:hAnsi="Times New Roman"/>
          <w:sz w:val="24"/>
        </w:rPr>
        <w:t>s</w:t>
      </w:r>
      <w:r w:rsidR="00EB55AB" w:rsidRPr="00DC4F91">
        <w:rPr>
          <w:rFonts w:ascii="Times New Roman" w:hAnsi="Times New Roman"/>
          <w:sz w:val="24"/>
        </w:rPr>
        <w:t xml:space="preserve">, mobilize resources and implement self-help initiatives. All PUNOs interventions </w:t>
      </w:r>
      <w:r>
        <w:rPr>
          <w:rFonts w:ascii="Times New Roman" w:hAnsi="Times New Roman"/>
          <w:sz w:val="24"/>
        </w:rPr>
        <w:t xml:space="preserve">are being </w:t>
      </w:r>
      <w:r w:rsidR="00EB55AB" w:rsidRPr="00DC4F91">
        <w:rPr>
          <w:rFonts w:ascii="Times New Roman" w:hAnsi="Times New Roman"/>
          <w:sz w:val="24"/>
        </w:rPr>
        <w:t xml:space="preserve">implemented through VCC for </w:t>
      </w:r>
      <w:r>
        <w:rPr>
          <w:rFonts w:ascii="Times New Roman" w:hAnsi="Times New Roman"/>
          <w:sz w:val="24"/>
        </w:rPr>
        <w:t xml:space="preserve">better </w:t>
      </w:r>
      <w:r w:rsidR="00EB55AB" w:rsidRPr="00DC4F91">
        <w:rPr>
          <w:rFonts w:ascii="Times New Roman" w:hAnsi="Times New Roman"/>
          <w:sz w:val="24"/>
        </w:rPr>
        <w:t>synergies</w:t>
      </w:r>
      <w:r>
        <w:rPr>
          <w:rFonts w:ascii="Times New Roman" w:hAnsi="Times New Roman"/>
          <w:sz w:val="24"/>
        </w:rPr>
        <w:t>; they</w:t>
      </w:r>
      <w:r w:rsidR="00EB55AB" w:rsidRPr="00DC4F91">
        <w:rPr>
          <w:rFonts w:ascii="Times New Roman" w:hAnsi="Times New Roman"/>
          <w:sz w:val="24"/>
        </w:rPr>
        <w:t xml:space="preserve"> contribute to the implementation of the community resilience plan</w:t>
      </w:r>
      <w:r>
        <w:rPr>
          <w:rFonts w:ascii="Times New Roman" w:hAnsi="Times New Roman"/>
          <w:sz w:val="24"/>
        </w:rPr>
        <w:t>s</w:t>
      </w:r>
      <w:r w:rsidR="00EB55AB" w:rsidRPr="00DC4F91">
        <w:rPr>
          <w:rFonts w:ascii="Times New Roman" w:hAnsi="Times New Roman"/>
          <w:sz w:val="24"/>
        </w:rPr>
        <w:t xml:space="preserve"> and self-help initiatives</w:t>
      </w:r>
      <w:r>
        <w:rPr>
          <w:rFonts w:ascii="Times New Roman" w:hAnsi="Times New Roman"/>
          <w:sz w:val="24"/>
        </w:rPr>
        <w:t xml:space="preserve">. </w:t>
      </w:r>
      <w:r w:rsidR="00EB55AB" w:rsidRPr="00DD6E9C">
        <w:rPr>
          <w:rFonts w:ascii="Times New Roman" w:hAnsi="Times New Roman"/>
          <w:sz w:val="24"/>
        </w:rPr>
        <w:t xml:space="preserve"> PUNOs </w:t>
      </w:r>
      <w:r>
        <w:rPr>
          <w:rFonts w:ascii="Times New Roman" w:hAnsi="Times New Roman"/>
          <w:sz w:val="24"/>
        </w:rPr>
        <w:t xml:space="preserve">are using and sharing </w:t>
      </w:r>
      <w:r w:rsidR="00EB55AB" w:rsidRPr="00DD6E9C">
        <w:rPr>
          <w:rFonts w:ascii="Times New Roman" w:hAnsi="Times New Roman"/>
          <w:sz w:val="24"/>
        </w:rPr>
        <w:t>the same office</w:t>
      </w:r>
      <w:r>
        <w:rPr>
          <w:rFonts w:ascii="Times New Roman" w:hAnsi="Times New Roman"/>
          <w:sz w:val="24"/>
        </w:rPr>
        <w:t>s</w:t>
      </w:r>
      <w:r w:rsidR="00EB55AB" w:rsidRPr="00DD6E9C">
        <w:rPr>
          <w:rFonts w:ascii="Times New Roman" w:hAnsi="Times New Roman"/>
          <w:sz w:val="24"/>
        </w:rPr>
        <w:t xml:space="preserve"> in the field to enhance integration of the team, efficiency, collaboration and delivery as one joint programme.</w:t>
      </w:r>
      <w:r>
        <w:rPr>
          <w:rFonts w:ascii="Times New Roman" w:hAnsi="Times New Roman"/>
          <w:sz w:val="24"/>
        </w:rPr>
        <w:t xml:space="preserve"> The following chart shows synergies through two components.</w:t>
      </w:r>
    </w:p>
    <w:p w:rsidR="00EB55AB" w:rsidRPr="00FB6B2C" w:rsidRDefault="00EB55AB" w:rsidP="00EB55AB">
      <w:pPr>
        <w:jc w:val="both"/>
        <w:rPr>
          <w:rFonts w:ascii="Times New Roman" w:hAnsi="Times New Roman"/>
          <w:sz w:val="24"/>
        </w:rPr>
      </w:pPr>
    </w:p>
    <w:p w:rsidR="00EB55AB" w:rsidRDefault="002B3767" w:rsidP="00EB55AB">
      <w:pPr>
        <w:jc w:val="both"/>
        <w:rPr>
          <w:rFonts w:ascii="Times New Roman" w:hAnsi="Times New Roman"/>
          <w:sz w:val="24"/>
        </w:rPr>
      </w:pPr>
      <w:r>
        <w:rPr>
          <w:rFonts w:ascii="Times New Roman" w:hAnsi="Times New Roman"/>
          <w:noProof/>
          <w:sz w:val="24"/>
        </w:rPr>
        <w:drawing>
          <wp:inline distT="0" distB="0" distL="0" distR="0" wp14:anchorId="332791C6" wp14:editId="10102895">
            <wp:extent cx="5936615" cy="3023235"/>
            <wp:effectExtent l="0" t="0" r="698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6615" cy="3023235"/>
                    </a:xfrm>
                    <a:prstGeom prst="rect">
                      <a:avLst/>
                    </a:prstGeom>
                    <a:noFill/>
                    <a:ln>
                      <a:noFill/>
                    </a:ln>
                  </pic:spPr>
                </pic:pic>
              </a:graphicData>
            </a:graphic>
          </wp:inline>
        </w:drawing>
      </w:r>
    </w:p>
    <w:p w:rsidR="002B3767" w:rsidRPr="003C41E0" w:rsidRDefault="002B3767" w:rsidP="00EB55AB">
      <w:pPr>
        <w:jc w:val="both"/>
        <w:rPr>
          <w:rFonts w:ascii="Times New Roman" w:hAnsi="Times New Roman"/>
          <w:sz w:val="24"/>
        </w:rPr>
      </w:pPr>
    </w:p>
    <w:p w:rsidR="00EB55AB" w:rsidRPr="003C41E0" w:rsidRDefault="00EB55AB" w:rsidP="00EB55AB">
      <w:pPr>
        <w:pBdr>
          <w:top w:val="none" w:sz="0" w:space="0" w:color="000000"/>
          <w:left w:val="none" w:sz="0" w:space="0" w:color="000000"/>
          <w:bottom w:val="none" w:sz="0" w:space="0" w:color="000000"/>
          <w:right w:val="none" w:sz="0" w:space="0" w:color="000000"/>
        </w:pBdr>
        <w:spacing w:before="120" w:after="120"/>
        <w:jc w:val="both"/>
        <w:rPr>
          <w:rFonts w:ascii="Times New Roman" w:hAnsi="Times New Roman"/>
          <w:color w:val="000000"/>
          <w:sz w:val="24"/>
        </w:rPr>
      </w:pPr>
      <w:r w:rsidRPr="003C41E0">
        <w:rPr>
          <w:rFonts w:ascii="Times New Roman" w:hAnsi="Times New Roman"/>
          <w:b/>
          <w:bCs/>
          <w:color w:val="000000"/>
          <w:sz w:val="24"/>
        </w:rPr>
        <w:t xml:space="preserve">Livelihood stabilization and community assets rehabilitation </w:t>
      </w:r>
      <w:r w:rsidRPr="003C41E0">
        <w:rPr>
          <w:rFonts w:ascii="Times New Roman" w:hAnsi="Times New Roman"/>
          <w:b/>
          <w:color w:val="000000"/>
          <w:sz w:val="24"/>
        </w:rPr>
        <w:t>for resilience building</w:t>
      </w:r>
      <w:r w:rsidRPr="003C41E0">
        <w:rPr>
          <w:rFonts w:ascii="Times New Roman" w:hAnsi="Times New Roman"/>
          <w:color w:val="000000"/>
          <w:sz w:val="24"/>
        </w:rPr>
        <w:t xml:space="preserve">: </w:t>
      </w:r>
      <w:r w:rsidRPr="003C41E0">
        <w:rPr>
          <w:rFonts w:ascii="Times New Roman" w:hAnsi="Times New Roman"/>
          <w:sz w:val="24"/>
        </w:rPr>
        <w:t>Livelihoods are the means by which households obtain and maintain access to the resources necessary to ensure their immediate and long-term survival. Households use these assets to increase their ability to withstand shocks and to manage risks that threaten their well-being.</w:t>
      </w:r>
      <w:r w:rsidRPr="003C41E0">
        <w:rPr>
          <w:rFonts w:ascii="Times New Roman" w:hAnsi="Times New Roman"/>
          <w:color w:val="000000"/>
          <w:sz w:val="24"/>
        </w:rPr>
        <w:t xml:space="preserve"> </w:t>
      </w:r>
      <w:r w:rsidRPr="003C41E0">
        <w:rPr>
          <w:rFonts w:ascii="Times New Roman" w:hAnsi="Times New Roman"/>
          <w:sz w:val="24"/>
        </w:rPr>
        <w:t xml:space="preserve">Lessons learnt from the ongoing ERRY programme show that the conflict has an enormously destructive impact on individuals and communities’ livelihoods. People do not wait for help of relief food but adopt </w:t>
      </w:r>
      <w:r w:rsidR="00C03D36">
        <w:rPr>
          <w:rFonts w:ascii="Times New Roman" w:hAnsi="Times New Roman"/>
          <w:sz w:val="24"/>
        </w:rPr>
        <w:t>various</w:t>
      </w:r>
      <w:r w:rsidRPr="003C41E0">
        <w:rPr>
          <w:rFonts w:ascii="Times New Roman" w:hAnsi="Times New Roman"/>
          <w:sz w:val="24"/>
        </w:rPr>
        <w:t xml:space="preserve"> positive or negative livelihood strategies to survive. It is very important to find ways of supporting these strategies before households become deplete of their assets and destitute. </w:t>
      </w:r>
      <w:r w:rsidRPr="003C41E0">
        <w:rPr>
          <w:rFonts w:ascii="Times New Roman" w:hAnsi="Times New Roman"/>
          <w:color w:val="000000"/>
          <w:sz w:val="24"/>
        </w:rPr>
        <w:t xml:space="preserve">Stabilization of livelihoods is a prerequisite to resilience-building to guarantee immediate cash and income-generation opportunities for crisis affected households and contribute to assets rehabilitation and building at the community level. It is essential </w:t>
      </w:r>
      <w:r w:rsidRPr="003C41E0">
        <w:rPr>
          <w:rFonts w:ascii="Times New Roman" w:hAnsi="Times New Roman"/>
          <w:sz w:val="24"/>
        </w:rPr>
        <w:t>to protect or enhance household &amp; community assets and aid that supports household livelihood coping strategies in conflict environments. This was confirmed by the ERRY MTR which showed that the programme’s livelihoods and economic empowerment activities, especially those focused on rehabilitating communal assets, had the most notable impacts on household’s and communities’ capacity to manage the ongoing shock.</w:t>
      </w:r>
    </w:p>
    <w:p w:rsidR="00EB55AB" w:rsidRPr="003C41E0" w:rsidRDefault="00EB55AB" w:rsidP="00EB55AB">
      <w:pPr>
        <w:autoSpaceDE w:val="0"/>
        <w:autoSpaceDN w:val="0"/>
        <w:adjustRightInd w:val="0"/>
        <w:jc w:val="both"/>
        <w:rPr>
          <w:rFonts w:ascii="Times New Roman" w:hAnsi="Times New Roman"/>
          <w:sz w:val="24"/>
        </w:rPr>
      </w:pPr>
      <w:r w:rsidRPr="003C41E0">
        <w:rPr>
          <w:rFonts w:ascii="Times New Roman" w:hAnsi="Times New Roman"/>
          <w:b/>
          <w:bCs/>
          <w:sz w:val="24"/>
        </w:rPr>
        <w:t>Strengthening the capacity of Local and Community Institutions:</w:t>
      </w:r>
      <w:r w:rsidRPr="003C41E0">
        <w:rPr>
          <w:rFonts w:ascii="Times New Roman" w:hAnsi="Times New Roman"/>
          <w:sz w:val="24"/>
        </w:rPr>
        <w:t xml:space="preserve"> Presence of strong and functioning community and local institutions is the foundation for the resilience building processes in the community. The community coping and self-help mechanisms and social networks need to be strengthened to effectively respond and address shocks and risks. Communities and institutions need to be supported to be able to effectively identify the priority areas of support best suited to their needs and in the planning for the related responses leveraging the available local resources and identifying gaps. The review of the ERRY programme’s implementation and outcomes half-way into its delivery showed, indeed, that VCCs and their capacity-building constitute a power tool to leverage synergies, to effectively reach vulnerable groups and to optimize impacts.</w:t>
      </w:r>
    </w:p>
    <w:p w:rsidR="00EB55AB" w:rsidRPr="003C41E0" w:rsidRDefault="00EB55AB" w:rsidP="00EB55AB">
      <w:pPr>
        <w:autoSpaceDE w:val="0"/>
        <w:autoSpaceDN w:val="0"/>
        <w:adjustRightInd w:val="0"/>
        <w:jc w:val="both"/>
        <w:rPr>
          <w:rFonts w:ascii="Times New Roman" w:hAnsi="Times New Roman"/>
          <w:sz w:val="24"/>
        </w:rPr>
      </w:pPr>
    </w:p>
    <w:p w:rsidR="00EB55AB" w:rsidRDefault="00EB55AB" w:rsidP="00EB55AB">
      <w:pPr>
        <w:rPr>
          <w:rFonts w:ascii="Times New Roman" w:hAnsi="Times New Roman"/>
          <w:sz w:val="24"/>
        </w:rPr>
      </w:pPr>
      <w:r w:rsidRPr="003C41E0">
        <w:rPr>
          <w:rFonts w:ascii="Times New Roman" w:hAnsi="Times New Roman"/>
          <w:b/>
          <w:bCs/>
          <w:sz w:val="24"/>
        </w:rPr>
        <w:t>Increased Women Participation and Economic Empowerment</w:t>
      </w:r>
      <w:r w:rsidRPr="003C41E0">
        <w:rPr>
          <w:rFonts w:ascii="Times New Roman" w:hAnsi="Times New Roman"/>
          <w:sz w:val="24"/>
        </w:rPr>
        <w:t>: One of the key lessons learned from the ongoing EERY programme is that women participation in social cohesion and conflict resolution as insider mediators have contributed significantly in addressing resource-based conflicts. In addition, skills development, dairy product processing and small business support provided to women groups have led to considerable improvements in food security and income for households. Overall, economic empowerment of vulnerable women and women-headed households enable women to have a constructive role in building the community and household resilience. Economically-empowered women are also less vulnerable to risks of violence, abuse and exploitation. The positive change in the gender roles will facilitate engagement of women in the establishment and management of micro-businesses in relevant business lines which were previously perceived as male-dominated.</w:t>
      </w:r>
      <w:bookmarkStart w:id="0" w:name="_GoBack"/>
      <w:bookmarkEnd w:id="0"/>
    </w:p>
    <w:p w:rsidR="00880132" w:rsidRDefault="00880132" w:rsidP="00EB55AB">
      <w:pPr>
        <w:rPr>
          <w:rFonts w:ascii="Times New Roman" w:hAnsi="Times New Roman"/>
          <w:sz w:val="24"/>
        </w:rPr>
      </w:pPr>
    </w:p>
    <w:p w:rsidR="000A2626" w:rsidRDefault="000A2626" w:rsidP="00EB55AB">
      <w:pPr>
        <w:rPr>
          <w:rFonts w:ascii="Times New Roman" w:hAnsi="Times New Roman"/>
          <w:sz w:val="24"/>
        </w:rPr>
      </w:pPr>
    </w:p>
    <w:p w:rsidR="000A2626" w:rsidRDefault="000A2626" w:rsidP="00EB55AB">
      <w:pPr>
        <w:rPr>
          <w:rFonts w:ascii="Times New Roman" w:hAnsi="Times New Roman"/>
          <w:sz w:val="24"/>
        </w:rPr>
      </w:pPr>
    </w:p>
    <w:sectPr w:rsidR="000A26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87B" w:rsidRDefault="006B087B" w:rsidP="00EB55AB">
      <w:r>
        <w:separator/>
      </w:r>
    </w:p>
  </w:endnote>
  <w:endnote w:type="continuationSeparator" w:id="0">
    <w:p w:rsidR="006B087B" w:rsidRDefault="006B087B" w:rsidP="00EB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87B" w:rsidRDefault="006B087B" w:rsidP="00EB55AB">
      <w:r>
        <w:separator/>
      </w:r>
    </w:p>
  </w:footnote>
  <w:footnote w:type="continuationSeparator" w:id="0">
    <w:p w:rsidR="006B087B" w:rsidRDefault="006B087B" w:rsidP="00EB5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AB"/>
    <w:rsid w:val="000A2626"/>
    <w:rsid w:val="002B3767"/>
    <w:rsid w:val="006B087B"/>
    <w:rsid w:val="00880132"/>
    <w:rsid w:val="00A73235"/>
    <w:rsid w:val="00C03D36"/>
    <w:rsid w:val="00D42994"/>
    <w:rsid w:val="00EB55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E5E3"/>
  <w15:chartTrackingRefBased/>
  <w15:docId w15:val="{31E21EDF-7E79-46FE-BC7E-22590051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55AB"/>
    <w:pPr>
      <w:spacing w:after="0" w:line="240" w:lineRule="auto"/>
    </w:pPr>
    <w:rPr>
      <w:rFonts w:ascii="Arial" w:eastAsia="Times New Roman" w:hAnsi="Arial" w:cs="Times New Roman"/>
      <w:sz w:val="20"/>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chedinformationtitre">
    <w:name w:val="Fiche d'information titre"/>
    <w:basedOn w:val="Normal"/>
    <w:next w:val="Normal"/>
    <w:rsid w:val="00EB55AB"/>
    <w:pPr>
      <w:spacing w:before="120" w:after="120"/>
      <w:jc w:val="center"/>
    </w:pPr>
    <w:rPr>
      <w:b/>
      <w:u w:val="single"/>
      <w:lang w:eastAsia="en-US"/>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S,footnot"/>
    <w:basedOn w:val="Normal"/>
    <w:link w:val="FootnoteTextChar"/>
    <w:uiPriority w:val="99"/>
    <w:qFormat/>
    <w:rsid w:val="00EB55AB"/>
    <w:pPr>
      <w:ind w:left="720" w:hanging="720"/>
      <w:jc w:val="both"/>
    </w:pPr>
    <w:rPr>
      <w:szCs w:val="20"/>
      <w:lang w:eastAsia="en-US"/>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EB55AB"/>
    <w:rPr>
      <w:rFonts w:ascii="Arial" w:eastAsia="Times New Roman" w:hAnsi="Arial" w:cs="Times New Roman"/>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Ref,de nota al pie,16 Point,Superscript 6 Poi"/>
    <w:link w:val="BVIfnrCharCharCharCharChar"/>
    <w:uiPriority w:val="99"/>
    <w:qFormat/>
    <w:rsid w:val="00EB55AB"/>
    <w:rPr>
      <w:vertAlign w:val="superscript"/>
    </w:rPr>
  </w:style>
  <w:style w:type="paragraph" w:customStyle="1" w:styleId="BVIfnrCharCharCharCharChar">
    <w:name w:val="BVI fnr Char Char Char Char Char"/>
    <w:aliases w:val=" BVI fnr Car Car Char Char Char Char Char,BVI fnr Car Char Char Char Char Char, BVI fnr Car Car Car Car Char Char Char1 Char Char, BVI fnr Char Char Char Char"/>
    <w:basedOn w:val="Normal"/>
    <w:link w:val="FootnoteReference"/>
    <w:uiPriority w:val="99"/>
    <w:rsid w:val="00EB55AB"/>
    <w:pPr>
      <w:spacing w:after="160" w:line="240" w:lineRule="exact"/>
    </w:pPr>
    <w:rPr>
      <w:rFonts w:asciiTheme="minorHAnsi" w:eastAsiaTheme="minorHAnsi" w:hAnsiTheme="minorHAnsi" w:cstheme="minorBidi"/>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Zuhra</dc:creator>
  <cp:keywords/>
  <dc:description/>
  <cp:lastModifiedBy>Mohammed Zuhra</cp:lastModifiedBy>
  <cp:revision>2</cp:revision>
  <dcterms:created xsi:type="dcterms:W3CDTF">2018-11-08T10:20:00Z</dcterms:created>
  <dcterms:modified xsi:type="dcterms:W3CDTF">2018-11-09T21:01:00Z</dcterms:modified>
</cp:coreProperties>
</file>