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73D76" w14:textId="77777777" w:rsidR="0077545E" w:rsidRPr="00944EE4" w:rsidRDefault="006F4BE0">
      <w:pPr>
        <w:rPr>
          <w:rFonts w:ascii="Times New Roman" w:hAnsi="Times New Roman" w:cs="Times New Roman"/>
          <w:b/>
          <w:color w:val="0070C0"/>
          <w:sz w:val="24"/>
          <w:szCs w:val="24"/>
        </w:rPr>
      </w:pPr>
      <w:r w:rsidRPr="00944EE4">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3BCB43E1" wp14:editId="7FF7D564">
            <wp:simplePos x="0" y="0"/>
            <wp:positionH relativeFrom="column">
              <wp:posOffset>5287645</wp:posOffset>
            </wp:positionH>
            <wp:positionV relativeFrom="paragraph">
              <wp:posOffset>-635</wp:posOffset>
            </wp:positionV>
            <wp:extent cx="704850" cy="1009650"/>
            <wp:effectExtent l="0" t="0" r="0" b="0"/>
            <wp:wrapNone/>
            <wp:docPr id="6" name="Image 2"/>
            <wp:cNvGraphicFramePr/>
            <a:graphic xmlns:a="http://schemas.openxmlformats.org/drawingml/2006/main">
              <a:graphicData uri="http://schemas.openxmlformats.org/drawingml/2006/picture">
                <pic:pic xmlns:pic="http://schemas.openxmlformats.org/drawingml/2006/picture">
                  <pic:nvPicPr>
                    <pic:cNvPr id="3" name="Image 2"/>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1009650"/>
                    </a:xfrm>
                    <a:prstGeom prst="rect">
                      <a:avLst/>
                    </a:prstGeom>
                    <a:noFill/>
                    <a:ln w="9525">
                      <a:noFill/>
                      <a:miter lim="800000"/>
                      <a:headEnd/>
                      <a:tailEnd/>
                    </a:ln>
                  </pic:spPr>
                </pic:pic>
              </a:graphicData>
            </a:graphic>
          </wp:anchor>
        </w:drawing>
      </w:r>
      <w:r w:rsidR="004D151A" w:rsidRPr="00944EE4">
        <w:rPr>
          <w:rFonts w:ascii="Times New Roman" w:hAnsi="Times New Roman" w:cs="Times New Roman"/>
          <w:b/>
          <w:noProof/>
          <w:color w:val="0070C0"/>
          <w:sz w:val="24"/>
          <w:szCs w:val="24"/>
          <w:lang w:val="en-US"/>
        </w:rPr>
        <mc:AlternateContent>
          <mc:Choice Requires="wps">
            <w:drawing>
              <wp:anchor distT="0" distB="0" distL="91440" distR="91440" simplePos="0" relativeHeight="251659264" behindDoc="0" locked="0" layoutInCell="1" allowOverlap="1" wp14:anchorId="61C2688B" wp14:editId="7A318937">
                <wp:simplePos x="0" y="0"/>
                <wp:positionH relativeFrom="margin">
                  <wp:posOffset>55880</wp:posOffset>
                </wp:positionH>
                <wp:positionV relativeFrom="line">
                  <wp:posOffset>3115310</wp:posOffset>
                </wp:positionV>
                <wp:extent cx="5934075" cy="2119630"/>
                <wp:effectExtent l="0" t="0" r="0" b="0"/>
                <wp:wrapSquare wrapText="bothSides"/>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34075" cy="2119630"/>
                        </a:xfrm>
                        <a:prstGeom prst="rect">
                          <a:avLst/>
                        </a:prstGeom>
                        <a:noFill/>
                        <a:ln w="6350">
                          <a:noFill/>
                        </a:ln>
                        <a:effectLst/>
                      </wps:spPr>
                      <wps:txbx>
                        <w:txbxContent>
                          <w:p w14:paraId="088DAEE1" w14:textId="77777777" w:rsidR="00E15BF1" w:rsidRPr="00F06CF6" w:rsidRDefault="00E15BF1" w:rsidP="006704A0">
                            <w:pPr>
                              <w:pStyle w:val="Citation"/>
                              <w:pBdr>
                                <w:top w:val="single" w:sz="48" w:space="8" w:color="4F81BD" w:themeColor="accent1"/>
                                <w:bottom w:val="single" w:sz="48" w:space="8" w:color="4F81BD" w:themeColor="accent1"/>
                              </w:pBdr>
                              <w:spacing w:after="0" w:line="240" w:lineRule="auto"/>
                              <w:jc w:val="center"/>
                              <w:rPr>
                                <w:rFonts w:eastAsiaTheme="minorHAnsi"/>
                                <w:b/>
                                <w:i w:val="0"/>
                                <w:color w:val="4F81BD" w:themeColor="accent1"/>
                                <w:sz w:val="56"/>
                                <w:szCs w:val="56"/>
                              </w:rPr>
                            </w:pPr>
                            <w:r w:rsidRPr="00F06CF6">
                              <w:rPr>
                                <w:rFonts w:eastAsiaTheme="minorHAnsi"/>
                                <w:b/>
                                <w:i w:val="0"/>
                                <w:color w:val="4F81BD" w:themeColor="accent1"/>
                                <w:sz w:val="56"/>
                                <w:szCs w:val="56"/>
                              </w:rPr>
                              <w:t xml:space="preserve">Plan cadre </w:t>
                            </w:r>
                            <w:r w:rsidRPr="00F06CF6">
                              <w:rPr>
                                <w:rFonts w:eastAsiaTheme="minorHAnsi"/>
                                <w:b/>
                                <w:color w:val="4F81BD" w:themeColor="accent1"/>
                                <w:sz w:val="56"/>
                                <w:szCs w:val="56"/>
                              </w:rPr>
                              <w:t>intégré</w:t>
                            </w:r>
                            <w:r w:rsidRPr="00F06CF6">
                              <w:rPr>
                                <w:rFonts w:eastAsiaTheme="minorHAnsi"/>
                                <w:b/>
                                <w:i w:val="0"/>
                                <w:color w:val="4F81BD" w:themeColor="accent1"/>
                                <w:sz w:val="56"/>
                                <w:szCs w:val="56"/>
                              </w:rPr>
                              <w:t xml:space="preserve"> des Nations Unies pour </w:t>
                            </w:r>
                            <w:r>
                              <w:rPr>
                                <w:rFonts w:eastAsiaTheme="minorHAnsi"/>
                                <w:b/>
                                <w:i w:val="0"/>
                                <w:color w:val="4F81BD" w:themeColor="accent1"/>
                                <w:sz w:val="56"/>
                                <w:szCs w:val="56"/>
                              </w:rPr>
                              <w:t>l’aide au développement au Mali</w:t>
                            </w:r>
                            <w:r w:rsidRPr="00F06CF6">
                              <w:rPr>
                                <w:rFonts w:eastAsiaTheme="minorHAnsi"/>
                                <w:b/>
                                <w:i w:val="0"/>
                                <w:color w:val="4F81BD" w:themeColor="accent1"/>
                                <w:sz w:val="56"/>
                                <w:szCs w:val="56"/>
                              </w:rPr>
                              <w:t xml:space="preserve"> </w:t>
                            </w:r>
                          </w:p>
                          <w:p w14:paraId="3E7AA915" w14:textId="77777777" w:rsidR="00E15BF1" w:rsidRDefault="00E15BF1" w:rsidP="006704A0">
                            <w:pPr>
                              <w:pStyle w:val="Citation"/>
                              <w:pBdr>
                                <w:top w:val="single" w:sz="48" w:space="8" w:color="4F81BD" w:themeColor="accent1"/>
                                <w:bottom w:val="single" w:sz="48" w:space="8" w:color="4F81BD" w:themeColor="accent1"/>
                              </w:pBdr>
                              <w:spacing w:after="0" w:line="240" w:lineRule="auto"/>
                              <w:jc w:val="center"/>
                              <w:rPr>
                                <w:rFonts w:eastAsiaTheme="minorHAnsi"/>
                                <w:b/>
                                <w:i w:val="0"/>
                                <w:color w:val="4F81BD" w:themeColor="accent1"/>
                                <w:sz w:val="56"/>
                                <w:szCs w:val="56"/>
                              </w:rPr>
                            </w:pPr>
                            <w:r w:rsidRPr="00F06CF6">
                              <w:rPr>
                                <w:rFonts w:eastAsiaTheme="minorHAnsi"/>
                                <w:b/>
                                <w:i w:val="0"/>
                                <w:color w:val="4F81BD" w:themeColor="accent1"/>
                                <w:sz w:val="56"/>
                                <w:szCs w:val="56"/>
                              </w:rPr>
                              <w:t xml:space="preserve">2015 </w:t>
                            </w:r>
                            <w:r>
                              <w:rPr>
                                <w:rFonts w:eastAsiaTheme="minorHAnsi"/>
                                <w:b/>
                                <w:i w:val="0"/>
                                <w:color w:val="4F81BD" w:themeColor="accent1"/>
                                <w:sz w:val="56"/>
                                <w:szCs w:val="56"/>
                              </w:rPr>
                              <w:t>–</w:t>
                            </w:r>
                            <w:r w:rsidRPr="00F06CF6">
                              <w:rPr>
                                <w:rFonts w:eastAsiaTheme="minorHAnsi"/>
                                <w:b/>
                                <w:i w:val="0"/>
                                <w:color w:val="4F81BD" w:themeColor="accent1"/>
                                <w:sz w:val="56"/>
                                <w:szCs w:val="56"/>
                              </w:rPr>
                              <w:t xml:space="preserve"> 2019</w:t>
                            </w:r>
                          </w:p>
                          <w:p w14:paraId="02B55F14" w14:textId="25CB64FB" w:rsidR="00E15BF1" w:rsidRPr="00930BC7" w:rsidRDefault="00E15BF1" w:rsidP="00930BC7">
                            <w:pPr>
                              <w:jc w:val="center"/>
                              <w:rPr>
                                <w:b/>
                                <w:sz w:val="36"/>
                                <w:szCs w:val="36"/>
                                <w:lang w:eastAsia="fr-FR"/>
                              </w:rPr>
                            </w:pPr>
                            <w:r w:rsidRPr="00930BC7">
                              <w:rPr>
                                <w:b/>
                                <w:sz w:val="36"/>
                                <w:szCs w:val="36"/>
                                <w:highlight w:val="yellow"/>
                                <w:lang w:eastAsia="fr-FR"/>
                              </w:rPr>
                              <w:t>VERSION REVISEE A MI PARCOURS</w:t>
                            </w:r>
                            <w:r>
                              <w:rPr>
                                <w:b/>
                                <w:sz w:val="36"/>
                                <w:szCs w:val="36"/>
                                <w:lang w:eastAsia="fr-FR"/>
                              </w:rPr>
                              <w:t>*</w:t>
                            </w:r>
                          </w:p>
                        </w:txbxContent>
                      </wps:txbx>
                      <wps:bodyPr rot="0" spcFirstLastPara="0" vertOverflow="overflow" horzOverflow="overflow" vert="horz" wrap="square" lIns="0" tIns="91440" rIns="0" bIns="9144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1C2688B" id="_x0000_t202" coordsize="21600,21600" o:spt="202" path="m,l,21600r21600,l21600,xe">
                <v:stroke joinstyle="miter"/>
                <v:path gradientshapeok="t" o:connecttype="rect"/>
              </v:shapetype>
              <v:shape id="Zone de texte 42" o:spid="_x0000_s1026" type="#_x0000_t202" style="position:absolute;margin-left:4.4pt;margin-top:245.3pt;width:467.25pt;height:166.9pt;z-index:251659264;visibility:visible;mso-wrap-style:square;mso-width-percent:0;mso-height-percent:0;mso-wrap-distance-left:7.2pt;mso-wrap-distance-top:0;mso-wrap-distance-right:7.2pt;mso-wrap-distance-bottom:0;mso-position-horizontal:absolute;mso-position-horizontal-relative:margin;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" filled="f" stroked="f" strokeweight=".5pt">
                <v:textbox style="mso-fit-shape-to-text:t" inset="0,7.2pt,0,7.2pt">
                  <w:txbxContent>
                    <w:p w14:paraId="088DAEE1" w14:textId="77777777" w:rsidR="00E15BF1" w:rsidRPr="00F06CF6" w:rsidRDefault="00E15BF1" w:rsidP="006704A0">
                      <w:pPr>
                        <w:pStyle w:val="Citation"/>
                        <w:pBdr>
                          <w:top w:val="single" w:sz="48" w:space="8" w:color="4F81BD" w:themeColor="accent1"/>
                          <w:bottom w:val="single" w:sz="48" w:space="8" w:color="4F81BD" w:themeColor="accent1"/>
                        </w:pBdr>
                        <w:spacing w:after="0" w:line="240" w:lineRule="auto"/>
                        <w:jc w:val="center"/>
                        <w:rPr>
                          <w:rFonts w:eastAsiaTheme="minorHAnsi"/>
                          <w:b/>
                          <w:i w:val="0"/>
                          <w:color w:val="4F81BD" w:themeColor="accent1"/>
                          <w:sz w:val="56"/>
                          <w:szCs w:val="56"/>
                        </w:rPr>
                      </w:pPr>
                      <w:r w:rsidRPr="00F06CF6">
                        <w:rPr>
                          <w:rFonts w:eastAsiaTheme="minorHAnsi"/>
                          <w:b/>
                          <w:i w:val="0"/>
                          <w:color w:val="4F81BD" w:themeColor="accent1"/>
                          <w:sz w:val="56"/>
                          <w:szCs w:val="56"/>
                        </w:rPr>
                        <w:t xml:space="preserve">Plan cadre </w:t>
                      </w:r>
                      <w:r w:rsidRPr="00F06CF6">
                        <w:rPr>
                          <w:rFonts w:eastAsiaTheme="minorHAnsi"/>
                          <w:b/>
                          <w:color w:val="4F81BD" w:themeColor="accent1"/>
                          <w:sz w:val="56"/>
                          <w:szCs w:val="56"/>
                        </w:rPr>
                        <w:t>intégré</w:t>
                      </w:r>
                      <w:r w:rsidRPr="00F06CF6">
                        <w:rPr>
                          <w:rFonts w:eastAsiaTheme="minorHAnsi"/>
                          <w:b/>
                          <w:i w:val="0"/>
                          <w:color w:val="4F81BD" w:themeColor="accent1"/>
                          <w:sz w:val="56"/>
                          <w:szCs w:val="56"/>
                        </w:rPr>
                        <w:t xml:space="preserve"> des Nations Unies pour </w:t>
                      </w:r>
                      <w:r>
                        <w:rPr>
                          <w:rFonts w:eastAsiaTheme="minorHAnsi"/>
                          <w:b/>
                          <w:i w:val="0"/>
                          <w:color w:val="4F81BD" w:themeColor="accent1"/>
                          <w:sz w:val="56"/>
                          <w:szCs w:val="56"/>
                        </w:rPr>
                        <w:t>l’aide au développement au Mali</w:t>
                      </w:r>
                      <w:r w:rsidRPr="00F06CF6">
                        <w:rPr>
                          <w:rFonts w:eastAsiaTheme="minorHAnsi"/>
                          <w:b/>
                          <w:i w:val="0"/>
                          <w:color w:val="4F81BD" w:themeColor="accent1"/>
                          <w:sz w:val="56"/>
                          <w:szCs w:val="56"/>
                        </w:rPr>
                        <w:t xml:space="preserve"> </w:t>
                      </w:r>
                    </w:p>
                    <w:p w14:paraId="3E7AA915" w14:textId="77777777" w:rsidR="00E15BF1" w:rsidRDefault="00E15BF1" w:rsidP="006704A0">
                      <w:pPr>
                        <w:pStyle w:val="Citation"/>
                        <w:pBdr>
                          <w:top w:val="single" w:sz="48" w:space="8" w:color="4F81BD" w:themeColor="accent1"/>
                          <w:bottom w:val="single" w:sz="48" w:space="8" w:color="4F81BD" w:themeColor="accent1"/>
                        </w:pBdr>
                        <w:spacing w:after="0" w:line="240" w:lineRule="auto"/>
                        <w:jc w:val="center"/>
                        <w:rPr>
                          <w:rFonts w:eastAsiaTheme="minorHAnsi"/>
                          <w:b/>
                          <w:i w:val="0"/>
                          <w:color w:val="4F81BD" w:themeColor="accent1"/>
                          <w:sz w:val="56"/>
                          <w:szCs w:val="56"/>
                        </w:rPr>
                      </w:pPr>
                      <w:r w:rsidRPr="00F06CF6">
                        <w:rPr>
                          <w:rFonts w:eastAsiaTheme="minorHAnsi"/>
                          <w:b/>
                          <w:i w:val="0"/>
                          <w:color w:val="4F81BD" w:themeColor="accent1"/>
                          <w:sz w:val="56"/>
                          <w:szCs w:val="56"/>
                        </w:rPr>
                        <w:t xml:space="preserve">2015 </w:t>
                      </w:r>
                      <w:r>
                        <w:rPr>
                          <w:rFonts w:eastAsiaTheme="minorHAnsi"/>
                          <w:b/>
                          <w:i w:val="0"/>
                          <w:color w:val="4F81BD" w:themeColor="accent1"/>
                          <w:sz w:val="56"/>
                          <w:szCs w:val="56"/>
                        </w:rPr>
                        <w:t>–</w:t>
                      </w:r>
                      <w:r w:rsidRPr="00F06CF6">
                        <w:rPr>
                          <w:rFonts w:eastAsiaTheme="minorHAnsi"/>
                          <w:b/>
                          <w:i w:val="0"/>
                          <w:color w:val="4F81BD" w:themeColor="accent1"/>
                          <w:sz w:val="56"/>
                          <w:szCs w:val="56"/>
                        </w:rPr>
                        <w:t xml:space="preserve"> 2019</w:t>
                      </w:r>
                    </w:p>
                    <w:p w14:paraId="02B55F14" w14:textId="25CB64FB" w:rsidR="00E15BF1" w:rsidRPr="00930BC7" w:rsidRDefault="00E15BF1" w:rsidP="00930BC7">
                      <w:pPr>
                        <w:jc w:val="center"/>
                        <w:rPr>
                          <w:b/>
                          <w:sz w:val="36"/>
                          <w:szCs w:val="36"/>
                          <w:lang w:eastAsia="fr-FR"/>
                        </w:rPr>
                      </w:pPr>
                      <w:r w:rsidRPr="00930BC7">
                        <w:rPr>
                          <w:b/>
                          <w:sz w:val="36"/>
                          <w:szCs w:val="36"/>
                          <w:highlight w:val="yellow"/>
                          <w:lang w:eastAsia="fr-FR"/>
                        </w:rPr>
                        <w:t>VERSION REVISEE A MI PARCOURS</w:t>
                      </w:r>
                      <w:r>
                        <w:rPr>
                          <w:b/>
                          <w:sz w:val="36"/>
                          <w:szCs w:val="36"/>
                          <w:lang w:eastAsia="fr-FR"/>
                        </w:rPr>
                        <w:t>*</w:t>
                      </w:r>
                    </w:p>
                  </w:txbxContent>
                </v:textbox>
                <w10:wrap type="square" anchorx="margin" anchory="line"/>
              </v:shape>
            </w:pict>
          </mc:Fallback>
        </mc:AlternateContent>
      </w:r>
      <w:r w:rsidR="004F5693" w:rsidRPr="00944EE4">
        <w:rPr>
          <w:rFonts w:ascii="Times New Roman" w:hAnsi="Times New Roman" w:cs="Times New Roman"/>
          <w:noProof/>
          <w:sz w:val="24"/>
          <w:szCs w:val="24"/>
          <w:lang w:val="en-US"/>
        </w:rPr>
        <w:drawing>
          <wp:inline distT="0" distB="0" distL="0" distR="0" wp14:anchorId="5969F253" wp14:editId="508230FE">
            <wp:extent cx="952500" cy="1057275"/>
            <wp:effectExtent l="0" t="0" r="0" b="9525"/>
            <wp:docPr id="5" name="Image 4"/>
            <wp:cNvGraphicFramePr/>
            <a:graphic xmlns:a="http://schemas.openxmlformats.org/drawingml/2006/main">
              <a:graphicData uri="http://schemas.openxmlformats.org/drawingml/2006/picture">
                <pic:pic xmlns:pic="http://schemas.openxmlformats.org/drawingml/2006/picture">
                  <pic:nvPicPr>
                    <pic:cNvPr id="5" name="Imag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w="9525">
                      <a:noFill/>
                      <a:miter lim="800000"/>
                      <a:headEnd/>
                      <a:tailEnd/>
                    </a:ln>
                  </pic:spPr>
                </pic:pic>
              </a:graphicData>
            </a:graphic>
          </wp:inline>
        </w:drawing>
      </w:r>
    </w:p>
    <w:p w14:paraId="576D8BF1" w14:textId="77777777" w:rsidR="0077545E" w:rsidRPr="00944EE4" w:rsidRDefault="0077545E" w:rsidP="0077545E">
      <w:pPr>
        <w:rPr>
          <w:rFonts w:ascii="Times New Roman" w:hAnsi="Times New Roman" w:cs="Times New Roman"/>
          <w:sz w:val="24"/>
          <w:szCs w:val="24"/>
        </w:rPr>
      </w:pPr>
    </w:p>
    <w:p w14:paraId="209E7F9C" w14:textId="77777777" w:rsidR="0077545E" w:rsidRPr="00944EE4" w:rsidRDefault="0077545E" w:rsidP="0077545E">
      <w:pPr>
        <w:rPr>
          <w:rFonts w:ascii="Times New Roman" w:hAnsi="Times New Roman" w:cs="Times New Roman"/>
          <w:sz w:val="24"/>
          <w:szCs w:val="24"/>
        </w:rPr>
      </w:pPr>
    </w:p>
    <w:p w14:paraId="7B923C17" w14:textId="77777777" w:rsidR="0077545E" w:rsidRPr="00944EE4" w:rsidRDefault="0077545E" w:rsidP="0077545E">
      <w:pPr>
        <w:rPr>
          <w:rFonts w:ascii="Times New Roman" w:hAnsi="Times New Roman" w:cs="Times New Roman"/>
          <w:sz w:val="24"/>
          <w:szCs w:val="24"/>
        </w:rPr>
      </w:pPr>
    </w:p>
    <w:p w14:paraId="341835F1" w14:textId="77777777" w:rsidR="0077545E" w:rsidRPr="00944EE4" w:rsidRDefault="0077545E" w:rsidP="0077545E">
      <w:pPr>
        <w:rPr>
          <w:rFonts w:ascii="Times New Roman" w:hAnsi="Times New Roman" w:cs="Times New Roman"/>
          <w:sz w:val="24"/>
          <w:szCs w:val="24"/>
        </w:rPr>
      </w:pPr>
    </w:p>
    <w:p w14:paraId="1FDA347F" w14:textId="77777777" w:rsidR="0077545E" w:rsidRPr="00944EE4" w:rsidRDefault="0077545E" w:rsidP="0077545E">
      <w:pPr>
        <w:rPr>
          <w:rFonts w:ascii="Times New Roman" w:hAnsi="Times New Roman" w:cs="Times New Roman"/>
          <w:sz w:val="24"/>
          <w:szCs w:val="24"/>
        </w:rPr>
      </w:pPr>
    </w:p>
    <w:p w14:paraId="111CACBA" w14:textId="77777777" w:rsidR="0077545E" w:rsidRPr="00944EE4" w:rsidRDefault="0077545E" w:rsidP="0077545E">
      <w:pPr>
        <w:rPr>
          <w:rFonts w:ascii="Times New Roman" w:hAnsi="Times New Roman" w:cs="Times New Roman"/>
          <w:sz w:val="24"/>
          <w:szCs w:val="24"/>
        </w:rPr>
      </w:pPr>
    </w:p>
    <w:p w14:paraId="141B2514" w14:textId="77777777" w:rsidR="0077545E" w:rsidRPr="00944EE4" w:rsidRDefault="0077545E" w:rsidP="0077545E">
      <w:pPr>
        <w:tabs>
          <w:tab w:val="left" w:pos="7173"/>
        </w:tabs>
        <w:rPr>
          <w:rFonts w:ascii="Times New Roman" w:hAnsi="Times New Roman" w:cs="Times New Roman"/>
          <w:sz w:val="24"/>
          <w:szCs w:val="24"/>
        </w:rPr>
      </w:pPr>
      <w:r w:rsidRPr="00944EE4">
        <w:rPr>
          <w:rFonts w:ascii="Times New Roman" w:hAnsi="Times New Roman" w:cs="Times New Roman"/>
          <w:sz w:val="24"/>
          <w:szCs w:val="24"/>
        </w:rPr>
        <w:tab/>
      </w:r>
    </w:p>
    <w:p w14:paraId="581CA417" w14:textId="77777777" w:rsidR="00324372" w:rsidRPr="00944EE4" w:rsidRDefault="00324372" w:rsidP="00324372">
      <w:pPr>
        <w:jc w:val="center"/>
        <w:rPr>
          <w:rFonts w:ascii="Times New Roman" w:hAnsi="Times New Roman" w:cs="Times New Roman"/>
          <w:b/>
          <w:sz w:val="24"/>
          <w:szCs w:val="24"/>
          <w:lang w:eastAsia="fr-FR"/>
        </w:rPr>
      </w:pPr>
    </w:p>
    <w:p w14:paraId="1BB8BC06" w14:textId="77777777" w:rsidR="00324372" w:rsidRPr="00944EE4" w:rsidRDefault="00324372" w:rsidP="00324372">
      <w:pPr>
        <w:jc w:val="center"/>
        <w:rPr>
          <w:rFonts w:ascii="Times New Roman" w:hAnsi="Times New Roman" w:cs="Times New Roman"/>
          <w:b/>
          <w:sz w:val="24"/>
          <w:szCs w:val="24"/>
          <w:lang w:eastAsia="fr-FR"/>
        </w:rPr>
      </w:pPr>
    </w:p>
    <w:p w14:paraId="2FDB136C" w14:textId="77777777" w:rsidR="00324372" w:rsidRPr="00944EE4" w:rsidRDefault="00324372" w:rsidP="00324372">
      <w:pPr>
        <w:jc w:val="center"/>
        <w:rPr>
          <w:rFonts w:ascii="Times New Roman" w:hAnsi="Times New Roman" w:cs="Times New Roman"/>
          <w:b/>
          <w:sz w:val="24"/>
          <w:szCs w:val="24"/>
          <w:lang w:eastAsia="fr-FR"/>
        </w:rPr>
      </w:pPr>
    </w:p>
    <w:p w14:paraId="3EFB3198" w14:textId="77777777" w:rsidR="00324372" w:rsidRPr="00944EE4" w:rsidRDefault="00324372" w:rsidP="00324372">
      <w:pPr>
        <w:jc w:val="center"/>
        <w:rPr>
          <w:rFonts w:ascii="Times New Roman" w:hAnsi="Times New Roman" w:cs="Times New Roman"/>
          <w:b/>
          <w:sz w:val="24"/>
          <w:szCs w:val="24"/>
          <w:lang w:eastAsia="fr-FR"/>
        </w:rPr>
      </w:pPr>
    </w:p>
    <w:p w14:paraId="447F5C13" w14:textId="77777777" w:rsidR="00324372" w:rsidRPr="00944EE4" w:rsidRDefault="00324372" w:rsidP="00324372">
      <w:pPr>
        <w:jc w:val="center"/>
        <w:rPr>
          <w:rFonts w:ascii="Times New Roman" w:hAnsi="Times New Roman" w:cs="Times New Roman"/>
          <w:b/>
          <w:sz w:val="24"/>
          <w:szCs w:val="24"/>
          <w:lang w:eastAsia="fr-FR"/>
        </w:rPr>
      </w:pPr>
    </w:p>
    <w:p w14:paraId="6B332D15" w14:textId="7BAD17D8" w:rsidR="00EB6650" w:rsidRPr="00944EE4" w:rsidRDefault="00324372" w:rsidP="00041759">
      <w:pPr>
        <w:jc w:val="center"/>
        <w:rPr>
          <w:rFonts w:ascii="Times New Roman" w:hAnsi="Times New Roman" w:cs="Times New Roman"/>
          <w:b/>
          <w:sz w:val="24"/>
          <w:szCs w:val="24"/>
          <w:lang w:eastAsia="fr-FR"/>
        </w:rPr>
      </w:pPr>
      <w:r w:rsidRPr="00944EE4">
        <w:rPr>
          <w:rFonts w:ascii="Times New Roman" w:hAnsi="Times New Roman" w:cs="Times New Roman"/>
          <w:b/>
          <w:sz w:val="24"/>
          <w:szCs w:val="24"/>
          <w:lang w:eastAsia="fr-FR"/>
        </w:rPr>
        <w:t xml:space="preserve">Version revisee apres la Revue a Mi-Parcours de </w:t>
      </w:r>
      <w:r w:rsidR="00041759" w:rsidRPr="00944EE4">
        <w:rPr>
          <w:rFonts w:ascii="Times New Roman" w:hAnsi="Times New Roman" w:cs="Times New Roman"/>
          <w:b/>
          <w:sz w:val="24"/>
          <w:szCs w:val="24"/>
          <w:lang w:eastAsia="fr-FR"/>
        </w:rPr>
        <w:t>Dece</w:t>
      </w:r>
      <w:r w:rsidRPr="00944EE4">
        <w:rPr>
          <w:rFonts w:ascii="Times New Roman" w:hAnsi="Times New Roman" w:cs="Times New Roman"/>
          <w:b/>
          <w:sz w:val="24"/>
          <w:szCs w:val="24"/>
          <w:lang w:eastAsia="fr-FR"/>
        </w:rPr>
        <w:t>mbre 2017</w:t>
      </w:r>
    </w:p>
    <w:p w14:paraId="3A78B8A0" w14:textId="45C6CA6C" w:rsidR="00EB6650" w:rsidRPr="00944EE4" w:rsidRDefault="00EB6650" w:rsidP="00041759">
      <w:pPr>
        <w:jc w:val="center"/>
        <w:rPr>
          <w:rFonts w:ascii="Times New Roman" w:hAnsi="Times New Roman" w:cs="Times New Roman"/>
          <w:b/>
          <w:sz w:val="24"/>
          <w:szCs w:val="24"/>
          <w:lang w:eastAsia="fr-FR"/>
        </w:rPr>
      </w:pPr>
      <w:r w:rsidRPr="00944EE4">
        <w:rPr>
          <w:rFonts w:ascii="Times New Roman" w:hAnsi="Times New Roman" w:cs="Times New Roman"/>
          <w:b/>
          <w:sz w:val="24"/>
          <w:szCs w:val="24"/>
          <w:lang w:eastAsia="fr-FR"/>
        </w:rPr>
        <w:t>(Juin 2018)</w:t>
      </w:r>
    </w:p>
    <w:p w14:paraId="3400D527" w14:textId="4DC49F1F" w:rsidR="001275EF" w:rsidRPr="00944EE4" w:rsidRDefault="001275EF">
      <w:pPr>
        <w:rPr>
          <w:rFonts w:ascii="Times New Roman" w:hAnsi="Times New Roman" w:cs="Times New Roman"/>
          <w:b/>
          <w:color w:val="0070C0"/>
          <w:sz w:val="24"/>
          <w:szCs w:val="24"/>
        </w:rPr>
      </w:pPr>
      <w:r w:rsidRPr="00944EE4">
        <w:rPr>
          <w:rFonts w:ascii="Times New Roman" w:hAnsi="Times New Roman" w:cs="Times New Roman"/>
          <w:b/>
          <w:color w:val="0070C0"/>
          <w:sz w:val="24"/>
          <w:szCs w:val="24"/>
        </w:rPr>
        <w:br w:type="page"/>
      </w:r>
    </w:p>
    <w:p w14:paraId="0B1946FA" w14:textId="77777777" w:rsidR="00B735CC" w:rsidRPr="00944EE4" w:rsidRDefault="00B735CC" w:rsidP="00041759">
      <w:pPr>
        <w:jc w:val="center"/>
        <w:rPr>
          <w:rFonts w:ascii="Times New Roman" w:hAnsi="Times New Roman" w:cs="Times New Roman"/>
          <w:b/>
          <w:color w:val="0070C0"/>
          <w:sz w:val="24"/>
          <w:szCs w:val="24"/>
        </w:rPr>
      </w:pPr>
    </w:p>
    <w:p w14:paraId="1EFE0286" w14:textId="77777777" w:rsidR="00C87CE8" w:rsidRPr="00944EE4" w:rsidRDefault="00C87CE8" w:rsidP="00C87CE8">
      <w:pPr>
        <w:autoSpaceDE w:val="0"/>
        <w:autoSpaceDN w:val="0"/>
        <w:adjustRightInd w:val="0"/>
        <w:rPr>
          <w:rFonts w:ascii="Times New Roman" w:hAnsi="Times New Roman" w:cs="Times New Roman"/>
          <w:b/>
          <w:color w:val="1F497D" w:themeColor="text2"/>
          <w:sz w:val="24"/>
          <w:szCs w:val="24"/>
          <w:u w:val="single"/>
        </w:rPr>
      </w:pPr>
      <w:r w:rsidRPr="00944EE4">
        <w:rPr>
          <w:rFonts w:ascii="Times New Roman" w:hAnsi="Times New Roman" w:cs="Times New Roman"/>
          <w:b/>
          <w:color w:val="1F497D" w:themeColor="text2"/>
          <w:sz w:val="24"/>
          <w:szCs w:val="24"/>
          <w:u w:val="single"/>
        </w:rPr>
        <w:t>AVANT-PROPOS</w:t>
      </w:r>
    </w:p>
    <w:p w14:paraId="11B3A1DA" w14:textId="77777777" w:rsidR="00C87CE8" w:rsidRPr="00944EE4" w:rsidRDefault="00C87CE8" w:rsidP="00C87CE8">
      <w:pPr>
        <w:jc w:val="both"/>
        <w:rPr>
          <w:rFonts w:ascii="Times New Roman" w:hAnsi="Times New Roman" w:cs="Times New Roman"/>
          <w:sz w:val="24"/>
          <w:szCs w:val="24"/>
        </w:rPr>
      </w:pPr>
    </w:p>
    <w:p w14:paraId="3354F380" w14:textId="77777777" w:rsidR="00CD1B28" w:rsidRPr="00944EE4" w:rsidRDefault="00CD1B28" w:rsidP="00CD1B28">
      <w:pPr>
        <w:spacing w:line="276" w:lineRule="auto"/>
        <w:rPr>
          <w:rFonts w:ascii="Times New Roman" w:eastAsia="Times New Roman" w:hAnsi="Times New Roman" w:cs="Times New Roman"/>
          <w:sz w:val="24"/>
          <w:szCs w:val="24"/>
        </w:rPr>
      </w:pPr>
    </w:p>
    <w:p w14:paraId="5D0E3E07" w14:textId="4C79C7BE" w:rsidR="00313D83" w:rsidRPr="00944EE4" w:rsidRDefault="00313D83" w:rsidP="00313D83">
      <w:pPr>
        <w:spacing w:line="360" w:lineRule="auto"/>
        <w:jc w:val="both"/>
        <w:rPr>
          <w:rFonts w:ascii="Times New Roman" w:eastAsia="Times New Roman" w:hAnsi="Times New Roman" w:cs="Times New Roman"/>
          <w:sz w:val="24"/>
          <w:szCs w:val="24"/>
        </w:rPr>
      </w:pPr>
      <w:r w:rsidRPr="00944EE4">
        <w:rPr>
          <w:rFonts w:ascii="Times New Roman" w:eastAsia="Times New Roman" w:hAnsi="Times New Roman" w:cs="Times New Roman"/>
          <w:sz w:val="24"/>
          <w:szCs w:val="24"/>
        </w:rPr>
        <w:t>L’UNDAF+ 2015-2019</w:t>
      </w:r>
      <w:r w:rsidRPr="00944EE4">
        <w:rPr>
          <w:rFonts w:ascii="Times New Roman" w:eastAsia="Times New Roman" w:hAnsi="Times New Roman" w:cs="Times New Roman"/>
          <w:iCs/>
          <w:sz w:val="24"/>
          <w:szCs w:val="24"/>
        </w:rPr>
        <w:t xml:space="preserve"> </w:t>
      </w:r>
      <w:r w:rsidRPr="00944EE4">
        <w:rPr>
          <w:rFonts w:ascii="Times New Roman" w:eastAsia="Times New Roman" w:hAnsi="Times New Roman" w:cs="Times New Roman"/>
          <w:sz w:val="24"/>
          <w:szCs w:val="24"/>
        </w:rPr>
        <w:t xml:space="preserve">décrit la réponse collective, cohérente et intégrée de </w:t>
      </w:r>
      <w:r w:rsidR="000D4050" w:rsidRPr="00944EE4">
        <w:rPr>
          <w:rFonts w:ascii="Times New Roman" w:eastAsia="Times New Roman" w:hAnsi="Times New Roman" w:cs="Times New Roman"/>
          <w:sz w:val="24"/>
          <w:szCs w:val="24"/>
        </w:rPr>
        <w:t>la Mission</w:t>
      </w:r>
      <w:r w:rsidRPr="00944EE4">
        <w:rPr>
          <w:rFonts w:ascii="Times New Roman" w:eastAsia="Times New Roman" w:hAnsi="Times New Roman" w:cs="Times New Roman"/>
          <w:sz w:val="24"/>
          <w:szCs w:val="24"/>
        </w:rPr>
        <w:t xml:space="preserve"> </w:t>
      </w:r>
      <w:r w:rsidR="00D4299A" w:rsidRPr="00944EE4">
        <w:rPr>
          <w:rFonts w:ascii="Times New Roman" w:eastAsia="Times New Roman" w:hAnsi="Times New Roman" w:cs="Times New Roman"/>
          <w:bCs/>
          <w:sz w:val="24"/>
          <w:szCs w:val="24"/>
        </w:rPr>
        <w:t>I</w:t>
      </w:r>
      <w:r w:rsidRPr="00944EE4">
        <w:rPr>
          <w:rFonts w:ascii="Times New Roman" w:eastAsia="Times New Roman" w:hAnsi="Times New Roman" w:cs="Times New Roman"/>
          <w:bCs/>
          <w:sz w:val="24"/>
          <w:szCs w:val="24"/>
        </w:rPr>
        <w:t>ntégrée</w:t>
      </w:r>
      <w:r w:rsidRPr="00944EE4">
        <w:rPr>
          <w:rFonts w:ascii="Times New Roman" w:eastAsia="Times New Roman" w:hAnsi="Times New Roman" w:cs="Times New Roman"/>
          <w:sz w:val="24"/>
          <w:szCs w:val="24"/>
        </w:rPr>
        <w:t xml:space="preserve"> des Nations Unies pour la </w:t>
      </w:r>
      <w:r w:rsidR="00D4299A" w:rsidRPr="00944EE4">
        <w:rPr>
          <w:rFonts w:ascii="Times New Roman" w:eastAsia="Times New Roman" w:hAnsi="Times New Roman" w:cs="Times New Roman"/>
          <w:sz w:val="24"/>
          <w:szCs w:val="24"/>
        </w:rPr>
        <w:t>S</w:t>
      </w:r>
      <w:r w:rsidRPr="00944EE4">
        <w:rPr>
          <w:rFonts w:ascii="Times New Roman" w:eastAsia="Times New Roman" w:hAnsi="Times New Roman" w:cs="Times New Roman"/>
          <w:sz w:val="24"/>
          <w:szCs w:val="24"/>
        </w:rPr>
        <w:t>tabilisation au Mali</w:t>
      </w:r>
      <w:r w:rsidR="00D4299A" w:rsidRPr="00944EE4">
        <w:rPr>
          <w:rFonts w:ascii="Times New Roman" w:eastAsia="Times New Roman" w:hAnsi="Times New Roman" w:cs="Times New Roman"/>
          <w:sz w:val="24"/>
          <w:szCs w:val="24"/>
        </w:rPr>
        <w:t xml:space="preserve"> (MINUSMA)</w:t>
      </w:r>
      <w:r w:rsidRPr="00944EE4">
        <w:rPr>
          <w:rFonts w:ascii="Times New Roman" w:eastAsia="Times New Roman" w:hAnsi="Times New Roman" w:cs="Times New Roman"/>
          <w:sz w:val="24"/>
          <w:szCs w:val="24"/>
        </w:rPr>
        <w:t>, des Fonds, Programmes et Institutions Spécialisé</w:t>
      </w:r>
      <w:r w:rsidR="00F13611" w:rsidRPr="00944EE4">
        <w:rPr>
          <w:rFonts w:ascii="Times New Roman" w:eastAsia="Times New Roman" w:hAnsi="Times New Roman" w:cs="Times New Roman"/>
          <w:sz w:val="24"/>
          <w:szCs w:val="24"/>
        </w:rPr>
        <w:t>e</w:t>
      </w:r>
      <w:r w:rsidRPr="00944EE4">
        <w:rPr>
          <w:rFonts w:ascii="Times New Roman" w:eastAsia="Times New Roman" w:hAnsi="Times New Roman" w:cs="Times New Roman"/>
          <w:sz w:val="24"/>
          <w:szCs w:val="24"/>
        </w:rPr>
        <w:t xml:space="preserve">s, résidentes et non résidentes des Nations </w:t>
      </w:r>
      <w:r w:rsidR="000D4050" w:rsidRPr="00944EE4">
        <w:rPr>
          <w:rFonts w:ascii="Times New Roman" w:eastAsia="Times New Roman" w:hAnsi="Times New Roman" w:cs="Times New Roman"/>
          <w:sz w:val="24"/>
          <w:szCs w:val="24"/>
        </w:rPr>
        <w:t>Unies au</w:t>
      </w:r>
      <w:r w:rsidRPr="00944EE4">
        <w:rPr>
          <w:rFonts w:ascii="Times New Roman" w:eastAsia="Times New Roman" w:hAnsi="Times New Roman" w:cs="Times New Roman"/>
          <w:sz w:val="24"/>
          <w:szCs w:val="24"/>
        </w:rPr>
        <w:t xml:space="preserve"> Mali</w:t>
      </w:r>
      <w:r w:rsidR="00F13611" w:rsidRPr="00944EE4">
        <w:rPr>
          <w:rFonts w:ascii="Times New Roman" w:eastAsia="Times New Roman" w:hAnsi="Times New Roman" w:cs="Times New Roman"/>
          <w:sz w:val="24"/>
          <w:szCs w:val="24"/>
        </w:rPr>
        <w:t>,</w:t>
      </w:r>
      <w:r w:rsidRPr="00944EE4">
        <w:rPr>
          <w:rFonts w:ascii="Times New Roman" w:eastAsia="Times New Roman" w:hAnsi="Times New Roman" w:cs="Times New Roman"/>
          <w:sz w:val="24"/>
          <w:szCs w:val="24"/>
        </w:rPr>
        <w:t xml:space="preserve"> aux priorités et besoins nationaux du pays pour la période 2015-2019</w:t>
      </w:r>
      <w:r w:rsidR="00D4299A" w:rsidRPr="00944EE4">
        <w:rPr>
          <w:rFonts w:ascii="Times New Roman" w:eastAsia="Times New Roman" w:hAnsi="Times New Roman" w:cs="Times New Roman"/>
          <w:sz w:val="24"/>
          <w:szCs w:val="24"/>
        </w:rPr>
        <w:t xml:space="preserve">, telles que </w:t>
      </w:r>
      <w:r w:rsidRPr="00944EE4">
        <w:rPr>
          <w:rFonts w:ascii="Times New Roman" w:eastAsia="Times New Roman" w:hAnsi="Times New Roman" w:cs="Times New Roman"/>
          <w:sz w:val="24"/>
          <w:szCs w:val="24"/>
        </w:rPr>
        <w:t>reflétés dans le C</w:t>
      </w:r>
      <w:r w:rsidR="00F13611" w:rsidRPr="00944EE4">
        <w:rPr>
          <w:rFonts w:ascii="Times New Roman" w:eastAsia="Times New Roman" w:hAnsi="Times New Roman" w:cs="Times New Roman"/>
          <w:sz w:val="24"/>
          <w:szCs w:val="24"/>
        </w:rPr>
        <w:t xml:space="preserve">adre </w:t>
      </w:r>
      <w:r w:rsidR="00D4299A" w:rsidRPr="00944EE4">
        <w:rPr>
          <w:rFonts w:ascii="Times New Roman" w:eastAsia="Times New Roman" w:hAnsi="Times New Roman" w:cs="Times New Roman"/>
          <w:sz w:val="24"/>
          <w:szCs w:val="24"/>
        </w:rPr>
        <w:t>Stratrgique pour la Relance Economique et le Devel</w:t>
      </w:r>
      <w:r w:rsidR="00041759" w:rsidRPr="00944EE4">
        <w:rPr>
          <w:rFonts w:ascii="Times New Roman" w:eastAsia="Times New Roman" w:hAnsi="Times New Roman" w:cs="Times New Roman"/>
          <w:sz w:val="24"/>
          <w:szCs w:val="24"/>
        </w:rPr>
        <w:t>oppement Durable (CREDD</w:t>
      </w:r>
      <w:r w:rsidR="00D4299A" w:rsidRPr="00944EE4">
        <w:rPr>
          <w:rFonts w:ascii="Times New Roman" w:eastAsia="Times New Roman" w:hAnsi="Times New Roman" w:cs="Times New Roman"/>
          <w:sz w:val="24"/>
          <w:szCs w:val="24"/>
        </w:rPr>
        <w:t xml:space="preserve"> 2016-2018) </w:t>
      </w:r>
      <w:r w:rsidRPr="00944EE4">
        <w:rPr>
          <w:rFonts w:ascii="Times New Roman" w:eastAsia="Times New Roman" w:hAnsi="Times New Roman" w:cs="Times New Roman"/>
          <w:sz w:val="24"/>
          <w:szCs w:val="24"/>
        </w:rPr>
        <w:t>et le P</w:t>
      </w:r>
      <w:r w:rsidR="00F13611" w:rsidRPr="00944EE4">
        <w:rPr>
          <w:rFonts w:ascii="Times New Roman" w:eastAsia="Times New Roman" w:hAnsi="Times New Roman" w:cs="Times New Roman"/>
          <w:sz w:val="24"/>
          <w:szCs w:val="24"/>
        </w:rPr>
        <w:t>lan d’</w:t>
      </w:r>
      <w:r w:rsidRPr="00944EE4">
        <w:rPr>
          <w:rFonts w:ascii="Times New Roman" w:eastAsia="Times New Roman" w:hAnsi="Times New Roman" w:cs="Times New Roman"/>
          <w:sz w:val="24"/>
          <w:szCs w:val="24"/>
        </w:rPr>
        <w:t>A</w:t>
      </w:r>
      <w:r w:rsidR="00F13611" w:rsidRPr="00944EE4">
        <w:rPr>
          <w:rFonts w:ascii="Times New Roman" w:eastAsia="Times New Roman" w:hAnsi="Times New Roman" w:cs="Times New Roman"/>
          <w:sz w:val="24"/>
          <w:szCs w:val="24"/>
        </w:rPr>
        <w:t xml:space="preserve">ctions du </w:t>
      </w:r>
      <w:r w:rsidRPr="00944EE4">
        <w:rPr>
          <w:rFonts w:ascii="Times New Roman" w:eastAsia="Times New Roman" w:hAnsi="Times New Roman" w:cs="Times New Roman"/>
          <w:sz w:val="24"/>
          <w:szCs w:val="24"/>
        </w:rPr>
        <w:t>G</w:t>
      </w:r>
      <w:r w:rsidR="00F13611" w:rsidRPr="00944EE4">
        <w:rPr>
          <w:rFonts w:ascii="Times New Roman" w:eastAsia="Times New Roman" w:hAnsi="Times New Roman" w:cs="Times New Roman"/>
          <w:sz w:val="24"/>
          <w:szCs w:val="24"/>
        </w:rPr>
        <w:t>ouvernement (PAG</w:t>
      </w:r>
      <w:r w:rsidR="00D4299A" w:rsidRPr="00944EE4">
        <w:rPr>
          <w:rFonts w:ascii="Times New Roman" w:eastAsia="Times New Roman" w:hAnsi="Times New Roman" w:cs="Times New Roman"/>
          <w:sz w:val="24"/>
          <w:szCs w:val="24"/>
        </w:rPr>
        <w:t xml:space="preserve"> 2013-2018</w:t>
      </w:r>
      <w:r w:rsidR="00F13611" w:rsidRPr="00944EE4">
        <w:rPr>
          <w:rFonts w:ascii="Times New Roman" w:eastAsia="Times New Roman" w:hAnsi="Times New Roman" w:cs="Times New Roman"/>
          <w:sz w:val="24"/>
          <w:szCs w:val="24"/>
        </w:rPr>
        <w:t>).</w:t>
      </w:r>
    </w:p>
    <w:p w14:paraId="066E8C28" w14:textId="77777777" w:rsidR="00313D83" w:rsidRPr="00944EE4" w:rsidRDefault="00313D83" w:rsidP="00313D83">
      <w:pPr>
        <w:spacing w:line="360" w:lineRule="auto"/>
        <w:jc w:val="both"/>
        <w:rPr>
          <w:rFonts w:ascii="Times New Roman" w:eastAsia="Times New Roman" w:hAnsi="Times New Roman" w:cs="Times New Roman"/>
          <w:b/>
          <w:sz w:val="24"/>
          <w:szCs w:val="24"/>
        </w:rPr>
      </w:pPr>
    </w:p>
    <w:p w14:paraId="5A038670" w14:textId="01583C2B" w:rsidR="00313D83" w:rsidRPr="00944EE4" w:rsidRDefault="00313D83" w:rsidP="00313D83">
      <w:pPr>
        <w:spacing w:line="360" w:lineRule="auto"/>
        <w:jc w:val="both"/>
        <w:rPr>
          <w:rFonts w:ascii="Times New Roman" w:eastAsia="Times New Roman" w:hAnsi="Times New Roman" w:cs="Times New Roman"/>
          <w:sz w:val="24"/>
          <w:szCs w:val="24"/>
        </w:rPr>
      </w:pPr>
      <w:r w:rsidRPr="00944EE4">
        <w:rPr>
          <w:rFonts w:ascii="Times New Roman" w:eastAsia="Times New Roman" w:hAnsi="Times New Roman" w:cs="Times New Roman"/>
          <w:sz w:val="24"/>
          <w:szCs w:val="24"/>
        </w:rPr>
        <w:t>Le présent document</w:t>
      </w:r>
      <w:r w:rsidR="00D4299A" w:rsidRPr="00944EE4">
        <w:rPr>
          <w:rFonts w:ascii="Times New Roman" w:eastAsia="Times New Roman" w:hAnsi="Times New Roman" w:cs="Times New Roman"/>
          <w:sz w:val="24"/>
          <w:szCs w:val="24"/>
        </w:rPr>
        <w:t xml:space="preserve"> a été élaboré </w:t>
      </w:r>
      <w:r w:rsidR="000D4050" w:rsidRPr="00944EE4">
        <w:rPr>
          <w:rFonts w:ascii="Times New Roman" w:eastAsia="Times New Roman" w:hAnsi="Times New Roman" w:cs="Times New Roman"/>
          <w:sz w:val="24"/>
          <w:szCs w:val="24"/>
        </w:rPr>
        <w:t>dans</w:t>
      </w:r>
      <w:r w:rsidRPr="00944EE4">
        <w:rPr>
          <w:rFonts w:ascii="Times New Roman" w:eastAsia="Times New Roman" w:hAnsi="Times New Roman" w:cs="Times New Roman"/>
          <w:sz w:val="24"/>
          <w:szCs w:val="24"/>
        </w:rPr>
        <w:t xml:space="preserve"> </w:t>
      </w:r>
      <w:r w:rsidR="00304856" w:rsidRPr="00944EE4">
        <w:rPr>
          <w:rFonts w:ascii="Times New Roman" w:eastAsia="Times New Roman" w:hAnsi="Times New Roman" w:cs="Times New Roman"/>
          <w:sz w:val="24"/>
          <w:szCs w:val="24"/>
        </w:rPr>
        <w:t>sa version origi</w:t>
      </w:r>
      <w:r w:rsidR="00E048E9" w:rsidRPr="00944EE4">
        <w:rPr>
          <w:rFonts w:ascii="Times New Roman" w:eastAsia="Times New Roman" w:hAnsi="Times New Roman" w:cs="Times New Roman"/>
          <w:sz w:val="24"/>
          <w:szCs w:val="24"/>
        </w:rPr>
        <w:t>nale sig</w:t>
      </w:r>
      <w:r w:rsidR="006E5734" w:rsidRPr="00944EE4">
        <w:rPr>
          <w:rFonts w:ascii="Times New Roman" w:eastAsia="Times New Roman" w:hAnsi="Times New Roman" w:cs="Times New Roman"/>
          <w:sz w:val="24"/>
          <w:szCs w:val="24"/>
        </w:rPr>
        <w:t>né</w:t>
      </w:r>
      <w:r w:rsidR="00E048E9" w:rsidRPr="00944EE4">
        <w:rPr>
          <w:rFonts w:ascii="Times New Roman" w:eastAsia="Times New Roman" w:hAnsi="Times New Roman" w:cs="Times New Roman"/>
          <w:sz w:val="24"/>
          <w:szCs w:val="24"/>
        </w:rPr>
        <w:t xml:space="preserve">e en Avril 2015, de maniere </w:t>
      </w:r>
      <w:r w:rsidRPr="00944EE4">
        <w:rPr>
          <w:rFonts w:ascii="Times New Roman" w:eastAsia="Times New Roman" w:hAnsi="Times New Roman" w:cs="Times New Roman"/>
          <w:sz w:val="24"/>
          <w:szCs w:val="24"/>
        </w:rPr>
        <w:t>participati</w:t>
      </w:r>
      <w:r w:rsidR="00E048E9" w:rsidRPr="00944EE4">
        <w:rPr>
          <w:rFonts w:ascii="Times New Roman" w:eastAsia="Times New Roman" w:hAnsi="Times New Roman" w:cs="Times New Roman"/>
          <w:sz w:val="24"/>
          <w:szCs w:val="24"/>
        </w:rPr>
        <w:t xml:space="preserve">ve </w:t>
      </w:r>
      <w:r w:rsidRPr="00944EE4">
        <w:rPr>
          <w:rFonts w:ascii="Times New Roman" w:eastAsia="Times New Roman" w:hAnsi="Times New Roman" w:cs="Times New Roman"/>
          <w:sz w:val="24"/>
          <w:szCs w:val="24"/>
        </w:rPr>
        <w:t xml:space="preserve">et dynamique, associant toutes les parties prenantes, et placé sous le leadership conjoint du Gouvernement du Mali et </w:t>
      </w:r>
      <w:r w:rsidR="00D4299A" w:rsidRPr="00944EE4">
        <w:rPr>
          <w:rFonts w:ascii="Times New Roman" w:eastAsia="Times New Roman" w:hAnsi="Times New Roman" w:cs="Times New Roman"/>
          <w:sz w:val="24"/>
          <w:szCs w:val="24"/>
        </w:rPr>
        <w:t xml:space="preserve">du Système </w:t>
      </w:r>
      <w:r w:rsidRPr="00944EE4">
        <w:rPr>
          <w:rFonts w:ascii="Times New Roman" w:eastAsia="Times New Roman" w:hAnsi="Times New Roman" w:cs="Times New Roman"/>
          <w:sz w:val="24"/>
          <w:szCs w:val="24"/>
        </w:rPr>
        <w:t xml:space="preserve">des Nations Unies. </w:t>
      </w:r>
    </w:p>
    <w:p w14:paraId="54496176" w14:textId="77777777" w:rsidR="00313D83" w:rsidRPr="00944EE4" w:rsidRDefault="00313D83" w:rsidP="00313D83">
      <w:pPr>
        <w:spacing w:line="360" w:lineRule="auto"/>
        <w:jc w:val="both"/>
        <w:rPr>
          <w:rFonts w:ascii="Times New Roman" w:eastAsia="Times New Roman" w:hAnsi="Times New Roman" w:cs="Times New Roman"/>
          <w:sz w:val="24"/>
          <w:szCs w:val="24"/>
        </w:rPr>
      </w:pPr>
    </w:p>
    <w:p w14:paraId="1E2CBF7D" w14:textId="28A2CC24" w:rsidR="00313D83" w:rsidRPr="00944EE4" w:rsidRDefault="00313D83" w:rsidP="00313D83">
      <w:pPr>
        <w:spacing w:line="360" w:lineRule="auto"/>
        <w:jc w:val="both"/>
        <w:rPr>
          <w:rFonts w:ascii="Times New Roman" w:eastAsia="Times New Roman" w:hAnsi="Times New Roman" w:cs="Times New Roman"/>
          <w:sz w:val="24"/>
          <w:szCs w:val="24"/>
        </w:rPr>
      </w:pPr>
      <w:r w:rsidRPr="00944EE4">
        <w:rPr>
          <w:rFonts w:ascii="Times New Roman" w:eastAsia="Times New Roman" w:hAnsi="Times New Roman" w:cs="Times New Roman"/>
          <w:sz w:val="24"/>
          <w:szCs w:val="24"/>
        </w:rPr>
        <w:t>L’UNDAF+ 2015-</w:t>
      </w:r>
      <w:r w:rsidR="000D4050" w:rsidRPr="00944EE4">
        <w:rPr>
          <w:rFonts w:ascii="Times New Roman" w:eastAsia="Times New Roman" w:hAnsi="Times New Roman" w:cs="Times New Roman"/>
          <w:sz w:val="24"/>
          <w:szCs w:val="24"/>
        </w:rPr>
        <w:t>2019</w:t>
      </w:r>
      <w:r w:rsidR="00D4299A" w:rsidRPr="00944EE4">
        <w:rPr>
          <w:rFonts w:ascii="Times New Roman" w:eastAsia="Times New Roman" w:hAnsi="Times New Roman" w:cs="Times New Roman"/>
          <w:sz w:val="24"/>
          <w:szCs w:val="24"/>
        </w:rPr>
        <w:t>,</w:t>
      </w:r>
      <w:r w:rsidR="000D4050" w:rsidRPr="00944EE4">
        <w:rPr>
          <w:rFonts w:ascii="Times New Roman" w:eastAsia="Times New Roman" w:hAnsi="Times New Roman" w:cs="Times New Roman"/>
          <w:sz w:val="24"/>
          <w:szCs w:val="24"/>
        </w:rPr>
        <w:t xml:space="preserve"> qui</w:t>
      </w:r>
      <w:r w:rsidRPr="00944EE4">
        <w:rPr>
          <w:rFonts w:ascii="Times New Roman" w:eastAsia="Times New Roman" w:hAnsi="Times New Roman" w:cs="Times New Roman"/>
          <w:sz w:val="24"/>
          <w:szCs w:val="24"/>
        </w:rPr>
        <w:t xml:space="preserve"> constitue le cadre de planification de référence des activités de développement </w:t>
      </w:r>
      <w:r w:rsidR="00D4299A" w:rsidRPr="00944EE4">
        <w:rPr>
          <w:rFonts w:ascii="Times New Roman" w:eastAsia="Times New Roman" w:hAnsi="Times New Roman" w:cs="Times New Roman"/>
          <w:sz w:val="24"/>
          <w:szCs w:val="24"/>
        </w:rPr>
        <w:t xml:space="preserve">du Système </w:t>
      </w:r>
      <w:r w:rsidRPr="00944EE4">
        <w:rPr>
          <w:rFonts w:ascii="Times New Roman" w:eastAsia="Times New Roman" w:hAnsi="Times New Roman" w:cs="Times New Roman"/>
          <w:sz w:val="24"/>
          <w:szCs w:val="24"/>
        </w:rPr>
        <w:t>des Nations Unies</w:t>
      </w:r>
      <w:r w:rsidR="00D4299A" w:rsidRPr="00944EE4">
        <w:rPr>
          <w:rFonts w:ascii="Times New Roman" w:eastAsia="Times New Roman" w:hAnsi="Times New Roman" w:cs="Times New Roman"/>
          <w:sz w:val="24"/>
          <w:szCs w:val="24"/>
        </w:rPr>
        <w:t>,</w:t>
      </w:r>
      <w:r w:rsidRPr="00944EE4">
        <w:rPr>
          <w:rFonts w:ascii="Times New Roman" w:eastAsia="Times New Roman" w:hAnsi="Times New Roman" w:cs="Times New Roman"/>
          <w:sz w:val="24"/>
          <w:szCs w:val="24"/>
        </w:rPr>
        <w:t xml:space="preserve"> est conçu pour renforcer la coordination, la cohérence et la synergie de ses interventions au Mali. Les actions inscrites dans l’UNDAF</w:t>
      </w:r>
      <w:r w:rsidR="00F13611" w:rsidRPr="00944EE4">
        <w:rPr>
          <w:rFonts w:ascii="Times New Roman" w:eastAsia="Times New Roman" w:hAnsi="Times New Roman" w:cs="Times New Roman"/>
          <w:sz w:val="24"/>
          <w:szCs w:val="24"/>
        </w:rPr>
        <w:t>+</w:t>
      </w:r>
      <w:r w:rsidRPr="00944EE4">
        <w:rPr>
          <w:rFonts w:ascii="Times New Roman" w:eastAsia="Times New Roman" w:hAnsi="Times New Roman" w:cs="Times New Roman"/>
          <w:sz w:val="24"/>
          <w:szCs w:val="24"/>
        </w:rPr>
        <w:t xml:space="preserve"> reflèten</w:t>
      </w:r>
      <w:r w:rsidR="00041759" w:rsidRPr="00944EE4">
        <w:rPr>
          <w:rFonts w:ascii="Times New Roman" w:eastAsia="Times New Roman" w:hAnsi="Times New Roman" w:cs="Times New Roman"/>
          <w:sz w:val="24"/>
          <w:szCs w:val="24"/>
        </w:rPr>
        <w:t xml:space="preserve">t l’effort d’intégration de la </w:t>
      </w:r>
      <w:r w:rsidR="00304856" w:rsidRPr="00944EE4">
        <w:rPr>
          <w:rFonts w:ascii="Times New Roman" w:eastAsia="Times New Roman" w:hAnsi="Times New Roman" w:cs="Times New Roman"/>
          <w:sz w:val="24"/>
          <w:szCs w:val="24"/>
        </w:rPr>
        <w:t xml:space="preserve">MINUSMA </w:t>
      </w:r>
      <w:r w:rsidRPr="00944EE4">
        <w:rPr>
          <w:rFonts w:ascii="Times New Roman" w:eastAsia="Times New Roman" w:hAnsi="Times New Roman" w:cs="Times New Roman"/>
          <w:sz w:val="24"/>
          <w:szCs w:val="24"/>
        </w:rPr>
        <w:t>et de l’équipe</w:t>
      </w:r>
      <w:r w:rsidR="00304856" w:rsidRPr="00944EE4">
        <w:rPr>
          <w:rFonts w:ascii="Times New Roman" w:eastAsia="Times New Roman" w:hAnsi="Times New Roman" w:cs="Times New Roman"/>
          <w:sz w:val="24"/>
          <w:szCs w:val="24"/>
        </w:rPr>
        <w:t>-</w:t>
      </w:r>
      <w:r w:rsidRPr="00944EE4">
        <w:rPr>
          <w:rFonts w:ascii="Times New Roman" w:eastAsia="Times New Roman" w:hAnsi="Times New Roman" w:cs="Times New Roman"/>
          <w:sz w:val="24"/>
          <w:szCs w:val="24"/>
        </w:rPr>
        <w:t>pays </w:t>
      </w:r>
      <w:r w:rsidR="00041759" w:rsidRPr="00944EE4">
        <w:rPr>
          <w:rFonts w:ascii="Times New Roman" w:eastAsia="Times New Roman" w:hAnsi="Times New Roman" w:cs="Times New Roman"/>
          <w:sz w:val="24"/>
          <w:szCs w:val="24"/>
        </w:rPr>
        <w:t xml:space="preserve">du Système des Nations Unies </w:t>
      </w:r>
      <w:r w:rsidRPr="00944EE4">
        <w:rPr>
          <w:rFonts w:ascii="Times New Roman" w:eastAsia="Times New Roman" w:hAnsi="Times New Roman" w:cs="Times New Roman"/>
          <w:sz w:val="24"/>
          <w:szCs w:val="24"/>
        </w:rPr>
        <w:t xml:space="preserve">: c’est une première dans la planification </w:t>
      </w:r>
      <w:r w:rsidR="00304856" w:rsidRPr="00944EE4">
        <w:rPr>
          <w:rFonts w:ascii="Times New Roman" w:eastAsia="Times New Roman" w:hAnsi="Times New Roman" w:cs="Times New Roman"/>
          <w:sz w:val="24"/>
          <w:szCs w:val="24"/>
        </w:rPr>
        <w:t xml:space="preserve">du Système </w:t>
      </w:r>
      <w:r w:rsidRPr="00944EE4">
        <w:rPr>
          <w:rFonts w:ascii="Times New Roman" w:eastAsia="Times New Roman" w:hAnsi="Times New Roman" w:cs="Times New Roman"/>
          <w:sz w:val="24"/>
          <w:szCs w:val="24"/>
        </w:rPr>
        <w:t>des Nations Unies au Mali.</w:t>
      </w:r>
    </w:p>
    <w:p w14:paraId="34446595" w14:textId="77777777" w:rsidR="00041759" w:rsidRPr="00944EE4" w:rsidRDefault="00041759" w:rsidP="00313D83">
      <w:pPr>
        <w:spacing w:line="360" w:lineRule="auto"/>
        <w:jc w:val="both"/>
        <w:rPr>
          <w:rFonts w:ascii="Times New Roman" w:eastAsia="Times New Roman" w:hAnsi="Times New Roman" w:cs="Times New Roman"/>
          <w:sz w:val="24"/>
          <w:szCs w:val="24"/>
        </w:rPr>
      </w:pPr>
    </w:p>
    <w:p w14:paraId="5F29140F" w14:textId="2369FE10" w:rsidR="00313D83" w:rsidRPr="00944EE4" w:rsidRDefault="00313D83" w:rsidP="00313D83">
      <w:pPr>
        <w:spacing w:line="360" w:lineRule="auto"/>
        <w:jc w:val="both"/>
        <w:rPr>
          <w:rFonts w:ascii="Times New Roman" w:eastAsia="Times New Roman" w:hAnsi="Times New Roman" w:cs="Times New Roman"/>
          <w:sz w:val="24"/>
          <w:szCs w:val="24"/>
        </w:rPr>
      </w:pPr>
      <w:r w:rsidRPr="00944EE4">
        <w:rPr>
          <w:rFonts w:ascii="Times New Roman" w:eastAsia="Times New Roman" w:hAnsi="Times New Roman" w:cs="Times New Roman"/>
          <w:sz w:val="24"/>
          <w:szCs w:val="24"/>
        </w:rPr>
        <w:t>Le présent document est basé sur l’analyse stratégique commune des défis du développement du pays</w:t>
      </w:r>
      <w:r w:rsidR="00304856" w:rsidRPr="00944EE4">
        <w:rPr>
          <w:rFonts w:ascii="Times New Roman" w:eastAsia="Times New Roman" w:hAnsi="Times New Roman" w:cs="Times New Roman"/>
          <w:sz w:val="24"/>
          <w:szCs w:val="24"/>
        </w:rPr>
        <w:t>,</w:t>
      </w:r>
      <w:r w:rsidRPr="00944EE4">
        <w:rPr>
          <w:rFonts w:ascii="Times New Roman" w:eastAsia="Times New Roman" w:hAnsi="Times New Roman" w:cs="Times New Roman"/>
          <w:sz w:val="24"/>
          <w:szCs w:val="24"/>
        </w:rPr>
        <w:t xml:space="preserve"> conduite en 2014 dans le cadre du Bilan Commun de Pays (BCP) du Mali et intègre tant les avancées du pays en direction des Objectifs du Millénaire pour le Développement (OMD)</w:t>
      </w:r>
      <w:r w:rsidR="00354085" w:rsidRPr="00944EE4">
        <w:rPr>
          <w:rFonts w:ascii="Times New Roman" w:eastAsia="Times New Roman" w:hAnsi="Times New Roman" w:cs="Times New Roman"/>
          <w:sz w:val="24"/>
          <w:szCs w:val="24"/>
        </w:rPr>
        <w:t xml:space="preserve"> que les Objectifs du Développement Durables (ODD), </w:t>
      </w:r>
      <w:r w:rsidRPr="00944EE4">
        <w:rPr>
          <w:rFonts w:ascii="Times New Roman" w:eastAsia="Times New Roman" w:hAnsi="Times New Roman" w:cs="Times New Roman"/>
          <w:sz w:val="24"/>
          <w:szCs w:val="24"/>
        </w:rPr>
        <w:t xml:space="preserve">les priorités nationales articulées dans les documents nationaux de référence et les principes guidant la coopération </w:t>
      </w:r>
      <w:r w:rsidR="00304856" w:rsidRPr="00944EE4">
        <w:rPr>
          <w:rFonts w:ascii="Times New Roman" w:eastAsia="Times New Roman" w:hAnsi="Times New Roman" w:cs="Times New Roman"/>
          <w:sz w:val="24"/>
          <w:szCs w:val="24"/>
        </w:rPr>
        <w:t xml:space="preserve">du Système </w:t>
      </w:r>
      <w:r w:rsidRPr="00944EE4">
        <w:rPr>
          <w:rFonts w:ascii="Times New Roman" w:eastAsia="Times New Roman" w:hAnsi="Times New Roman" w:cs="Times New Roman"/>
          <w:sz w:val="24"/>
          <w:szCs w:val="24"/>
        </w:rPr>
        <w:t xml:space="preserve">des Nations Unies, en particulier, l’approche basée sur les Droits de l’Homme, l’égalité du genre et le renforcement des capacités nationales. </w:t>
      </w:r>
    </w:p>
    <w:p w14:paraId="633E0DEF" w14:textId="0876CF40" w:rsidR="00D76DA5" w:rsidRPr="00944EE4" w:rsidRDefault="00041759" w:rsidP="00D76DA5">
      <w:pPr>
        <w:spacing w:line="360" w:lineRule="auto"/>
        <w:jc w:val="both"/>
        <w:rPr>
          <w:rFonts w:ascii="Times New Roman" w:eastAsia="Times New Roman" w:hAnsi="Times New Roman" w:cs="Times New Roman"/>
          <w:sz w:val="24"/>
          <w:szCs w:val="24"/>
        </w:rPr>
      </w:pPr>
      <w:r w:rsidRPr="00944EE4">
        <w:rPr>
          <w:rFonts w:ascii="Times New Roman" w:eastAsia="Times New Roman" w:hAnsi="Times New Roman" w:cs="Times New Roman"/>
          <w:sz w:val="24"/>
          <w:szCs w:val="24"/>
        </w:rPr>
        <w:t>La présente version (de Juin</w:t>
      </w:r>
      <w:r w:rsidR="00D76DA5" w:rsidRPr="00944EE4">
        <w:rPr>
          <w:rFonts w:ascii="Times New Roman" w:eastAsia="Times New Roman" w:hAnsi="Times New Roman" w:cs="Times New Roman"/>
          <w:sz w:val="24"/>
          <w:szCs w:val="24"/>
        </w:rPr>
        <w:t xml:space="preserve"> 2018) est le fruit de la Revue a Mi-Parcours (RMP) du UNDAF qui s’est tenue en Decembre 2017 avec tous les acteurs. </w:t>
      </w:r>
    </w:p>
    <w:p w14:paraId="50F97B54" w14:textId="77777777" w:rsidR="00041759" w:rsidRPr="00944EE4" w:rsidRDefault="00041759" w:rsidP="00D76DA5">
      <w:pPr>
        <w:spacing w:line="360" w:lineRule="auto"/>
        <w:jc w:val="both"/>
        <w:rPr>
          <w:rFonts w:ascii="Times New Roman" w:eastAsia="Times New Roman" w:hAnsi="Times New Roman" w:cs="Times New Roman"/>
          <w:sz w:val="24"/>
          <w:szCs w:val="24"/>
        </w:rPr>
      </w:pPr>
    </w:p>
    <w:tbl>
      <w:tblPr>
        <w:tblW w:w="0" w:type="auto"/>
        <w:tblInd w:w="-106" w:type="dxa"/>
        <w:tblLook w:val="00A0" w:firstRow="1" w:lastRow="0" w:firstColumn="1" w:lastColumn="0" w:noHBand="0" w:noVBand="0"/>
      </w:tblPr>
      <w:tblGrid>
        <w:gridCol w:w="4891"/>
        <w:gridCol w:w="4859"/>
      </w:tblGrid>
      <w:tr w:rsidR="00FD598D" w:rsidRPr="00944EE4" w14:paraId="67FABB2A" w14:textId="77777777" w:rsidTr="00A26568">
        <w:tc>
          <w:tcPr>
            <w:tcW w:w="7079" w:type="dxa"/>
          </w:tcPr>
          <w:p w14:paraId="75E96152" w14:textId="7B378CF4" w:rsidR="00041759" w:rsidRPr="00944EE4" w:rsidRDefault="00C87CE8" w:rsidP="008C31BE">
            <w:pPr>
              <w:pBdr>
                <w:bottom w:val="single" w:sz="12" w:space="1" w:color="auto"/>
              </w:pBdr>
              <w:rPr>
                <w:rFonts w:ascii="Times New Roman" w:hAnsi="Times New Roman" w:cs="Times New Roman"/>
                <w:sz w:val="24"/>
                <w:szCs w:val="24"/>
              </w:rPr>
            </w:pPr>
            <w:r w:rsidRPr="00944EE4">
              <w:rPr>
                <w:rFonts w:ascii="Times New Roman" w:eastAsia="Times New Roman" w:hAnsi="Times New Roman" w:cs="Times New Roman"/>
                <w:sz w:val="24"/>
                <w:szCs w:val="24"/>
              </w:rPr>
              <w:t xml:space="preserve"> </w:t>
            </w:r>
          </w:p>
          <w:p w14:paraId="4F945F12" w14:textId="43211BC8" w:rsidR="007915B6" w:rsidRPr="00944EE4" w:rsidRDefault="007915B6" w:rsidP="00FD598D">
            <w:pPr>
              <w:jc w:val="center"/>
              <w:rPr>
                <w:rFonts w:ascii="Times New Roman" w:hAnsi="Times New Roman" w:cs="Times New Roman"/>
                <w:sz w:val="24"/>
                <w:szCs w:val="24"/>
              </w:rPr>
            </w:pPr>
            <w:r w:rsidRPr="00944EE4">
              <w:rPr>
                <w:rFonts w:ascii="Times New Roman" w:hAnsi="Times New Roman" w:cs="Times New Roman"/>
                <w:sz w:val="24"/>
                <w:szCs w:val="24"/>
              </w:rPr>
              <w:t xml:space="preserve">Son Excellence </w:t>
            </w:r>
            <w:r w:rsidR="00FD598D" w:rsidRPr="00944EE4">
              <w:rPr>
                <w:rFonts w:ascii="Times New Roman" w:hAnsi="Times New Roman" w:cs="Times New Roman"/>
                <w:sz w:val="24"/>
                <w:szCs w:val="24"/>
              </w:rPr>
              <w:t xml:space="preserve">M. </w:t>
            </w:r>
            <w:r w:rsidR="00304856" w:rsidRPr="00944EE4">
              <w:rPr>
                <w:rFonts w:ascii="Times New Roman" w:hAnsi="Times New Roman" w:cs="Times New Roman"/>
                <w:sz w:val="24"/>
                <w:szCs w:val="24"/>
              </w:rPr>
              <w:t xml:space="preserve"> Tieman Hubert Coulibaly, </w:t>
            </w:r>
          </w:p>
          <w:p w14:paraId="0A100AA9" w14:textId="77777777" w:rsidR="007915B6" w:rsidRPr="00944EE4" w:rsidRDefault="007915B6" w:rsidP="00FD598D">
            <w:pPr>
              <w:jc w:val="center"/>
              <w:rPr>
                <w:rFonts w:ascii="Times New Roman" w:hAnsi="Times New Roman" w:cs="Times New Roman"/>
                <w:sz w:val="24"/>
                <w:szCs w:val="24"/>
              </w:rPr>
            </w:pPr>
            <w:r w:rsidRPr="00944EE4">
              <w:rPr>
                <w:rFonts w:ascii="Times New Roman" w:hAnsi="Times New Roman" w:cs="Times New Roman"/>
                <w:sz w:val="24"/>
                <w:szCs w:val="24"/>
              </w:rPr>
              <w:t>Ministre des Affaires étrangères</w:t>
            </w:r>
            <w:r w:rsidR="0053396B" w:rsidRPr="00944EE4">
              <w:rPr>
                <w:rFonts w:ascii="Times New Roman" w:hAnsi="Times New Roman" w:cs="Times New Roman"/>
                <w:sz w:val="24"/>
                <w:szCs w:val="24"/>
              </w:rPr>
              <w:t>,</w:t>
            </w:r>
            <w:r w:rsidRPr="00944EE4">
              <w:rPr>
                <w:rFonts w:ascii="Times New Roman" w:hAnsi="Times New Roman" w:cs="Times New Roman"/>
                <w:sz w:val="24"/>
                <w:szCs w:val="24"/>
              </w:rPr>
              <w:t xml:space="preserve"> </w:t>
            </w:r>
            <w:r w:rsidR="0053396B" w:rsidRPr="00944EE4">
              <w:rPr>
                <w:rFonts w:ascii="Times New Roman" w:hAnsi="Times New Roman" w:cs="Times New Roman"/>
                <w:sz w:val="24"/>
                <w:szCs w:val="24"/>
              </w:rPr>
              <w:t xml:space="preserve">de l’intégration africaine </w:t>
            </w:r>
            <w:r w:rsidRPr="00944EE4">
              <w:rPr>
                <w:rFonts w:ascii="Times New Roman" w:hAnsi="Times New Roman" w:cs="Times New Roman"/>
                <w:sz w:val="24"/>
                <w:szCs w:val="24"/>
              </w:rPr>
              <w:t>et de la</w:t>
            </w:r>
          </w:p>
          <w:p w14:paraId="2475B60F" w14:textId="77777777" w:rsidR="007915B6" w:rsidRPr="00944EE4" w:rsidRDefault="007915B6" w:rsidP="00FD598D">
            <w:pPr>
              <w:jc w:val="center"/>
              <w:rPr>
                <w:rFonts w:ascii="Times New Roman" w:hAnsi="Times New Roman" w:cs="Times New Roman"/>
                <w:sz w:val="24"/>
                <w:szCs w:val="24"/>
              </w:rPr>
            </w:pPr>
            <w:r w:rsidRPr="00944EE4">
              <w:rPr>
                <w:rFonts w:ascii="Times New Roman" w:hAnsi="Times New Roman" w:cs="Times New Roman"/>
                <w:sz w:val="24"/>
                <w:szCs w:val="24"/>
              </w:rPr>
              <w:t>Coopération Internationale</w:t>
            </w:r>
          </w:p>
        </w:tc>
        <w:tc>
          <w:tcPr>
            <w:tcW w:w="7079" w:type="dxa"/>
          </w:tcPr>
          <w:p w14:paraId="15C3B0D7" w14:textId="77777777" w:rsidR="00041759" w:rsidRPr="00944EE4" w:rsidRDefault="00041759" w:rsidP="008C31BE">
            <w:pPr>
              <w:pBdr>
                <w:bottom w:val="single" w:sz="12" w:space="1" w:color="auto"/>
              </w:pBdr>
              <w:rPr>
                <w:rFonts w:ascii="Times New Roman" w:hAnsi="Times New Roman" w:cs="Times New Roman"/>
                <w:sz w:val="24"/>
                <w:szCs w:val="24"/>
              </w:rPr>
            </w:pPr>
          </w:p>
          <w:p w14:paraId="60ABE3A4" w14:textId="2148857B" w:rsidR="00FD598D" w:rsidRPr="00944EE4" w:rsidRDefault="00FD598D" w:rsidP="00FD598D">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 xml:space="preserve">M. </w:t>
            </w:r>
            <w:r w:rsidR="003F315E" w:rsidRPr="00944EE4">
              <w:rPr>
                <w:rFonts w:ascii="Times New Roman" w:hAnsi="Times New Roman" w:cs="Times New Roman"/>
                <w:color w:val="000000" w:themeColor="text1"/>
                <w:sz w:val="24"/>
                <w:szCs w:val="24"/>
              </w:rPr>
              <w:t xml:space="preserve"> Mahamat Saleh Annadif, </w:t>
            </w:r>
          </w:p>
          <w:p w14:paraId="3D48F6B3" w14:textId="77777777" w:rsidR="00560E0F" w:rsidRPr="00944EE4" w:rsidRDefault="00FD598D" w:rsidP="00FD598D">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 xml:space="preserve">Représentant Spécial </w:t>
            </w:r>
            <w:r w:rsidR="00560E0F" w:rsidRPr="00944EE4">
              <w:rPr>
                <w:rFonts w:ascii="Times New Roman" w:hAnsi="Times New Roman" w:cs="Times New Roman"/>
                <w:color w:val="000000" w:themeColor="text1"/>
                <w:sz w:val="24"/>
                <w:szCs w:val="24"/>
              </w:rPr>
              <w:t xml:space="preserve">Adjoint </w:t>
            </w:r>
            <w:r w:rsidRPr="00944EE4">
              <w:rPr>
                <w:rFonts w:ascii="Times New Roman" w:hAnsi="Times New Roman" w:cs="Times New Roman"/>
                <w:color w:val="000000" w:themeColor="text1"/>
                <w:sz w:val="24"/>
                <w:szCs w:val="24"/>
              </w:rPr>
              <w:t>du Secrétaire Général des Nations Unies au Mali</w:t>
            </w:r>
          </w:p>
          <w:p w14:paraId="332D0EFD" w14:textId="77777777" w:rsidR="00FD598D" w:rsidRPr="00944EE4" w:rsidRDefault="00560E0F" w:rsidP="00FD598D">
            <w:pPr>
              <w:jc w:val="center"/>
              <w:rPr>
                <w:rFonts w:ascii="Times New Roman" w:hAnsi="Times New Roman" w:cs="Times New Roman"/>
                <w:sz w:val="24"/>
                <w:szCs w:val="24"/>
              </w:rPr>
            </w:pPr>
            <w:r w:rsidRPr="00944EE4">
              <w:rPr>
                <w:rFonts w:ascii="Times New Roman" w:hAnsi="Times New Roman" w:cs="Times New Roman"/>
                <w:color w:val="000000" w:themeColor="text1"/>
                <w:sz w:val="24"/>
                <w:szCs w:val="24"/>
              </w:rPr>
              <w:t>Offic</w:t>
            </w:r>
            <w:r w:rsidR="007868CA" w:rsidRPr="00944EE4">
              <w:rPr>
                <w:rFonts w:ascii="Times New Roman" w:hAnsi="Times New Roman" w:cs="Times New Roman"/>
                <w:color w:val="000000" w:themeColor="text1"/>
                <w:sz w:val="24"/>
                <w:szCs w:val="24"/>
              </w:rPr>
              <w:t>ier e</w:t>
            </w:r>
            <w:r w:rsidRPr="00944EE4">
              <w:rPr>
                <w:rFonts w:ascii="Times New Roman" w:hAnsi="Times New Roman" w:cs="Times New Roman"/>
                <w:color w:val="000000" w:themeColor="text1"/>
                <w:sz w:val="24"/>
                <w:szCs w:val="24"/>
              </w:rPr>
              <w:t>n Charge de la MINUSMA</w:t>
            </w:r>
            <w:r w:rsidR="00FD598D" w:rsidRPr="00944EE4">
              <w:rPr>
                <w:rFonts w:ascii="Times New Roman" w:hAnsi="Times New Roman" w:cs="Times New Roman"/>
                <w:sz w:val="24"/>
                <w:szCs w:val="24"/>
              </w:rPr>
              <w:t xml:space="preserve"> </w:t>
            </w:r>
          </w:p>
          <w:p w14:paraId="62A4D135" w14:textId="77777777" w:rsidR="007915B6" w:rsidRPr="00944EE4" w:rsidRDefault="007915B6" w:rsidP="007868CA">
            <w:pPr>
              <w:jc w:val="center"/>
              <w:rPr>
                <w:rFonts w:ascii="Times New Roman" w:hAnsi="Times New Roman" w:cs="Times New Roman"/>
                <w:sz w:val="24"/>
                <w:szCs w:val="24"/>
              </w:rPr>
            </w:pPr>
          </w:p>
        </w:tc>
      </w:tr>
    </w:tbl>
    <w:p w14:paraId="0EC7C53D" w14:textId="0799E729" w:rsidR="00B06567" w:rsidRPr="00944EE4" w:rsidRDefault="00B06567" w:rsidP="00170DB3">
      <w:pPr>
        <w:jc w:val="center"/>
        <w:rPr>
          <w:rFonts w:ascii="Times New Roman" w:hAnsi="Times New Roman" w:cs="Times New Roman"/>
          <w:b/>
          <w:color w:val="1F497D" w:themeColor="text2"/>
          <w:sz w:val="24"/>
          <w:szCs w:val="24"/>
          <w:u w:val="single"/>
        </w:rPr>
      </w:pPr>
      <w:r w:rsidRPr="00944EE4">
        <w:rPr>
          <w:rFonts w:ascii="Times New Roman" w:hAnsi="Times New Roman" w:cs="Times New Roman"/>
          <w:b/>
          <w:color w:val="1F497D" w:themeColor="text2"/>
          <w:sz w:val="24"/>
          <w:szCs w:val="24"/>
          <w:u w:val="single"/>
        </w:rPr>
        <w:lastRenderedPageBreak/>
        <w:t>DECLARATION D’ENGAGEMENT DES NATIONS UNIES AU MALI</w:t>
      </w:r>
    </w:p>
    <w:p w14:paraId="20E66C62" w14:textId="77777777" w:rsidR="007915B6" w:rsidRPr="00944EE4" w:rsidRDefault="007915B6" w:rsidP="007915B6">
      <w:pPr>
        <w:rPr>
          <w:rFonts w:ascii="Times New Roman" w:hAnsi="Times New Roman" w:cs="Times New Roman"/>
          <w:sz w:val="24"/>
          <w:szCs w:val="24"/>
        </w:rPr>
      </w:pPr>
    </w:p>
    <w:p w14:paraId="42D8C06C" w14:textId="77777777" w:rsidR="0088667F" w:rsidRPr="00944EE4" w:rsidRDefault="0088667F" w:rsidP="00817373">
      <w:pPr>
        <w:spacing w:line="360" w:lineRule="auto"/>
        <w:jc w:val="both"/>
        <w:rPr>
          <w:rFonts w:ascii="Times New Roman" w:hAnsi="Times New Roman" w:cs="Times New Roman"/>
          <w:sz w:val="24"/>
          <w:szCs w:val="24"/>
        </w:rPr>
      </w:pPr>
    </w:p>
    <w:p w14:paraId="105ABA64" w14:textId="77777777" w:rsidR="007915B6" w:rsidRPr="00944EE4" w:rsidRDefault="007915B6" w:rsidP="00817373">
      <w:pPr>
        <w:spacing w:line="360" w:lineRule="auto"/>
        <w:jc w:val="both"/>
        <w:rPr>
          <w:rFonts w:ascii="Times New Roman" w:hAnsi="Times New Roman" w:cs="Times New Roman"/>
          <w:sz w:val="24"/>
          <w:szCs w:val="24"/>
        </w:rPr>
      </w:pPr>
      <w:r w:rsidRPr="00944EE4">
        <w:rPr>
          <w:rFonts w:ascii="Times New Roman" w:hAnsi="Times New Roman" w:cs="Times New Roman"/>
          <w:sz w:val="24"/>
          <w:szCs w:val="24"/>
        </w:rPr>
        <w:t>La République du Mali s’est engagée avec conviction dans un processus tendant à renforcer la paix, la sécurité et la prospérité au bénéfice de tous ses citoyens.</w:t>
      </w:r>
    </w:p>
    <w:p w14:paraId="29D36139" w14:textId="763589EF" w:rsidR="007915B6" w:rsidRPr="00944EE4" w:rsidRDefault="007915B6" w:rsidP="00817373">
      <w:pPr>
        <w:spacing w:line="360" w:lineRule="auto"/>
        <w:jc w:val="both"/>
        <w:rPr>
          <w:rFonts w:ascii="Times New Roman" w:hAnsi="Times New Roman" w:cs="Times New Roman"/>
          <w:sz w:val="24"/>
          <w:szCs w:val="24"/>
        </w:rPr>
      </w:pPr>
      <w:r w:rsidRPr="00944EE4">
        <w:rPr>
          <w:rFonts w:ascii="Times New Roman" w:hAnsi="Times New Roman" w:cs="Times New Roman"/>
          <w:sz w:val="24"/>
          <w:szCs w:val="24"/>
        </w:rPr>
        <w:t>Aussi, nous soussignés, Représentant Spécial du Secrétaire Général des Nations Unies, Représentants des Agences du Système des Nations Unies constituant l’Equipe</w:t>
      </w:r>
      <w:r w:rsidR="00D76DA5" w:rsidRPr="00944EE4">
        <w:rPr>
          <w:rFonts w:ascii="Times New Roman" w:hAnsi="Times New Roman" w:cs="Times New Roman"/>
          <w:sz w:val="24"/>
          <w:szCs w:val="24"/>
        </w:rPr>
        <w:t>-</w:t>
      </w:r>
      <w:r w:rsidR="00382CBB" w:rsidRPr="00944EE4">
        <w:rPr>
          <w:rFonts w:ascii="Times New Roman" w:hAnsi="Times New Roman" w:cs="Times New Roman"/>
          <w:sz w:val="24"/>
          <w:szCs w:val="24"/>
        </w:rPr>
        <w:t xml:space="preserve">pays </w:t>
      </w:r>
      <w:r w:rsidRPr="00944EE4">
        <w:rPr>
          <w:rFonts w:ascii="Times New Roman" w:hAnsi="Times New Roman" w:cs="Times New Roman"/>
          <w:sz w:val="24"/>
          <w:szCs w:val="24"/>
        </w:rPr>
        <w:t xml:space="preserve">des Nations Unies au Mali, nous engageons à soutenir le Gouvernement dans la mise en œuvre de ses priorités nationales en faveur </w:t>
      </w:r>
      <w:r w:rsidR="00225564" w:rsidRPr="00944EE4">
        <w:rPr>
          <w:rFonts w:ascii="Times New Roman" w:hAnsi="Times New Roman" w:cs="Times New Roman"/>
          <w:sz w:val="24"/>
          <w:szCs w:val="24"/>
        </w:rPr>
        <w:t xml:space="preserve">du retour à la paix, </w:t>
      </w:r>
      <w:r w:rsidRPr="00944EE4">
        <w:rPr>
          <w:rFonts w:ascii="Times New Roman" w:hAnsi="Times New Roman" w:cs="Times New Roman"/>
          <w:sz w:val="24"/>
          <w:szCs w:val="24"/>
        </w:rPr>
        <w:t>de la lutte contre la pauvreté</w:t>
      </w:r>
      <w:r w:rsidR="00225564" w:rsidRPr="00944EE4">
        <w:rPr>
          <w:rFonts w:ascii="Times New Roman" w:hAnsi="Times New Roman" w:cs="Times New Roman"/>
          <w:sz w:val="24"/>
          <w:szCs w:val="24"/>
        </w:rPr>
        <w:t xml:space="preserve"> et du développement durable</w:t>
      </w:r>
      <w:r w:rsidR="00382CBB" w:rsidRPr="00944EE4">
        <w:rPr>
          <w:rFonts w:ascii="Times New Roman" w:hAnsi="Times New Roman" w:cs="Times New Roman"/>
          <w:sz w:val="24"/>
          <w:szCs w:val="24"/>
        </w:rPr>
        <w:t>.</w:t>
      </w:r>
      <w:r w:rsidRPr="00944EE4">
        <w:rPr>
          <w:rFonts w:ascii="Times New Roman" w:hAnsi="Times New Roman" w:cs="Times New Roman"/>
          <w:sz w:val="24"/>
          <w:szCs w:val="24"/>
        </w:rPr>
        <w:t xml:space="preserve"> </w:t>
      </w:r>
    </w:p>
    <w:p w14:paraId="2D45993B" w14:textId="77777777" w:rsidR="007915B6" w:rsidRPr="00944EE4" w:rsidRDefault="007915B6" w:rsidP="00817373">
      <w:pPr>
        <w:spacing w:line="360" w:lineRule="auto"/>
        <w:jc w:val="both"/>
        <w:rPr>
          <w:rFonts w:ascii="Times New Roman" w:hAnsi="Times New Roman" w:cs="Times New Roman"/>
          <w:sz w:val="24"/>
          <w:szCs w:val="24"/>
        </w:rPr>
      </w:pPr>
    </w:p>
    <w:p w14:paraId="621437E2" w14:textId="78E23E5A" w:rsidR="007915B6" w:rsidRPr="00944EE4" w:rsidRDefault="007915B6" w:rsidP="00817373">
      <w:pPr>
        <w:spacing w:line="360" w:lineRule="auto"/>
        <w:jc w:val="both"/>
        <w:rPr>
          <w:rFonts w:ascii="Times New Roman" w:hAnsi="Times New Roman" w:cs="Times New Roman"/>
          <w:sz w:val="24"/>
          <w:szCs w:val="24"/>
        </w:rPr>
      </w:pPr>
      <w:r w:rsidRPr="00944EE4">
        <w:rPr>
          <w:rFonts w:ascii="Times New Roman" w:hAnsi="Times New Roman" w:cs="Times New Roman"/>
          <w:sz w:val="24"/>
          <w:szCs w:val="24"/>
        </w:rPr>
        <w:t>Nous nous engageons également, dans le respect des mandats de la MINUSMA à travers les résolutions du Conseil</w:t>
      </w:r>
      <w:r w:rsidR="00EA1C3B" w:rsidRPr="00944EE4">
        <w:rPr>
          <w:rFonts w:ascii="Times New Roman" w:hAnsi="Times New Roman" w:cs="Times New Roman"/>
          <w:sz w:val="24"/>
          <w:szCs w:val="24"/>
        </w:rPr>
        <w:t xml:space="preserve"> de Sécurité 2100 (2013), 2164 </w:t>
      </w:r>
      <w:r w:rsidRPr="00944EE4">
        <w:rPr>
          <w:rFonts w:ascii="Times New Roman" w:hAnsi="Times New Roman" w:cs="Times New Roman"/>
          <w:sz w:val="24"/>
          <w:szCs w:val="24"/>
        </w:rPr>
        <w:t>(2014)</w:t>
      </w:r>
      <w:r w:rsidRPr="00944EE4">
        <w:rPr>
          <w:rFonts w:ascii="Times New Roman" w:hAnsi="Times New Roman" w:cs="Times New Roman"/>
          <w:b/>
          <w:sz w:val="24"/>
          <w:szCs w:val="24"/>
        </w:rPr>
        <w:t xml:space="preserve"> </w:t>
      </w:r>
      <w:r w:rsidRPr="00944EE4">
        <w:rPr>
          <w:rFonts w:ascii="Times New Roman" w:hAnsi="Times New Roman" w:cs="Times New Roman"/>
          <w:sz w:val="24"/>
          <w:szCs w:val="24"/>
        </w:rPr>
        <w:t>et de celui de chacune des organisations que nous représentons, à mettre en œuvre le Plan Cadre des Nations Unies pour l’Aide au Développem</w:t>
      </w:r>
      <w:r w:rsidR="00335A98" w:rsidRPr="00944EE4">
        <w:rPr>
          <w:rFonts w:ascii="Times New Roman" w:hAnsi="Times New Roman" w:cs="Times New Roman"/>
          <w:sz w:val="24"/>
          <w:szCs w:val="24"/>
        </w:rPr>
        <w:t xml:space="preserve">ent </w:t>
      </w:r>
      <w:r w:rsidR="00D76DA5" w:rsidRPr="00944EE4">
        <w:rPr>
          <w:rFonts w:ascii="Times New Roman" w:hAnsi="Times New Roman" w:cs="Times New Roman"/>
          <w:sz w:val="24"/>
          <w:szCs w:val="24"/>
        </w:rPr>
        <w:t xml:space="preserve">(PNUAD) </w:t>
      </w:r>
      <w:r w:rsidR="00335A98" w:rsidRPr="00944EE4">
        <w:rPr>
          <w:rFonts w:ascii="Times New Roman" w:hAnsi="Times New Roman" w:cs="Times New Roman"/>
          <w:sz w:val="24"/>
          <w:szCs w:val="24"/>
        </w:rPr>
        <w:t xml:space="preserve">pour la République du Mali </w:t>
      </w:r>
      <w:r w:rsidRPr="00944EE4">
        <w:rPr>
          <w:rFonts w:ascii="Times New Roman" w:hAnsi="Times New Roman" w:cs="Times New Roman"/>
          <w:sz w:val="24"/>
          <w:szCs w:val="24"/>
        </w:rPr>
        <w:t>sous le leadership du Gouvernement et en collaboration avec les autres partenaires du Développ</w:t>
      </w:r>
      <w:r w:rsidR="00041759" w:rsidRPr="00944EE4">
        <w:rPr>
          <w:rFonts w:ascii="Times New Roman" w:hAnsi="Times New Roman" w:cs="Times New Roman"/>
          <w:sz w:val="24"/>
          <w:szCs w:val="24"/>
        </w:rPr>
        <w:t>ement du pays,</w:t>
      </w:r>
      <w:r w:rsidRPr="00944EE4">
        <w:rPr>
          <w:rFonts w:ascii="Times New Roman" w:hAnsi="Times New Roman" w:cs="Times New Roman"/>
          <w:sz w:val="24"/>
          <w:szCs w:val="24"/>
        </w:rPr>
        <w:t xml:space="preserve"> </w:t>
      </w:r>
      <w:r w:rsidR="00D76DA5" w:rsidRPr="00944EE4">
        <w:rPr>
          <w:rFonts w:ascii="Times New Roman" w:hAnsi="Times New Roman" w:cs="Times New Roman"/>
          <w:sz w:val="24"/>
          <w:szCs w:val="24"/>
        </w:rPr>
        <w:t>autour d</w:t>
      </w:r>
      <w:r w:rsidRPr="00944EE4">
        <w:rPr>
          <w:rFonts w:ascii="Times New Roman" w:hAnsi="Times New Roman" w:cs="Times New Roman"/>
          <w:sz w:val="24"/>
          <w:szCs w:val="24"/>
        </w:rPr>
        <w:t>es quatre axes ci-après :</w:t>
      </w:r>
    </w:p>
    <w:p w14:paraId="670BFCD3" w14:textId="28C9329D" w:rsidR="007915B6" w:rsidRPr="00944EE4" w:rsidRDefault="007915B6" w:rsidP="00817373">
      <w:pPr>
        <w:spacing w:line="360" w:lineRule="auto"/>
        <w:ind w:left="567"/>
        <w:rPr>
          <w:rFonts w:ascii="Times New Roman" w:hAnsi="Times New Roman" w:cs="Times New Roman"/>
          <w:sz w:val="24"/>
          <w:szCs w:val="24"/>
        </w:rPr>
      </w:pPr>
      <w:r w:rsidRPr="00944EE4">
        <w:rPr>
          <w:rFonts w:ascii="Times New Roman" w:hAnsi="Times New Roman" w:cs="Times New Roman"/>
          <w:sz w:val="24"/>
          <w:szCs w:val="24"/>
        </w:rPr>
        <w:t>1- Le renforcement de la sécurité, de la paix et de la réconciliation nationale</w:t>
      </w:r>
      <w:r w:rsidR="00D76DA5" w:rsidRPr="00944EE4">
        <w:rPr>
          <w:rFonts w:ascii="Times New Roman" w:hAnsi="Times New Roman" w:cs="Times New Roman"/>
          <w:sz w:val="24"/>
          <w:szCs w:val="24"/>
        </w:rPr>
        <w:t> ;</w:t>
      </w:r>
    </w:p>
    <w:p w14:paraId="51EF2409" w14:textId="307C4600" w:rsidR="007915B6" w:rsidRPr="00944EE4" w:rsidRDefault="007915B6" w:rsidP="00817373">
      <w:pPr>
        <w:spacing w:line="360" w:lineRule="auto"/>
        <w:ind w:left="567"/>
        <w:rPr>
          <w:rFonts w:ascii="Times New Roman" w:hAnsi="Times New Roman" w:cs="Times New Roman"/>
          <w:sz w:val="24"/>
          <w:szCs w:val="24"/>
        </w:rPr>
      </w:pPr>
      <w:r w:rsidRPr="00944EE4">
        <w:rPr>
          <w:rFonts w:ascii="Times New Roman" w:hAnsi="Times New Roman" w:cs="Times New Roman"/>
          <w:sz w:val="24"/>
          <w:szCs w:val="24"/>
        </w:rPr>
        <w:t>2- La promotion de la bonne gouvernance</w:t>
      </w:r>
      <w:r w:rsidR="00D76DA5" w:rsidRPr="00944EE4">
        <w:rPr>
          <w:rFonts w:ascii="Times New Roman" w:hAnsi="Times New Roman" w:cs="Times New Roman"/>
          <w:sz w:val="24"/>
          <w:szCs w:val="24"/>
        </w:rPr>
        <w:t> ;</w:t>
      </w:r>
    </w:p>
    <w:p w14:paraId="5E4650FF" w14:textId="51E88E0C" w:rsidR="007915B6" w:rsidRPr="00944EE4" w:rsidRDefault="007915B6" w:rsidP="00817373">
      <w:pPr>
        <w:spacing w:line="360" w:lineRule="auto"/>
        <w:ind w:left="567"/>
        <w:rPr>
          <w:rFonts w:ascii="Times New Roman" w:hAnsi="Times New Roman" w:cs="Times New Roman"/>
          <w:sz w:val="24"/>
          <w:szCs w:val="24"/>
        </w:rPr>
      </w:pPr>
      <w:r w:rsidRPr="00944EE4">
        <w:rPr>
          <w:rFonts w:ascii="Times New Roman" w:hAnsi="Times New Roman" w:cs="Times New Roman"/>
          <w:sz w:val="24"/>
          <w:szCs w:val="24"/>
        </w:rPr>
        <w:t>3-  L’accès aux services sociaux de base</w:t>
      </w:r>
      <w:r w:rsidR="00225564" w:rsidRPr="00944EE4">
        <w:rPr>
          <w:rFonts w:ascii="Times New Roman" w:hAnsi="Times New Roman" w:cs="Times New Roman"/>
          <w:sz w:val="24"/>
          <w:szCs w:val="24"/>
        </w:rPr>
        <w:t xml:space="preserve"> de qualité</w:t>
      </w:r>
      <w:r w:rsidR="00D76DA5" w:rsidRPr="00944EE4">
        <w:rPr>
          <w:rFonts w:ascii="Times New Roman" w:hAnsi="Times New Roman" w:cs="Times New Roman"/>
          <w:sz w:val="24"/>
          <w:szCs w:val="24"/>
        </w:rPr>
        <w:t> ;</w:t>
      </w:r>
    </w:p>
    <w:p w14:paraId="4A9E3DC6" w14:textId="514F0440" w:rsidR="007915B6" w:rsidRPr="00944EE4" w:rsidRDefault="007915B6" w:rsidP="00817373">
      <w:pPr>
        <w:spacing w:line="360" w:lineRule="auto"/>
        <w:ind w:left="567"/>
        <w:rPr>
          <w:rFonts w:ascii="Times New Roman" w:hAnsi="Times New Roman" w:cs="Times New Roman"/>
          <w:sz w:val="24"/>
          <w:szCs w:val="24"/>
        </w:rPr>
      </w:pPr>
      <w:r w:rsidRPr="00944EE4">
        <w:rPr>
          <w:rFonts w:ascii="Times New Roman" w:hAnsi="Times New Roman" w:cs="Times New Roman"/>
          <w:sz w:val="24"/>
          <w:szCs w:val="24"/>
        </w:rPr>
        <w:t>4- Une croissance inclusive et un développement durable</w:t>
      </w:r>
      <w:r w:rsidR="00D76DA5" w:rsidRPr="00944EE4">
        <w:rPr>
          <w:rFonts w:ascii="Times New Roman" w:hAnsi="Times New Roman" w:cs="Times New Roman"/>
          <w:sz w:val="24"/>
          <w:szCs w:val="24"/>
        </w:rPr>
        <w:t>.</w:t>
      </w:r>
    </w:p>
    <w:p w14:paraId="32D98C83" w14:textId="77777777" w:rsidR="00500B22" w:rsidRPr="00944EE4" w:rsidRDefault="00500B22" w:rsidP="00817373">
      <w:pPr>
        <w:spacing w:line="360" w:lineRule="auto"/>
        <w:jc w:val="both"/>
        <w:rPr>
          <w:rFonts w:ascii="Times New Roman" w:hAnsi="Times New Roman" w:cs="Times New Roman"/>
          <w:sz w:val="24"/>
          <w:szCs w:val="24"/>
        </w:rPr>
      </w:pPr>
    </w:p>
    <w:p w14:paraId="3487D9EA" w14:textId="123CADED" w:rsidR="007915B6" w:rsidRPr="00944EE4" w:rsidRDefault="007915B6" w:rsidP="00817373">
      <w:pPr>
        <w:spacing w:line="360" w:lineRule="auto"/>
        <w:jc w:val="both"/>
        <w:rPr>
          <w:rFonts w:ascii="Times New Roman" w:hAnsi="Times New Roman" w:cs="Times New Roman"/>
          <w:sz w:val="24"/>
          <w:szCs w:val="24"/>
        </w:rPr>
      </w:pPr>
      <w:r w:rsidRPr="00944EE4">
        <w:rPr>
          <w:rFonts w:ascii="Times New Roman" w:hAnsi="Times New Roman" w:cs="Times New Roman"/>
          <w:sz w:val="24"/>
          <w:szCs w:val="24"/>
        </w:rPr>
        <w:t>Ces axes d’interventions sont soutenus par trois domaines transversaux</w:t>
      </w:r>
      <w:r w:rsidR="003F315E" w:rsidRPr="00944EE4">
        <w:rPr>
          <w:rFonts w:ascii="Times New Roman" w:hAnsi="Times New Roman" w:cs="Times New Roman"/>
          <w:sz w:val="24"/>
          <w:szCs w:val="24"/>
        </w:rPr>
        <w:t xml:space="preserve"> </w:t>
      </w:r>
      <w:r w:rsidRPr="00944EE4">
        <w:rPr>
          <w:rFonts w:ascii="Times New Roman" w:hAnsi="Times New Roman" w:cs="Times New Roman"/>
          <w:sz w:val="24"/>
          <w:szCs w:val="24"/>
        </w:rPr>
        <w:t>: les droits de l’homme, le genre, et le VIH</w:t>
      </w:r>
      <w:r w:rsidR="003F315E" w:rsidRPr="00944EE4">
        <w:rPr>
          <w:rFonts w:ascii="Times New Roman" w:hAnsi="Times New Roman" w:cs="Times New Roman"/>
          <w:sz w:val="24"/>
          <w:szCs w:val="24"/>
        </w:rPr>
        <w:t>-</w:t>
      </w:r>
      <w:r w:rsidRPr="00944EE4">
        <w:rPr>
          <w:rFonts w:ascii="Times New Roman" w:hAnsi="Times New Roman" w:cs="Times New Roman"/>
          <w:sz w:val="24"/>
          <w:szCs w:val="24"/>
        </w:rPr>
        <w:t>Sida. Tout en s’appuyant sur un leadership national et un partenariat étendu à la société civile et aux autre</w:t>
      </w:r>
      <w:r w:rsidR="00500B22" w:rsidRPr="00944EE4">
        <w:rPr>
          <w:rFonts w:ascii="Times New Roman" w:hAnsi="Times New Roman" w:cs="Times New Roman"/>
          <w:sz w:val="24"/>
          <w:szCs w:val="24"/>
        </w:rPr>
        <w:t>s acteurs du développement, nou</w:t>
      </w:r>
      <w:r w:rsidRPr="00944EE4">
        <w:rPr>
          <w:rFonts w:ascii="Times New Roman" w:hAnsi="Times New Roman" w:cs="Times New Roman"/>
          <w:sz w:val="24"/>
          <w:szCs w:val="24"/>
        </w:rPr>
        <w:t xml:space="preserve">s </w:t>
      </w:r>
      <w:r w:rsidR="003F315E" w:rsidRPr="00944EE4">
        <w:rPr>
          <w:rFonts w:ascii="Times New Roman" w:hAnsi="Times New Roman" w:cs="Times New Roman"/>
          <w:sz w:val="24"/>
          <w:szCs w:val="24"/>
        </w:rPr>
        <w:t xml:space="preserve">continuerons à nous </w:t>
      </w:r>
      <w:r w:rsidRPr="00944EE4">
        <w:rPr>
          <w:rFonts w:ascii="Times New Roman" w:hAnsi="Times New Roman" w:cs="Times New Roman"/>
          <w:sz w:val="24"/>
          <w:szCs w:val="24"/>
        </w:rPr>
        <w:t>investir pour soutenir : i) le renforcement des capacités nationales, ii) le développement des politiques et stratégies nationales, iii) le renforcement de notre présence dans les régions du Nord.</w:t>
      </w:r>
    </w:p>
    <w:p w14:paraId="5ABFAD43" w14:textId="77777777" w:rsidR="007915B6" w:rsidRPr="00944EE4" w:rsidRDefault="007915B6" w:rsidP="00817373">
      <w:pPr>
        <w:spacing w:line="360" w:lineRule="auto"/>
        <w:jc w:val="both"/>
        <w:rPr>
          <w:rFonts w:ascii="Times New Roman" w:hAnsi="Times New Roman" w:cs="Times New Roman"/>
          <w:sz w:val="24"/>
          <w:szCs w:val="24"/>
        </w:rPr>
      </w:pPr>
    </w:p>
    <w:p w14:paraId="0666D995" w14:textId="05D02BAC" w:rsidR="007915B6" w:rsidRPr="00944EE4" w:rsidRDefault="007915B6" w:rsidP="00817373">
      <w:pPr>
        <w:spacing w:line="360" w:lineRule="auto"/>
        <w:jc w:val="both"/>
        <w:rPr>
          <w:rFonts w:ascii="Times New Roman" w:hAnsi="Times New Roman" w:cs="Times New Roman"/>
          <w:sz w:val="24"/>
          <w:szCs w:val="24"/>
        </w:rPr>
      </w:pPr>
      <w:r w:rsidRPr="00944EE4">
        <w:rPr>
          <w:rFonts w:ascii="Times New Roman" w:hAnsi="Times New Roman" w:cs="Times New Roman"/>
          <w:sz w:val="24"/>
          <w:szCs w:val="24"/>
        </w:rPr>
        <w:t>Nous manifest</w:t>
      </w:r>
      <w:r w:rsidR="003F315E" w:rsidRPr="00944EE4">
        <w:rPr>
          <w:rFonts w:ascii="Times New Roman" w:hAnsi="Times New Roman" w:cs="Times New Roman"/>
          <w:sz w:val="24"/>
          <w:szCs w:val="24"/>
        </w:rPr>
        <w:t xml:space="preserve">ons </w:t>
      </w:r>
      <w:r w:rsidRPr="00944EE4">
        <w:rPr>
          <w:rFonts w:ascii="Times New Roman" w:hAnsi="Times New Roman" w:cs="Times New Roman"/>
          <w:sz w:val="24"/>
          <w:szCs w:val="24"/>
        </w:rPr>
        <w:t>notre ferme volonté d’apporter une réponse collective aux priorités nationales et obtenir des résultats tangibles en faveur de l’amélioration effective des conditions de vie de</w:t>
      </w:r>
      <w:r w:rsidR="00382CBB" w:rsidRPr="00944EE4">
        <w:rPr>
          <w:rFonts w:ascii="Times New Roman" w:hAnsi="Times New Roman" w:cs="Times New Roman"/>
          <w:sz w:val="24"/>
          <w:szCs w:val="24"/>
        </w:rPr>
        <w:t>s</w:t>
      </w:r>
      <w:r w:rsidRPr="00944EE4">
        <w:rPr>
          <w:rFonts w:ascii="Times New Roman" w:hAnsi="Times New Roman" w:cs="Times New Roman"/>
          <w:sz w:val="24"/>
          <w:szCs w:val="24"/>
        </w:rPr>
        <w:t xml:space="preserve"> population</w:t>
      </w:r>
      <w:r w:rsidR="00382CBB" w:rsidRPr="00944EE4">
        <w:rPr>
          <w:rFonts w:ascii="Times New Roman" w:hAnsi="Times New Roman" w:cs="Times New Roman"/>
          <w:sz w:val="24"/>
          <w:szCs w:val="24"/>
        </w:rPr>
        <w:t>s</w:t>
      </w:r>
      <w:r w:rsidRPr="00944EE4">
        <w:rPr>
          <w:rFonts w:ascii="Times New Roman" w:hAnsi="Times New Roman" w:cs="Times New Roman"/>
          <w:sz w:val="24"/>
          <w:szCs w:val="24"/>
        </w:rPr>
        <w:t xml:space="preserve"> malienne</w:t>
      </w:r>
      <w:r w:rsidR="00382CBB" w:rsidRPr="00944EE4">
        <w:rPr>
          <w:rFonts w:ascii="Times New Roman" w:hAnsi="Times New Roman" w:cs="Times New Roman"/>
          <w:sz w:val="24"/>
          <w:szCs w:val="24"/>
        </w:rPr>
        <w:t>s</w:t>
      </w:r>
      <w:r w:rsidRPr="00944EE4">
        <w:rPr>
          <w:rFonts w:ascii="Times New Roman" w:hAnsi="Times New Roman" w:cs="Times New Roman"/>
          <w:sz w:val="24"/>
          <w:szCs w:val="24"/>
        </w:rPr>
        <w:t>.</w:t>
      </w:r>
      <w:r w:rsidRPr="00944EE4">
        <w:rPr>
          <w:rFonts w:ascii="Times New Roman" w:hAnsi="Times New Roman" w:cs="Times New Roman"/>
          <w:b/>
          <w:sz w:val="24"/>
          <w:szCs w:val="24"/>
        </w:rPr>
        <w:t xml:space="preserve"> </w:t>
      </w:r>
      <w:r w:rsidRPr="00944EE4">
        <w:rPr>
          <w:rFonts w:ascii="Times New Roman" w:hAnsi="Times New Roman" w:cs="Times New Roman"/>
          <w:sz w:val="24"/>
          <w:szCs w:val="24"/>
        </w:rPr>
        <w:t xml:space="preserve">Le présent UNDAF+ articule </w:t>
      </w:r>
      <w:r w:rsidR="00500B22" w:rsidRPr="00944EE4">
        <w:rPr>
          <w:rFonts w:ascii="Times New Roman" w:hAnsi="Times New Roman" w:cs="Times New Roman"/>
          <w:sz w:val="24"/>
          <w:szCs w:val="24"/>
        </w:rPr>
        <w:t>le nexus</w:t>
      </w:r>
      <w:r w:rsidRPr="00944EE4">
        <w:rPr>
          <w:rFonts w:ascii="Times New Roman" w:hAnsi="Times New Roman" w:cs="Times New Roman"/>
          <w:sz w:val="24"/>
          <w:szCs w:val="24"/>
        </w:rPr>
        <w:t xml:space="preserve"> de la consolidation de la paix et d</w:t>
      </w:r>
      <w:r w:rsidR="005A7C2B" w:rsidRPr="00944EE4">
        <w:rPr>
          <w:rFonts w:ascii="Times New Roman" w:hAnsi="Times New Roman" w:cs="Times New Roman"/>
          <w:sz w:val="24"/>
          <w:szCs w:val="24"/>
        </w:rPr>
        <w:t>u développement</w:t>
      </w:r>
      <w:r w:rsidRPr="00944EE4">
        <w:rPr>
          <w:rFonts w:ascii="Times New Roman" w:hAnsi="Times New Roman" w:cs="Times New Roman"/>
          <w:sz w:val="24"/>
          <w:szCs w:val="24"/>
        </w:rPr>
        <w:t xml:space="preserve"> durable</w:t>
      </w:r>
      <w:r w:rsidR="001C526D" w:rsidRPr="00944EE4">
        <w:rPr>
          <w:rFonts w:ascii="Times New Roman" w:hAnsi="Times New Roman" w:cs="Times New Roman"/>
          <w:sz w:val="24"/>
          <w:szCs w:val="24"/>
        </w:rPr>
        <w:t>.</w:t>
      </w:r>
    </w:p>
    <w:p w14:paraId="32B5CE5F" w14:textId="77777777" w:rsidR="00B06567" w:rsidRPr="00944EE4" w:rsidRDefault="00B06567">
      <w:pPr>
        <w:rPr>
          <w:rFonts w:ascii="Times New Roman" w:hAnsi="Times New Roman" w:cs="Times New Roman"/>
          <w:sz w:val="24"/>
          <w:szCs w:val="24"/>
        </w:rPr>
      </w:pPr>
      <w:r w:rsidRPr="00944EE4">
        <w:rPr>
          <w:rFonts w:ascii="Times New Roman" w:hAnsi="Times New Roman" w:cs="Times New Roman"/>
          <w:sz w:val="24"/>
          <w:szCs w:val="24"/>
        </w:rPr>
        <w:br w:type="page"/>
      </w:r>
    </w:p>
    <w:p w14:paraId="03BAD08E" w14:textId="77777777" w:rsidR="00B06567" w:rsidRPr="00944EE4" w:rsidRDefault="00B06567" w:rsidP="00300638">
      <w:pPr>
        <w:autoSpaceDE w:val="0"/>
        <w:autoSpaceDN w:val="0"/>
        <w:adjustRightInd w:val="0"/>
        <w:ind w:hanging="142"/>
        <w:jc w:val="center"/>
        <w:rPr>
          <w:rFonts w:ascii="Times New Roman" w:hAnsi="Times New Roman" w:cs="Times New Roman"/>
          <w:b/>
          <w:color w:val="1F497D" w:themeColor="text2"/>
          <w:sz w:val="24"/>
          <w:szCs w:val="24"/>
          <w:u w:val="single"/>
        </w:rPr>
      </w:pPr>
      <w:r w:rsidRPr="00944EE4">
        <w:rPr>
          <w:rFonts w:ascii="Times New Roman" w:hAnsi="Times New Roman" w:cs="Times New Roman"/>
          <w:b/>
          <w:color w:val="1F497D" w:themeColor="text2"/>
          <w:sz w:val="24"/>
          <w:szCs w:val="24"/>
          <w:u w:val="single"/>
        </w:rPr>
        <w:lastRenderedPageBreak/>
        <w:t>PAGE DE SIGNATURE</w:t>
      </w:r>
    </w:p>
    <w:p w14:paraId="30DF9A59" w14:textId="77777777" w:rsidR="007915B6" w:rsidRPr="00944EE4" w:rsidRDefault="007915B6">
      <w:pPr>
        <w:rPr>
          <w:rFonts w:ascii="Times New Roman" w:hAnsi="Times New Roman" w:cs="Times New Roman"/>
          <w:sz w:val="24"/>
          <w:szCs w:val="24"/>
        </w:rPr>
      </w:pPr>
    </w:p>
    <w:p w14:paraId="0D311C1B" w14:textId="77777777" w:rsidR="007915B6" w:rsidRPr="00944EE4" w:rsidRDefault="007915B6" w:rsidP="007915B6">
      <w:pPr>
        <w:jc w:val="center"/>
        <w:rPr>
          <w:rFonts w:ascii="Times New Roman" w:hAnsi="Times New Roman" w:cs="Times New Roman"/>
          <w:b/>
          <w:color w:val="000000" w:themeColor="text1"/>
          <w:sz w:val="24"/>
          <w:szCs w:val="24"/>
        </w:rPr>
      </w:pPr>
    </w:p>
    <w:p w14:paraId="300FEE22" w14:textId="77777777" w:rsidR="00BC4141" w:rsidRPr="00944EE4" w:rsidRDefault="00BC4141" w:rsidP="007915B6">
      <w:pPr>
        <w:jc w:val="center"/>
        <w:rPr>
          <w:rFonts w:ascii="Times New Roman" w:hAnsi="Times New Roman" w:cs="Times New Roman"/>
          <w:b/>
          <w:color w:val="000000" w:themeColor="text1"/>
          <w:sz w:val="24"/>
          <w:szCs w:val="24"/>
        </w:rPr>
      </w:pPr>
    </w:p>
    <w:p w14:paraId="6E2F5C46" w14:textId="77777777" w:rsidR="00BC4141" w:rsidRPr="00944EE4" w:rsidRDefault="00BC4141" w:rsidP="007915B6">
      <w:pPr>
        <w:jc w:val="center"/>
        <w:rPr>
          <w:rFonts w:ascii="Times New Roman" w:hAnsi="Times New Roman" w:cs="Times New Roman"/>
          <w:b/>
          <w:color w:val="000000" w:themeColor="text1"/>
          <w:sz w:val="24"/>
          <w:szCs w:val="24"/>
        </w:rPr>
      </w:pPr>
    </w:p>
    <w:p w14:paraId="29F3E60A" w14:textId="77777777" w:rsidR="007915B6" w:rsidRPr="00944EE4" w:rsidRDefault="007915B6" w:rsidP="007915B6">
      <w:pPr>
        <w:rPr>
          <w:rFonts w:ascii="Times New Roman" w:hAnsi="Times New Roman" w:cs="Times New Roman"/>
          <w:b/>
          <w:color w:val="000000" w:themeColor="text1"/>
          <w:sz w:val="24"/>
          <w:szCs w:val="24"/>
        </w:rPr>
      </w:pPr>
    </w:p>
    <w:p w14:paraId="0CCCC3CF" w14:textId="77777777" w:rsidR="007915B6" w:rsidRPr="00944EE4" w:rsidRDefault="007915B6" w:rsidP="007915B6">
      <w:pPr>
        <w:jc w:val="center"/>
        <w:rPr>
          <w:rFonts w:ascii="Times New Roman" w:hAnsi="Times New Roman" w:cs="Times New Roman"/>
          <w:color w:val="000000" w:themeColor="text1"/>
          <w:sz w:val="24"/>
          <w:szCs w:val="24"/>
          <w:u w:val="single"/>
        </w:rPr>
      </w:pPr>
      <w:r w:rsidRPr="00944EE4">
        <w:rPr>
          <w:rFonts w:ascii="Times New Roman" w:hAnsi="Times New Roman" w:cs="Times New Roman"/>
          <w:color w:val="000000" w:themeColor="text1"/>
          <w:sz w:val="24"/>
          <w:szCs w:val="24"/>
          <w:u w:val="single"/>
        </w:rPr>
        <w:t>__________________________________</w:t>
      </w:r>
    </w:p>
    <w:p w14:paraId="26809C31" w14:textId="77777777" w:rsidR="007915B6" w:rsidRPr="00944EE4" w:rsidRDefault="007915B6" w:rsidP="007915B6">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M. David Gressly</w:t>
      </w:r>
    </w:p>
    <w:p w14:paraId="2EF4BBEC" w14:textId="77777777" w:rsidR="007915B6" w:rsidRPr="00944EE4" w:rsidRDefault="007915B6" w:rsidP="007915B6">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Représentant Spécial Adjoint du Secrétaire Général des Nations Unies au Mali</w:t>
      </w:r>
    </w:p>
    <w:p w14:paraId="7DDA2871" w14:textId="77777777" w:rsidR="007915B6" w:rsidRPr="00944EE4" w:rsidRDefault="007915B6" w:rsidP="007915B6">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Coordonnateur</w:t>
      </w:r>
      <w:r w:rsidR="007868CA" w:rsidRPr="00944EE4">
        <w:rPr>
          <w:rFonts w:ascii="Times New Roman" w:hAnsi="Times New Roman" w:cs="Times New Roman"/>
          <w:color w:val="000000" w:themeColor="text1"/>
          <w:sz w:val="24"/>
          <w:szCs w:val="24"/>
        </w:rPr>
        <w:t xml:space="preserve"> </w:t>
      </w:r>
      <w:r w:rsidRPr="00944EE4">
        <w:rPr>
          <w:rFonts w:ascii="Times New Roman" w:hAnsi="Times New Roman" w:cs="Times New Roman"/>
          <w:color w:val="000000" w:themeColor="text1"/>
          <w:sz w:val="24"/>
          <w:szCs w:val="24"/>
        </w:rPr>
        <w:t>Humanitaire</w:t>
      </w:r>
      <w:r w:rsidR="007868CA" w:rsidRPr="00944EE4">
        <w:rPr>
          <w:rFonts w:ascii="Times New Roman" w:hAnsi="Times New Roman" w:cs="Times New Roman"/>
          <w:color w:val="000000" w:themeColor="text1"/>
          <w:sz w:val="24"/>
          <w:szCs w:val="24"/>
        </w:rPr>
        <w:t xml:space="preserve"> / Coordonnateur Résident</w:t>
      </w:r>
      <w:r w:rsidR="00A10E9A" w:rsidRPr="00944EE4">
        <w:rPr>
          <w:rFonts w:ascii="Times New Roman" w:hAnsi="Times New Roman" w:cs="Times New Roman"/>
          <w:color w:val="000000" w:themeColor="text1"/>
          <w:sz w:val="24"/>
          <w:szCs w:val="24"/>
        </w:rPr>
        <w:t xml:space="preserve"> du Système </w:t>
      </w:r>
    </w:p>
    <w:p w14:paraId="354E83D8" w14:textId="77777777" w:rsidR="00BC4141" w:rsidRPr="00944EE4" w:rsidRDefault="00A10E9A" w:rsidP="007915B6">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des Nations Unies au Mali</w:t>
      </w:r>
    </w:p>
    <w:p w14:paraId="2024B4A3" w14:textId="77777777" w:rsidR="00BC4141" w:rsidRPr="00944EE4" w:rsidRDefault="00BC4141" w:rsidP="007915B6">
      <w:pPr>
        <w:jc w:val="center"/>
        <w:rPr>
          <w:rFonts w:ascii="Times New Roman" w:hAnsi="Times New Roman" w:cs="Times New Roman"/>
          <w:color w:val="000000" w:themeColor="text1"/>
          <w:sz w:val="24"/>
          <w:szCs w:val="24"/>
        </w:rPr>
      </w:pPr>
    </w:p>
    <w:tbl>
      <w:tblPr>
        <w:tblW w:w="0" w:type="auto"/>
        <w:tblLook w:val="00A0" w:firstRow="1" w:lastRow="0" w:firstColumn="1" w:lastColumn="0" w:noHBand="0" w:noVBand="0"/>
      </w:tblPr>
      <w:tblGrid>
        <w:gridCol w:w="4766"/>
        <w:gridCol w:w="4878"/>
      </w:tblGrid>
      <w:tr w:rsidR="00817373" w:rsidRPr="00944EE4" w14:paraId="750407D5" w14:textId="77777777" w:rsidTr="00170DB3">
        <w:trPr>
          <w:trHeight w:val="1287"/>
        </w:trPr>
        <w:tc>
          <w:tcPr>
            <w:tcW w:w="4766" w:type="dxa"/>
            <w:vAlign w:val="bottom"/>
          </w:tcPr>
          <w:p w14:paraId="3B328969" w14:textId="77777777" w:rsidR="007915B6" w:rsidRPr="00944EE4" w:rsidRDefault="007915B6" w:rsidP="00EF56D9">
            <w:pPr>
              <w:rPr>
                <w:rFonts w:ascii="Times New Roman" w:hAnsi="Times New Roman" w:cs="Times New Roman"/>
                <w:color w:val="000000" w:themeColor="text1"/>
                <w:sz w:val="24"/>
                <w:szCs w:val="24"/>
              </w:rPr>
            </w:pPr>
          </w:p>
          <w:p w14:paraId="1CCE63D4" w14:textId="77777777" w:rsidR="00300638" w:rsidRPr="00944EE4" w:rsidRDefault="00300638" w:rsidP="00EF56D9">
            <w:pPr>
              <w:rPr>
                <w:rFonts w:ascii="Times New Roman" w:hAnsi="Times New Roman" w:cs="Times New Roman"/>
                <w:color w:val="000000" w:themeColor="text1"/>
                <w:sz w:val="24"/>
                <w:szCs w:val="24"/>
              </w:rPr>
            </w:pPr>
          </w:p>
          <w:p w14:paraId="34D877F6" w14:textId="77777777" w:rsidR="00300638" w:rsidRPr="00944EE4" w:rsidRDefault="00300638" w:rsidP="00EF56D9">
            <w:pPr>
              <w:rPr>
                <w:rFonts w:ascii="Times New Roman" w:hAnsi="Times New Roman" w:cs="Times New Roman"/>
                <w:color w:val="000000" w:themeColor="text1"/>
                <w:sz w:val="24"/>
                <w:szCs w:val="24"/>
              </w:rPr>
            </w:pPr>
          </w:p>
          <w:p w14:paraId="6F7ED7D4" w14:textId="77777777" w:rsidR="00300638" w:rsidRPr="00944EE4" w:rsidRDefault="00300638" w:rsidP="00EF56D9">
            <w:pPr>
              <w:rPr>
                <w:rFonts w:ascii="Times New Roman" w:hAnsi="Times New Roman" w:cs="Times New Roman"/>
                <w:color w:val="000000" w:themeColor="text1"/>
                <w:sz w:val="24"/>
                <w:szCs w:val="24"/>
              </w:rPr>
            </w:pPr>
          </w:p>
          <w:p w14:paraId="702ADA72" w14:textId="77777777" w:rsidR="00EF56D9" w:rsidRPr="00944EE4" w:rsidRDefault="00EF56D9" w:rsidP="00EF56D9">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_____________________________</w:t>
            </w:r>
          </w:p>
          <w:p w14:paraId="370B4020" w14:textId="77777777" w:rsidR="00EF56D9" w:rsidRPr="00944EE4" w:rsidRDefault="00EF56D9" w:rsidP="00EF56D9">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Mme Judith Karl</w:t>
            </w:r>
          </w:p>
          <w:p w14:paraId="45A7D714" w14:textId="77777777" w:rsidR="00EF56D9" w:rsidRPr="00944EE4" w:rsidRDefault="00EF56D9" w:rsidP="00EF56D9">
            <w:pPr>
              <w:jc w:val="center"/>
              <w:rPr>
                <w:rFonts w:ascii="Times New Roman" w:hAnsi="Times New Roman" w:cs="Times New Roman"/>
                <w:b/>
                <w:color w:val="000000" w:themeColor="text1"/>
                <w:sz w:val="24"/>
                <w:szCs w:val="24"/>
              </w:rPr>
            </w:pPr>
            <w:r w:rsidRPr="00944EE4">
              <w:rPr>
                <w:rFonts w:ascii="Times New Roman" w:hAnsi="Times New Roman" w:cs="Times New Roman"/>
                <w:color w:val="000000" w:themeColor="text1"/>
                <w:sz w:val="24"/>
                <w:szCs w:val="24"/>
              </w:rPr>
              <w:t>Secrétaire Exécutif UNCDF</w:t>
            </w:r>
          </w:p>
          <w:p w14:paraId="52F2F0BB" w14:textId="77777777" w:rsidR="00BC4141" w:rsidRPr="00944EE4" w:rsidRDefault="00BC4141" w:rsidP="008C31BE">
            <w:pPr>
              <w:jc w:val="center"/>
              <w:rPr>
                <w:rFonts w:ascii="Times New Roman" w:hAnsi="Times New Roman" w:cs="Times New Roman"/>
                <w:color w:val="000000" w:themeColor="text1"/>
                <w:sz w:val="24"/>
                <w:szCs w:val="24"/>
              </w:rPr>
            </w:pPr>
          </w:p>
          <w:p w14:paraId="4D0A274D" w14:textId="77777777" w:rsidR="00225564" w:rsidRPr="00944EE4" w:rsidRDefault="00225564" w:rsidP="008C31BE">
            <w:pPr>
              <w:jc w:val="center"/>
              <w:rPr>
                <w:rFonts w:ascii="Times New Roman" w:hAnsi="Times New Roman" w:cs="Times New Roman"/>
                <w:color w:val="000000" w:themeColor="text1"/>
                <w:sz w:val="24"/>
                <w:szCs w:val="24"/>
              </w:rPr>
            </w:pPr>
          </w:p>
          <w:p w14:paraId="199287FF" w14:textId="77777777" w:rsidR="00225564" w:rsidRPr="00944EE4" w:rsidRDefault="00225564" w:rsidP="008C31BE">
            <w:pPr>
              <w:jc w:val="center"/>
              <w:rPr>
                <w:rFonts w:ascii="Times New Roman" w:hAnsi="Times New Roman" w:cs="Times New Roman"/>
                <w:color w:val="000000" w:themeColor="text1"/>
                <w:sz w:val="24"/>
                <w:szCs w:val="24"/>
              </w:rPr>
            </w:pPr>
          </w:p>
          <w:p w14:paraId="2577FF01" w14:textId="77777777" w:rsidR="009A3250" w:rsidRPr="00944EE4" w:rsidRDefault="009A3250" w:rsidP="009A3250">
            <w:pPr>
              <w:tabs>
                <w:tab w:val="left" w:pos="1920"/>
              </w:tabs>
              <w:rPr>
                <w:rFonts w:ascii="Times New Roman" w:hAnsi="Times New Roman" w:cs="Times New Roman"/>
                <w:sz w:val="24"/>
                <w:szCs w:val="24"/>
              </w:rPr>
            </w:pPr>
            <w:r w:rsidRPr="00944EE4">
              <w:rPr>
                <w:rFonts w:ascii="Times New Roman" w:hAnsi="Times New Roman" w:cs="Times New Roman"/>
                <w:sz w:val="24"/>
                <w:szCs w:val="24"/>
              </w:rPr>
              <w:t xml:space="preserve">                      _____________________________</w:t>
            </w:r>
          </w:p>
          <w:p w14:paraId="077E9A24" w14:textId="71E410C9" w:rsidR="009A3250" w:rsidRPr="00944EE4" w:rsidRDefault="009A3250" w:rsidP="009A3250">
            <w:pPr>
              <w:tabs>
                <w:tab w:val="left" w:pos="1920"/>
              </w:tabs>
              <w:rPr>
                <w:rFonts w:ascii="Times New Roman" w:hAnsi="Times New Roman" w:cs="Times New Roman"/>
                <w:sz w:val="24"/>
                <w:szCs w:val="24"/>
              </w:rPr>
            </w:pPr>
            <w:r w:rsidRPr="00944EE4">
              <w:rPr>
                <w:rFonts w:ascii="Times New Roman" w:hAnsi="Times New Roman" w:cs="Times New Roman"/>
                <w:sz w:val="24"/>
                <w:szCs w:val="24"/>
              </w:rPr>
              <w:t xml:space="preserve">             M. </w:t>
            </w:r>
            <w:r w:rsidRPr="00944EE4">
              <w:rPr>
                <w:rFonts w:ascii="Times New Roman" w:hAnsi="Times New Roman" w:cs="Times New Roman"/>
                <w:bCs/>
                <w:sz w:val="24"/>
                <w:szCs w:val="24"/>
              </w:rPr>
              <w:t>Petko Draganov</w:t>
            </w:r>
          </w:p>
          <w:p w14:paraId="1EEC0337" w14:textId="1F8D200D" w:rsidR="009A3250" w:rsidRPr="00944EE4" w:rsidRDefault="009A3250" w:rsidP="009A3250">
            <w:pPr>
              <w:tabs>
                <w:tab w:val="left" w:pos="1920"/>
              </w:tabs>
              <w:rPr>
                <w:rFonts w:ascii="Times New Roman" w:hAnsi="Times New Roman" w:cs="Times New Roman"/>
                <w:sz w:val="24"/>
                <w:szCs w:val="24"/>
              </w:rPr>
            </w:pPr>
            <w:r w:rsidRPr="00944EE4">
              <w:rPr>
                <w:rFonts w:ascii="Times New Roman" w:hAnsi="Times New Roman" w:cs="Times New Roman"/>
                <w:sz w:val="24"/>
                <w:szCs w:val="24"/>
              </w:rPr>
              <w:t xml:space="preserve">    Secrétaire Général adjoint CNUCED</w:t>
            </w:r>
          </w:p>
          <w:p w14:paraId="5F4407EE" w14:textId="77777777" w:rsidR="00BC4141" w:rsidRPr="00944EE4" w:rsidRDefault="00BC4141" w:rsidP="008C31BE">
            <w:pPr>
              <w:jc w:val="center"/>
              <w:rPr>
                <w:rFonts w:ascii="Times New Roman" w:hAnsi="Times New Roman" w:cs="Times New Roman"/>
                <w:color w:val="000000" w:themeColor="text1"/>
                <w:sz w:val="24"/>
                <w:szCs w:val="24"/>
              </w:rPr>
            </w:pPr>
          </w:p>
          <w:p w14:paraId="4FF12315" w14:textId="77777777" w:rsidR="007915B6" w:rsidRPr="00944EE4" w:rsidRDefault="007915B6" w:rsidP="008C31BE">
            <w:pPr>
              <w:jc w:val="center"/>
              <w:rPr>
                <w:rFonts w:ascii="Times New Roman" w:hAnsi="Times New Roman" w:cs="Times New Roman"/>
                <w:color w:val="000000" w:themeColor="text1"/>
                <w:sz w:val="24"/>
                <w:szCs w:val="24"/>
              </w:rPr>
            </w:pPr>
          </w:p>
          <w:p w14:paraId="70DBAC80" w14:textId="77777777" w:rsidR="007915B6" w:rsidRPr="00944EE4" w:rsidRDefault="007915B6" w:rsidP="008C31BE">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_____________________________</w:t>
            </w:r>
          </w:p>
          <w:p w14:paraId="36759C78" w14:textId="77777777" w:rsidR="007915B6" w:rsidRPr="00944EE4" w:rsidRDefault="007915B6" w:rsidP="008C31BE">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 xml:space="preserve">M. </w:t>
            </w:r>
            <w:r w:rsidR="00CE337F" w:rsidRPr="00944EE4">
              <w:rPr>
                <w:rFonts w:ascii="Times New Roman" w:hAnsi="Times New Roman" w:cs="Times New Roman"/>
                <w:color w:val="000000" w:themeColor="text1"/>
                <w:sz w:val="24"/>
                <w:szCs w:val="24"/>
              </w:rPr>
              <w:t>Makane Kane</w:t>
            </w:r>
          </w:p>
          <w:p w14:paraId="590065B5" w14:textId="77777777" w:rsidR="007915B6" w:rsidRPr="00944EE4" w:rsidRDefault="00CE337F" w:rsidP="008C31BE">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Représentant de l’UNFPA</w:t>
            </w:r>
          </w:p>
        </w:tc>
        <w:tc>
          <w:tcPr>
            <w:tcW w:w="4878" w:type="dxa"/>
          </w:tcPr>
          <w:p w14:paraId="7F4AC0D8" w14:textId="77777777" w:rsidR="00EF56D9" w:rsidRPr="00944EE4" w:rsidRDefault="00EF56D9" w:rsidP="00EF56D9">
            <w:pP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 xml:space="preserve">                           </w:t>
            </w:r>
          </w:p>
          <w:p w14:paraId="71D5147A" w14:textId="77777777" w:rsidR="00300638" w:rsidRPr="00944EE4" w:rsidRDefault="00300638" w:rsidP="00EF56D9">
            <w:pPr>
              <w:rPr>
                <w:rFonts w:ascii="Times New Roman" w:hAnsi="Times New Roman" w:cs="Times New Roman"/>
                <w:color w:val="000000" w:themeColor="text1"/>
                <w:sz w:val="24"/>
                <w:szCs w:val="24"/>
              </w:rPr>
            </w:pPr>
          </w:p>
          <w:p w14:paraId="167F8FD3" w14:textId="77777777" w:rsidR="00EF56D9" w:rsidRPr="00944EE4" w:rsidRDefault="00EF56D9" w:rsidP="00EF56D9">
            <w:pP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 xml:space="preserve">                    </w:t>
            </w:r>
          </w:p>
          <w:p w14:paraId="36BD3CBD" w14:textId="77777777" w:rsidR="00F16B48" w:rsidRPr="00944EE4" w:rsidRDefault="00EF56D9" w:rsidP="00EF56D9">
            <w:pP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 xml:space="preserve">                      </w:t>
            </w:r>
          </w:p>
          <w:p w14:paraId="14CFE326" w14:textId="77777777" w:rsidR="00F16B48" w:rsidRPr="00944EE4" w:rsidRDefault="00F16B48" w:rsidP="00F16B48">
            <w:pPr>
              <w:jc w:val="center"/>
              <w:rPr>
                <w:rFonts w:ascii="Times New Roman" w:hAnsi="Times New Roman" w:cs="Times New Roman"/>
                <w:sz w:val="24"/>
                <w:szCs w:val="24"/>
              </w:rPr>
            </w:pPr>
            <w:r w:rsidRPr="00944EE4">
              <w:rPr>
                <w:rFonts w:ascii="Times New Roman" w:hAnsi="Times New Roman" w:cs="Times New Roman"/>
                <w:color w:val="000000" w:themeColor="text1"/>
                <w:sz w:val="24"/>
                <w:szCs w:val="24"/>
              </w:rPr>
              <w:t>_____________________________</w:t>
            </w:r>
          </w:p>
          <w:p w14:paraId="0649DD09" w14:textId="77777777" w:rsidR="00F16B48" w:rsidRPr="00944EE4" w:rsidRDefault="00F16B48" w:rsidP="00F16B48">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M. Mounkaila Goumandakoye</w:t>
            </w:r>
          </w:p>
          <w:p w14:paraId="5AB14689" w14:textId="77777777" w:rsidR="00F16B48" w:rsidRPr="00944EE4" w:rsidRDefault="00F16B48" w:rsidP="00F16B48">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Représentant et Directeur Régional du PNUE en Afrique</w:t>
            </w:r>
          </w:p>
          <w:p w14:paraId="5DEBCC4F" w14:textId="77777777" w:rsidR="00555B1D" w:rsidRPr="00944EE4" w:rsidRDefault="00555B1D" w:rsidP="008C31BE">
            <w:pPr>
              <w:jc w:val="center"/>
              <w:rPr>
                <w:rFonts w:ascii="Times New Roman" w:hAnsi="Times New Roman" w:cs="Times New Roman"/>
                <w:color w:val="000000" w:themeColor="text1"/>
                <w:sz w:val="24"/>
                <w:szCs w:val="24"/>
              </w:rPr>
            </w:pPr>
          </w:p>
          <w:p w14:paraId="3A09EB09" w14:textId="77777777" w:rsidR="007915B6" w:rsidRPr="00944EE4" w:rsidRDefault="007915B6" w:rsidP="008C31BE">
            <w:pPr>
              <w:jc w:val="center"/>
              <w:rPr>
                <w:rFonts w:ascii="Times New Roman" w:hAnsi="Times New Roman" w:cs="Times New Roman"/>
                <w:color w:val="000000" w:themeColor="text1"/>
                <w:sz w:val="24"/>
                <w:szCs w:val="24"/>
              </w:rPr>
            </w:pPr>
          </w:p>
          <w:p w14:paraId="298A872C" w14:textId="77777777" w:rsidR="00225564" w:rsidRPr="00944EE4" w:rsidRDefault="00225564" w:rsidP="008C31BE">
            <w:pPr>
              <w:jc w:val="center"/>
              <w:rPr>
                <w:rFonts w:ascii="Times New Roman" w:hAnsi="Times New Roman" w:cs="Times New Roman"/>
                <w:color w:val="000000" w:themeColor="text1"/>
                <w:sz w:val="24"/>
                <w:szCs w:val="24"/>
              </w:rPr>
            </w:pPr>
          </w:p>
          <w:p w14:paraId="427060BA" w14:textId="376CF96D" w:rsidR="007915B6" w:rsidRPr="00944EE4" w:rsidRDefault="009A3250" w:rsidP="009A3250">
            <w:pP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 xml:space="preserve">                  </w:t>
            </w:r>
            <w:r w:rsidR="007915B6" w:rsidRPr="00944EE4">
              <w:rPr>
                <w:rFonts w:ascii="Times New Roman" w:hAnsi="Times New Roman" w:cs="Times New Roman"/>
                <w:color w:val="000000" w:themeColor="text1"/>
                <w:sz w:val="24"/>
                <w:szCs w:val="24"/>
              </w:rPr>
              <w:t>_____________________________</w:t>
            </w:r>
          </w:p>
          <w:p w14:paraId="6C3B8CD2" w14:textId="77777777" w:rsidR="007915B6" w:rsidRPr="00944EE4" w:rsidRDefault="00CE337F" w:rsidP="008C31BE">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M. Ibrahim Socé Fall</w:t>
            </w:r>
          </w:p>
          <w:p w14:paraId="4396388B" w14:textId="77777777" w:rsidR="007915B6" w:rsidRPr="00944EE4" w:rsidRDefault="007915B6" w:rsidP="00CE337F">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Représentant de l</w:t>
            </w:r>
            <w:r w:rsidR="00CE337F" w:rsidRPr="00944EE4">
              <w:rPr>
                <w:rFonts w:ascii="Times New Roman" w:hAnsi="Times New Roman" w:cs="Times New Roman"/>
                <w:color w:val="000000" w:themeColor="text1"/>
                <w:sz w:val="24"/>
                <w:szCs w:val="24"/>
              </w:rPr>
              <w:t>’OMS</w:t>
            </w:r>
          </w:p>
        </w:tc>
      </w:tr>
      <w:tr w:rsidR="00817373" w:rsidRPr="00944EE4" w14:paraId="1829C448" w14:textId="77777777" w:rsidTr="00170DB3">
        <w:trPr>
          <w:trHeight w:val="1287"/>
        </w:trPr>
        <w:tc>
          <w:tcPr>
            <w:tcW w:w="4766" w:type="dxa"/>
          </w:tcPr>
          <w:p w14:paraId="36AD6054" w14:textId="77777777" w:rsidR="007915B6" w:rsidRPr="00944EE4" w:rsidRDefault="007915B6" w:rsidP="008C31BE">
            <w:pPr>
              <w:jc w:val="center"/>
              <w:rPr>
                <w:rFonts w:ascii="Times New Roman" w:hAnsi="Times New Roman" w:cs="Times New Roman"/>
                <w:color w:val="000000" w:themeColor="text1"/>
                <w:sz w:val="24"/>
                <w:szCs w:val="24"/>
              </w:rPr>
            </w:pPr>
          </w:p>
          <w:p w14:paraId="34554A5D" w14:textId="77777777" w:rsidR="007915B6" w:rsidRPr="00944EE4" w:rsidRDefault="007915B6" w:rsidP="008C31BE">
            <w:pPr>
              <w:jc w:val="center"/>
              <w:rPr>
                <w:rFonts w:ascii="Times New Roman" w:hAnsi="Times New Roman" w:cs="Times New Roman"/>
                <w:color w:val="000000" w:themeColor="text1"/>
                <w:sz w:val="24"/>
                <w:szCs w:val="24"/>
              </w:rPr>
            </w:pPr>
          </w:p>
          <w:p w14:paraId="47128F14" w14:textId="77777777" w:rsidR="007915B6" w:rsidRPr="00944EE4" w:rsidRDefault="007915B6" w:rsidP="008C31BE">
            <w:pPr>
              <w:jc w:val="center"/>
              <w:rPr>
                <w:rFonts w:ascii="Times New Roman" w:hAnsi="Times New Roman" w:cs="Times New Roman"/>
                <w:color w:val="000000" w:themeColor="text1"/>
                <w:sz w:val="24"/>
                <w:szCs w:val="24"/>
              </w:rPr>
            </w:pPr>
          </w:p>
          <w:p w14:paraId="2E07BC12" w14:textId="77777777" w:rsidR="00300638" w:rsidRPr="00944EE4" w:rsidRDefault="00300638" w:rsidP="008C31BE">
            <w:pPr>
              <w:jc w:val="center"/>
              <w:rPr>
                <w:rFonts w:ascii="Times New Roman" w:hAnsi="Times New Roman" w:cs="Times New Roman"/>
                <w:color w:val="000000" w:themeColor="text1"/>
                <w:sz w:val="24"/>
                <w:szCs w:val="24"/>
              </w:rPr>
            </w:pPr>
          </w:p>
          <w:p w14:paraId="79C6D527" w14:textId="77777777" w:rsidR="00BC4141" w:rsidRPr="00944EE4" w:rsidRDefault="00BC4141" w:rsidP="009A3250">
            <w:pPr>
              <w:rPr>
                <w:rFonts w:ascii="Times New Roman" w:hAnsi="Times New Roman" w:cs="Times New Roman"/>
                <w:color w:val="000000" w:themeColor="text1"/>
                <w:sz w:val="24"/>
                <w:szCs w:val="24"/>
              </w:rPr>
            </w:pPr>
          </w:p>
          <w:p w14:paraId="5BEC3878" w14:textId="77777777" w:rsidR="007915B6" w:rsidRPr="00944EE4" w:rsidRDefault="007915B6" w:rsidP="001275EF">
            <w:pP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_____________________________</w:t>
            </w:r>
          </w:p>
          <w:p w14:paraId="103F44D0" w14:textId="77777777" w:rsidR="007915B6" w:rsidRPr="00944EE4" w:rsidRDefault="00CE337F" w:rsidP="008C31BE">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Mme Sally Haydock</w:t>
            </w:r>
          </w:p>
          <w:p w14:paraId="663FA4A5" w14:textId="77777777" w:rsidR="007915B6" w:rsidRPr="00944EE4" w:rsidRDefault="00CE337F" w:rsidP="008C31BE">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Représentante du PAM</w:t>
            </w:r>
          </w:p>
        </w:tc>
        <w:tc>
          <w:tcPr>
            <w:tcW w:w="4878" w:type="dxa"/>
          </w:tcPr>
          <w:p w14:paraId="27BEE885" w14:textId="77777777" w:rsidR="007915B6" w:rsidRPr="00944EE4" w:rsidRDefault="007915B6" w:rsidP="001275EF">
            <w:pP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______________________________</w:t>
            </w:r>
          </w:p>
          <w:p w14:paraId="61EB1027" w14:textId="77777777" w:rsidR="007915B6" w:rsidRPr="00944EE4" w:rsidRDefault="00BC4141" w:rsidP="008C31BE">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Mme Fatouma Seid</w:t>
            </w:r>
          </w:p>
          <w:p w14:paraId="11D7A035" w14:textId="77777777" w:rsidR="007915B6" w:rsidRPr="00944EE4" w:rsidRDefault="00CE337F" w:rsidP="00BC4141">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Représentant</w:t>
            </w:r>
            <w:r w:rsidR="00BC4141" w:rsidRPr="00944EE4">
              <w:rPr>
                <w:rFonts w:ascii="Times New Roman" w:hAnsi="Times New Roman" w:cs="Times New Roman"/>
                <w:color w:val="000000" w:themeColor="text1"/>
                <w:sz w:val="24"/>
                <w:szCs w:val="24"/>
              </w:rPr>
              <w:t>e</w:t>
            </w:r>
            <w:r w:rsidRPr="00944EE4">
              <w:rPr>
                <w:rFonts w:ascii="Times New Roman" w:hAnsi="Times New Roman" w:cs="Times New Roman"/>
                <w:color w:val="000000" w:themeColor="text1"/>
                <w:sz w:val="24"/>
                <w:szCs w:val="24"/>
              </w:rPr>
              <w:t xml:space="preserve"> de </w:t>
            </w:r>
            <w:r w:rsidR="00BC4141" w:rsidRPr="00944EE4">
              <w:rPr>
                <w:rFonts w:ascii="Times New Roman" w:hAnsi="Times New Roman" w:cs="Times New Roman"/>
                <w:color w:val="000000" w:themeColor="text1"/>
                <w:sz w:val="24"/>
                <w:szCs w:val="24"/>
              </w:rPr>
              <w:t>la FAO</w:t>
            </w:r>
          </w:p>
        </w:tc>
      </w:tr>
      <w:tr w:rsidR="00817373" w:rsidRPr="00944EE4" w14:paraId="4CF61A6D" w14:textId="77777777" w:rsidTr="00170DB3">
        <w:trPr>
          <w:trHeight w:val="983"/>
        </w:trPr>
        <w:tc>
          <w:tcPr>
            <w:tcW w:w="4766" w:type="dxa"/>
          </w:tcPr>
          <w:p w14:paraId="155BCC62" w14:textId="77777777" w:rsidR="007915B6" w:rsidRPr="00944EE4" w:rsidRDefault="007915B6" w:rsidP="008C31BE">
            <w:pPr>
              <w:jc w:val="center"/>
              <w:rPr>
                <w:rFonts w:ascii="Times New Roman" w:hAnsi="Times New Roman" w:cs="Times New Roman"/>
                <w:color w:val="000000" w:themeColor="text1"/>
                <w:sz w:val="24"/>
                <w:szCs w:val="24"/>
              </w:rPr>
            </w:pPr>
          </w:p>
          <w:p w14:paraId="7DBC975A" w14:textId="77777777" w:rsidR="007915B6" w:rsidRPr="00944EE4" w:rsidRDefault="007915B6" w:rsidP="008C31BE">
            <w:pPr>
              <w:jc w:val="center"/>
              <w:rPr>
                <w:rFonts w:ascii="Times New Roman" w:hAnsi="Times New Roman" w:cs="Times New Roman"/>
                <w:color w:val="000000" w:themeColor="text1"/>
                <w:sz w:val="24"/>
                <w:szCs w:val="24"/>
              </w:rPr>
            </w:pPr>
          </w:p>
          <w:p w14:paraId="47074A09" w14:textId="77777777" w:rsidR="00300638" w:rsidRPr="00944EE4" w:rsidRDefault="00300638" w:rsidP="008C31BE">
            <w:pPr>
              <w:jc w:val="center"/>
              <w:rPr>
                <w:rFonts w:ascii="Times New Roman" w:hAnsi="Times New Roman" w:cs="Times New Roman"/>
                <w:color w:val="000000" w:themeColor="text1"/>
                <w:sz w:val="24"/>
                <w:szCs w:val="24"/>
              </w:rPr>
            </w:pPr>
          </w:p>
          <w:p w14:paraId="7DB01C4C" w14:textId="77777777" w:rsidR="00300638" w:rsidRPr="00944EE4" w:rsidRDefault="00300638" w:rsidP="008C31BE">
            <w:pPr>
              <w:jc w:val="center"/>
              <w:rPr>
                <w:rFonts w:ascii="Times New Roman" w:hAnsi="Times New Roman" w:cs="Times New Roman"/>
                <w:color w:val="000000" w:themeColor="text1"/>
                <w:sz w:val="24"/>
                <w:szCs w:val="24"/>
              </w:rPr>
            </w:pPr>
          </w:p>
          <w:p w14:paraId="683A986D" w14:textId="77777777" w:rsidR="00BC4141" w:rsidRPr="00944EE4" w:rsidRDefault="00BC4141" w:rsidP="008C31BE">
            <w:pPr>
              <w:jc w:val="center"/>
              <w:rPr>
                <w:rFonts w:ascii="Times New Roman" w:hAnsi="Times New Roman" w:cs="Times New Roman"/>
                <w:color w:val="000000" w:themeColor="text1"/>
                <w:sz w:val="24"/>
                <w:szCs w:val="24"/>
              </w:rPr>
            </w:pPr>
          </w:p>
          <w:p w14:paraId="2AF68183" w14:textId="77777777" w:rsidR="007915B6" w:rsidRPr="00944EE4" w:rsidRDefault="007915B6" w:rsidP="008C31BE">
            <w:pPr>
              <w:jc w:val="center"/>
              <w:rPr>
                <w:rFonts w:ascii="Times New Roman" w:hAnsi="Times New Roman" w:cs="Times New Roman"/>
                <w:color w:val="000000" w:themeColor="text1"/>
                <w:sz w:val="24"/>
                <w:szCs w:val="24"/>
              </w:rPr>
            </w:pPr>
          </w:p>
          <w:p w14:paraId="4DD3585A" w14:textId="77777777" w:rsidR="007915B6" w:rsidRPr="00944EE4" w:rsidRDefault="007915B6" w:rsidP="008C31BE">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_____________________________</w:t>
            </w:r>
          </w:p>
          <w:p w14:paraId="3FF165C3" w14:textId="77777777" w:rsidR="007915B6" w:rsidRPr="00944EE4" w:rsidRDefault="007915B6" w:rsidP="008C31BE">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 xml:space="preserve">M. </w:t>
            </w:r>
            <w:r w:rsidR="00CE337F" w:rsidRPr="00944EE4">
              <w:rPr>
                <w:rFonts w:ascii="Times New Roman" w:hAnsi="Times New Roman" w:cs="Times New Roman"/>
                <w:color w:val="000000" w:themeColor="text1"/>
                <w:sz w:val="24"/>
                <w:szCs w:val="24"/>
              </w:rPr>
              <w:t>Ousseni Compaoré</w:t>
            </w:r>
          </w:p>
          <w:p w14:paraId="2AD9C75A" w14:textId="77777777" w:rsidR="007915B6" w:rsidRPr="00944EE4" w:rsidRDefault="00CE337F" w:rsidP="008C31BE">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Représentant de l’UNHCR</w:t>
            </w:r>
          </w:p>
        </w:tc>
        <w:tc>
          <w:tcPr>
            <w:tcW w:w="4878" w:type="dxa"/>
          </w:tcPr>
          <w:p w14:paraId="3171B4A7" w14:textId="77777777" w:rsidR="007915B6" w:rsidRPr="00944EE4" w:rsidRDefault="007915B6" w:rsidP="001275EF">
            <w:pP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______________________________</w:t>
            </w:r>
          </w:p>
          <w:p w14:paraId="722C26C2" w14:textId="77777777" w:rsidR="007915B6" w:rsidRPr="00944EE4" w:rsidRDefault="007915B6" w:rsidP="008C31BE">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 xml:space="preserve">M. </w:t>
            </w:r>
            <w:r w:rsidR="00BC4141" w:rsidRPr="00944EE4">
              <w:rPr>
                <w:rFonts w:ascii="Times New Roman" w:hAnsi="Times New Roman" w:cs="Times New Roman"/>
                <w:color w:val="000000" w:themeColor="text1"/>
                <w:sz w:val="24"/>
                <w:szCs w:val="24"/>
              </w:rPr>
              <w:t>Lazare Eloundo</w:t>
            </w:r>
            <w:r w:rsidR="004E0D73" w:rsidRPr="00944EE4">
              <w:rPr>
                <w:rFonts w:ascii="Times New Roman" w:hAnsi="Times New Roman" w:cs="Times New Roman"/>
                <w:color w:val="000000" w:themeColor="text1"/>
                <w:sz w:val="24"/>
                <w:szCs w:val="24"/>
              </w:rPr>
              <w:t>u</w:t>
            </w:r>
            <w:r w:rsidR="008339CD" w:rsidRPr="00944EE4">
              <w:rPr>
                <w:rFonts w:ascii="Times New Roman" w:hAnsi="Times New Roman" w:cs="Times New Roman"/>
                <w:color w:val="000000" w:themeColor="text1"/>
                <w:sz w:val="24"/>
                <w:szCs w:val="24"/>
              </w:rPr>
              <w:t>-</w:t>
            </w:r>
            <w:r w:rsidR="00BC4141" w:rsidRPr="00944EE4">
              <w:rPr>
                <w:rFonts w:ascii="Times New Roman" w:hAnsi="Times New Roman" w:cs="Times New Roman"/>
                <w:color w:val="000000" w:themeColor="text1"/>
                <w:sz w:val="24"/>
                <w:szCs w:val="24"/>
              </w:rPr>
              <w:t>Assomo</w:t>
            </w:r>
          </w:p>
          <w:p w14:paraId="22D7D43E" w14:textId="77777777" w:rsidR="007915B6" w:rsidRPr="00944EE4" w:rsidRDefault="00BC4141" w:rsidP="00CE337F">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Représentant de l’UNESCO</w:t>
            </w:r>
          </w:p>
        </w:tc>
      </w:tr>
      <w:tr w:rsidR="00817373" w:rsidRPr="00944EE4" w14:paraId="18E7ACC4" w14:textId="77777777" w:rsidTr="00170DB3">
        <w:trPr>
          <w:trHeight w:val="269"/>
        </w:trPr>
        <w:tc>
          <w:tcPr>
            <w:tcW w:w="4766" w:type="dxa"/>
          </w:tcPr>
          <w:p w14:paraId="1860A184" w14:textId="77777777" w:rsidR="00300638" w:rsidRPr="00944EE4" w:rsidRDefault="00300638" w:rsidP="008C31BE">
            <w:pPr>
              <w:jc w:val="center"/>
              <w:rPr>
                <w:rFonts w:ascii="Times New Roman" w:hAnsi="Times New Roman" w:cs="Times New Roman"/>
                <w:color w:val="000000" w:themeColor="text1"/>
                <w:sz w:val="24"/>
                <w:szCs w:val="24"/>
              </w:rPr>
            </w:pPr>
          </w:p>
          <w:p w14:paraId="4E20F73B" w14:textId="77777777" w:rsidR="00300638" w:rsidRPr="00944EE4" w:rsidRDefault="00300638" w:rsidP="008C31BE">
            <w:pPr>
              <w:jc w:val="center"/>
              <w:rPr>
                <w:rFonts w:ascii="Times New Roman" w:hAnsi="Times New Roman" w:cs="Times New Roman"/>
                <w:color w:val="000000" w:themeColor="text1"/>
                <w:sz w:val="24"/>
                <w:szCs w:val="24"/>
              </w:rPr>
            </w:pPr>
          </w:p>
          <w:p w14:paraId="61B967B3" w14:textId="77777777" w:rsidR="00300638" w:rsidRPr="00944EE4" w:rsidRDefault="00300638" w:rsidP="008C31BE">
            <w:pPr>
              <w:jc w:val="center"/>
              <w:rPr>
                <w:rFonts w:ascii="Times New Roman" w:hAnsi="Times New Roman" w:cs="Times New Roman"/>
                <w:color w:val="000000" w:themeColor="text1"/>
                <w:sz w:val="24"/>
                <w:szCs w:val="24"/>
              </w:rPr>
            </w:pPr>
          </w:p>
          <w:p w14:paraId="20CC32FE" w14:textId="77777777" w:rsidR="00300638" w:rsidRPr="00944EE4" w:rsidRDefault="00300638" w:rsidP="008C31BE">
            <w:pPr>
              <w:jc w:val="center"/>
              <w:rPr>
                <w:rFonts w:ascii="Times New Roman" w:hAnsi="Times New Roman" w:cs="Times New Roman"/>
                <w:color w:val="000000" w:themeColor="text1"/>
                <w:sz w:val="24"/>
                <w:szCs w:val="24"/>
              </w:rPr>
            </w:pPr>
          </w:p>
          <w:p w14:paraId="54CD0281" w14:textId="77777777" w:rsidR="00BC4141" w:rsidRPr="00944EE4" w:rsidRDefault="00BC4141" w:rsidP="008C31BE">
            <w:pPr>
              <w:jc w:val="center"/>
              <w:rPr>
                <w:rFonts w:ascii="Times New Roman" w:hAnsi="Times New Roman" w:cs="Times New Roman"/>
                <w:color w:val="000000" w:themeColor="text1"/>
                <w:sz w:val="24"/>
                <w:szCs w:val="24"/>
              </w:rPr>
            </w:pPr>
          </w:p>
          <w:p w14:paraId="57E5EC99" w14:textId="77777777" w:rsidR="00084B02" w:rsidRPr="00944EE4" w:rsidRDefault="00084B02" w:rsidP="008C31BE">
            <w:pPr>
              <w:pBdr>
                <w:bottom w:val="single" w:sz="12" w:space="1" w:color="auto"/>
              </w:pBdr>
              <w:jc w:val="center"/>
              <w:rPr>
                <w:rFonts w:ascii="Times New Roman" w:hAnsi="Times New Roman" w:cs="Times New Roman"/>
                <w:color w:val="000000" w:themeColor="text1"/>
                <w:sz w:val="24"/>
                <w:szCs w:val="24"/>
              </w:rPr>
            </w:pPr>
          </w:p>
          <w:p w14:paraId="2AB28C57" w14:textId="77777777" w:rsidR="007915B6" w:rsidRPr="00944EE4" w:rsidRDefault="007915B6" w:rsidP="008C31BE">
            <w:pPr>
              <w:tabs>
                <w:tab w:val="left" w:pos="1590"/>
              </w:tabs>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______________________</w:t>
            </w:r>
          </w:p>
          <w:p w14:paraId="1EBEA885" w14:textId="77777777" w:rsidR="007915B6" w:rsidRPr="00944EE4" w:rsidRDefault="00CE337F" w:rsidP="008C31BE">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 xml:space="preserve">M. </w:t>
            </w:r>
            <w:r w:rsidR="007868CA" w:rsidRPr="00944EE4">
              <w:rPr>
                <w:rFonts w:ascii="Times New Roman" w:hAnsi="Times New Roman" w:cs="Times New Roman"/>
                <w:color w:val="000000" w:themeColor="text1"/>
                <w:sz w:val="24"/>
                <w:szCs w:val="24"/>
              </w:rPr>
              <w:t>Maxime Houinato</w:t>
            </w:r>
          </w:p>
          <w:p w14:paraId="1353B1AA" w14:textId="77777777" w:rsidR="007915B6" w:rsidRPr="00944EE4" w:rsidRDefault="00CE337F" w:rsidP="007868CA">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Représentant de l’ONU</w:t>
            </w:r>
            <w:r w:rsidR="007868CA" w:rsidRPr="00944EE4">
              <w:rPr>
                <w:rFonts w:ascii="Times New Roman" w:hAnsi="Times New Roman" w:cs="Times New Roman"/>
                <w:color w:val="000000" w:themeColor="text1"/>
                <w:sz w:val="24"/>
                <w:szCs w:val="24"/>
              </w:rPr>
              <w:t>-</w:t>
            </w:r>
            <w:r w:rsidRPr="00944EE4">
              <w:rPr>
                <w:rFonts w:ascii="Times New Roman" w:hAnsi="Times New Roman" w:cs="Times New Roman"/>
                <w:color w:val="000000" w:themeColor="text1"/>
                <w:sz w:val="24"/>
                <w:szCs w:val="24"/>
              </w:rPr>
              <w:t>FEMMES</w:t>
            </w:r>
          </w:p>
        </w:tc>
        <w:tc>
          <w:tcPr>
            <w:tcW w:w="4878" w:type="dxa"/>
          </w:tcPr>
          <w:p w14:paraId="0CD374D8" w14:textId="77777777" w:rsidR="00300638" w:rsidRPr="00944EE4" w:rsidRDefault="00300638" w:rsidP="008C31BE">
            <w:pPr>
              <w:jc w:val="center"/>
              <w:rPr>
                <w:rFonts w:ascii="Times New Roman" w:hAnsi="Times New Roman" w:cs="Times New Roman"/>
                <w:color w:val="000000" w:themeColor="text1"/>
                <w:sz w:val="24"/>
                <w:szCs w:val="24"/>
              </w:rPr>
            </w:pPr>
          </w:p>
          <w:p w14:paraId="27362AC8" w14:textId="77777777" w:rsidR="00300638" w:rsidRPr="00944EE4" w:rsidRDefault="00300638" w:rsidP="008C31BE">
            <w:pPr>
              <w:jc w:val="center"/>
              <w:rPr>
                <w:rFonts w:ascii="Times New Roman" w:hAnsi="Times New Roman" w:cs="Times New Roman"/>
                <w:color w:val="000000" w:themeColor="text1"/>
                <w:sz w:val="24"/>
                <w:szCs w:val="24"/>
              </w:rPr>
            </w:pPr>
          </w:p>
          <w:p w14:paraId="6FCAF02C" w14:textId="77777777" w:rsidR="00300638" w:rsidRPr="00944EE4" w:rsidRDefault="00300638" w:rsidP="008C31BE">
            <w:pPr>
              <w:jc w:val="center"/>
              <w:rPr>
                <w:rFonts w:ascii="Times New Roman" w:hAnsi="Times New Roman" w:cs="Times New Roman"/>
                <w:color w:val="000000" w:themeColor="text1"/>
                <w:sz w:val="24"/>
                <w:szCs w:val="24"/>
              </w:rPr>
            </w:pPr>
          </w:p>
          <w:p w14:paraId="576CAB1D" w14:textId="77777777" w:rsidR="00555B1D" w:rsidRPr="00944EE4" w:rsidRDefault="00555B1D" w:rsidP="008C31BE">
            <w:pPr>
              <w:jc w:val="center"/>
              <w:rPr>
                <w:rFonts w:ascii="Times New Roman" w:hAnsi="Times New Roman" w:cs="Times New Roman"/>
                <w:color w:val="000000" w:themeColor="text1"/>
                <w:sz w:val="24"/>
                <w:szCs w:val="24"/>
              </w:rPr>
            </w:pPr>
          </w:p>
          <w:p w14:paraId="7EED5D5C" w14:textId="77777777" w:rsidR="00084B02" w:rsidRPr="00944EE4" w:rsidRDefault="00084B02" w:rsidP="008C31BE">
            <w:pPr>
              <w:jc w:val="center"/>
              <w:rPr>
                <w:rFonts w:ascii="Times New Roman" w:hAnsi="Times New Roman" w:cs="Times New Roman"/>
                <w:color w:val="000000" w:themeColor="text1"/>
                <w:sz w:val="24"/>
                <w:szCs w:val="24"/>
              </w:rPr>
            </w:pPr>
          </w:p>
          <w:p w14:paraId="73238CDA" w14:textId="77777777" w:rsidR="007915B6" w:rsidRPr="00944EE4" w:rsidRDefault="007915B6" w:rsidP="008C31BE">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______________________________</w:t>
            </w:r>
          </w:p>
          <w:p w14:paraId="4DDBF071" w14:textId="77777777" w:rsidR="00D50917" w:rsidRDefault="00D50917" w:rsidP="00CE337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Mme Lucia Elmi</w:t>
            </w:r>
          </w:p>
          <w:p w14:paraId="5A3AB2BC" w14:textId="15965C4A" w:rsidR="007915B6" w:rsidRPr="00944EE4" w:rsidRDefault="00CC6F99" w:rsidP="00CE337F">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Représentant</w:t>
            </w:r>
            <w:r w:rsidR="00D50917">
              <w:rPr>
                <w:rFonts w:ascii="Times New Roman" w:hAnsi="Times New Roman" w:cs="Times New Roman"/>
                <w:color w:val="000000" w:themeColor="text1"/>
                <w:sz w:val="24"/>
                <w:szCs w:val="24"/>
              </w:rPr>
              <w:t>e</w:t>
            </w:r>
            <w:r w:rsidRPr="00944EE4">
              <w:rPr>
                <w:rFonts w:ascii="Times New Roman" w:hAnsi="Times New Roman" w:cs="Times New Roman"/>
                <w:color w:val="000000" w:themeColor="text1"/>
                <w:sz w:val="24"/>
                <w:szCs w:val="24"/>
              </w:rPr>
              <w:t xml:space="preserve"> </w:t>
            </w:r>
            <w:r w:rsidR="00BC4141" w:rsidRPr="00944EE4">
              <w:rPr>
                <w:rFonts w:ascii="Times New Roman" w:hAnsi="Times New Roman" w:cs="Times New Roman"/>
                <w:color w:val="000000" w:themeColor="text1"/>
                <w:sz w:val="24"/>
                <w:szCs w:val="24"/>
              </w:rPr>
              <w:t>de l’UNICEF</w:t>
            </w:r>
          </w:p>
        </w:tc>
      </w:tr>
      <w:tr w:rsidR="00817373" w:rsidRPr="00944EE4" w14:paraId="0CBEE423" w14:textId="77777777" w:rsidTr="00170DB3">
        <w:trPr>
          <w:trHeight w:val="269"/>
        </w:trPr>
        <w:tc>
          <w:tcPr>
            <w:tcW w:w="4766" w:type="dxa"/>
            <w:vAlign w:val="bottom"/>
          </w:tcPr>
          <w:p w14:paraId="0ADBA636" w14:textId="77777777" w:rsidR="00300638" w:rsidRPr="00944EE4" w:rsidRDefault="00300638" w:rsidP="008C31BE">
            <w:pPr>
              <w:rPr>
                <w:rFonts w:ascii="Times New Roman" w:hAnsi="Times New Roman" w:cs="Times New Roman"/>
                <w:color w:val="000000" w:themeColor="text1"/>
                <w:sz w:val="24"/>
                <w:szCs w:val="24"/>
              </w:rPr>
            </w:pPr>
          </w:p>
          <w:p w14:paraId="27841247" w14:textId="77777777" w:rsidR="00BC4141" w:rsidRPr="00944EE4" w:rsidRDefault="00BC4141" w:rsidP="008C31BE">
            <w:pPr>
              <w:rPr>
                <w:rFonts w:ascii="Times New Roman" w:hAnsi="Times New Roman" w:cs="Times New Roman"/>
                <w:color w:val="000000" w:themeColor="text1"/>
                <w:sz w:val="24"/>
                <w:szCs w:val="24"/>
              </w:rPr>
            </w:pPr>
          </w:p>
          <w:p w14:paraId="10BDEB2A" w14:textId="77777777" w:rsidR="00BC4141" w:rsidRPr="00944EE4" w:rsidRDefault="00BC4141" w:rsidP="008C31BE">
            <w:pPr>
              <w:rPr>
                <w:rFonts w:ascii="Times New Roman" w:hAnsi="Times New Roman" w:cs="Times New Roman"/>
                <w:color w:val="000000" w:themeColor="text1"/>
                <w:sz w:val="24"/>
                <w:szCs w:val="24"/>
              </w:rPr>
            </w:pPr>
          </w:p>
          <w:p w14:paraId="60F354AA" w14:textId="77777777" w:rsidR="007915B6" w:rsidRPr="00944EE4" w:rsidRDefault="007915B6" w:rsidP="008C31BE">
            <w:pPr>
              <w:rPr>
                <w:rFonts w:ascii="Times New Roman" w:hAnsi="Times New Roman" w:cs="Times New Roman"/>
                <w:color w:val="000000" w:themeColor="text1"/>
                <w:sz w:val="24"/>
                <w:szCs w:val="24"/>
              </w:rPr>
            </w:pPr>
          </w:p>
          <w:p w14:paraId="7203F69D" w14:textId="77777777" w:rsidR="007915B6" w:rsidRPr="00944EE4" w:rsidRDefault="007915B6" w:rsidP="008C31BE">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______________________________</w:t>
            </w:r>
          </w:p>
          <w:p w14:paraId="1D18E4B7" w14:textId="77777777" w:rsidR="007915B6" w:rsidRPr="00944EE4" w:rsidRDefault="00BC4141" w:rsidP="008C31BE">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M. Boubou Dramane Camara</w:t>
            </w:r>
          </w:p>
          <w:p w14:paraId="5F0B07BC" w14:textId="77777777" w:rsidR="00BC4141" w:rsidRPr="00944EE4" w:rsidRDefault="00BC4141" w:rsidP="008C31BE">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Directeur Pays du PNUD</w:t>
            </w:r>
          </w:p>
        </w:tc>
        <w:tc>
          <w:tcPr>
            <w:tcW w:w="4878" w:type="dxa"/>
            <w:vAlign w:val="bottom"/>
          </w:tcPr>
          <w:p w14:paraId="4534AD89" w14:textId="77777777" w:rsidR="00BC4141" w:rsidRPr="00944EE4" w:rsidRDefault="00BC4141" w:rsidP="008C31BE">
            <w:pPr>
              <w:rPr>
                <w:rFonts w:ascii="Times New Roman" w:hAnsi="Times New Roman" w:cs="Times New Roman"/>
                <w:color w:val="000000" w:themeColor="text1"/>
                <w:sz w:val="24"/>
                <w:szCs w:val="24"/>
              </w:rPr>
            </w:pPr>
          </w:p>
          <w:p w14:paraId="10F22C60" w14:textId="77777777" w:rsidR="007915B6" w:rsidRPr="00944EE4" w:rsidRDefault="007915B6" w:rsidP="008C31BE">
            <w:pPr>
              <w:rPr>
                <w:rFonts w:ascii="Times New Roman" w:hAnsi="Times New Roman" w:cs="Times New Roman"/>
                <w:color w:val="000000" w:themeColor="text1"/>
                <w:sz w:val="24"/>
                <w:szCs w:val="24"/>
              </w:rPr>
            </w:pPr>
          </w:p>
          <w:p w14:paraId="359D1CEB" w14:textId="77777777" w:rsidR="007915B6" w:rsidRPr="00944EE4" w:rsidRDefault="007915B6" w:rsidP="008C31BE">
            <w:pPr>
              <w:rPr>
                <w:rFonts w:ascii="Times New Roman" w:hAnsi="Times New Roman" w:cs="Times New Roman"/>
                <w:color w:val="000000" w:themeColor="text1"/>
                <w:sz w:val="24"/>
                <w:szCs w:val="24"/>
              </w:rPr>
            </w:pPr>
          </w:p>
          <w:p w14:paraId="676B2621" w14:textId="77777777" w:rsidR="00EF56D9" w:rsidRPr="00944EE4" w:rsidRDefault="00EF56D9" w:rsidP="008C31BE">
            <w:pPr>
              <w:jc w:val="center"/>
              <w:rPr>
                <w:rFonts w:ascii="Times New Roman" w:hAnsi="Times New Roman" w:cs="Times New Roman"/>
                <w:color w:val="000000" w:themeColor="text1"/>
                <w:sz w:val="24"/>
                <w:szCs w:val="24"/>
              </w:rPr>
            </w:pPr>
          </w:p>
          <w:p w14:paraId="14A2BA20" w14:textId="77777777" w:rsidR="007915B6" w:rsidRPr="00944EE4" w:rsidRDefault="007915B6" w:rsidP="008C31BE">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______________________________</w:t>
            </w:r>
          </w:p>
          <w:p w14:paraId="41CB13F3" w14:textId="77777777" w:rsidR="00BC4141" w:rsidRPr="00944EE4" w:rsidRDefault="00BC4141" w:rsidP="00BC4141">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Mme Thérèse Poirier</w:t>
            </w:r>
          </w:p>
          <w:p w14:paraId="26C91F34" w14:textId="77777777" w:rsidR="007915B6" w:rsidRPr="00944EE4" w:rsidRDefault="00BC4141" w:rsidP="00BC4141">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Directrice Pays de l’ONUSIDA</w:t>
            </w:r>
          </w:p>
        </w:tc>
      </w:tr>
      <w:tr w:rsidR="00817373" w:rsidRPr="00944EE4" w14:paraId="4CE4E1F1" w14:textId="77777777" w:rsidTr="00170DB3">
        <w:trPr>
          <w:trHeight w:val="1132"/>
        </w:trPr>
        <w:tc>
          <w:tcPr>
            <w:tcW w:w="4766" w:type="dxa"/>
          </w:tcPr>
          <w:p w14:paraId="1242C8D1" w14:textId="77777777" w:rsidR="007915B6" w:rsidRPr="00944EE4" w:rsidRDefault="007915B6" w:rsidP="008C31BE">
            <w:pPr>
              <w:rPr>
                <w:rFonts w:ascii="Times New Roman" w:hAnsi="Times New Roman" w:cs="Times New Roman"/>
                <w:color w:val="000000" w:themeColor="text1"/>
                <w:sz w:val="24"/>
                <w:szCs w:val="24"/>
              </w:rPr>
            </w:pPr>
          </w:p>
          <w:p w14:paraId="271EB2F3" w14:textId="77777777" w:rsidR="007915B6" w:rsidRPr="00944EE4" w:rsidRDefault="007915B6" w:rsidP="008C31BE">
            <w:pPr>
              <w:rPr>
                <w:rFonts w:ascii="Times New Roman" w:hAnsi="Times New Roman" w:cs="Times New Roman"/>
                <w:color w:val="000000" w:themeColor="text1"/>
                <w:sz w:val="24"/>
                <w:szCs w:val="24"/>
              </w:rPr>
            </w:pPr>
          </w:p>
          <w:p w14:paraId="5FC3D085" w14:textId="77777777" w:rsidR="00BC4141" w:rsidRPr="00944EE4" w:rsidRDefault="00BC4141" w:rsidP="008C31BE">
            <w:pPr>
              <w:rPr>
                <w:rFonts w:ascii="Times New Roman" w:hAnsi="Times New Roman" w:cs="Times New Roman"/>
                <w:color w:val="000000" w:themeColor="text1"/>
                <w:sz w:val="24"/>
                <w:szCs w:val="24"/>
              </w:rPr>
            </w:pPr>
          </w:p>
          <w:p w14:paraId="762359A7" w14:textId="77777777" w:rsidR="007868CA" w:rsidRPr="00944EE4" w:rsidRDefault="007868CA" w:rsidP="008C31BE">
            <w:pPr>
              <w:rPr>
                <w:rFonts w:ascii="Times New Roman" w:hAnsi="Times New Roman" w:cs="Times New Roman"/>
                <w:color w:val="000000" w:themeColor="text1"/>
                <w:sz w:val="24"/>
                <w:szCs w:val="24"/>
              </w:rPr>
            </w:pPr>
          </w:p>
          <w:p w14:paraId="4533459E" w14:textId="77777777" w:rsidR="007915B6" w:rsidRPr="00944EE4" w:rsidRDefault="007915B6" w:rsidP="008C31BE">
            <w:pPr>
              <w:rPr>
                <w:rFonts w:ascii="Times New Roman" w:hAnsi="Times New Roman" w:cs="Times New Roman"/>
                <w:color w:val="000000" w:themeColor="text1"/>
                <w:sz w:val="24"/>
                <w:szCs w:val="24"/>
              </w:rPr>
            </w:pPr>
          </w:p>
          <w:p w14:paraId="5B02923E" w14:textId="77777777" w:rsidR="007915B6" w:rsidRPr="00944EE4" w:rsidRDefault="007915B6" w:rsidP="008C31BE">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_____________________________</w:t>
            </w:r>
          </w:p>
          <w:p w14:paraId="0CB1382E" w14:textId="77777777" w:rsidR="00BC4141" w:rsidRPr="00944EE4" w:rsidRDefault="00BC4141" w:rsidP="00BC4141">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Mme Ute Kollies</w:t>
            </w:r>
          </w:p>
          <w:p w14:paraId="05C50685" w14:textId="77777777" w:rsidR="007915B6" w:rsidRPr="00944EE4" w:rsidRDefault="00BC4141" w:rsidP="00BC4141">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Chef de Bureau OCHA</w:t>
            </w:r>
          </w:p>
        </w:tc>
        <w:tc>
          <w:tcPr>
            <w:tcW w:w="4878" w:type="dxa"/>
          </w:tcPr>
          <w:p w14:paraId="7297CC91" w14:textId="77777777" w:rsidR="007915B6" w:rsidRPr="00944EE4" w:rsidRDefault="007915B6" w:rsidP="008C31BE">
            <w:pPr>
              <w:jc w:val="center"/>
              <w:rPr>
                <w:rFonts w:ascii="Times New Roman" w:hAnsi="Times New Roman" w:cs="Times New Roman"/>
                <w:color w:val="000000" w:themeColor="text1"/>
                <w:sz w:val="24"/>
                <w:szCs w:val="24"/>
              </w:rPr>
            </w:pPr>
          </w:p>
          <w:p w14:paraId="448FD5FB" w14:textId="77777777" w:rsidR="00BC4141" w:rsidRPr="00944EE4" w:rsidRDefault="00BC4141" w:rsidP="008C31BE">
            <w:pPr>
              <w:jc w:val="center"/>
              <w:rPr>
                <w:rFonts w:ascii="Times New Roman" w:hAnsi="Times New Roman" w:cs="Times New Roman"/>
                <w:color w:val="000000" w:themeColor="text1"/>
                <w:sz w:val="24"/>
                <w:szCs w:val="24"/>
              </w:rPr>
            </w:pPr>
          </w:p>
          <w:p w14:paraId="5D10C909" w14:textId="77777777" w:rsidR="007915B6" w:rsidRPr="00944EE4" w:rsidRDefault="007915B6" w:rsidP="008C31BE">
            <w:pPr>
              <w:jc w:val="center"/>
              <w:rPr>
                <w:rFonts w:ascii="Times New Roman" w:hAnsi="Times New Roman" w:cs="Times New Roman"/>
                <w:color w:val="000000" w:themeColor="text1"/>
                <w:sz w:val="24"/>
                <w:szCs w:val="24"/>
              </w:rPr>
            </w:pPr>
          </w:p>
          <w:p w14:paraId="67FD49B7" w14:textId="77777777" w:rsidR="007868CA" w:rsidRPr="00944EE4" w:rsidRDefault="007868CA" w:rsidP="008C31BE">
            <w:pPr>
              <w:jc w:val="center"/>
              <w:rPr>
                <w:rFonts w:ascii="Times New Roman" w:hAnsi="Times New Roman" w:cs="Times New Roman"/>
                <w:color w:val="000000" w:themeColor="text1"/>
                <w:sz w:val="24"/>
                <w:szCs w:val="24"/>
              </w:rPr>
            </w:pPr>
          </w:p>
          <w:p w14:paraId="7B01DD73" w14:textId="77777777" w:rsidR="00C75F63" w:rsidRPr="00944EE4" w:rsidRDefault="00C75F63" w:rsidP="008C31BE">
            <w:pPr>
              <w:jc w:val="center"/>
              <w:rPr>
                <w:rFonts w:ascii="Times New Roman" w:hAnsi="Times New Roman" w:cs="Times New Roman"/>
                <w:color w:val="000000" w:themeColor="text1"/>
                <w:sz w:val="24"/>
                <w:szCs w:val="24"/>
              </w:rPr>
            </w:pPr>
          </w:p>
          <w:p w14:paraId="11997B2B" w14:textId="77777777" w:rsidR="007915B6" w:rsidRPr="00944EE4" w:rsidRDefault="00877C9E" w:rsidP="008C31BE">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_________</w:t>
            </w:r>
            <w:r w:rsidR="007915B6" w:rsidRPr="00944EE4">
              <w:rPr>
                <w:rFonts w:ascii="Times New Roman" w:hAnsi="Times New Roman" w:cs="Times New Roman"/>
                <w:color w:val="000000" w:themeColor="text1"/>
                <w:sz w:val="24"/>
                <w:szCs w:val="24"/>
              </w:rPr>
              <w:t>___________________</w:t>
            </w:r>
          </w:p>
          <w:p w14:paraId="4816D3CC" w14:textId="77777777" w:rsidR="00BC4141" w:rsidRPr="00944EE4" w:rsidRDefault="00BC4141" w:rsidP="00BC4141">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M. Bakary Doumbia</w:t>
            </w:r>
          </w:p>
          <w:p w14:paraId="2EC81546" w14:textId="77777777" w:rsidR="007915B6" w:rsidRPr="00944EE4" w:rsidRDefault="00BC4141" w:rsidP="00300638">
            <w:pPr>
              <w:jc w:val="center"/>
              <w:rPr>
                <w:rFonts w:ascii="Times New Roman" w:hAnsi="Times New Roman" w:cs="Times New Roman"/>
                <w:sz w:val="24"/>
                <w:szCs w:val="24"/>
              </w:rPr>
            </w:pPr>
            <w:r w:rsidRPr="00944EE4">
              <w:rPr>
                <w:rFonts w:ascii="Times New Roman" w:hAnsi="Times New Roman" w:cs="Times New Roman"/>
                <w:color w:val="000000" w:themeColor="text1"/>
                <w:sz w:val="24"/>
                <w:szCs w:val="24"/>
              </w:rPr>
              <w:t>Chef de Mission de l’OIM</w:t>
            </w:r>
          </w:p>
        </w:tc>
      </w:tr>
      <w:tr w:rsidR="00817373" w:rsidRPr="00944EE4" w14:paraId="75AB2631" w14:textId="77777777" w:rsidTr="00170DB3">
        <w:trPr>
          <w:trHeight w:val="269"/>
        </w:trPr>
        <w:tc>
          <w:tcPr>
            <w:tcW w:w="4766" w:type="dxa"/>
          </w:tcPr>
          <w:p w14:paraId="03BCA748" w14:textId="77777777" w:rsidR="007915B6" w:rsidRPr="00944EE4" w:rsidRDefault="00BC4141" w:rsidP="008C31BE">
            <w:pPr>
              <w:rPr>
                <w:rFonts w:ascii="Times New Roman" w:hAnsi="Times New Roman" w:cs="Times New Roman"/>
                <w:sz w:val="24"/>
                <w:szCs w:val="24"/>
              </w:rPr>
            </w:pPr>
            <w:r w:rsidRPr="00944EE4">
              <w:rPr>
                <w:rFonts w:ascii="Times New Roman" w:hAnsi="Times New Roman" w:cs="Times New Roman"/>
                <w:sz w:val="24"/>
                <w:szCs w:val="24"/>
              </w:rPr>
              <w:br w:type="page"/>
            </w:r>
          </w:p>
          <w:p w14:paraId="308A5682" w14:textId="1B26571A" w:rsidR="00300638" w:rsidRPr="00944EE4" w:rsidRDefault="00300638" w:rsidP="008C31BE">
            <w:pPr>
              <w:rPr>
                <w:rFonts w:ascii="Times New Roman" w:hAnsi="Times New Roman" w:cs="Times New Roman"/>
                <w:color w:val="000000" w:themeColor="text1"/>
                <w:sz w:val="24"/>
                <w:szCs w:val="24"/>
              </w:rPr>
            </w:pPr>
          </w:p>
          <w:p w14:paraId="46257CE3" w14:textId="77777777" w:rsidR="007915B6" w:rsidRPr="00944EE4" w:rsidRDefault="007915B6" w:rsidP="008C31BE">
            <w:pPr>
              <w:jc w:val="center"/>
              <w:rPr>
                <w:rFonts w:ascii="Times New Roman" w:hAnsi="Times New Roman" w:cs="Times New Roman"/>
                <w:color w:val="000000" w:themeColor="text1"/>
                <w:sz w:val="24"/>
                <w:szCs w:val="24"/>
              </w:rPr>
            </w:pPr>
          </w:p>
          <w:p w14:paraId="2734EB21" w14:textId="77777777" w:rsidR="007915B6" w:rsidRPr="00944EE4" w:rsidRDefault="007915B6" w:rsidP="008C31BE">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____________________________</w:t>
            </w:r>
          </w:p>
          <w:p w14:paraId="342D2296" w14:textId="77777777" w:rsidR="00BC4141" w:rsidRPr="00944EE4" w:rsidRDefault="00BC4141" w:rsidP="00BC4141">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Mme Haby Sow Traoré</w:t>
            </w:r>
          </w:p>
          <w:p w14:paraId="4294A6EA" w14:textId="77777777" w:rsidR="007915B6" w:rsidRPr="00944EE4" w:rsidRDefault="00BC4141" w:rsidP="00BC4141">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Chef des Opérations de l’ONUDI</w:t>
            </w:r>
          </w:p>
        </w:tc>
        <w:tc>
          <w:tcPr>
            <w:tcW w:w="4878" w:type="dxa"/>
            <w:vAlign w:val="bottom"/>
          </w:tcPr>
          <w:p w14:paraId="5BD4315A" w14:textId="77777777" w:rsidR="007915B6" w:rsidRPr="00944EE4" w:rsidRDefault="007915B6" w:rsidP="00877C9E">
            <w:pPr>
              <w:rPr>
                <w:rFonts w:ascii="Times New Roman" w:hAnsi="Times New Roman" w:cs="Times New Roman"/>
                <w:color w:val="000000" w:themeColor="text1"/>
                <w:sz w:val="24"/>
                <w:szCs w:val="24"/>
              </w:rPr>
            </w:pPr>
          </w:p>
          <w:p w14:paraId="76763B6F" w14:textId="77777777" w:rsidR="007915B6" w:rsidRPr="00944EE4" w:rsidRDefault="007915B6" w:rsidP="008C31BE">
            <w:pPr>
              <w:jc w:val="center"/>
              <w:rPr>
                <w:rFonts w:ascii="Times New Roman" w:hAnsi="Times New Roman" w:cs="Times New Roman"/>
                <w:color w:val="000000" w:themeColor="text1"/>
                <w:sz w:val="24"/>
                <w:szCs w:val="24"/>
              </w:rPr>
            </w:pPr>
          </w:p>
          <w:p w14:paraId="30D30730" w14:textId="77777777" w:rsidR="007915B6" w:rsidRPr="00944EE4" w:rsidRDefault="007915B6" w:rsidP="00877C9E">
            <w:pPr>
              <w:rPr>
                <w:rFonts w:ascii="Times New Roman" w:hAnsi="Times New Roman" w:cs="Times New Roman"/>
                <w:color w:val="000000" w:themeColor="text1"/>
                <w:sz w:val="24"/>
                <w:szCs w:val="24"/>
              </w:rPr>
            </w:pPr>
          </w:p>
          <w:p w14:paraId="2AC78BA3" w14:textId="77777777" w:rsidR="007915B6" w:rsidRPr="00944EE4" w:rsidRDefault="007915B6" w:rsidP="008C31BE">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______________________________</w:t>
            </w:r>
          </w:p>
          <w:p w14:paraId="4444C5D4" w14:textId="77777777" w:rsidR="00BC4141" w:rsidRPr="00944EE4" w:rsidRDefault="00BC4141" w:rsidP="00BC4141">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M. François Murangira</w:t>
            </w:r>
          </w:p>
          <w:p w14:paraId="1D663926" w14:textId="77777777" w:rsidR="007915B6" w:rsidRPr="00944EE4" w:rsidRDefault="00BC4141" w:rsidP="00BC4141">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Directeur BIT/ETD/BP, Dakar</w:t>
            </w:r>
          </w:p>
        </w:tc>
      </w:tr>
      <w:tr w:rsidR="00817373" w:rsidRPr="00944EE4" w14:paraId="70506567" w14:textId="77777777" w:rsidTr="00170DB3">
        <w:trPr>
          <w:trHeight w:val="269"/>
        </w:trPr>
        <w:tc>
          <w:tcPr>
            <w:tcW w:w="4766" w:type="dxa"/>
          </w:tcPr>
          <w:p w14:paraId="41E51944" w14:textId="77777777" w:rsidR="007915B6" w:rsidRPr="00944EE4" w:rsidRDefault="007915B6" w:rsidP="008C31BE">
            <w:pPr>
              <w:jc w:val="center"/>
              <w:rPr>
                <w:rFonts w:ascii="Times New Roman" w:hAnsi="Times New Roman" w:cs="Times New Roman"/>
                <w:color w:val="000000" w:themeColor="text1"/>
                <w:sz w:val="24"/>
                <w:szCs w:val="24"/>
              </w:rPr>
            </w:pPr>
          </w:p>
          <w:p w14:paraId="0D071C19" w14:textId="77777777" w:rsidR="007915B6" w:rsidRPr="00944EE4" w:rsidRDefault="007915B6" w:rsidP="008C31BE">
            <w:pPr>
              <w:jc w:val="center"/>
              <w:rPr>
                <w:rFonts w:ascii="Times New Roman" w:hAnsi="Times New Roman" w:cs="Times New Roman"/>
                <w:color w:val="000000" w:themeColor="text1"/>
                <w:sz w:val="24"/>
                <w:szCs w:val="24"/>
              </w:rPr>
            </w:pPr>
          </w:p>
          <w:p w14:paraId="64CDAF1D" w14:textId="77777777" w:rsidR="00300638" w:rsidRPr="00944EE4" w:rsidRDefault="00300638" w:rsidP="008C31BE">
            <w:pPr>
              <w:jc w:val="center"/>
              <w:rPr>
                <w:rFonts w:ascii="Times New Roman" w:hAnsi="Times New Roman" w:cs="Times New Roman"/>
                <w:color w:val="000000" w:themeColor="text1"/>
                <w:sz w:val="24"/>
                <w:szCs w:val="24"/>
              </w:rPr>
            </w:pPr>
          </w:p>
          <w:p w14:paraId="613836FE" w14:textId="1DCF1A06" w:rsidR="00BC4141" w:rsidRPr="00944EE4" w:rsidRDefault="00BC4141" w:rsidP="001275EF">
            <w:pPr>
              <w:rPr>
                <w:rFonts w:ascii="Times New Roman" w:hAnsi="Times New Roman" w:cs="Times New Roman"/>
                <w:color w:val="000000" w:themeColor="text1"/>
                <w:sz w:val="24"/>
                <w:szCs w:val="24"/>
              </w:rPr>
            </w:pPr>
          </w:p>
          <w:p w14:paraId="44A285B7" w14:textId="77777777" w:rsidR="007915B6" w:rsidRPr="00944EE4" w:rsidRDefault="007915B6" w:rsidP="008C31BE">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_____________________________</w:t>
            </w:r>
          </w:p>
          <w:p w14:paraId="29F09659" w14:textId="77777777" w:rsidR="00BC4141" w:rsidRPr="00944EE4" w:rsidRDefault="00BC4141" w:rsidP="00BC4141">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M. Bakary Coulibaly</w:t>
            </w:r>
          </w:p>
          <w:p w14:paraId="0DC49825" w14:textId="77777777" w:rsidR="007915B6" w:rsidRPr="00944EE4" w:rsidRDefault="00BC4141" w:rsidP="00BC4141">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Coordonnateur des Programmes FIDA</w:t>
            </w:r>
          </w:p>
        </w:tc>
        <w:tc>
          <w:tcPr>
            <w:tcW w:w="4878" w:type="dxa"/>
            <w:vAlign w:val="bottom"/>
          </w:tcPr>
          <w:p w14:paraId="74D0AD3E" w14:textId="77777777" w:rsidR="007915B6" w:rsidRPr="00944EE4" w:rsidRDefault="007915B6" w:rsidP="001275EF">
            <w:pP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______________________________</w:t>
            </w:r>
          </w:p>
          <w:p w14:paraId="04931D23" w14:textId="77777777" w:rsidR="00BC4141" w:rsidRPr="00944EE4" w:rsidRDefault="00BC4141" w:rsidP="00BC4141">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M. Eric Moukoro</w:t>
            </w:r>
          </w:p>
          <w:p w14:paraId="1AD173B3" w14:textId="77777777" w:rsidR="007915B6" w:rsidRPr="00944EE4" w:rsidRDefault="00BC4141" w:rsidP="00BC4141">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CTR ONU-HABITAT</w:t>
            </w:r>
          </w:p>
        </w:tc>
      </w:tr>
      <w:tr w:rsidR="00817373" w:rsidRPr="004C33CA" w14:paraId="49BC41AA" w14:textId="77777777" w:rsidTr="00170DB3">
        <w:trPr>
          <w:trHeight w:val="269"/>
        </w:trPr>
        <w:tc>
          <w:tcPr>
            <w:tcW w:w="4766" w:type="dxa"/>
            <w:vAlign w:val="bottom"/>
          </w:tcPr>
          <w:p w14:paraId="574F1647" w14:textId="77777777" w:rsidR="009A3250" w:rsidRPr="00944EE4" w:rsidRDefault="009A3250" w:rsidP="009D3DED">
            <w:pPr>
              <w:jc w:val="center"/>
              <w:rPr>
                <w:rFonts w:ascii="Times New Roman" w:hAnsi="Times New Roman" w:cs="Times New Roman"/>
                <w:color w:val="000000" w:themeColor="text1"/>
                <w:sz w:val="24"/>
                <w:szCs w:val="24"/>
              </w:rPr>
            </w:pPr>
          </w:p>
          <w:p w14:paraId="1016975C" w14:textId="77777777" w:rsidR="009A3250" w:rsidRPr="00944EE4" w:rsidRDefault="009A3250" w:rsidP="009D3DED">
            <w:pPr>
              <w:jc w:val="center"/>
              <w:rPr>
                <w:rFonts w:ascii="Times New Roman" w:hAnsi="Times New Roman" w:cs="Times New Roman"/>
                <w:color w:val="000000" w:themeColor="text1"/>
                <w:sz w:val="24"/>
                <w:szCs w:val="24"/>
              </w:rPr>
            </w:pPr>
          </w:p>
          <w:p w14:paraId="4DB957AC" w14:textId="77777777" w:rsidR="009A3250" w:rsidRPr="00944EE4" w:rsidRDefault="009A3250" w:rsidP="009D3DED">
            <w:pPr>
              <w:jc w:val="center"/>
              <w:rPr>
                <w:rFonts w:ascii="Times New Roman" w:hAnsi="Times New Roman" w:cs="Times New Roman"/>
                <w:color w:val="000000" w:themeColor="text1"/>
                <w:sz w:val="24"/>
                <w:szCs w:val="24"/>
              </w:rPr>
            </w:pPr>
          </w:p>
          <w:p w14:paraId="5A65449D" w14:textId="77777777" w:rsidR="009A3250" w:rsidRPr="00944EE4" w:rsidRDefault="009A3250" w:rsidP="009D3DED">
            <w:pPr>
              <w:jc w:val="center"/>
              <w:rPr>
                <w:rFonts w:ascii="Times New Roman" w:hAnsi="Times New Roman" w:cs="Times New Roman"/>
                <w:color w:val="000000" w:themeColor="text1"/>
                <w:sz w:val="24"/>
                <w:szCs w:val="24"/>
              </w:rPr>
            </w:pPr>
          </w:p>
          <w:p w14:paraId="7A0620C9" w14:textId="77777777" w:rsidR="009D3DED" w:rsidRPr="00944EE4" w:rsidRDefault="009D3DED" w:rsidP="009D3DED">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_____________________________</w:t>
            </w:r>
          </w:p>
          <w:p w14:paraId="5824B27C" w14:textId="77777777" w:rsidR="009D3DED" w:rsidRPr="00944EE4" w:rsidRDefault="009D3DED" w:rsidP="009D3DED">
            <w:pPr>
              <w:jc w:val="center"/>
              <w:rPr>
                <w:rFonts w:ascii="Times New Roman" w:hAnsi="Times New Roman" w:cs="Times New Roman"/>
                <w:color w:val="000000" w:themeColor="text1"/>
                <w:sz w:val="24"/>
                <w:szCs w:val="24"/>
              </w:rPr>
            </w:pPr>
          </w:p>
          <w:p w14:paraId="12E01571" w14:textId="77777777" w:rsidR="009D3DED" w:rsidRPr="00944EE4" w:rsidRDefault="009D3DED" w:rsidP="009D3DED">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M. Guillaume Ngefa</w:t>
            </w:r>
          </w:p>
          <w:p w14:paraId="39A35416" w14:textId="77777777" w:rsidR="009D3DED" w:rsidRPr="00944EE4" w:rsidRDefault="009D3DED" w:rsidP="009D3DED">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Représentant OHCHR</w:t>
            </w:r>
          </w:p>
          <w:p w14:paraId="49DDA722" w14:textId="77777777" w:rsidR="009D3DED" w:rsidRPr="00944EE4" w:rsidRDefault="009D3DED" w:rsidP="009D3DED">
            <w:pPr>
              <w:rPr>
                <w:rFonts w:ascii="Times New Roman" w:hAnsi="Times New Roman" w:cs="Times New Roman"/>
                <w:color w:val="000000" w:themeColor="text1"/>
                <w:sz w:val="24"/>
                <w:szCs w:val="24"/>
              </w:rPr>
            </w:pPr>
          </w:p>
          <w:p w14:paraId="5761A6B5" w14:textId="77777777" w:rsidR="007915B6" w:rsidRPr="00944EE4" w:rsidRDefault="007915B6" w:rsidP="008C31BE">
            <w:pPr>
              <w:jc w:val="center"/>
              <w:rPr>
                <w:rFonts w:ascii="Times New Roman" w:hAnsi="Times New Roman" w:cs="Times New Roman"/>
                <w:color w:val="000000" w:themeColor="text1"/>
                <w:sz w:val="24"/>
                <w:szCs w:val="24"/>
              </w:rPr>
            </w:pPr>
          </w:p>
          <w:p w14:paraId="4C225F4F" w14:textId="77777777" w:rsidR="008F5C1B" w:rsidRPr="00944EE4" w:rsidRDefault="008F5C1B" w:rsidP="008F5C1B">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_____________________________</w:t>
            </w:r>
          </w:p>
          <w:p w14:paraId="5DAF32A3" w14:textId="77777777" w:rsidR="008F5C1B" w:rsidRPr="00944EE4" w:rsidRDefault="009A3250" w:rsidP="008F5C1B">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Mme Alimata Traore</w:t>
            </w:r>
          </w:p>
          <w:p w14:paraId="2536885C" w14:textId="77777777" w:rsidR="007915B6" w:rsidRPr="00944EE4" w:rsidRDefault="009A3250" w:rsidP="008F5C1B">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 xml:space="preserve">Coordonateur </w:t>
            </w:r>
            <w:r w:rsidR="008F5C1B" w:rsidRPr="00944EE4">
              <w:rPr>
                <w:rFonts w:ascii="Times New Roman" w:hAnsi="Times New Roman" w:cs="Times New Roman"/>
                <w:color w:val="000000" w:themeColor="text1"/>
                <w:sz w:val="24"/>
                <w:szCs w:val="24"/>
              </w:rPr>
              <w:t>ONUDC</w:t>
            </w:r>
          </w:p>
        </w:tc>
        <w:tc>
          <w:tcPr>
            <w:tcW w:w="4878" w:type="dxa"/>
            <w:vAlign w:val="bottom"/>
          </w:tcPr>
          <w:p w14:paraId="3819EF8A" w14:textId="5665A421" w:rsidR="009D3DED" w:rsidRPr="00944EE4" w:rsidRDefault="009D3DED" w:rsidP="009A3250">
            <w:pPr>
              <w:rPr>
                <w:rFonts w:ascii="Times New Roman" w:hAnsi="Times New Roman" w:cs="Times New Roman"/>
                <w:color w:val="000000" w:themeColor="text1"/>
                <w:sz w:val="24"/>
                <w:szCs w:val="24"/>
              </w:rPr>
            </w:pPr>
          </w:p>
          <w:p w14:paraId="145670D7" w14:textId="77777777" w:rsidR="001275EF" w:rsidRPr="00944EE4" w:rsidRDefault="001275EF" w:rsidP="009A3250">
            <w:pPr>
              <w:rPr>
                <w:rFonts w:ascii="Times New Roman" w:hAnsi="Times New Roman" w:cs="Times New Roman"/>
                <w:color w:val="000000" w:themeColor="text1"/>
                <w:sz w:val="24"/>
                <w:szCs w:val="24"/>
              </w:rPr>
            </w:pPr>
          </w:p>
          <w:p w14:paraId="6C289DDC" w14:textId="77777777" w:rsidR="001275EF" w:rsidRPr="00944EE4" w:rsidRDefault="001275EF" w:rsidP="009D3DED">
            <w:pPr>
              <w:jc w:val="center"/>
              <w:rPr>
                <w:rFonts w:ascii="Times New Roman" w:hAnsi="Times New Roman" w:cs="Times New Roman"/>
                <w:color w:val="000000" w:themeColor="text1"/>
                <w:sz w:val="24"/>
                <w:szCs w:val="24"/>
              </w:rPr>
            </w:pPr>
          </w:p>
          <w:p w14:paraId="3F98711A" w14:textId="77777777" w:rsidR="001275EF" w:rsidRPr="00944EE4" w:rsidRDefault="001275EF" w:rsidP="009D3DED">
            <w:pPr>
              <w:jc w:val="center"/>
              <w:rPr>
                <w:rFonts w:ascii="Times New Roman" w:hAnsi="Times New Roman" w:cs="Times New Roman"/>
                <w:color w:val="000000" w:themeColor="text1"/>
                <w:sz w:val="24"/>
                <w:szCs w:val="24"/>
              </w:rPr>
            </w:pPr>
          </w:p>
          <w:p w14:paraId="56074ADC" w14:textId="7D4AF4A6" w:rsidR="009D3DED" w:rsidRPr="00944EE4" w:rsidRDefault="009D3DED" w:rsidP="009D3DED">
            <w:pPr>
              <w:jc w:val="cente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_____________________________</w:t>
            </w:r>
          </w:p>
          <w:p w14:paraId="70CFCFEE" w14:textId="77777777" w:rsidR="009D3DED" w:rsidRPr="00944EE4" w:rsidRDefault="008F5C1B" w:rsidP="009D3DED">
            <w:pP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 xml:space="preserve">               </w:t>
            </w:r>
            <w:r w:rsidR="009D3DED" w:rsidRPr="00944EE4">
              <w:rPr>
                <w:rFonts w:ascii="Times New Roman" w:hAnsi="Times New Roman" w:cs="Times New Roman"/>
                <w:color w:val="000000" w:themeColor="text1"/>
                <w:sz w:val="24"/>
                <w:szCs w:val="24"/>
              </w:rPr>
              <w:t xml:space="preserve">                     M. Charles Frisby</w:t>
            </w:r>
          </w:p>
          <w:p w14:paraId="6F68E0E2" w14:textId="71A2AB55" w:rsidR="007915B6" w:rsidRPr="00944EE4" w:rsidRDefault="009D3DED" w:rsidP="009D3DED">
            <w:pPr>
              <w:rPr>
                <w:rFonts w:ascii="Times New Roman" w:hAnsi="Times New Roman" w:cs="Times New Roman"/>
                <w:color w:val="000000" w:themeColor="text1"/>
                <w:sz w:val="24"/>
                <w:szCs w:val="24"/>
              </w:rPr>
            </w:pPr>
            <w:r w:rsidRPr="00944EE4">
              <w:rPr>
                <w:rFonts w:ascii="Times New Roman" w:hAnsi="Times New Roman" w:cs="Times New Roman"/>
                <w:color w:val="000000" w:themeColor="text1"/>
                <w:sz w:val="24"/>
                <w:szCs w:val="24"/>
              </w:rPr>
              <w:t xml:space="preserve">     Programme Manager de l’UNMAS</w:t>
            </w:r>
          </w:p>
          <w:p w14:paraId="25882F05" w14:textId="77777777" w:rsidR="007915B6" w:rsidRPr="00944EE4" w:rsidRDefault="007915B6" w:rsidP="008C31BE">
            <w:pPr>
              <w:jc w:val="center"/>
              <w:rPr>
                <w:rFonts w:ascii="Times New Roman" w:hAnsi="Times New Roman" w:cs="Times New Roman"/>
                <w:color w:val="000000" w:themeColor="text1"/>
                <w:sz w:val="24"/>
                <w:szCs w:val="24"/>
              </w:rPr>
            </w:pPr>
          </w:p>
          <w:p w14:paraId="7480A276" w14:textId="77777777" w:rsidR="007915B6" w:rsidRPr="00944EE4" w:rsidRDefault="007915B6" w:rsidP="008C31BE">
            <w:pPr>
              <w:jc w:val="center"/>
              <w:rPr>
                <w:rFonts w:ascii="Times New Roman" w:hAnsi="Times New Roman" w:cs="Times New Roman"/>
                <w:color w:val="000000" w:themeColor="text1"/>
                <w:sz w:val="24"/>
                <w:szCs w:val="24"/>
              </w:rPr>
            </w:pPr>
          </w:p>
          <w:p w14:paraId="5243E3CD" w14:textId="77777777" w:rsidR="007915B6" w:rsidRPr="00944EE4" w:rsidRDefault="007915B6" w:rsidP="008C31BE">
            <w:pPr>
              <w:jc w:val="center"/>
              <w:rPr>
                <w:rFonts w:ascii="Times New Roman" w:hAnsi="Times New Roman" w:cs="Times New Roman"/>
                <w:color w:val="000000" w:themeColor="text1"/>
                <w:sz w:val="24"/>
                <w:szCs w:val="24"/>
                <w:lang w:val="en-US"/>
              </w:rPr>
            </w:pPr>
            <w:r w:rsidRPr="00944EE4">
              <w:rPr>
                <w:rFonts w:ascii="Times New Roman" w:hAnsi="Times New Roman" w:cs="Times New Roman"/>
                <w:color w:val="000000" w:themeColor="text1"/>
                <w:sz w:val="24"/>
                <w:szCs w:val="24"/>
                <w:lang w:val="en-US"/>
              </w:rPr>
              <w:t>_____________________________</w:t>
            </w:r>
          </w:p>
          <w:p w14:paraId="1186FF0D" w14:textId="77777777" w:rsidR="007915B6" w:rsidRPr="00944EE4" w:rsidRDefault="007915B6" w:rsidP="008C31BE">
            <w:pPr>
              <w:jc w:val="center"/>
              <w:rPr>
                <w:rFonts w:ascii="Times New Roman" w:hAnsi="Times New Roman" w:cs="Times New Roman"/>
                <w:color w:val="000000" w:themeColor="text1"/>
                <w:sz w:val="24"/>
                <w:szCs w:val="24"/>
                <w:lang w:val="en-US"/>
              </w:rPr>
            </w:pPr>
            <w:r w:rsidRPr="00944EE4">
              <w:rPr>
                <w:rFonts w:ascii="Times New Roman" w:hAnsi="Times New Roman" w:cs="Times New Roman"/>
                <w:color w:val="000000" w:themeColor="text1"/>
                <w:sz w:val="24"/>
                <w:szCs w:val="24"/>
                <w:lang w:val="en-US"/>
              </w:rPr>
              <w:t xml:space="preserve">M. Ian Gough </w:t>
            </w:r>
          </w:p>
          <w:p w14:paraId="02F34575" w14:textId="77777777" w:rsidR="007915B6" w:rsidRPr="00944EE4" w:rsidRDefault="007915B6" w:rsidP="003C6647">
            <w:pPr>
              <w:jc w:val="center"/>
              <w:rPr>
                <w:rFonts w:ascii="Times New Roman" w:hAnsi="Times New Roman" w:cs="Times New Roman"/>
                <w:color w:val="000000" w:themeColor="text1"/>
                <w:sz w:val="24"/>
                <w:szCs w:val="24"/>
                <w:lang w:val="en-US"/>
              </w:rPr>
            </w:pPr>
            <w:r w:rsidRPr="00944EE4">
              <w:rPr>
                <w:rFonts w:ascii="Times New Roman" w:hAnsi="Times New Roman" w:cs="Times New Roman"/>
                <w:color w:val="000000" w:themeColor="text1"/>
                <w:sz w:val="24"/>
                <w:szCs w:val="24"/>
                <w:lang w:val="en-US"/>
              </w:rPr>
              <w:t>Coordinat</w:t>
            </w:r>
            <w:r w:rsidR="003C6647" w:rsidRPr="00944EE4">
              <w:rPr>
                <w:rFonts w:ascii="Times New Roman" w:hAnsi="Times New Roman" w:cs="Times New Roman"/>
                <w:color w:val="000000" w:themeColor="text1"/>
                <w:sz w:val="24"/>
                <w:szCs w:val="24"/>
                <w:lang w:val="en-US"/>
              </w:rPr>
              <w:t>or</w:t>
            </w:r>
            <w:r w:rsidRPr="00944EE4">
              <w:rPr>
                <w:rFonts w:ascii="Times New Roman" w:hAnsi="Times New Roman" w:cs="Times New Roman"/>
                <w:color w:val="000000" w:themeColor="text1"/>
                <w:sz w:val="24"/>
                <w:szCs w:val="24"/>
                <w:lang w:val="en-US"/>
              </w:rPr>
              <w:t xml:space="preserve"> UNOPS</w:t>
            </w:r>
          </w:p>
        </w:tc>
      </w:tr>
    </w:tbl>
    <w:p w14:paraId="39CE6BB7" w14:textId="6077FAF6" w:rsidR="007D501E" w:rsidRPr="00944EE4" w:rsidRDefault="00880F37" w:rsidP="009A3250">
      <w:pPr>
        <w:rPr>
          <w:rFonts w:ascii="Times New Roman" w:hAnsi="Times New Roman" w:cs="Times New Roman"/>
          <w:sz w:val="24"/>
          <w:szCs w:val="24"/>
        </w:rPr>
      </w:pPr>
      <w:r w:rsidRPr="00944EE4">
        <w:rPr>
          <w:rFonts w:ascii="Times New Roman" w:hAnsi="Times New Roman" w:cs="Times New Roman"/>
          <w:b/>
          <w:color w:val="1F497D" w:themeColor="text2"/>
          <w:sz w:val="24"/>
          <w:szCs w:val="24"/>
        </w:rPr>
        <w:lastRenderedPageBreak/>
        <w:t>SIGLES ET ACCRONYMES</w:t>
      </w:r>
    </w:p>
    <w:p w14:paraId="3F072FE2" w14:textId="77777777" w:rsidR="001756DA" w:rsidRPr="00944EE4" w:rsidRDefault="001756DA" w:rsidP="007D501E">
      <w:pPr>
        <w:autoSpaceDE w:val="0"/>
        <w:autoSpaceDN w:val="0"/>
        <w:adjustRightInd w:val="0"/>
        <w:rPr>
          <w:rFonts w:ascii="Times New Roman" w:hAnsi="Times New Roman" w:cs="Times New Roman"/>
          <w:b/>
          <w:color w:val="1F497D" w:themeColor="text2"/>
          <w:sz w:val="24"/>
          <w:szCs w:val="24"/>
        </w:rPr>
      </w:pPr>
    </w:p>
    <w:tbl>
      <w:tblPr>
        <w:tblW w:w="9600" w:type="dxa"/>
        <w:tblInd w:w="55" w:type="dxa"/>
        <w:tblCellMar>
          <w:left w:w="70" w:type="dxa"/>
          <w:right w:w="70" w:type="dxa"/>
        </w:tblCellMar>
        <w:tblLook w:val="04A0" w:firstRow="1" w:lastRow="0" w:firstColumn="1" w:lastColumn="0" w:noHBand="0" w:noVBand="1"/>
      </w:tblPr>
      <w:tblGrid>
        <w:gridCol w:w="1461"/>
        <w:gridCol w:w="2400"/>
        <w:gridCol w:w="1200"/>
        <w:gridCol w:w="1200"/>
        <w:gridCol w:w="1200"/>
        <w:gridCol w:w="1200"/>
        <w:gridCol w:w="1200"/>
      </w:tblGrid>
      <w:tr w:rsidR="001756DA" w:rsidRPr="00944EE4" w14:paraId="067093BB" w14:textId="77777777" w:rsidTr="001756DA">
        <w:trPr>
          <w:trHeight w:val="300"/>
        </w:trPr>
        <w:tc>
          <w:tcPr>
            <w:tcW w:w="1200" w:type="dxa"/>
            <w:shd w:val="clear" w:color="auto" w:fill="auto"/>
            <w:noWrap/>
            <w:vAlign w:val="bottom"/>
            <w:hideMark/>
          </w:tcPr>
          <w:p w14:paraId="11C4DA3B"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AEDD</w:t>
            </w:r>
          </w:p>
        </w:tc>
        <w:tc>
          <w:tcPr>
            <w:tcW w:w="6000" w:type="dxa"/>
            <w:gridSpan w:val="4"/>
            <w:shd w:val="clear" w:color="auto" w:fill="auto"/>
            <w:noWrap/>
            <w:vAlign w:val="bottom"/>
            <w:hideMark/>
          </w:tcPr>
          <w:p w14:paraId="47F4B6D7"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Agence de l'Environnement et du Développement Durable</w:t>
            </w:r>
          </w:p>
        </w:tc>
        <w:tc>
          <w:tcPr>
            <w:tcW w:w="1200" w:type="dxa"/>
            <w:shd w:val="clear" w:color="auto" w:fill="auto"/>
            <w:noWrap/>
            <w:vAlign w:val="bottom"/>
            <w:hideMark/>
          </w:tcPr>
          <w:p w14:paraId="121732CB"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c>
          <w:tcPr>
            <w:tcW w:w="1200" w:type="dxa"/>
            <w:shd w:val="clear" w:color="auto" w:fill="auto"/>
            <w:noWrap/>
            <w:vAlign w:val="bottom"/>
            <w:hideMark/>
          </w:tcPr>
          <w:p w14:paraId="1F0463AD"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760317CE" w14:textId="77777777" w:rsidTr="001756DA">
        <w:trPr>
          <w:trHeight w:val="300"/>
        </w:trPr>
        <w:tc>
          <w:tcPr>
            <w:tcW w:w="1200" w:type="dxa"/>
            <w:shd w:val="clear" w:color="auto" w:fill="auto"/>
            <w:noWrap/>
            <w:vAlign w:val="bottom"/>
            <w:hideMark/>
          </w:tcPr>
          <w:p w14:paraId="27E02309"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AGIR</w:t>
            </w:r>
          </w:p>
        </w:tc>
        <w:tc>
          <w:tcPr>
            <w:tcW w:w="4800" w:type="dxa"/>
            <w:gridSpan w:val="3"/>
            <w:shd w:val="clear" w:color="auto" w:fill="auto"/>
            <w:noWrap/>
            <w:vAlign w:val="bottom"/>
            <w:hideMark/>
          </w:tcPr>
          <w:p w14:paraId="5CACC94A"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Alliance Globale pour l'initiative Résilience Sahel</w:t>
            </w:r>
          </w:p>
        </w:tc>
        <w:tc>
          <w:tcPr>
            <w:tcW w:w="1200" w:type="dxa"/>
            <w:shd w:val="clear" w:color="auto" w:fill="auto"/>
            <w:noWrap/>
            <w:vAlign w:val="bottom"/>
            <w:hideMark/>
          </w:tcPr>
          <w:p w14:paraId="6BB2FE7C"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4CD9DCBF"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5CF67569"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5EFF3C60" w14:textId="77777777" w:rsidTr="001756DA">
        <w:trPr>
          <w:trHeight w:val="300"/>
        </w:trPr>
        <w:tc>
          <w:tcPr>
            <w:tcW w:w="1200" w:type="dxa"/>
            <w:shd w:val="clear" w:color="auto" w:fill="auto"/>
            <w:noWrap/>
            <w:vAlign w:val="bottom"/>
            <w:hideMark/>
          </w:tcPr>
          <w:p w14:paraId="6FB531CB"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APD</w:t>
            </w:r>
          </w:p>
        </w:tc>
        <w:tc>
          <w:tcPr>
            <w:tcW w:w="3600" w:type="dxa"/>
            <w:gridSpan w:val="2"/>
            <w:shd w:val="clear" w:color="auto" w:fill="auto"/>
            <w:noWrap/>
            <w:vAlign w:val="bottom"/>
            <w:hideMark/>
          </w:tcPr>
          <w:p w14:paraId="1544319C"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Aide Publique au Développement</w:t>
            </w:r>
          </w:p>
        </w:tc>
        <w:tc>
          <w:tcPr>
            <w:tcW w:w="1200" w:type="dxa"/>
            <w:shd w:val="clear" w:color="auto" w:fill="auto"/>
            <w:noWrap/>
            <w:vAlign w:val="bottom"/>
            <w:hideMark/>
          </w:tcPr>
          <w:p w14:paraId="742FE0B2"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6BCC0140"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0C58E65F"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498A7033"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177E95BC" w14:textId="77777777" w:rsidTr="001756DA">
        <w:trPr>
          <w:trHeight w:val="300"/>
        </w:trPr>
        <w:tc>
          <w:tcPr>
            <w:tcW w:w="1200" w:type="dxa"/>
            <w:shd w:val="clear" w:color="auto" w:fill="auto"/>
            <w:noWrap/>
            <w:vAlign w:val="bottom"/>
            <w:hideMark/>
          </w:tcPr>
          <w:p w14:paraId="00BC25A4"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BRICS</w:t>
            </w:r>
          </w:p>
        </w:tc>
        <w:tc>
          <w:tcPr>
            <w:tcW w:w="4800" w:type="dxa"/>
            <w:gridSpan w:val="3"/>
            <w:shd w:val="clear" w:color="auto" w:fill="auto"/>
            <w:noWrap/>
            <w:vAlign w:val="bottom"/>
            <w:hideMark/>
          </w:tcPr>
          <w:p w14:paraId="4CFCB43B"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xml:space="preserve">Brésil, Russie, Inde, Chine, Afrique du Sud </w:t>
            </w:r>
          </w:p>
        </w:tc>
        <w:tc>
          <w:tcPr>
            <w:tcW w:w="1200" w:type="dxa"/>
            <w:shd w:val="clear" w:color="auto" w:fill="auto"/>
            <w:noWrap/>
            <w:vAlign w:val="bottom"/>
            <w:hideMark/>
          </w:tcPr>
          <w:p w14:paraId="159B295C"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7C8E58E7"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7BF595BE"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4C33CA" w14:paraId="22C311F5" w14:textId="77777777" w:rsidTr="001756DA">
        <w:trPr>
          <w:trHeight w:val="300"/>
        </w:trPr>
        <w:tc>
          <w:tcPr>
            <w:tcW w:w="1200" w:type="dxa"/>
            <w:shd w:val="clear" w:color="auto" w:fill="auto"/>
            <w:noWrap/>
            <w:vAlign w:val="bottom"/>
            <w:hideMark/>
          </w:tcPr>
          <w:p w14:paraId="6E42FC93"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CADRI</w:t>
            </w:r>
          </w:p>
        </w:tc>
        <w:tc>
          <w:tcPr>
            <w:tcW w:w="4800" w:type="dxa"/>
            <w:gridSpan w:val="3"/>
            <w:shd w:val="clear" w:color="auto" w:fill="auto"/>
            <w:noWrap/>
            <w:vAlign w:val="bottom"/>
            <w:hideMark/>
          </w:tcPr>
          <w:p w14:paraId="1AE084D9" w14:textId="77777777" w:rsidR="001756DA" w:rsidRPr="00944EE4" w:rsidRDefault="00880F37" w:rsidP="007041DA">
            <w:pPr>
              <w:rPr>
                <w:rFonts w:ascii="Times New Roman" w:eastAsia="Times New Roman" w:hAnsi="Times New Roman" w:cs="Times New Roman"/>
                <w:color w:val="000000"/>
                <w:sz w:val="24"/>
                <w:szCs w:val="24"/>
                <w:lang w:val="en-US" w:eastAsia="fr-FR"/>
              </w:rPr>
            </w:pPr>
            <w:r w:rsidRPr="00944EE4">
              <w:rPr>
                <w:rFonts w:ascii="Times New Roman" w:eastAsia="Times New Roman" w:hAnsi="Times New Roman" w:cs="Times New Roman"/>
                <w:color w:val="000000"/>
                <w:sz w:val="24"/>
                <w:szCs w:val="24"/>
                <w:lang w:val="en-US" w:eastAsia="fr-FR"/>
              </w:rPr>
              <w:t>Capacity for Disaster Reduction Initiative</w:t>
            </w:r>
          </w:p>
        </w:tc>
        <w:tc>
          <w:tcPr>
            <w:tcW w:w="1200" w:type="dxa"/>
            <w:shd w:val="clear" w:color="auto" w:fill="auto"/>
            <w:noWrap/>
            <w:vAlign w:val="bottom"/>
            <w:hideMark/>
          </w:tcPr>
          <w:p w14:paraId="32552C9C" w14:textId="77777777" w:rsidR="001756DA" w:rsidRPr="00944EE4" w:rsidRDefault="001756DA" w:rsidP="007041DA">
            <w:pPr>
              <w:rPr>
                <w:rFonts w:ascii="Times New Roman" w:eastAsia="Times New Roman" w:hAnsi="Times New Roman" w:cs="Times New Roman"/>
                <w:color w:val="000000"/>
                <w:sz w:val="24"/>
                <w:szCs w:val="24"/>
                <w:lang w:val="en-US" w:eastAsia="fr-FR"/>
              </w:rPr>
            </w:pPr>
          </w:p>
        </w:tc>
        <w:tc>
          <w:tcPr>
            <w:tcW w:w="1200" w:type="dxa"/>
            <w:shd w:val="clear" w:color="auto" w:fill="auto"/>
            <w:noWrap/>
            <w:vAlign w:val="bottom"/>
            <w:hideMark/>
          </w:tcPr>
          <w:p w14:paraId="089D23DC" w14:textId="77777777" w:rsidR="001756DA" w:rsidRPr="00944EE4" w:rsidRDefault="001756DA" w:rsidP="007041DA">
            <w:pPr>
              <w:rPr>
                <w:rFonts w:ascii="Times New Roman" w:eastAsia="Times New Roman" w:hAnsi="Times New Roman" w:cs="Times New Roman"/>
                <w:color w:val="000000"/>
                <w:sz w:val="24"/>
                <w:szCs w:val="24"/>
                <w:lang w:val="en-US" w:eastAsia="fr-FR"/>
              </w:rPr>
            </w:pPr>
          </w:p>
        </w:tc>
        <w:tc>
          <w:tcPr>
            <w:tcW w:w="1200" w:type="dxa"/>
            <w:shd w:val="clear" w:color="auto" w:fill="auto"/>
            <w:noWrap/>
            <w:vAlign w:val="bottom"/>
            <w:hideMark/>
          </w:tcPr>
          <w:p w14:paraId="0F755178" w14:textId="77777777" w:rsidR="001756DA" w:rsidRPr="00944EE4" w:rsidRDefault="00880F37" w:rsidP="007041DA">
            <w:pPr>
              <w:rPr>
                <w:rFonts w:ascii="Times New Roman" w:eastAsia="Times New Roman" w:hAnsi="Times New Roman" w:cs="Times New Roman"/>
                <w:color w:val="000000"/>
                <w:sz w:val="24"/>
                <w:szCs w:val="24"/>
                <w:lang w:val="en-US" w:eastAsia="fr-FR"/>
              </w:rPr>
            </w:pPr>
            <w:r w:rsidRPr="00944EE4">
              <w:rPr>
                <w:rFonts w:ascii="Times New Roman" w:eastAsia="Times New Roman" w:hAnsi="Times New Roman" w:cs="Times New Roman"/>
                <w:color w:val="000000"/>
                <w:sz w:val="24"/>
                <w:szCs w:val="24"/>
                <w:lang w:val="en-US" w:eastAsia="fr-FR"/>
              </w:rPr>
              <w:t> </w:t>
            </w:r>
          </w:p>
        </w:tc>
      </w:tr>
      <w:tr w:rsidR="001756DA" w:rsidRPr="00944EE4" w14:paraId="4CE8E14C" w14:textId="77777777" w:rsidTr="001756DA">
        <w:trPr>
          <w:trHeight w:val="300"/>
        </w:trPr>
        <w:tc>
          <w:tcPr>
            <w:tcW w:w="1200" w:type="dxa"/>
            <w:shd w:val="clear" w:color="auto" w:fill="auto"/>
            <w:noWrap/>
            <w:vAlign w:val="bottom"/>
            <w:hideMark/>
          </w:tcPr>
          <w:p w14:paraId="3094A1AC"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CCAT</w:t>
            </w:r>
          </w:p>
        </w:tc>
        <w:tc>
          <w:tcPr>
            <w:tcW w:w="6000" w:type="dxa"/>
            <w:gridSpan w:val="4"/>
            <w:shd w:val="clear" w:color="auto" w:fill="auto"/>
            <w:noWrap/>
            <w:vAlign w:val="bottom"/>
            <w:hideMark/>
          </w:tcPr>
          <w:p w14:paraId="510B09C4"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Cadre Conjoint des Nations Unies d'Appui à la Transition</w:t>
            </w:r>
          </w:p>
        </w:tc>
        <w:tc>
          <w:tcPr>
            <w:tcW w:w="1200" w:type="dxa"/>
            <w:shd w:val="clear" w:color="auto" w:fill="auto"/>
            <w:noWrap/>
            <w:vAlign w:val="bottom"/>
            <w:hideMark/>
          </w:tcPr>
          <w:p w14:paraId="2F828C94"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3E57E494"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2EEAF465" w14:textId="77777777" w:rsidTr="001756DA">
        <w:trPr>
          <w:trHeight w:val="300"/>
        </w:trPr>
        <w:tc>
          <w:tcPr>
            <w:tcW w:w="1200" w:type="dxa"/>
            <w:shd w:val="clear" w:color="auto" w:fill="auto"/>
            <w:noWrap/>
            <w:vAlign w:val="bottom"/>
            <w:hideMark/>
          </w:tcPr>
          <w:p w14:paraId="1D181127"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CEDEAO</w:t>
            </w:r>
          </w:p>
        </w:tc>
        <w:tc>
          <w:tcPr>
            <w:tcW w:w="6000" w:type="dxa"/>
            <w:gridSpan w:val="4"/>
            <w:shd w:val="clear" w:color="auto" w:fill="auto"/>
            <w:noWrap/>
            <w:vAlign w:val="bottom"/>
            <w:hideMark/>
          </w:tcPr>
          <w:p w14:paraId="3F56D844"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Communauté économique des Etats de l'Afrique de l'Ouest</w:t>
            </w:r>
          </w:p>
        </w:tc>
        <w:tc>
          <w:tcPr>
            <w:tcW w:w="1200" w:type="dxa"/>
            <w:shd w:val="clear" w:color="auto" w:fill="auto"/>
            <w:noWrap/>
            <w:vAlign w:val="bottom"/>
            <w:hideMark/>
          </w:tcPr>
          <w:p w14:paraId="01B36D0B"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5B6AE548"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3EE379E4" w14:textId="77777777" w:rsidTr="001756DA">
        <w:trPr>
          <w:trHeight w:val="300"/>
        </w:trPr>
        <w:tc>
          <w:tcPr>
            <w:tcW w:w="1200" w:type="dxa"/>
            <w:shd w:val="clear" w:color="auto" w:fill="auto"/>
            <w:noWrap/>
            <w:vAlign w:val="bottom"/>
            <w:hideMark/>
          </w:tcPr>
          <w:p w14:paraId="06AE8D21"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CEMAC</w:t>
            </w:r>
          </w:p>
        </w:tc>
        <w:tc>
          <w:tcPr>
            <w:tcW w:w="7200" w:type="dxa"/>
            <w:gridSpan w:val="5"/>
            <w:shd w:val="clear" w:color="auto" w:fill="auto"/>
            <w:noWrap/>
            <w:vAlign w:val="bottom"/>
            <w:hideMark/>
          </w:tcPr>
          <w:p w14:paraId="7168D492" w14:textId="77777777" w:rsidR="001756DA" w:rsidRPr="00944EE4" w:rsidRDefault="00880F37" w:rsidP="007041DA">
            <w:pPr>
              <w:rPr>
                <w:rFonts w:ascii="Times New Roman" w:eastAsia="Times New Roman" w:hAnsi="Times New Roman" w:cs="Times New Roman"/>
                <w:sz w:val="24"/>
                <w:szCs w:val="24"/>
                <w:lang w:eastAsia="fr-FR"/>
              </w:rPr>
            </w:pPr>
            <w:r w:rsidRPr="00944EE4">
              <w:rPr>
                <w:rFonts w:ascii="Times New Roman" w:eastAsia="Times New Roman" w:hAnsi="Times New Roman" w:cs="Times New Roman"/>
                <w:sz w:val="24"/>
                <w:szCs w:val="24"/>
                <w:lang w:eastAsia="fr-FR"/>
              </w:rPr>
              <w:t>Communauté Économique et Monétaire des Etats de l'Afrique Centrale </w:t>
            </w:r>
          </w:p>
        </w:tc>
        <w:tc>
          <w:tcPr>
            <w:tcW w:w="1200" w:type="dxa"/>
            <w:shd w:val="clear" w:color="auto" w:fill="auto"/>
            <w:noWrap/>
            <w:vAlign w:val="bottom"/>
            <w:hideMark/>
          </w:tcPr>
          <w:p w14:paraId="5DAFDDF9"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72330C37" w14:textId="77777777" w:rsidTr="001756DA">
        <w:trPr>
          <w:trHeight w:val="300"/>
        </w:trPr>
        <w:tc>
          <w:tcPr>
            <w:tcW w:w="1200" w:type="dxa"/>
            <w:shd w:val="clear" w:color="auto" w:fill="auto"/>
            <w:noWrap/>
            <w:vAlign w:val="bottom"/>
            <w:hideMark/>
          </w:tcPr>
          <w:p w14:paraId="37C7F0E7"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CNESOLER</w:t>
            </w:r>
          </w:p>
        </w:tc>
        <w:tc>
          <w:tcPr>
            <w:tcW w:w="7200" w:type="dxa"/>
            <w:gridSpan w:val="5"/>
            <w:shd w:val="clear" w:color="auto" w:fill="auto"/>
            <w:noWrap/>
            <w:vAlign w:val="bottom"/>
            <w:hideMark/>
          </w:tcPr>
          <w:p w14:paraId="0C7195ED" w14:textId="77777777" w:rsidR="001756DA" w:rsidRPr="00944EE4" w:rsidRDefault="00880F37" w:rsidP="007041DA">
            <w:pPr>
              <w:rPr>
                <w:rFonts w:ascii="Times New Roman" w:eastAsia="Times New Roman" w:hAnsi="Times New Roman" w:cs="Times New Roman"/>
                <w:sz w:val="24"/>
                <w:szCs w:val="24"/>
                <w:lang w:eastAsia="fr-FR"/>
              </w:rPr>
            </w:pPr>
            <w:r w:rsidRPr="00944EE4">
              <w:rPr>
                <w:rFonts w:ascii="Times New Roman" w:eastAsia="Times New Roman" w:hAnsi="Times New Roman" w:cs="Times New Roman"/>
                <w:sz w:val="24"/>
                <w:szCs w:val="24"/>
                <w:lang w:eastAsia="fr-FR"/>
              </w:rPr>
              <w:t>Centre National de l'Energie Solaire et des Energies Renouvelables</w:t>
            </w:r>
          </w:p>
        </w:tc>
        <w:tc>
          <w:tcPr>
            <w:tcW w:w="1200" w:type="dxa"/>
            <w:shd w:val="clear" w:color="auto" w:fill="auto"/>
            <w:noWrap/>
            <w:vAlign w:val="bottom"/>
            <w:hideMark/>
          </w:tcPr>
          <w:p w14:paraId="7C916DED"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7F4C1F85" w14:textId="77777777" w:rsidTr="001756DA">
        <w:trPr>
          <w:trHeight w:val="300"/>
        </w:trPr>
        <w:tc>
          <w:tcPr>
            <w:tcW w:w="1200" w:type="dxa"/>
            <w:shd w:val="clear" w:color="auto" w:fill="auto"/>
            <w:noWrap/>
            <w:vAlign w:val="bottom"/>
            <w:hideMark/>
          </w:tcPr>
          <w:p w14:paraId="2B688235"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 xml:space="preserve">CSCRP </w:t>
            </w:r>
          </w:p>
        </w:tc>
        <w:tc>
          <w:tcPr>
            <w:tcW w:w="7200" w:type="dxa"/>
            <w:gridSpan w:val="5"/>
            <w:shd w:val="clear" w:color="auto" w:fill="auto"/>
            <w:noWrap/>
            <w:vAlign w:val="bottom"/>
            <w:hideMark/>
          </w:tcPr>
          <w:p w14:paraId="6357F834"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Cadre Stratégique pour la Croissance et la Réduction de la Pauvreté</w:t>
            </w:r>
          </w:p>
        </w:tc>
        <w:tc>
          <w:tcPr>
            <w:tcW w:w="1200" w:type="dxa"/>
            <w:shd w:val="clear" w:color="auto" w:fill="auto"/>
            <w:noWrap/>
            <w:vAlign w:val="bottom"/>
            <w:hideMark/>
          </w:tcPr>
          <w:p w14:paraId="40D9D1A3"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3D79AFA0" w14:textId="77777777" w:rsidTr="001756DA">
        <w:trPr>
          <w:trHeight w:val="300"/>
        </w:trPr>
        <w:tc>
          <w:tcPr>
            <w:tcW w:w="1200" w:type="dxa"/>
            <w:shd w:val="clear" w:color="auto" w:fill="auto"/>
            <w:noWrap/>
            <w:vAlign w:val="bottom"/>
            <w:hideMark/>
          </w:tcPr>
          <w:p w14:paraId="26623232"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CSE</w:t>
            </w:r>
          </w:p>
        </w:tc>
        <w:tc>
          <w:tcPr>
            <w:tcW w:w="3600" w:type="dxa"/>
            <w:gridSpan w:val="2"/>
            <w:shd w:val="clear" w:color="auto" w:fill="auto"/>
            <w:noWrap/>
            <w:vAlign w:val="bottom"/>
            <w:hideMark/>
          </w:tcPr>
          <w:p w14:paraId="202C6BD4"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Comité de Suivi et d'Evaluation</w:t>
            </w:r>
          </w:p>
        </w:tc>
        <w:tc>
          <w:tcPr>
            <w:tcW w:w="1200" w:type="dxa"/>
            <w:shd w:val="clear" w:color="auto" w:fill="auto"/>
            <w:noWrap/>
            <w:vAlign w:val="bottom"/>
            <w:hideMark/>
          </w:tcPr>
          <w:p w14:paraId="63315850"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7715ED05"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1F32D19A"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7B9FD34A"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3FFCA8E6" w14:textId="77777777" w:rsidTr="001756DA">
        <w:trPr>
          <w:trHeight w:val="300"/>
        </w:trPr>
        <w:tc>
          <w:tcPr>
            <w:tcW w:w="1200" w:type="dxa"/>
            <w:shd w:val="clear" w:color="auto" w:fill="auto"/>
            <w:noWrap/>
            <w:vAlign w:val="bottom"/>
            <w:hideMark/>
          </w:tcPr>
          <w:p w14:paraId="00535CC7"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CTMS</w:t>
            </w:r>
          </w:p>
        </w:tc>
        <w:tc>
          <w:tcPr>
            <w:tcW w:w="4800" w:type="dxa"/>
            <w:gridSpan w:val="3"/>
            <w:shd w:val="clear" w:color="auto" w:fill="auto"/>
            <w:noWrap/>
            <w:vAlign w:val="bottom"/>
            <w:hideMark/>
          </w:tcPr>
          <w:p w14:paraId="191AF4FE"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Commission Technique Mixte de Sécurité</w:t>
            </w:r>
          </w:p>
        </w:tc>
        <w:tc>
          <w:tcPr>
            <w:tcW w:w="1200" w:type="dxa"/>
            <w:shd w:val="clear" w:color="auto" w:fill="auto"/>
            <w:noWrap/>
            <w:vAlign w:val="bottom"/>
            <w:hideMark/>
          </w:tcPr>
          <w:p w14:paraId="3A357EAE"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3149A938"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71ED8462"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6C85B4D8" w14:textId="77777777" w:rsidTr="001756DA">
        <w:trPr>
          <w:trHeight w:val="300"/>
        </w:trPr>
        <w:tc>
          <w:tcPr>
            <w:tcW w:w="1200" w:type="dxa"/>
            <w:shd w:val="clear" w:color="auto" w:fill="auto"/>
            <w:noWrap/>
            <w:vAlign w:val="bottom"/>
            <w:hideMark/>
          </w:tcPr>
          <w:p w14:paraId="5AE85ECA"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CVJR</w:t>
            </w:r>
          </w:p>
        </w:tc>
        <w:tc>
          <w:tcPr>
            <w:tcW w:w="4800" w:type="dxa"/>
            <w:gridSpan w:val="3"/>
            <w:shd w:val="clear" w:color="auto" w:fill="auto"/>
            <w:noWrap/>
            <w:vAlign w:val="bottom"/>
            <w:hideMark/>
          </w:tcPr>
          <w:p w14:paraId="1F89400E"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Commission Vérité, Justice, Réconciliation</w:t>
            </w:r>
          </w:p>
        </w:tc>
        <w:tc>
          <w:tcPr>
            <w:tcW w:w="1200" w:type="dxa"/>
            <w:shd w:val="clear" w:color="auto" w:fill="auto"/>
            <w:noWrap/>
            <w:vAlign w:val="bottom"/>
            <w:hideMark/>
          </w:tcPr>
          <w:p w14:paraId="6F6B164D"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7A43712B"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08597FBA"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458A0F77" w14:textId="77777777" w:rsidTr="001756DA">
        <w:trPr>
          <w:trHeight w:val="300"/>
        </w:trPr>
        <w:tc>
          <w:tcPr>
            <w:tcW w:w="1200" w:type="dxa"/>
            <w:shd w:val="clear" w:color="auto" w:fill="auto"/>
            <w:noWrap/>
            <w:vAlign w:val="bottom"/>
            <w:hideMark/>
          </w:tcPr>
          <w:p w14:paraId="6077BE19"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DDR</w:t>
            </w:r>
          </w:p>
        </w:tc>
        <w:tc>
          <w:tcPr>
            <w:tcW w:w="4800" w:type="dxa"/>
            <w:gridSpan w:val="3"/>
            <w:shd w:val="clear" w:color="auto" w:fill="auto"/>
            <w:noWrap/>
            <w:vAlign w:val="bottom"/>
            <w:hideMark/>
          </w:tcPr>
          <w:p w14:paraId="6CC4BA31"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Désarmement, Démobilisation, Réinsertion</w:t>
            </w:r>
          </w:p>
        </w:tc>
        <w:tc>
          <w:tcPr>
            <w:tcW w:w="1200" w:type="dxa"/>
            <w:shd w:val="clear" w:color="auto" w:fill="auto"/>
            <w:noWrap/>
            <w:vAlign w:val="bottom"/>
            <w:hideMark/>
          </w:tcPr>
          <w:p w14:paraId="5227E655"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5FBC2085"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4F387FC2"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19FEE5DA" w14:textId="77777777" w:rsidTr="001756DA">
        <w:trPr>
          <w:trHeight w:val="300"/>
        </w:trPr>
        <w:tc>
          <w:tcPr>
            <w:tcW w:w="1200" w:type="dxa"/>
            <w:shd w:val="clear" w:color="auto" w:fill="auto"/>
            <w:noWrap/>
            <w:vAlign w:val="bottom"/>
            <w:hideMark/>
          </w:tcPr>
          <w:p w14:paraId="5C8027D6"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EDSM</w:t>
            </w:r>
          </w:p>
        </w:tc>
        <w:tc>
          <w:tcPr>
            <w:tcW w:w="4800" w:type="dxa"/>
            <w:gridSpan w:val="3"/>
            <w:shd w:val="clear" w:color="auto" w:fill="auto"/>
            <w:noWrap/>
            <w:vAlign w:val="bottom"/>
            <w:hideMark/>
          </w:tcPr>
          <w:p w14:paraId="3B853441"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Enquête Démographique et de Santé du mali</w:t>
            </w:r>
          </w:p>
        </w:tc>
        <w:tc>
          <w:tcPr>
            <w:tcW w:w="1200" w:type="dxa"/>
            <w:shd w:val="clear" w:color="auto" w:fill="auto"/>
            <w:noWrap/>
            <w:vAlign w:val="bottom"/>
            <w:hideMark/>
          </w:tcPr>
          <w:p w14:paraId="00327098"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2A161591"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2C4624CF"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791EC909" w14:textId="77777777" w:rsidTr="001756DA">
        <w:trPr>
          <w:trHeight w:val="300"/>
        </w:trPr>
        <w:tc>
          <w:tcPr>
            <w:tcW w:w="1200" w:type="dxa"/>
            <w:shd w:val="clear" w:color="auto" w:fill="auto"/>
            <w:noWrap/>
            <w:vAlign w:val="bottom"/>
            <w:hideMark/>
          </w:tcPr>
          <w:p w14:paraId="62C4AF10"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EMOVs</w:t>
            </w:r>
          </w:p>
        </w:tc>
        <w:tc>
          <w:tcPr>
            <w:tcW w:w="4800" w:type="dxa"/>
            <w:gridSpan w:val="3"/>
            <w:shd w:val="clear" w:color="auto" w:fill="auto"/>
            <w:noWrap/>
            <w:vAlign w:val="bottom"/>
            <w:hideMark/>
          </w:tcPr>
          <w:p w14:paraId="2E7CF4F8"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Equipes Mixtes d'Observation et de Vérification</w:t>
            </w:r>
          </w:p>
        </w:tc>
        <w:tc>
          <w:tcPr>
            <w:tcW w:w="1200" w:type="dxa"/>
            <w:shd w:val="clear" w:color="auto" w:fill="auto"/>
            <w:noWrap/>
            <w:vAlign w:val="bottom"/>
            <w:hideMark/>
          </w:tcPr>
          <w:p w14:paraId="0ACEA71D"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34EDAEEB"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1D5C4DBB"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7BF9A78D" w14:textId="77777777" w:rsidTr="001756DA">
        <w:trPr>
          <w:trHeight w:val="300"/>
        </w:trPr>
        <w:tc>
          <w:tcPr>
            <w:tcW w:w="1200" w:type="dxa"/>
            <w:shd w:val="clear" w:color="auto" w:fill="auto"/>
            <w:noWrap/>
            <w:vAlign w:val="bottom"/>
            <w:hideMark/>
          </w:tcPr>
          <w:p w14:paraId="2D1350C3"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EPT</w:t>
            </w:r>
          </w:p>
        </w:tc>
        <w:tc>
          <w:tcPr>
            <w:tcW w:w="2400" w:type="dxa"/>
            <w:shd w:val="clear" w:color="auto" w:fill="auto"/>
            <w:noWrap/>
            <w:vAlign w:val="bottom"/>
            <w:hideMark/>
          </w:tcPr>
          <w:p w14:paraId="590E114B"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Education pour Tous</w:t>
            </w:r>
          </w:p>
        </w:tc>
        <w:tc>
          <w:tcPr>
            <w:tcW w:w="1200" w:type="dxa"/>
            <w:shd w:val="clear" w:color="auto" w:fill="auto"/>
            <w:noWrap/>
            <w:vAlign w:val="bottom"/>
            <w:hideMark/>
          </w:tcPr>
          <w:p w14:paraId="0BBA5CE4"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078A46DC"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5ECD29F5"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7FCF7324"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548135CC"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6AAE3DB0" w14:textId="77777777" w:rsidTr="001756DA">
        <w:trPr>
          <w:trHeight w:val="300"/>
        </w:trPr>
        <w:tc>
          <w:tcPr>
            <w:tcW w:w="1200" w:type="dxa"/>
            <w:shd w:val="clear" w:color="auto" w:fill="auto"/>
            <w:noWrap/>
            <w:vAlign w:val="bottom"/>
            <w:hideMark/>
          </w:tcPr>
          <w:p w14:paraId="339DC143"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HCUA</w:t>
            </w:r>
          </w:p>
        </w:tc>
        <w:tc>
          <w:tcPr>
            <w:tcW w:w="3600" w:type="dxa"/>
            <w:gridSpan w:val="2"/>
            <w:shd w:val="clear" w:color="auto" w:fill="auto"/>
            <w:noWrap/>
            <w:vAlign w:val="bottom"/>
            <w:hideMark/>
          </w:tcPr>
          <w:p w14:paraId="460BF6B0"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Haut Conseil pour l'Unité de l'Azawad</w:t>
            </w:r>
          </w:p>
        </w:tc>
        <w:tc>
          <w:tcPr>
            <w:tcW w:w="1200" w:type="dxa"/>
            <w:shd w:val="clear" w:color="auto" w:fill="auto"/>
            <w:noWrap/>
            <w:vAlign w:val="bottom"/>
            <w:hideMark/>
          </w:tcPr>
          <w:p w14:paraId="5403A57D"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2AF0874D"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6883551C"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1164FF99"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6387F92C" w14:textId="77777777" w:rsidTr="001756DA">
        <w:trPr>
          <w:trHeight w:val="300"/>
        </w:trPr>
        <w:tc>
          <w:tcPr>
            <w:tcW w:w="1200" w:type="dxa"/>
            <w:shd w:val="clear" w:color="auto" w:fill="auto"/>
            <w:noWrap/>
            <w:vAlign w:val="bottom"/>
            <w:hideMark/>
          </w:tcPr>
          <w:p w14:paraId="3981701D"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MAA</w:t>
            </w:r>
          </w:p>
        </w:tc>
        <w:tc>
          <w:tcPr>
            <w:tcW w:w="3600" w:type="dxa"/>
            <w:gridSpan w:val="2"/>
            <w:shd w:val="clear" w:color="auto" w:fill="auto"/>
            <w:noWrap/>
            <w:vAlign w:val="bottom"/>
            <w:hideMark/>
          </w:tcPr>
          <w:p w14:paraId="35B6E6F2"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Mouvement Arabe de l'Azawad</w:t>
            </w:r>
          </w:p>
        </w:tc>
        <w:tc>
          <w:tcPr>
            <w:tcW w:w="1200" w:type="dxa"/>
            <w:shd w:val="clear" w:color="auto" w:fill="auto"/>
            <w:noWrap/>
            <w:vAlign w:val="bottom"/>
            <w:hideMark/>
          </w:tcPr>
          <w:p w14:paraId="44C6A6A8"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13F46595"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21E9C3D9"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200B1095"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6C56766B" w14:textId="77777777" w:rsidTr="001756DA">
        <w:trPr>
          <w:trHeight w:val="300"/>
        </w:trPr>
        <w:tc>
          <w:tcPr>
            <w:tcW w:w="1200" w:type="dxa"/>
            <w:shd w:val="clear" w:color="auto" w:fill="auto"/>
            <w:noWrap/>
            <w:vAlign w:val="bottom"/>
            <w:hideMark/>
          </w:tcPr>
          <w:p w14:paraId="726EED0A"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MICS-ELIM</w:t>
            </w:r>
          </w:p>
        </w:tc>
        <w:tc>
          <w:tcPr>
            <w:tcW w:w="7200" w:type="dxa"/>
            <w:gridSpan w:val="5"/>
            <w:shd w:val="clear" w:color="auto" w:fill="auto"/>
            <w:noWrap/>
            <w:vAlign w:val="bottom"/>
            <w:hideMark/>
          </w:tcPr>
          <w:p w14:paraId="24889398" w14:textId="77777777" w:rsidR="001756DA" w:rsidRPr="00944EE4" w:rsidRDefault="00880F37" w:rsidP="007041DA">
            <w:pPr>
              <w:rPr>
                <w:rFonts w:ascii="Times New Roman" w:eastAsia="Times New Roman" w:hAnsi="Times New Roman" w:cs="Times New Roman"/>
                <w:sz w:val="24"/>
                <w:szCs w:val="24"/>
                <w:lang w:eastAsia="fr-FR"/>
              </w:rPr>
            </w:pPr>
            <w:r w:rsidRPr="00944EE4">
              <w:rPr>
                <w:rFonts w:ascii="Times New Roman" w:eastAsia="Times New Roman" w:hAnsi="Times New Roman" w:cs="Times New Roman"/>
                <w:sz w:val="24"/>
                <w:szCs w:val="24"/>
                <w:lang w:eastAsia="fr-FR"/>
              </w:rPr>
              <w:t> Enquête par Grappe à Indicateurs Multiples et de Dépenses des Ménages</w:t>
            </w:r>
          </w:p>
        </w:tc>
        <w:tc>
          <w:tcPr>
            <w:tcW w:w="1200" w:type="dxa"/>
            <w:shd w:val="clear" w:color="auto" w:fill="auto"/>
            <w:noWrap/>
            <w:vAlign w:val="bottom"/>
            <w:hideMark/>
          </w:tcPr>
          <w:p w14:paraId="2692E48B"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723006E8" w14:textId="77777777" w:rsidTr="001756DA">
        <w:trPr>
          <w:trHeight w:val="300"/>
        </w:trPr>
        <w:tc>
          <w:tcPr>
            <w:tcW w:w="1200" w:type="dxa"/>
            <w:shd w:val="clear" w:color="auto" w:fill="auto"/>
            <w:noWrap/>
            <w:vAlign w:val="bottom"/>
            <w:hideMark/>
          </w:tcPr>
          <w:p w14:paraId="4C09E37A"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MINUSMA</w:t>
            </w:r>
          </w:p>
        </w:tc>
        <w:tc>
          <w:tcPr>
            <w:tcW w:w="8400" w:type="dxa"/>
            <w:gridSpan w:val="6"/>
            <w:shd w:val="clear" w:color="auto" w:fill="auto"/>
            <w:noWrap/>
            <w:vAlign w:val="bottom"/>
            <w:hideMark/>
          </w:tcPr>
          <w:p w14:paraId="32689BDC"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Mission multidimensionnelle intégrée des Nations Unies pour la stabilisation au Mali</w:t>
            </w:r>
          </w:p>
        </w:tc>
      </w:tr>
      <w:tr w:rsidR="001756DA" w:rsidRPr="00944EE4" w14:paraId="7E1D8D84" w14:textId="77777777" w:rsidTr="001756DA">
        <w:trPr>
          <w:trHeight w:val="300"/>
        </w:trPr>
        <w:tc>
          <w:tcPr>
            <w:tcW w:w="1200" w:type="dxa"/>
            <w:shd w:val="clear" w:color="auto" w:fill="auto"/>
            <w:noWrap/>
            <w:vAlign w:val="bottom"/>
            <w:hideMark/>
          </w:tcPr>
          <w:p w14:paraId="3785F721"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MNLA</w:t>
            </w:r>
          </w:p>
        </w:tc>
        <w:tc>
          <w:tcPr>
            <w:tcW w:w="4800" w:type="dxa"/>
            <w:gridSpan w:val="3"/>
            <w:shd w:val="clear" w:color="auto" w:fill="auto"/>
            <w:noWrap/>
            <w:vAlign w:val="bottom"/>
            <w:hideMark/>
          </w:tcPr>
          <w:p w14:paraId="296688C7"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Mouvement National de Libération de l'Azawad</w:t>
            </w:r>
          </w:p>
        </w:tc>
        <w:tc>
          <w:tcPr>
            <w:tcW w:w="1200" w:type="dxa"/>
            <w:shd w:val="clear" w:color="auto" w:fill="auto"/>
            <w:noWrap/>
            <w:vAlign w:val="bottom"/>
            <w:hideMark/>
          </w:tcPr>
          <w:p w14:paraId="5D9A0153"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7831AE7B"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24FFA304"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1F0FF4C6" w14:textId="77777777" w:rsidTr="001756DA">
        <w:trPr>
          <w:trHeight w:val="300"/>
        </w:trPr>
        <w:tc>
          <w:tcPr>
            <w:tcW w:w="1200" w:type="dxa"/>
            <w:shd w:val="clear" w:color="auto" w:fill="auto"/>
            <w:noWrap/>
            <w:vAlign w:val="bottom"/>
            <w:hideMark/>
          </w:tcPr>
          <w:p w14:paraId="4ECB0294"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NEPAD</w:t>
            </w:r>
          </w:p>
        </w:tc>
        <w:tc>
          <w:tcPr>
            <w:tcW w:w="6000" w:type="dxa"/>
            <w:gridSpan w:val="4"/>
            <w:shd w:val="clear" w:color="auto" w:fill="auto"/>
            <w:noWrap/>
            <w:vAlign w:val="bottom"/>
            <w:hideMark/>
          </w:tcPr>
          <w:p w14:paraId="5D2ECAE5" w14:textId="77777777" w:rsidR="001756DA" w:rsidRPr="00944EE4" w:rsidRDefault="00880F37" w:rsidP="007041DA">
            <w:pPr>
              <w:rPr>
                <w:rFonts w:ascii="Times New Roman" w:eastAsia="Times New Roman" w:hAnsi="Times New Roman" w:cs="Times New Roman"/>
                <w:sz w:val="24"/>
                <w:szCs w:val="24"/>
                <w:lang w:eastAsia="fr-FR"/>
              </w:rPr>
            </w:pPr>
            <w:r w:rsidRPr="00944EE4">
              <w:rPr>
                <w:rFonts w:ascii="Times New Roman" w:eastAsia="Times New Roman" w:hAnsi="Times New Roman" w:cs="Times New Roman"/>
                <w:sz w:val="24"/>
                <w:szCs w:val="24"/>
                <w:lang w:eastAsia="fr-FR"/>
              </w:rPr>
              <w:t>Nouveau Partenariat pour le Développement de l'Afrique</w:t>
            </w:r>
          </w:p>
        </w:tc>
        <w:tc>
          <w:tcPr>
            <w:tcW w:w="1200" w:type="dxa"/>
            <w:shd w:val="clear" w:color="auto" w:fill="auto"/>
            <w:noWrap/>
            <w:vAlign w:val="bottom"/>
            <w:hideMark/>
          </w:tcPr>
          <w:p w14:paraId="672A98F1"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683A4903"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46903A12" w14:textId="77777777" w:rsidTr="001756DA">
        <w:trPr>
          <w:trHeight w:val="300"/>
        </w:trPr>
        <w:tc>
          <w:tcPr>
            <w:tcW w:w="1200" w:type="dxa"/>
            <w:shd w:val="clear" w:color="auto" w:fill="auto"/>
            <w:noWrap/>
            <w:vAlign w:val="bottom"/>
            <w:hideMark/>
          </w:tcPr>
          <w:p w14:paraId="422E0CFF"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ODD</w:t>
            </w:r>
          </w:p>
        </w:tc>
        <w:tc>
          <w:tcPr>
            <w:tcW w:w="4800" w:type="dxa"/>
            <w:gridSpan w:val="3"/>
            <w:shd w:val="clear" w:color="auto" w:fill="auto"/>
            <w:noWrap/>
            <w:vAlign w:val="bottom"/>
            <w:hideMark/>
          </w:tcPr>
          <w:p w14:paraId="7BB56DE5"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Objectifs de Développement Durables</w:t>
            </w:r>
          </w:p>
        </w:tc>
        <w:tc>
          <w:tcPr>
            <w:tcW w:w="1200" w:type="dxa"/>
            <w:shd w:val="clear" w:color="auto" w:fill="auto"/>
            <w:noWrap/>
            <w:vAlign w:val="bottom"/>
            <w:hideMark/>
          </w:tcPr>
          <w:p w14:paraId="7A45F388"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689CA6A9"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5CB27DC8"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3AB0C4B7" w14:textId="77777777" w:rsidTr="001756DA">
        <w:trPr>
          <w:trHeight w:val="300"/>
        </w:trPr>
        <w:tc>
          <w:tcPr>
            <w:tcW w:w="1200" w:type="dxa"/>
            <w:shd w:val="clear" w:color="auto" w:fill="auto"/>
            <w:noWrap/>
            <w:vAlign w:val="bottom"/>
            <w:hideMark/>
          </w:tcPr>
          <w:p w14:paraId="2610AB45"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ODHD</w:t>
            </w:r>
          </w:p>
        </w:tc>
        <w:tc>
          <w:tcPr>
            <w:tcW w:w="4800" w:type="dxa"/>
            <w:gridSpan w:val="3"/>
            <w:shd w:val="clear" w:color="auto" w:fill="auto"/>
            <w:noWrap/>
            <w:vAlign w:val="bottom"/>
            <w:hideMark/>
          </w:tcPr>
          <w:p w14:paraId="68872AAA" w14:textId="77777777" w:rsidR="001756DA" w:rsidRPr="00944EE4" w:rsidRDefault="00880F37" w:rsidP="007041DA">
            <w:pPr>
              <w:rPr>
                <w:rFonts w:ascii="Times New Roman" w:eastAsia="Times New Roman" w:hAnsi="Times New Roman" w:cs="Times New Roman"/>
                <w:sz w:val="24"/>
                <w:szCs w:val="24"/>
                <w:lang w:eastAsia="fr-FR"/>
              </w:rPr>
            </w:pPr>
            <w:r w:rsidRPr="00944EE4">
              <w:rPr>
                <w:rFonts w:ascii="Times New Roman" w:eastAsia="Times New Roman" w:hAnsi="Times New Roman" w:cs="Times New Roman"/>
                <w:sz w:val="24"/>
                <w:szCs w:val="24"/>
                <w:lang w:eastAsia="fr-FR"/>
              </w:rPr>
              <w:t>Observatoire du Développement Humain Durable</w:t>
            </w:r>
          </w:p>
        </w:tc>
        <w:tc>
          <w:tcPr>
            <w:tcW w:w="1200" w:type="dxa"/>
            <w:shd w:val="clear" w:color="auto" w:fill="auto"/>
            <w:noWrap/>
            <w:vAlign w:val="bottom"/>
            <w:hideMark/>
          </w:tcPr>
          <w:p w14:paraId="247CA93B"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5D74FE5E"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6C4F565B"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5C4E5961" w14:textId="77777777" w:rsidTr="001756DA">
        <w:trPr>
          <w:trHeight w:val="300"/>
        </w:trPr>
        <w:tc>
          <w:tcPr>
            <w:tcW w:w="1200" w:type="dxa"/>
            <w:shd w:val="clear" w:color="auto" w:fill="auto"/>
            <w:noWrap/>
            <w:vAlign w:val="bottom"/>
            <w:hideMark/>
          </w:tcPr>
          <w:p w14:paraId="2A776A70"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OGE</w:t>
            </w:r>
          </w:p>
        </w:tc>
        <w:tc>
          <w:tcPr>
            <w:tcW w:w="3600" w:type="dxa"/>
            <w:gridSpan w:val="2"/>
            <w:shd w:val="clear" w:color="auto" w:fill="auto"/>
            <w:noWrap/>
            <w:vAlign w:val="bottom"/>
            <w:hideMark/>
          </w:tcPr>
          <w:p w14:paraId="423B08E1"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Organisme de Gestion des Elections</w:t>
            </w:r>
          </w:p>
        </w:tc>
        <w:tc>
          <w:tcPr>
            <w:tcW w:w="1200" w:type="dxa"/>
            <w:shd w:val="clear" w:color="auto" w:fill="auto"/>
            <w:noWrap/>
            <w:vAlign w:val="bottom"/>
            <w:hideMark/>
          </w:tcPr>
          <w:p w14:paraId="6DD0706F"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70764436"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0423CF6C"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6CD902D3"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73D06C86" w14:textId="77777777" w:rsidTr="001756DA">
        <w:trPr>
          <w:trHeight w:val="300"/>
        </w:trPr>
        <w:tc>
          <w:tcPr>
            <w:tcW w:w="1200" w:type="dxa"/>
            <w:shd w:val="clear" w:color="auto" w:fill="auto"/>
            <w:noWrap/>
            <w:vAlign w:val="bottom"/>
            <w:hideMark/>
          </w:tcPr>
          <w:p w14:paraId="44C7BA7A"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 xml:space="preserve">OMD </w:t>
            </w:r>
          </w:p>
        </w:tc>
        <w:tc>
          <w:tcPr>
            <w:tcW w:w="4800" w:type="dxa"/>
            <w:gridSpan w:val="3"/>
            <w:shd w:val="clear" w:color="auto" w:fill="auto"/>
            <w:noWrap/>
            <w:vAlign w:val="bottom"/>
            <w:hideMark/>
          </w:tcPr>
          <w:p w14:paraId="3D49A4CD"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Objectifs du Millénaire pour le Développement</w:t>
            </w:r>
          </w:p>
        </w:tc>
        <w:tc>
          <w:tcPr>
            <w:tcW w:w="1200" w:type="dxa"/>
            <w:shd w:val="clear" w:color="auto" w:fill="auto"/>
            <w:noWrap/>
            <w:vAlign w:val="bottom"/>
            <w:hideMark/>
          </w:tcPr>
          <w:p w14:paraId="4D441514"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47E97A7B"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630C8ED5"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3DB93D25" w14:textId="77777777" w:rsidTr="001756DA">
        <w:trPr>
          <w:trHeight w:val="300"/>
        </w:trPr>
        <w:tc>
          <w:tcPr>
            <w:tcW w:w="1200" w:type="dxa"/>
            <w:shd w:val="clear" w:color="auto" w:fill="auto"/>
            <w:noWrap/>
            <w:vAlign w:val="bottom"/>
            <w:hideMark/>
          </w:tcPr>
          <w:p w14:paraId="1DE04725"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OSC</w:t>
            </w:r>
          </w:p>
        </w:tc>
        <w:tc>
          <w:tcPr>
            <w:tcW w:w="3600" w:type="dxa"/>
            <w:gridSpan w:val="2"/>
            <w:shd w:val="clear" w:color="auto" w:fill="auto"/>
            <w:noWrap/>
            <w:vAlign w:val="bottom"/>
            <w:hideMark/>
          </w:tcPr>
          <w:p w14:paraId="401610A9"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Organisation de la Société Civile</w:t>
            </w:r>
          </w:p>
        </w:tc>
        <w:tc>
          <w:tcPr>
            <w:tcW w:w="1200" w:type="dxa"/>
            <w:shd w:val="clear" w:color="auto" w:fill="auto"/>
            <w:noWrap/>
            <w:vAlign w:val="bottom"/>
            <w:hideMark/>
          </w:tcPr>
          <w:p w14:paraId="298A0268"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2E8B0F8C"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27E03771"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5FBBABC3"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321319DF" w14:textId="77777777" w:rsidTr="001756DA">
        <w:trPr>
          <w:trHeight w:val="300"/>
        </w:trPr>
        <w:tc>
          <w:tcPr>
            <w:tcW w:w="1200" w:type="dxa"/>
            <w:shd w:val="clear" w:color="auto" w:fill="auto"/>
            <w:noWrap/>
            <w:vAlign w:val="bottom"/>
            <w:hideMark/>
          </w:tcPr>
          <w:p w14:paraId="066B7E1A"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 xml:space="preserve">PAG </w:t>
            </w:r>
          </w:p>
        </w:tc>
        <w:tc>
          <w:tcPr>
            <w:tcW w:w="4800" w:type="dxa"/>
            <w:gridSpan w:val="3"/>
            <w:shd w:val="clear" w:color="auto" w:fill="auto"/>
            <w:noWrap/>
            <w:vAlign w:val="bottom"/>
            <w:hideMark/>
          </w:tcPr>
          <w:p w14:paraId="64D14DC3"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Programme d'Actions du Gouvernement</w:t>
            </w:r>
          </w:p>
        </w:tc>
        <w:tc>
          <w:tcPr>
            <w:tcW w:w="1200" w:type="dxa"/>
            <w:shd w:val="clear" w:color="auto" w:fill="auto"/>
            <w:noWrap/>
            <w:vAlign w:val="bottom"/>
            <w:hideMark/>
          </w:tcPr>
          <w:p w14:paraId="4CA11305"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5A639735"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39ACB7C7"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75B22EAA" w14:textId="77777777" w:rsidTr="001756DA">
        <w:trPr>
          <w:trHeight w:val="300"/>
        </w:trPr>
        <w:tc>
          <w:tcPr>
            <w:tcW w:w="1200" w:type="dxa"/>
            <w:shd w:val="clear" w:color="auto" w:fill="auto"/>
            <w:noWrap/>
            <w:vAlign w:val="bottom"/>
            <w:hideMark/>
          </w:tcPr>
          <w:p w14:paraId="21D44BEB"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PRED</w:t>
            </w:r>
          </w:p>
        </w:tc>
        <w:tc>
          <w:tcPr>
            <w:tcW w:w="2400" w:type="dxa"/>
            <w:shd w:val="clear" w:color="auto" w:fill="auto"/>
            <w:noWrap/>
            <w:vAlign w:val="bottom"/>
            <w:hideMark/>
          </w:tcPr>
          <w:p w14:paraId="687129EB"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Plan de relance durable</w:t>
            </w:r>
          </w:p>
        </w:tc>
        <w:tc>
          <w:tcPr>
            <w:tcW w:w="1200" w:type="dxa"/>
            <w:shd w:val="clear" w:color="auto" w:fill="auto"/>
            <w:noWrap/>
            <w:vAlign w:val="bottom"/>
            <w:hideMark/>
          </w:tcPr>
          <w:p w14:paraId="58621B60"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46C10725"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763BE50A"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72CE9F39"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7BBF51CD"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296C2654" w14:textId="77777777" w:rsidTr="001756DA">
        <w:trPr>
          <w:trHeight w:val="300"/>
        </w:trPr>
        <w:tc>
          <w:tcPr>
            <w:tcW w:w="1200" w:type="dxa"/>
            <w:shd w:val="clear" w:color="auto" w:fill="auto"/>
            <w:noWrap/>
            <w:vAlign w:val="bottom"/>
            <w:hideMark/>
          </w:tcPr>
          <w:p w14:paraId="4FB52013"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RGPH</w:t>
            </w:r>
          </w:p>
        </w:tc>
        <w:tc>
          <w:tcPr>
            <w:tcW w:w="6000" w:type="dxa"/>
            <w:gridSpan w:val="4"/>
            <w:shd w:val="clear" w:color="auto" w:fill="auto"/>
            <w:noWrap/>
            <w:vAlign w:val="bottom"/>
            <w:hideMark/>
          </w:tcPr>
          <w:p w14:paraId="729C5D87"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Recensement Général de la Population et de l'Habitat</w:t>
            </w:r>
          </w:p>
        </w:tc>
        <w:tc>
          <w:tcPr>
            <w:tcW w:w="1200" w:type="dxa"/>
            <w:shd w:val="clear" w:color="auto" w:fill="auto"/>
            <w:noWrap/>
            <w:vAlign w:val="bottom"/>
            <w:hideMark/>
          </w:tcPr>
          <w:p w14:paraId="73BD0212"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35055A76"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1D14A9E9" w14:textId="77777777" w:rsidTr="001756DA">
        <w:trPr>
          <w:trHeight w:val="300"/>
        </w:trPr>
        <w:tc>
          <w:tcPr>
            <w:tcW w:w="1200" w:type="dxa"/>
            <w:shd w:val="clear" w:color="auto" w:fill="auto"/>
            <w:noWrap/>
            <w:vAlign w:val="bottom"/>
            <w:hideMark/>
          </w:tcPr>
          <w:p w14:paraId="3507269A"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RRC</w:t>
            </w:r>
          </w:p>
        </w:tc>
        <w:tc>
          <w:tcPr>
            <w:tcW w:w="4800" w:type="dxa"/>
            <w:gridSpan w:val="3"/>
            <w:shd w:val="clear" w:color="auto" w:fill="auto"/>
            <w:noWrap/>
            <w:vAlign w:val="bottom"/>
            <w:hideMark/>
          </w:tcPr>
          <w:p w14:paraId="6E60C3B9"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Réduction des Risques de Catastrophe</w:t>
            </w:r>
          </w:p>
        </w:tc>
        <w:tc>
          <w:tcPr>
            <w:tcW w:w="1200" w:type="dxa"/>
            <w:shd w:val="clear" w:color="auto" w:fill="auto"/>
            <w:noWrap/>
            <w:vAlign w:val="bottom"/>
            <w:hideMark/>
          </w:tcPr>
          <w:p w14:paraId="114191FC"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1B8A3B1A"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210A2405"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5E2DD5CC" w14:textId="77777777" w:rsidTr="001756DA">
        <w:trPr>
          <w:trHeight w:val="300"/>
        </w:trPr>
        <w:tc>
          <w:tcPr>
            <w:tcW w:w="1200" w:type="dxa"/>
            <w:shd w:val="clear" w:color="auto" w:fill="auto"/>
            <w:noWrap/>
            <w:vAlign w:val="bottom"/>
            <w:hideMark/>
          </w:tcPr>
          <w:p w14:paraId="3CC71E2B"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SFD</w:t>
            </w:r>
          </w:p>
        </w:tc>
        <w:tc>
          <w:tcPr>
            <w:tcW w:w="4800" w:type="dxa"/>
            <w:gridSpan w:val="3"/>
            <w:shd w:val="clear" w:color="auto" w:fill="auto"/>
            <w:noWrap/>
            <w:vAlign w:val="center"/>
            <w:hideMark/>
          </w:tcPr>
          <w:p w14:paraId="3DDD3F3F"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xml:space="preserve">Structures de financements décentralisés </w:t>
            </w:r>
          </w:p>
        </w:tc>
        <w:tc>
          <w:tcPr>
            <w:tcW w:w="1200" w:type="dxa"/>
            <w:shd w:val="clear" w:color="auto" w:fill="auto"/>
            <w:noWrap/>
            <w:vAlign w:val="bottom"/>
            <w:hideMark/>
          </w:tcPr>
          <w:p w14:paraId="6BD035BE"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2DAA9C68"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053F084B"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60EBE665" w14:textId="77777777" w:rsidTr="001756DA">
        <w:trPr>
          <w:trHeight w:val="300"/>
        </w:trPr>
        <w:tc>
          <w:tcPr>
            <w:tcW w:w="1200" w:type="dxa"/>
            <w:shd w:val="clear" w:color="auto" w:fill="auto"/>
            <w:noWrap/>
            <w:vAlign w:val="bottom"/>
            <w:hideMark/>
          </w:tcPr>
          <w:p w14:paraId="1F6FE7ED"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UA</w:t>
            </w:r>
          </w:p>
        </w:tc>
        <w:tc>
          <w:tcPr>
            <w:tcW w:w="2400" w:type="dxa"/>
            <w:shd w:val="clear" w:color="auto" w:fill="auto"/>
            <w:noWrap/>
            <w:vAlign w:val="bottom"/>
            <w:hideMark/>
          </w:tcPr>
          <w:p w14:paraId="23212965"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Union Africaine</w:t>
            </w:r>
          </w:p>
        </w:tc>
        <w:tc>
          <w:tcPr>
            <w:tcW w:w="1200" w:type="dxa"/>
            <w:shd w:val="clear" w:color="auto" w:fill="auto"/>
            <w:noWrap/>
            <w:vAlign w:val="bottom"/>
            <w:hideMark/>
          </w:tcPr>
          <w:p w14:paraId="4A3DC74E"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3F13DD58"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781F42EB"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62573C49"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47B0B3BB"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021CFA93" w14:textId="77777777" w:rsidTr="001756DA">
        <w:trPr>
          <w:trHeight w:val="300"/>
        </w:trPr>
        <w:tc>
          <w:tcPr>
            <w:tcW w:w="1200" w:type="dxa"/>
            <w:shd w:val="clear" w:color="auto" w:fill="auto"/>
            <w:noWrap/>
            <w:vAlign w:val="bottom"/>
            <w:hideMark/>
          </w:tcPr>
          <w:p w14:paraId="54F2AC3F"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UEMOA</w:t>
            </w:r>
          </w:p>
        </w:tc>
        <w:tc>
          <w:tcPr>
            <w:tcW w:w="4800" w:type="dxa"/>
            <w:gridSpan w:val="3"/>
            <w:shd w:val="clear" w:color="auto" w:fill="auto"/>
            <w:noWrap/>
            <w:vAlign w:val="bottom"/>
            <w:hideMark/>
          </w:tcPr>
          <w:p w14:paraId="7CC6DAE1"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Union Economique et Monétaire Ouest Africaine</w:t>
            </w:r>
          </w:p>
        </w:tc>
        <w:tc>
          <w:tcPr>
            <w:tcW w:w="1200" w:type="dxa"/>
            <w:shd w:val="clear" w:color="auto" w:fill="auto"/>
            <w:noWrap/>
            <w:vAlign w:val="bottom"/>
            <w:hideMark/>
          </w:tcPr>
          <w:p w14:paraId="73C7DC73"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55612B93" w14:textId="77777777" w:rsidR="001756DA" w:rsidRPr="00944EE4" w:rsidRDefault="001756DA" w:rsidP="007041DA">
            <w:pPr>
              <w:rPr>
                <w:rFonts w:ascii="Times New Roman" w:eastAsia="Times New Roman" w:hAnsi="Times New Roman" w:cs="Times New Roman"/>
                <w:color w:val="000000"/>
                <w:sz w:val="24"/>
                <w:szCs w:val="24"/>
                <w:lang w:eastAsia="fr-FR"/>
              </w:rPr>
            </w:pPr>
          </w:p>
        </w:tc>
        <w:tc>
          <w:tcPr>
            <w:tcW w:w="1200" w:type="dxa"/>
            <w:shd w:val="clear" w:color="auto" w:fill="auto"/>
            <w:noWrap/>
            <w:vAlign w:val="bottom"/>
            <w:hideMark/>
          </w:tcPr>
          <w:p w14:paraId="0BD193BA"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r w:rsidR="001756DA" w:rsidRPr="00944EE4" w14:paraId="533512E4" w14:textId="77777777" w:rsidTr="001756DA">
        <w:trPr>
          <w:trHeight w:val="300"/>
        </w:trPr>
        <w:tc>
          <w:tcPr>
            <w:tcW w:w="1200" w:type="dxa"/>
            <w:shd w:val="clear" w:color="auto" w:fill="auto"/>
            <w:noWrap/>
            <w:vAlign w:val="bottom"/>
            <w:hideMark/>
          </w:tcPr>
          <w:p w14:paraId="2CC58F21" w14:textId="77777777" w:rsidR="001756DA" w:rsidRPr="00944EE4" w:rsidRDefault="00880F37" w:rsidP="007041DA">
            <w:pPr>
              <w:rPr>
                <w:rFonts w:ascii="Times New Roman" w:eastAsia="Times New Roman" w:hAnsi="Times New Roman" w:cs="Times New Roman"/>
                <w:b/>
                <w:color w:val="244061" w:themeColor="accent1" w:themeShade="80"/>
                <w:sz w:val="24"/>
                <w:szCs w:val="24"/>
                <w:lang w:eastAsia="fr-FR"/>
              </w:rPr>
            </w:pPr>
            <w:r w:rsidRPr="00944EE4">
              <w:rPr>
                <w:rFonts w:ascii="Times New Roman" w:eastAsia="Times New Roman" w:hAnsi="Times New Roman" w:cs="Times New Roman"/>
                <w:b/>
                <w:color w:val="244061" w:themeColor="accent1" w:themeShade="80"/>
                <w:sz w:val="24"/>
                <w:szCs w:val="24"/>
                <w:lang w:eastAsia="fr-FR"/>
              </w:rPr>
              <w:t xml:space="preserve">UNDAF </w:t>
            </w:r>
          </w:p>
        </w:tc>
        <w:tc>
          <w:tcPr>
            <w:tcW w:w="6000" w:type="dxa"/>
            <w:gridSpan w:val="4"/>
            <w:shd w:val="clear" w:color="auto" w:fill="auto"/>
            <w:noWrap/>
            <w:vAlign w:val="bottom"/>
            <w:hideMark/>
          </w:tcPr>
          <w:p w14:paraId="3210A189"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Plan des Nations Unies pour l'Aide au Développement</w:t>
            </w:r>
          </w:p>
        </w:tc>
        <w:tc>
          <w:tcPr>
            <w:tcW w:w="1200" w:type="dxa"/>
            <w:shd w:val="clear" w:color="auto" w:fill="auto"/>
            <w:noWrap/>
            <w:vAlign w:val="bottom"/>
            <w:hideMark/>
          </w:tcPr>
          <w:p w14:paraId="4311C642"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c>
          <w:tcPr>
            <w:tcW w:w="1200" w:type="dxa"/>
            <w:shd w:val="clear" w:color="auto" w:fill="auto"/>
            <w:noWrap/>
            <w:vAlign w:val="bottom"/>
            <w:hideMark/>
          </w:tcPr>
          <w:p w14:paraId="1BEFA261" w14:textId="77777777" w:rsidR="001756DA" w:rsidRPr="00944EE4" w:rsidRDefault="00880F37" w:rsidP="007041DA">
            <w:pPr>
              <w:rPr>
                <w:rFonts w:ascii="Times New Roman" w:eastAsia="Times New Roman" w:hAnsi="Times New Roman" w:cs="Times New Roman"/>
                <w:color w:val="000000"/>
                <w:sz w:val="24"/>
                <w:szCs w:val="24"/>
                <w:lang w:eastAsia="fr-FR"/>
              </w:rPr>
            </w:pPr>
            <w:r w:rsidRPr="00944EE4">
              <w:rPr>
                <w:rFonts w:ascii="Times New Roman" w:eastAsia="Times New Roman" w:hAnsi="Times New Roman" w:cs="Times New Roman"/>
                <w:color w:val="000000"/>
                <w:sz w:val="24"/>
                <w:szCs w:val="24"/>
                <w:lang w:eastAsia="fr-FR"/>
              </w:rPr>
              <w:t> </w:t>
            </w:r>
          </w:p>
        </w:tc>
      </w:tr>
    </w:tbl>
    <w:sdt>
      <w:sdtPr>
        <w:rPr>
          <w:rFonts w:ascii="Times New Roman" w:eastAsiaTheme="minorHAnsi" w:hAnsi="Times New Roman" w:cs="Times New Roman"/>
          <w:b w:val="0"/>
          <w:bCs w:val="0"/>
          <w:color w:val="auto"/>
          <w:sz w:val="24"/>
          <w:szCs w:val="24"/>
          <w:lang w:eastAsia="en-US"/>
        </w:rPr>
        <w:id w:val="266854579"/>
        <w:docPartObj>
          <w:docPartGallery w:val="Table of Contents"/>
          <w:docPartUnique/>
        </w:docPartObj>
      </w:sdtPr>
      <w:sdtContent>
        <w:p w14:paraId="1496AAD6" w14:textId="77777777" w:rsidR="00AA53AB" w:rsidRPr="00944EE4" w:rsidRDefault="00AA53AB">
          <w:pPr>
            <w:pStyle w:val="En-ttedetabledesmatires"/>
            <w:rPr>
              <w:rFonts w:ascii="Times New Roman" w:hAnsi="Times New Roman" w:cs="Times New Roman"/>
              <w:sz w:val="24"/>
              <w:szCs w:val="24"/>
            </w:rPr>
          </w:pPr>
          <w:r w:rsidRPr="00944EE4">
            <w:rPr>
              <w:rFonts w:ascii="Times New Roman" w:hAnsi="Times New Roman" w:cs="Times New Roman"/>
              <w:sz w:val="24"/>
              <w:szCs w:val="24"/>
            </w:rPr>
            <w:t>Sommaire</w:t>
          </w:r>
        </w:p>
        <w:p w14:paraId="73249347" w14:textId="77777777" w:rsidR="006749DE" w:rsidRPr="00944EE4" w:rsidRDefault="00AA53AB">
          <w:pPr>
            <w:pStyle w:val="TM1"/>
            <w:tabs>
              <w:tab w:val="right" w:leader="dot" w:pos="9634"/>
            </w:tabs>
            <w:rPr>
              <w:rFonts w:ascii="Times New Roman" w:hAnsi="Times New Roman" w:cs="Times New Roman"/>
              <w:noProof/>
              <w:sz w:val="24"/>
              <w:szCs w:val="24"/>
            </w:rPr>
          </w:pPr>
          <w:r w:rsidRPr="00944EE4">
            <w:rPr>
              <w:rFonts w:ascii="Times New Roman" w:hAnsi="Times New Roman" w:cs="Times New Roman"/>
              <w:sz w:val="24"/>
              <w:szCs w:val="24"/>
            </w:rPr>
            <w:fldChar w:fldCharType="begin"/>
          </w:r>
          <w:r w:rsidRPr="00944EE4">
            <w:rPr>
              <w:rFonts w:ascii="Times New Roman" w:hAnsi="Times New Roman" w:cs="Times New Roman"/>
              <w:sz w:val="24"/>
              <w:szCs w:val="24"/>
            </w:rPr>
            <w:instrText xml:space="preserve"> TOC \o "1-3" \h \z \u </w:instrText>
          </w:r>
          <w:r w:rsidRPr="00944EE4">
            <w:rPr>
              <w:rFonts w:ascii="Times New Roman" w:hAnsi="Times New Roman" w:cs="Times New Roman"/>
              <w:sz w:val="24"/>
              <w:szCs w:val="24"/>
            </w:rPr>
            <w:fldChar w:fldCharType="separate"/>
          </w:r>
          <w:hyperlink w:anchor="_Toc509228600" w:history="1">
            <w:r w:rsidR="006749DE" w:rsidRPr="00944EE4">
              <w:rPr>
                <w:rStyle w:val="Lienhypertexte"/>
                <w:rFonts w:ascii="Times New Roman" w:hAnsi="Times New Roman" w:cs="Times New Roman"/>
                <w:noProof/>
                <w:sz w:val="24"/>
                <w:szCs w:val="24"/>
              </w:rPr>
              <w:t>PARTIE I : INTRODUCTION</w:t>
            </w:r>
            <w:r w:rsidR="006749DE" w:rsidRPr="00944EE4">
              <w:rPr>
                <w:rFonts w:ascii="Times New Roman" w:hAnsi="Times New Roman" w:cs="Times New Roman"/>
                <w:noProof/>
                <w:webHidden/>
                <w:sz w:val="24"/>
                <w:szCs w:val="24"/>
              </w:rPr>
              <w:tab/>
            </w:r>
            <w:r w:rsidR="006749DE" w:rsidRPr="00944EE4">
              <w:rPr>
                <w:rFonts w:ascii="Times New Roman" w:hAnsi="Times New Roman" w:cs="Times New Roman"/>
                <w:noProof/>
                <w:webHidden/>
                <w:sz w:val="24"/>
                <w:szCs w:val="24"/>
              </w:rPr>
              <w:fldChar w:fldCharType="begin"/>
            </w:r>
            <w:r w:rsidR="006749DE" w:rsidRPr="00944EE4">
              <w:rPr>
                <w:rFonts w:ascii="Times New Roman" w:hAnsi="Times New Roman" w:cs="Times New Roman"/>
                <w:noProof/>
                <w:webHidden/>
                <w:sz w:val="24"/>
                <w:szCs w:val="24"/>
              </w:rPr>
              <w:instrText xml:space="preserve"> PAGEREF _Toc509228600 \h </w:instrText>
            </w:r>
            <w:r w:rsidR="006749DE" w:rsidRPr="00944EE4">
              <w:rPr>
                <w:rFonts w:ascii="Times New Roman" w:hAnsi="Times New Roman" w:cs="Times New Roman"/>
                <w:noProof/>
                <w:webHidden/>
                <w:sz w:val="24"/>
                <w:szCs w:val="24"/>
              </w:rPr>
            </w:r>
            <w:r w:rsidR="006749DE" w:rsidRPr="00944EE4">
              <w:rPr>
                <w:rFonts w:ascii="Times New Roman" w:hAnsi="Times New Roman" w:cs="Times New Roman"/>
                <w:noProof/>
                <w:webHidden/>
                <w:sz w:val="24"/>
                <w:szCs w:val="24"/>
              </w:rPr>
              <w:fldChar w:fldCharType="separate"/>
            </w:r>
            <w:r w:rsidR="00DC32CB" w:rsidRPr="00944EE4">
              <w:rPr>
                <w:rFonts w:ascii="Times New Roman" w:hAnsi="Times New Roman" w:cs="Times New Roman"/>
                <w:noProof/>
                <w:webHidden/>
                <w:sz w:val="24"/>
                <w:szCs w:val="24"/>
              </w:rPr>
              <w:t>9</w:t>
            </w:r>
            <w:r w:rsidR="006749DE" w:rsidRPr="00944EE4">
              <w:rPr>
                <w:rFonts w:ascii="Times New Roman" w:hAnsi="Times New Roman" w:cs="Times New Roman"/>
                <w:noProof/>
                <w:webHidden/>
                <w:sz w:val="24"/>
                <w:szCs w:val="24"/>
              </w:rPr>
              <w:fldChar w:fldCharType="end"/>
            </w:r>
          </w:hyperlink>
        </w:p>
        <w:p w14:paraId="5D330C31" w14:textId="77777777" w:rsidR="006749DE" w:rsidRPr="00944EE4" w:rsidRDefault="00E15BF1">
          <w:pPr>
            <w:pStyle w:val="TM2"/>
            <w:tabs>
              <w:tab w:val="right" w:leader="dot" w:pos="9634"/>
            </w:tabs>
            <w:rPr>
              <w:rFonts w:ascii="Times New Roman" w:hAnsi="Times New Roman" w:cs="Times New Roman"/>
              <w:noProof/>
              <w:sz w:val="24"/>
              <w:szCs w:val="24"/>
            </w:rPr>
          </w:pPr>
          <w:hyperlink w:anchor="_Toc509228601" w:history="1">
            <w:r w:rsidR="006749DE" w:rsidRPr="00944EE4">
              <w:rPr>
                <w:rStyle w:val="Lienhypertexte"/>
                <w:rFonts w:ascii="Times New Roman" w:hAnsi="Times New Roman" w:cs="Times New Roman"/>
                <w:noProof/>
                <w:sz w:val="24"/>
                <w:szCs w:val="24"/>
              </w:rPr>
              <w:t>Contexte National</w:t>
            </w:r>
            <w:r w:rsidR="006749DE" w:rsidRPr="00944EE4">
              <w:rPr>
                <w:rFonts w:ascii="Times New Roman" w:hAnsi="Times New Roman" w:cs="Times New Roman"/>
                <w:noProof/>
                <w:webHidden/>
                <w:sz w:val="24"/>
                <w:szCs w:val="24"/>
              </w:rPr>
              <w:tab/>
            </w:r>
            <w:r w:rsidR="006749DE" w:rsidRPr="00944EE4">
              <w:rPr>
                <w:rFonts w:ascii="Times New Roman" w:hAnsi="Times New Roman" w:cs="Times New Roman"/>
                <w:noProof/>
                <w:webHidden/>
                <w:sz w:val="24"/>
                <w:szCs w:val="24"/>
              </w:rPr>
              <w:fldChar w:fldCharType="begin"/>
            </w:r>
            <w:r w:rsidR="006749DE" w:rsidRPr="00944EE4">
              <w:rPr>
                <w:rFonts w:ascii="Times New Roman" w:hAnsi="Times New Roman" w:cs="Times New Roman"/>
                <w:noProof/>
                <w:webHidden/>
                <w:sz w:val="24"/>
                <w:szCs w:val="24"/>
              </w:rPr>
              <w:instrText xml:space="preserve"> PAGEREF _Toc509228601 \h </w:instrText>
            </w:r>
            <w:r w:rsidR="006749DE" w:rsidRPr="00944EE4">
              <w:rPr>
                <w:rFonts w:ascii="Times New Roman" w:hAnsi="Times New Roman" w:cs="Times New Roman"/>
                <w:noProof/>
                <w:webHidden/>
                <w:sz w:val="24"/>
                <w:szCs w:val="24"/>
              </w:rPr>
            </w:r>
            <w:r w:rsidR="006749DE" w:rsidRPr="00944EE4">
              <w:rPr>
                <w:rFonts w:ascii="Times New Roman" w:hAnsi="Times New Roman" w:cs="Times New Roman"/>
                <w:noProof/>
                <w:webHidden/>
                <w:sz w:val="24"/>
                <w:szCs w:val="24"/>
              </w:rPr>
              <w:fldChar w:fldCharType="separate"/>
            </w:r>
            <w:r w:rsidR="00DC32CB" w:rsidRPr="00944EE4">
              <w:rPr>
                <w:rFonts w:ascii="Times New Roman" w:hAnsi="Times New Roman" w:cs="Times New Roman"/>
                <w:noProof/>
                <w:webHidden/>
                <w:sz w:val="24"/>
                <w:szCs w:val="24"/>
              </w:rPr>
              <w:t>10</w:t>
            </w:r>
            <w:r w:rsidR="006749DE" w:rsidRPr="00944EE4">
              <w:rPr>
                <w:rFonts w:ascii="Times New Roman" w:hAnsi="Times New Roman" w:cs="Times New Roman"/>
                <w:noProof/>
                <w:webHidden/>
                <w:sz w:val="24"/>
                <w:szCs w:val="24"/>
              </w:rPr>
              <w:fldChar w:fldCharType="end"/>
            </w:r>
          </w:hyperlink>
        </w:p>
        <w:p w14:paraId="0A67A851" w14:textId="77777777" w:rsidR="006749DE" w:rsidRPr="00944EE4" w:rsidRDefault="00E15BF1">
          <w:pPr>
            <w:pStyle w:val="TM2"/>
            <w:tabs>
              <w:tab w:val="right" w:leader="dot" w:pos="9634"/>
            </w:tabs>
            <w:rPr>
              <w:rFonts w:ascii="Times New Roman" w:hAnsi="Times New Roman" w:cs="Times New Roman"/>
              <w:noProof/>
              <w:sz w:val="24"/>
              <w:szCs w:val="24"/>
            </w:rPr>
          </w:pPr>
          <w:hyperlink w:anchor="_Toc509228602" w:history="1">
            <w:r w:rsidR="006749DE" w:rsidRPr="00944EE4">
              <w:rPr>
                <w:rStyle w:val="Lienhypertexte"/>
                <w:rFonts w:ascii="Times New Roman" w:hAnsi="Times New Roman" w:cs="Times New Roman"/>
                <w:noProof/>
                <w:sz w:val="24"/>
                <w:szCs w:val="24"/>
              </w:rPr>
              <w:t>Processus de préparation de l’UNDAF+</w:t>
            </w:r>
            <w:r w:rsidR="006749DE" w:rsidRPr="00944EE4">
              <w:rPr>
                <w:rFonts w:ascii="Times New Roman" w:hAnsi="Times New Roman" w:cs="Times New Roman"/>
                <w:noProof/>
                <w:webHidden/>
                <w:sz w:val="24"/>
                <w:szCs w:val="24"/>
              </w:rPr>
              <w:tab/>
            </w:r>
            <w:r w:rsidR="006749DE" w:rsidRPr="00944EE4">
              <w:rPr>
                <w:rFonts w:ascii="Times New Roman" w:hAnsi="Times New Roman" w:cs="Times New Roman"/>
                <w:noProof/>
                <w:webHidden/>
                <w:sz w:val="24"/>
                <w:szCs w:val="24"/>
              </w:rPr>
              <w:fldChar w:fldCharType="begin"/>
            </w:r>
            <w:r w:rsidR="006749DE" w:rsidRPr="00944EE4">
              <w:rPr>
                <w:rFonts w:ascii="Times New Roman" w:hAnsi="Times New Roman" w:cs="Times New Roman"/>
                <w:noProof/>
                <w:webHidden/>
                <w:sz w:val="24"/>
                <w:szCs w:val="24"/>
              </w:rPr>
              <w:instrText xml:space="preserve"> PAGEREF _Toc509228602 \h </w:instrText>
            </w:r>
            <w:r w:rsidR="006749DE" w:rsidRPr="00944EE4">
              <w:rPr>
                <w:rFonts w:ascii="Times New Roman" w:hAnsi="Times New Roman" w:cs="Times New Roman"/>
                <w:noProof/>
                <w:webHidden/>
                <w:sz w:val="24"/>
                <w:szCs w:val="24"/>
              </w:rPr>
            </w:r>
            <w:r w:rsidR="006749DE" w:rsidRPr="00944EE4">
              <w:rPr>
                <w:rFonts w:ascii="Times New Roman" w:hAnsi="Times New Roman" w:cs="Times New Roman"/>
                <w:noProof/>
                <w:webHidden/>
                <w:sz w:val="24"/>
                <w:szCs w:val="24"/>
              </w:rPr>
              <w:fldChar w:fldCharType="separate"/>
            </w:r>
            <w:r w:rsidR="00DC32CB" w:rsidRPr="00944EE4">
              <w:rPr>
                <w:rFonts w:ascii="Times New Roman" w:hAnsi="Times New Roman" w:cs="Times New Roman"/>
                <w:noProof/>
                <w:webHidden/>
                <w:sz w:val="24"/>
                <w:szCs w:val="24"/>
              </w:rPr>
              <w:t>12</w:t>
            </w:r>
            <w:r w:rsidR="006749DE" w:rsidRPr="00944EE4">
              <w:rPr>
                <w:rFonts w:ascii="Times New Roman" w:hAnsi="Times New Roman" w:cs="Times New Roman"/>
                <w:noProof/>
                <w:webHidden/>
                <w:sz w:val="24"/>
                <w:szCs w:val="24"/>
              </w:rPr>
              <w:fldChar w:fldCharType="end"/>
            </w:r>
          </w:hyperlink>
        </w:p>
        <w:p w14:paraId="45B0F036" w14:textId="693784B6" w:rsidR="006749DE" w:rsidRPr="00944EE4" w:rsidRDefault="00E15BF1">
          <w:pPr>
            <w:pStyle w:val="TM2"/>
            <w:tabs>
              <w:tab w:val="right" w:leader="dot" w:pos="9634"/>
            </w:tabs>
            <w:rPr>
              <w:rFonts w:ascii="Times New Roman" w:hAnsi="Times New Roman" w:cs="Times New Roman"/>
              <w:noProof/>
              <w:sz w:val="24"/>
              <w:szCs w:val="24"/>
            </w:rPr>
          </w:pPr>
          <w:hyperlink w:anchor="_Toc509228603" w:history="1">
            <w:r w:rsidR="006749DE" w:rsidRPr="00944EE4">
              <w:rPr>
                <w:rStyle w:val="Lienhypertexte"/>
                <w:rFonts w:ascii="Times New Roman" w:hAnsi="Times New Roman" w:cs="Times New Roman"/>
                <w:noProof/>
                <w:sz w:val="24"/>
                <w:szCs w:val="24"/>
              </w:rPr>
              <w:t>Les avantages comparatifs du SNU au Mali</w:t>
            </w:r>
            <w:r w:rsidR="006749DE" w:rsidRPr="00944EE4">
              <w:rPr>
                <w:rFonts w:ascii="Times New Roman" w:hAnsi="Times New Roman" w:cs="Times New Roman"/>
                <w:noProof/>
                <w:webHidden/>
                <w:sz w:val="24"/>
                <w:szCs w:val="24"/>
              </w:rPr>
              <w:tab/>
            </w:r>
            <w:r w:rsidR="006749DE" w:rsidRPr="00944EE4">
              <w:rPr>
                <w:rFonts w:ascii="Times New Roman" w:hAnsi="Times New Roman" w:cs="Times New Roman"/>
                <w:noProof/>
                <w:webHidden/>
                <w:sz w:val="24"/>
                <w:szCs w:val="24"/>
              </w:rPr>
              <w:fldChar w:fldCharType="begin"/>
            </w:r>
            <w:r w:rsidR="006749DE" w:rsidRPr="00944EE4">
              <w:rPr>
                <w:rFonts w:ascii="Times New Roman" w:hAnsi="Times New Roman" w:cs="Times New Roman"/>
                <w:noProof/>
                <w:webHidden/>
                <w:sz w:val="24"/>
                <w:szCs w:val="24"/>
              </w:rPr>
              <w:instrText xml:space="preserve"> PAGEREF _Toc509228603 \h </w:instrText>
            </w:r>
            <w:r w:rsidR="006749DE" w:rsidRPr="00944EE4">
              <w:rPr>
                <w:rFonts w:ascii="Times New Roman" w:hAnsi="Times New Roman" w:cs="Times New Roman"/>
                <w:noProof/>
                <w:webHidden/>
                <w:sz w:val="24"/>
                <w:szCs w:val="24"/>
              </w:rPr>
            </w:r>
            <w:r w:rsidR="006749DE" w:rsidRPr="00944EE4">
              <w:rPr>
                <w:rFonts w:ascii="Times New Roman" w:hAnsi="Times New Roman" w:cs="Times New Roman"/>
                <w:noProof/>
                <w:webHidden/>
                <w:sz w:val="24"/>
                <w:szCs w:val="24"/>
              </w:rPr>
              <w:fldChar w:fldCharType="separate"/>
            </w:r>
            <w:r w:rsidR="00DC32CB" w:rsidRPr="00944EE4">
              <w:rPr>
                <w:rFonts w:ascii="Times New Roman" w:hAnsi="Times New Roman" w:cs="Times New Roman"/>
                <w:noProof/>
                <w:webHidden/>
                <w:sz w:val="24"/>
                <w:szCs w:val="24"/>
              </w:rPr>
              <w:t>1</w:t>
            </w:r>
            <w:r w:rsidR="006749DE" w:rsidRPr="00944EE4">
              <w:rPr>
                <w:rFonts w:ascii="Times New Roman" w:hAnsi="Times New Roman" w:cs="Times New Roman"/>
                <w:noProof/>
                <w:webHidden/>
                <w:sz w:val="24"/>
                <w:szCs w:val="24"/>
              </w:rPr>
              <w:fldChar w:fldCharType="end"/>
            </w:r>
          </w:hyperlink>
          <w:r w:rsidR="001430EB" w:rsidRPr="00944EE4">
            <w:rPr>
              <w:rFonts w:ascii="Times New Roman" w:hAnsi="Times New Roman" w:cs="Times New Roman"/>
              <w:noProof/>
              <w:sz w:val="24"/>
              <w:szCs w:val="24"/>
            </w:rPr>
            <w:t>2</w:t>
          </w:r>
        </w:p>
        <w:p w14:paraId="2FFC17B8" w14:textId="7EAAED5C" w:rsidR="006749DE" w:rsidRPr="00944EE4" w:rsidRDefault="00E15BF1">
          <w:pPr>
            <w:pStyle w:val="TM2"/>
            <w:tabs>
              <w:tab w:val="right" w:leader="dot" w:pos="9634"/>
            </w:tabs>
            <w:rPr>
              <w:rFonts w:ascii="Times New Roman" w:hAnsi="Times New Roman" w:cs="Times New Roman"/>
              <w:noProof/>
              <w:sz w:val="24"/>
              <w:szCs w:val="24"/>
            </w:rPr>
          </w:pPr>
          <w:hyperlink w:anchor="_Toc509228604" w:history="1">
            <w:r w:rsidR="006749DE" w:rsidRPr="00944EE4">
              <w:rPr>
                <w:rStyle w:val="Lienhypertexte"/>
                <w:rFonts w:ascii="Times New Roman" w:hAnsi="Times New Roman" w:cs="Times New Roman"/>
                <w:noProof/>
                <w:sz w:val="24"/>
                <w:szCs w:val="24"/>
              </w:rPr>
              <w:t>La présence intégrée des Nations Unies au Mali</w:t>
            </w:r>
            <w:r w:rsidR="006749DE" w:rsidRPr="00944EE4">
              <w:rPr>
                <w:rFonts w:ascii="Times New Roman" w:hAnsi="Times New Roman" w:cs="Times New Roman"/>
                <w:noProof/>
                <w:webHidden/>
                <w:sz w:val="24"/>
                <w:szCs w:val="24"/>
              </w:rPr>
              <w:tab/>
            </w:r>
            <w:r w:rsidR="006749DE" w:rsidRPr="00944EE4">
              <w:rPr>
                <w:rFonts w:ascii="Times New Roman" w:hAnsi="Times New Roman" w:cs="Times New Roman"/>
                <w:noProof/>
                <w:webHidden/>
                <w:sz w:val="24"/>
                <w:szCs w:val="24"/>
              </w:rPr>
              <w:fldChar w:fldCharType="begin"/>
            </w:r>
            <w:r w:rsidR="006749DE" w:rsidRPr="00944EE4">
              <w:rPr>
                <w:rFonts w:ascii="Times New Roman" w:hAnsi="Times New Roman" w:cs="Times New Roman"/>
                <w:noProof/>
                <w:webHidden/>
                <w:sz w:val="24"/>
                <w:szCs w:val="24"/>
              </w:rPr>
              <w:instrText xml:space="preserve"> PAGEREF _Toc509228604 \h </w:instrText>
            </w:r>
            <w:r w:rsidR="006749DE" w:rsidRPr="00944EE4">
              <w:rPr>
                <w:rFonts w:ascii="Times New Roman" w:hAnsi="Times New Roman" w:cs="Times New Roman"/>
                <w:noProof/>
                <w:webHidden/>
                <w:sz w:val="24"/>
                <w:szCs w:val="24"/>
              </w:rPr>
            </w:r>
            <w:r w:rsidR="006749DE" w:rsidRPr="00944EE4">
              <w:rPr>
                <w:rFonts w:ascii="Times New Roman" w:hAnsi="Times New Roman" w:cs="Times New Roman"/>
                <w:noProof/>
                <w:webHidden/>
                <w:sz w:val="24"/>
                <w:szCs w:val="24"/>
              </w:rPr>
              <w:fldChar w:fldCharType="separate"/>
            </w:r>
            <w:r w:rsidR="00DC32CB" w:rsidRPr="00944EE4">
              <w:rPr>
                <w:rFonts w:ascii="Times New Roman" w:hAnsi="Times New Roman" w:cs="Times New Roman"/>
                <w:noProof/>
                <w:webHidden/>
                <w:sz w:val="24"/>
                <w:szCs w:val="24"/>
              </w:rPr>
              <w:t>1</w:t>
            </w:r>
            <w:r w:rsidR="006749DE" w:rsidRPr="00944EE4">
              <w:rPr>
                <w:rFonts w:ascii="Times New Roman" w:hAnsi="Times New Roman" w:cs="Times New Roman"/>
                <w:noProof/>
                <w:webHidden/>
                <w:sz w:val="24"/>
                <w:szCs w:val="24"/>
              </w:rPr>
              <w:fldChar w:fldCharType="end"/>
            </w:r>
          </w:hyperlink>
          <w:r w:rsidR="001430EB" w:rsidRPr="00944EE4">
            <w:rPr>
              <w:rFonts w:ascii="Times New Roman" w:hAnsi="Times New Roman" w:cs="Times New Roman"/>
              <w:noProof/>
              <w:sz w:val="24"/>
              <w:szCs w:val="24"/>
            </w:rPr>
            <w:t>4</w:t>
          </w:r>
        </w:p>
        <w:p w14:paraId="7526A7FC" w14:textId="3943D474" w:rsidR="006749DE" w:rsidRPr="00944EE4" w:rsidRDefault="00E15BF1">
          <w:pPr>
            <w:pStyle w:val="TM2"/>
            <w:tabs>
              <w:tab w:val="right" w:leader="dot" w:pos="9634"/>
            </w:tabs>
            <w:rPr>
              <w:rFonts w:ascii="Times New Roman" w:hAnsi="Times New Roman" w:cs="Times New Roman"/>
              <w:noProof/>
              <w:sz w:val="24"/>
              <w:szCs w:val="24"/>
            </w:rPr>
          </w:pPr>
          <w:hyperlink w:anchor="_Toc509228605" w:history="1">
            <w:r w:rsidR="006749DE" w:rsidRPr="00944EE4">
              <w:rPr>
                <w:rStyle w:val="Lienhypertexte"/>
                <w:rFonts w:ascii="Times New Roman" w:hAnsi="Times New Roman" w:cs="Times New Roman"/>
                <w:noProof/>
                <w:sz w:val="24"/>
                <w:szCs w:val="24"/>
              </w:rPr>
              <w:t>Le processus « Delivering As One »</w:t>
            </w:r>
            <w:r w:rsidR="006749DE" w:rsidRPr="00944EE4">
              <w:rPr>
                <w:rFonts w:ascii="Times New Roman" w:hAnsi="Times New Roman" w:cs="Times New Roman"/>
                <w:noProof/>
                <w:webHidden/>
                <w:sz w:val="24"/>
                <w:szCs w:val="24"/>
              </w:rPr>
              <w:tab/>
            </w:r>
            <w:r w:rsidR="006749DE" w:rsidRPr="00944EE4">
              <w:rPr>
                <w:rFonts w:ascii="Times New Roman" w:hAnsi="Times New Roman" w:cs="Times New Roman"/>
                <w:noProof/>
                <w:webHidden/>
                <w:sz w:val="24"/>
                <w:szCs w:val="24"/>
              </w:rPr>
              <w:fldChar w:fldCharType="begin"/>
            </w:r>
            <w:r w:rsidR="006749DE" w:rsidRPr="00944EE4">
              <w:rPr>
                <w:rFonts w:ascii="Times New Roman" w:hAnsi="Times New Roman" w:cs="Times New Roman"/>
                <w:noProof/>
                <w:webHidden/>
                <w:sz w:val="24"/>
                <w:szCs w:val="24"/>
              </w:rPr>
              <w:instrText xml:space="preserve"> PAGEREF _Toc509228605 \h </w:instrText>
            </w:r>
            <w:r w:rsidR="006749DE" w:rsidRPr="00944EE4">
              <w:rPr>
                <w:rFonts w:ascii="Times New Roman" w:hAnsi="Times New Roman" w:cs="Times New Roman"/>
                <w:noProof/>
                <w:webHidden/>
                <w:sz w:val="24"/>
                <w:szCs w:val="24"/>
              </w:rPr>
            </w:r>
            <w:r w:rsidR="006749DE" w:rsidRPr="00944EE4">
              <w:rPr>
                <w:rFonts w:ascii="Times New Roman" w:hAnsi="Times New Roman" w:cs="Times New Roman"/>
                <w:noProof/>
                <w:webHidden/>
                <w:sz w:val="24"/>
                <w:szCs w:val="24"/>
              </w:rPr>
              <w:fldChar w:fldCharType="separate"/>
            </w:r>
            <w:r w:rsidR="00DC32CB" w:rsidRPr="00944EE4">
              <w:rPr>
                <w:rFonts w:ascii="Times New Roman" w:hAnsi="Times New Roman" w:cs="Times New Roman"/>
                <w:noProof/>
                <w:webHidden/>
                <w:sz w:val="24"/>
                <w:szCs w:val="24"/>
              </w:rPr>
              <w:t>1</w:t>
            </w:r>
            <w:r w:rsidR="006749DE" w:rsidRPr="00944EE4">
              <w:rPr>
                <w:rFonts w:ascii="Times New Roman" w:hAnsi="Times New Roman" w:cs="Times New Roman"/>
                <w:noProof/>
                <w:webHidden/>
                <w:sz w:val="24"/>
                <w:szCs w:val="24"/>
              </w:rPr>
              <w:fldChar w:fldCharType="end"/>
            </w:r>
          </w:hyperlink>
          <w:r w:rsidR="001430EB" w:rsidRPr="00944EE4">
            <w:rPr>
              <w:rFonts w:ascii="Times New Roman" w:hAnsi="Times New Roman" w:cs="Times New Roman"/>
              <w:noProof/>
              <w:sz w:val="24"/>
              <w:szCs w:val="24"/>
            </w:rPr>
            <w:t>4</w:t>
          </w:r>
        </w:p>
        <w:p w14:paraId="67076CF3" w14:textId="5F6029D5" w:rsidR="006749DE" w:rsidRPr="00944EE4" w:rsidRDefault="00E15BF1">
          <w:pPr>
            <w:pStyle w:val="TM2"/>
            <w:tabs>
              <w:tab w:val="right" w:leader="dot" w:pos="9634"/>
            </w:tabs>
            <w:rPr>
              <w:rFonts w:ascii="Times New Roman" w:hAnsi="Times New Roman" w:cs="Times New Roman"/>
              <w:noProof/>
              <w:sz w:val="24"/>
              <w:szCs w:val="24"/>
            </w:rPr>
          </w:pPr>
          <w:hyperlink w:anchor="_Toc509228606" w:history="1">
            <w:r w:rsidR="006749DE" w:rsidRPr="00944EE4">
              <w:rPr>
                <w:rStyle w:val="Lienhypertexte"/>
                <w:rFonts w:ascii="Times New Roman" w:hAnsi="Times New Roman" w:cs="Times New Roman"/>
                <w:noProof/>
                <w:sz w:val="24"/>
                <w:szCs w:val="24"/>
              </w:rPr>
              <w:t xml:space="preserve">Evolutions </w:t>
            </w:r>
            <w:r w:rsidR="001430EB" w:rsidRPr="00944EE4">
              <w:rPr>
                <w:rStyle w:val="Lienhypertexte"/>
                <w:rFonts w:ascii="Times New Roman" w:hAnsi="Times New Roman" w:cs="Times New Roman"/>
                <w:noProof/>
                <w:sz w:val="24"/>
                <w:szCs w:val="24"/>
              </w:rPr>
              <w:t xml:space="preserve">du </w:t>
            </w:r>
            <w:r w:rsidR="006749DE" w:rsidRPr="00944EE4">
              <w:rPr>
                <w:rStyle w:val="Lienhypertexte"/>
                <w:rFonts w:ascii="Times New Roman" w:hAnsi="Times New Roman" w:cs="Times New Roman"/>
                <w:noProof/>
                <w:sz w:val="24"/>
                <w:szCs w:val="24"/>
              </w:rPr>
              <w:t xml:space="preserve">contexte </w:t>
            </w:r>
            <w:r w:rsidR="001430EB" w:rsidRPr="00944EE4">
              <w:rPr>
                <w:rStyle w:val="Lienhypertexte"/>
                <w:rFonts w:ascii="Times New Roman" w:hAnsi="Times New Roman" w:cs="Times New Roman"/>
                <w:noProof/>
                <w:sz w:val="24"/>
                <w:szCs w:val="24"/>
              </w:rPr>
              <w:t xml:space="preserve">observées </w:t>
            </w:r>
            <w:r w:rsidR="006749DE" w:rsidRPr="00944EE4">
              <w:rPr>
                <w:rStyle w:val="Lienhypertexte"/>
                <w:rFonts w:ascii="Times New Roman" w:hAnsi="Times New Roman" w:cs="Times New Roman"/>
                <w:noProof/>
                <w:sz w:val="24"/>
                <w:szCs w:val="24"/>
              </w:rPr>
              <w:t>à la faveur de la revue à mi-parcours</w:t>
            </w:r>
            <w:r w:rsidR="006749DE" w:rsidRPr="00944EE4">
              <w:rPr>
                <w:rFonts w:ascii="Times New Roman" w:hAnsi="Times New Roman" w:cs="Times New Roman"/>
                <w:noProof/>
                <w:webHidden/>
                <w:sz w:val="24"/>
                <w:szCs w:val="24"/>
              </w:rPr>
              <w:tab/>
            </w:r>
            <w:r w:rsidR="006749DE" w:rsidRPr="00944EE4">
              <w:rPr>
                <w:rFonts w:ascii="Times New Roman" w:hAnsi="Times New Roman" w:cs="Times New Roman"/>
                <w:noProof/>
                <w:webHidden/>
                <w:sz w:val="24"/>
                <w:szCs w:val="24"/>
              </w:rPr>
              <w:fldChar w:fldCharType="begin"/>
            </w:r>
            <w:r w:rsidR="006749DE" w:rsidRPr="00944EE4">
              <w:rPr>
                <w:rFonts w:ascii="Times New Roman" w:hAnsi="Times New Roman" w:cs="Times New Roman"/>
                <w:noProof/>
                <w:webHidden/>
                <w:sz w:val="24"/>
                <w:szCs w:val="24"/>
              </w:rPr>
              <w:instrText xml:space="preserve"> PAGEREF _Toc509228606 \h </w:instrText>
            </w:r>
            <w:r w:rsidR="006749DE" w:rsidRPr="00944EE4">
              <w:rPr>
                <w:rFonts w:ascii="Times New Roman" w:hAnsi="Times New Roman" w:cs="Times New Roman"/>
                <w:noProof/>
                <w:webHidden/>
                <w:sz w:val="24"/>
                <w:szCs w:val="24"/>
              </w:rPr>
            </w:r>
            <w:r w:rsidR="006749DE" w:rsidRPr="00944EE4">
              <w:rPr>
                <w:rFonts w:ascii="Times New Roman" w:hAnsi="Times New Roman" w:cs="Times New Roman"/>
                <w:noProof/>
                <w:webHidden/>
                <w:sz w:val="24"/>
                <w:szCs w:val="24"/>
              </w:rPr>
              <w:fldChar w:fldCharType="separate"/>
            </w:r>
            <w:r w:rsidR="00DC32CB" w:rsidRPr="00944EE4">
              <w:rPr>
                <w:rFonts w:ascii="Times New Roman" w:hAnsi="Times New Roman" w:cs="Times New Roman"/>
                <w:noProof/>
                <w:webHidden/>
                <w:sz w:val="24"/>
                <w:szCs w:val="24"/>
              </w:rPr>
              <w:t>16</w:t>
            </w:r>
            <w:r w:rsidR="006749DE" w:rsidRPr="00944EE4">
              <w:rPr>
                <w:rFonts w:ascii="Times New Roman" w:hAnsi="Times New Roman" w:cs="Times New Roman"/>
                <w:noProof/>
                <w:webHidden/>
                <w:sz w:val="24"/>
                <w:szCs w:val="24"/>
              </w:rPr>
              <w:fldChar w:fldCharType="end"/>
            </w:r>
          </w:hyperlink>
        </w:p>
        <w:p w14:paraId="22EB909A" w14:textId="6E5C3201" w:rsidR="006749DE" w:rsidRPr="00944EE4" w:rsidRDefault="00E15BF1">
          <w:pPr>
            <w:pStyle w:val="TM1"/>
            <w:tabs>
              <w:tab w:val="right" w:leader="dot" w:pos="9634"/>
            </w:tabs>
            <w:rPr>
              <w:rFonts w:ascii="Times New Roman" w:hAnsi="Times New Roman" w:cs="Times New Roman"/>
              <w:noProof/>
              <w:sz w:val="24"/>
              <w:szCs w:val="24"/>
            </w:rPr>
          </w:pPr>
          <w:hyperlink w:anchor="_Toc509228607" w:history="1">
            <w:r w:rsidR="006749DE" w:rsidRPr="00944EE4">
              <w:rPr>
                <w:rStyle w:val="Lienhypertexte"/>
                <w:rFonts w:ascii="Times New Roman" w:hAnsi="Times New Roman" w:cs="Times New Roman"/>
                <w:noProof/>
                <w:sz w:val="24"/>
                <w:szCs w:val="24"/>
              </w:rPr>
              <w:t>PARTIE II : Les PILIERS DE L’UNDAF+</w:t>
            </w:r>
            <w:r w:rsidR="006749DE" w:rsidRPr="00944EE4">
              <w:rPr>
                <w:rFonts w:ascii="Times New Roman" w:hAnsi="Times New Roman" w:cs="Times New Roman"/>
                <w:noProof/>
                <w:webHidden/>
                <w:sz w:val="24"/>
                <w:szCs w:val="24"/>
              </w:rPr>
              <w:tab/>
            </w:r>
            <w:r w:rsidR="006749DE" w:rsidRPr="00944EE4">
              <w:rPr>
                <w:rFonts w:ascii="Times New Roman" w:hAnsi="Times New Roman" w:cs="Times New Roman"/>
                <w:noProof/>
                <w:webHidden/>
                <w:sz w:val="24"/>
                <w:szCs w:val="24"/>
              </w:rPr>
              <w:fldChar w:fldCharType="begin"/>
            </w:r>
            <w:r w:rsidR="006749DE" w:rsidRPr="00944EE4">
              <w:rPr>
                <w:rFonts w:ascii="Times New Roman" w:hAnsi="Times New Roman" w:cs="Times New Roman"/>
                <w:noProof/>
                <w:webHidden/>
                <w:sz w:val="24"/>
                <w:szCs w:val="24"/>
              </w:rPr>
              <w:instrText xml:space="preserve"> PAGEREF _Toc509228607 \h </w:instrText>
            </w:r>
            <w:r w:rsidR="006749DE" w:rsidRPr="00944EE4">
              <w:rPr>
                <w:rFonts w:ascii="Times New Roman" w:hAnsi="Times New Roman" w:cs="Times New Roman"/>
                <w:noProof/>
                <w:webHidden/>
                <w:sz w:val="24"/>
                <w:szCs w:val="24"/>
              </w:rPr>
            </w:r>
            <w:r w:rsidR="006749DE" w:rsidRPr="00944EE4">
              <w:rPr>
                <w:rFonts w:ascii="Times New Roman" w:hAnsi="Times New Roman" w:cs="Times New Roman"/>
                <w:noProof/>
                <w:webHidden/>
                <w:sz w:val="24"/>
                <w:szCs w:val="24"/>
              </w:rPr>
              <w:fldChar w:fldCharType="separate"/>
            </w:r>
            <w:r w:rsidR="00DC32CB" w:rsidRPr="00944EE4">
              <w:rPr>
                <w:rFonts w:ascii="Times New Roman" w:hAnsi="Times New Roman" w:cs="Times New Roman"/>
                <w:noProof/>
                <w:webHidden/>
                <w:sz w:val="24"/>
                <w:szCs w:val="24"/>
              </w:rPr>
              <w:t>1</w:t>
            </w:r>
            <w:r w:rsidR="006749DE" w:rsidRPr="00944EE4">
              <w:rPr>
                <w:rFonts w:ascii="Times New Roman" w:hAnsi="Times New Roman" w:cs="Times New Roman"/>
                <w:noProof/>
                <w:webHidden/>
                <w:sz w:val="24"/>
                <w:szCs w:val="24"/>
              </w:rPr>
              <w:fldChar w:fldCharType="end"/>
            </w:r>
          </w:hyperlink>
          <w:r w:rsidR="00391D0D">
            <w:rPr>
              <w:rFonts w:ascii="Times New Roman" w:hAnsi="Times New Roman" w:cs="Times New Roman"/>
              <w:noProof/>
              <w:sz w:val="24"/>
              <w:szCs w:val="24"/>
            </w:rPr>
            <w:t>7</w:t>
          </w:r>
        </w:p>
        <w:p w14:paraId="4217341E" w14:textId="01790AEC" w:rsidR="006749DE" w:rsidRPr="00944EE4" w:rsidRDefault="00E15BF1">
          <w:pPr>
            <w:pStyle w:val="TM2"/>
            <w:tabs>
              <w:tab w:val="right" w:leader="dot" w:pos="9634"/>
            </w:tabs>
            <w:rPr>
              <w:rFonts w:ascii="Times New Roman" w:hAnsi="Times New Roman" w:cs="Times New Roman"/>
              <w:noProof/>
              <w:sz w:val="24"/>
              <w:szCs w:val="24"/>
            </w:rPr>
          </w:pPr>
          <w:hyperlink w:anchor="_Toc509228608" w:history="1">
            <w:r w:rsidR="006749DE" w:rsidRPr="00944EE4">
              <w:rPr>
                <w:rStyle w:val="Lienhypertexte"/>
                <w:rFonts w:ascii="Times New Roman" w:hAnsi="Times New Roman" w:cs="Times New Roman"/>
                <w:noProof/>
                <w:sz w:val="24"/>
                <w:szCs w:val="24"/>
              </w:rPr>
              <w:t>Axe 1 : Paix, Sécurité et Réconciliation Nationale</w:t>
            </w:r>
            <w:r w:rsidR="006749DE" w:rsidRPr="00944EE4">
              <w:rPr>
                <w:rFonts w:ascii="Times New Roman" w:hAnsi="Times New Roman" w:cs="Times New Roman"/>
                <w:noProof/>
                <w:webHidden/>
                <w:sz w:val="24"/>
                <w:szCs w:val="24"/>
              </w:rPr>
              <w:tab/>
            </w:r>
            <w:r w:rsidR="006749DE" w:rsidRPr="00944EE4">
              <w:rPr>
                <w:rFonts w:ascii="Times New Roman" w:hAnsi="Times New Roman" w:cs="Times New Roman"/>
                <w:noProof/>
                <w:webHidden/>
                <w:sz w:val="24"/>
                <w:szCs w:val="24"/>
              </w:rPr>
              <w:fldChar w:fldCharType="begin"/>
            </w:r>
            <w:r w:rsidR="006749DE" w:rsidRPr="00944EE4">
              <w:rPr>
                <w:rFonts w:ascii="Times New Roman" w:hAnsi="Times New Roman" w:cs="Times New Roman"/>
                <w:noProof/>
                <w:webHidden/>
                <w:sz w:val="24"/>
                <w:szCs w:val="24"/>
              </w:rPr>
              <w:instrText xml:space="preserve"> PAGEREF _Toc509228608 \h </w:instrText>
            </w:r>
            <w:r w:rsidR="006749DE" w:rsidRPr="00944EE4">
              <w:rPr>
                <w:rFonts w:ascii="Times New Roman" w:hAnsi="Times New Roman" w:cs="Times New Roman"/>
                <w:noProof/>
                <w:webHidden/>
                <w:sz w:val="24"/>
                <w:szCs w:val="24"/>
              </w:rPr>
            </w:r>
            <w:r w:rsidR="006749DE" w:rsidRPr="00944EE4">
              <w:rPr>
                <w:rFonts w:ascii="Times New Roman" w:hAnsi="Times New Roman" w:cs="Times New Roman"/>
                <w:noProof/>
                <w:webHidden/>
                <w:sz w:val="24"/>
                <w:szCs w:val="24"/>
              </w:rPr>
              <w:fldChar w:fldCharType="separate"/>
            </w:r>
            <w:r w:rsidR="00DC32CB" w:rsidRPr="00944EE4">
              <w:rPr>
                <w:rFonts w:ascii="Times New Roman" w:hAnsi="Times New Roman" w:cs="Times New Roman"/>
                <w:noProof/>
                <w:webHidden/>
                <w:sz w:val="24"/>
                <w:szCs w:val="24"/>
              </w:rPr>
              <w:t>1</w:t>
            </w:r>
            <w:r w:rsidR="006749DE" w:rsidRPr="00944EE4">
              <w:rPr>
                <w:rFonts w:ascii="Times New Roman" w:hAnsi="Times New Roman" w:cs="Times New Roman"/>
                <w:noProof/>
                <w:webHidden/>
                <w:sz w:val="24"/>
                <w:szCs w:val="24"/>
              </w:rPr>
              <w:fldChar w:fldCharType="end"/>
            </w:r>
          </w:hyperlink>
          <w:r w:rsidR="00391D0D">
            <w:rPr>
              <w:rFonts w:ascii="Times New Roman" w:hAnsi="Times New Roman" w:cs="Times New Roman"/>
              <w:noProof/>
              <w:sz w:val="24"/>
              <w:szCs w:val="24"/>
            </w:rPr>
            <w:t>8</w:t>
          </w:r>
        </w:p>
        <w:p w14:paraId="0F374A61" w14:textId="1EDA4801" w:rsidR="006749DE" w:rsidRPr="00944EE4" w:rsidRDefault="00E15BF1">
          <w:pPr>
            <w:pStyle w:val="TM2"/>
            <w:tabs>
              <w:tab w:val="right" w:leader="dot" w:pos="9634"/>
            </w:tabs>
            <w:rPr>
              <w:rFonts w:ascii="Times New Roman" w:hAnsi="Times New Roman" w:cs="Times New Roman"/>
              <w:noProof/>
              <w:sz w:val="24"/>
              <w:szCs w:val="24"/>
            </w:rPr>
          </w:pPr>
          <w:hyperlink w:anchor="_Toc509228609" w:history="1">
            <w:r w:rsidR="006749DE" w:rsidRPr="00944EE4">
              <w:rPr>
                <w:rStyle w:val="Lienhypertexte"/>
                <w:rFonts w:ascii="Times New Roman" w:hAnsi="Times New Roman" w:cs="Times New Roman"/>
                <w:noProof/>
                <w:sz w:val="24"/>
                <w:szCs w:val="24"/>
              </w:rPr>
              <w:t>Axe 2 : Gouvernance</w:t>
            </w:r>
            <w:r w:rsidR="006749DE" w:rsidRPr="00944EE4">
              <w:rPr>
                <w:rFonts w:ascii="Times New Roman" w:hAnsi="Times New Roman" w:cs="Times New Roman"/>
                <w:noProof/>
                <w:webHidden/>
                <w:sz w:val="24"/>
                <w:szCs w:val="24"/>
              </w:rPr>
              <w:tab/>
            </w:r>
            <w:r w:rsidR="006749DE" w:rsidRPr="00944EE4">
              <w:rPr>
                <w:rFonts w:ascii="Times New Roman" w:hAnsi="Times New Roman" w:cs="Times New Roman"/>
                <w:noProof/>
                <w:webHidden/>
                <w:sz w:val="24"/>
                <w:szCs w:val="24"/>
              </w:rPr>
              <w:fldChar w:fldCharType="begin"/>
            </w:r>
            <w:r w:rsidR="006749DE" w:rsidRPr="00944EE4">
              <w:rPr>
                <w:rFonts w:ascii="Times New Roman" w:hAnsi="Times New Roman" w:cs="Times New Roman"/>
                <w:noProof/>
                <w:webHidden/>
                <w:sz w:val="24"/>
                <w:szCs w:val="24"/>
              </w:rPr>
              <w:instrText xml:space="preserve"> PAGEREF _Toc509228609 \h </w:instrText>
            </w:r>
            <w:r w:rsidR="006749DE" w:rsidRPr="00944EE4">
              <w:rPr>
                <w:rFonts w:ascii="Times New Roman" w:hAnsi="Times New Roman" w:cs="Times New Roman"/>
                <w:noProof/>
                <w:webHidden/>
                <w:sz w:val="24"/>
                <w:szCs w:val="24"/>
              </w:rPr>
            </w:r>
            <w:r w:rsidR="006749DE" w:rsidRPr="00944EE4">
              <w:rPr>
                <w:rFonts w:ascii="Times New Roman" w:hAnsi="Times New Roman" w:cs="Times New Roman"/>
                <w:noProof/>
                <w:webHidden/>
                <w:sz w:val="24"/>
                <w:szCs w:val="24"/>
              </w:rPr>
              <w:fldChar w:fldCharType="separate"/>
            </w:r>
            <w:r w:rsidR="00DC32CB" w:rsidRPr="00944EE4">
              <w:rPr>
                <w:rFonts w:ascii="Times New Roman" w:hAnsi="Times New Roman" w:cs="Times New Roman"/>
                <w:noProof/>
                <w:webHidden/>
                <w:sz w:val="24"/>
                <w:szCs w:val="24"/>
              </w:rPr>
              <w:t>2</w:t>
            </w:r>
            <w:r w:rsidR="006749DE" w:rsidRPr="00944EE4">
              <w:rPr>
                <w:rFonts w:ascii="Times New Roman" w:hAnsi="Times New Roman" w:cs="Times New Roman"/>
                <w:noProof/>
                <w:webHidden/>
                <w:sz w:val="24"/>
                <w:szCs w:val="24"/>
              </w:rPr>
              <w:fldChar w:fldCharType="end"/>
            </w:r>
          </w:hyperlink>
          <w:r w:rsidR="00BB067A">
            <w:rPr>
              <w:rFonts w:ascii="Times New Roman" w:hAnsi="Times New Roman" w:cs="Times New Roman"/>
              <w:noProof/>
              <w:sz w:val="24"/>
              <w:szCs w:val="24"/>
            </w:rPr>
            <w:t>3</w:t>
          </w:r>
        </w:p>
        <w:p w14:paraId="572D18CB" w14:textId="58236951" w:rsidR="006749DE" w:rsidRPr="00944EE4" w:rsidRDefault="00E15BF1">
          <w:pPr>
            <w:pStyle w:val="TM2"/>
            <w:tabs>
              <w:tab w:val="right" w:leader="dot" w:pos="9634"/>
            </w:tabs>
            <w:rPr>
              <w:rFonts w:ascii="Times New Roman" w:hAnsi="Times New Roman" w:cs="Times New Roman"/>
              <w:noProof/>
              <w:sz w:val="24"/>
              <w:szCs w:val="24"/>
            </w:rPr>
          </w:pPr>
          <w:hyperlink w:anchor="_Toc509228610" w:history="1">
            <w:r w:rsidR="006749DE" w:rsidRPr="00944EE4">
              <w:rPr>
                <w:rStyle w:val="Lienhypertexte"/>
                <w:rFonts w:ascii="Times New Roman" w:hAnsi="Times New Roman" w:cs="Times New Roman"/>
                <w:noProof/>
                <w:sz w:val="24"/>
                <w:szCs w:val="24"/>
              </w:rPr>
              <w:t>Axe 3 : Accès aux Services Sociaux de Base</w:t>
            </w:r>
            <w:r w:rsidR="006749DE" w:rsidRPr="00944EE4">
              <w:rPr>
                <w:rFonts w:ascii="Times New Roman" w:hAnsi="Times New Roman" w:cs="Times New Roman"/>
                <w:noProof/>
                <w:webHidden/>
                <w:sz w:val="24"/>
                <w:szCs w:val="24"/>
              </w:rPr>
              <w:tab/>
            </w:r>
            <w:r w:rsidR="006749DE" w:rsidRPr="00944EE4">
              <w:rPr>
                <w:rFonts w:ascii="Times New Roman" w:hAnsi="Times New Roman" w:cs="Times New Roman"/>
                <w:noProof/>
                <w:webHidden/>
                <w:sz w:val="24"/>
                <w:szCs w:val="24"/>
              </w:rPr>
              <w:fldChar w:fldCharType="begin"/>
            </w:r>
            <w:r w:rsidR="006749DE" w:rsidRPr="00944EE4">
              <w:rPr>
                <w:rFonts w:ascii="Times New Roman" w:hAnsi="Times New Roman" w:cs="Times New Roman"/>
                <w:noProof/>
                <w:webHidden/>
                <w:sz w:val="24"/>
                <w:szCs w:val="24"/>
              </w:rPr>
              <w:instrText xml:space="preserve"> PAGEREF _Toc509228610 \h </w:instrText>
            </w:r>
            <w:r w:rsidR="006749DE" w:rsidRPr="00944EE4">
              <w:rPr>
                <w:rFonts w:ascii="Times New Roman" w:hAnsi="Times New Roman" w:cs="Times New Roman"/>
                <w:noProof/>
                <w:webHidden/>
                <w:sz w:val="24"/>
                <w:szCs w:val="24"/>
              </w:rPr>
            </w:r>
            <w:r w:rsidR="006749DE" w:rsidRPr="00944EE4">
              <w:rPr>
                <w:rFonts w:ascii="Times New Roman" w:hAnsi="Times New Roman" w:cs="Times New Roman"/>
                <w:noProof/>
                <w:webHidden/>
                <w:sz w:val="24"/>
                <w:szCs w:val="24"/>
              </w:rPr>
              <w:fldChar w:fldCharType="separate"/>
            </w:r>
            <w:r w:rsidR="00DC32CB" w:rsidRPr="00944EE4">
              <w:rPr>
                <w:rFonts w:ascii="Times New Roman" w:hAnsi="Times New Roman" w:cs="Times New Roman"/>
                <w:noProof/>
                <w:webHidden/>
                <w:sz w:val="24"/>
                <w:szCs w:val="24"/>
              </w:rPr>
              <w:t>2</w:t>
            </w:r>
            <w:r w:rsidR="006749DE" w:rsidRPr="00944EE4">
              <w:rPr>
                <w:rFonts w:ascii="Times New Roman" w:hAnsi="Times New Roman" w:cs="Times New Roman"/>
                <w:noProof/>
                <w:webHidden/>
                <w:sz w:val="24"/>
                <w:szCs w:val="24"/>
              </w:rPr>
              <w:fldChar w:fldCharType="end"/>
            </w:r>
          </w:hyperlink>
          <w:r w:rsidR="00BB067A">
            <w:rPr>
              <w:rFonts w:ascii="Times New Roman" w:hAnsi="Times New Roman" w:cs="Times New Roman"/>
              <w:noProof/>
              <w:sz w:val="24"/>
              <w:szCs w:val="24"/>
            </w:rPr>
            <w:t>6</w:t>
          </w:r>
        </w:p>
        <w:p w14:paraId="781D0E5E" w14:textId="632A2D85" w:rsidR="006749DE" w:rsidRPr="00944EE4" w:rsidRDefault="00E15BF1">
          <w:pPr>
            <w:pStyle w:val="TM2"/>
            <w:tabs>
              <w:tab w:val="right" w:leader="dot" w:pos="9634"/>
            </w:tabs>
            <w:rPr>
              <w:rFonts w:ascii="Times New Roman" w:hAnsi="Times New Roman" w:cs="Times New Roman"/>
              <w:noProof/>
              <w:sz w:val="24"/>
              <w:szCs w:val="24"/>
            </w:rPr>
          </w:pPr>
          <w:hyperlink w:anchor="_Toc509228611" w:history="1">
            <w:r w:rsidR="006749DE" w:rsidRPr="00944EE4">
              <w:rPr>
                <w:rStyle w:val="Lienhypertexte"/>
                <w:rFonts w:ascii="Times New Roman" w:hAnsi="Times New Roman" w:cs="Times New Roman"/>
                <w:noProof/>
                <w:sz w:val="24"/>
                <w:szCs w:val="24"/>
              </w:rPr>
              <w:t>Axe 4 : Croissance inclusive et Développement Durable</w:t>
            </w:r>
            <w:r w:rsidR="006749DE" w:rsidRPr="00944EE4">
              <w:rPr>
                <w:rFonts w:ascii="Times New Roman" w:hAnsi="Times New Roman" w:cs="Times New Roman"/>
                <w:noProof/>
                <w:webHidden/>
                <w:sz w:val="24"/>
                <w:szCs w:val="24"/>
              </w:rPr>
              <w:tab/>
            </w:r>
            <w:r w:rsidR="006749DE" w:rsidRPr="00944EE4">
              <w:rPr>
                <w:rFonts w:ascii="Times New Roman" w:hAnsi="Times New Roman" w:cs="Times New Roman"/>
                <w:noProof/>
                <w:webHidden/>
                <w:sz w:val="24"/>
                <w:szCs w:val="24"/>
              </w:rPr>
              <w:fldChar w:fldCharType="begin"/>
            </w:r>
            <w:r w:rsidR="006749DE" w:rsidRPr="00944EE4">
              <w:rPr>
                <w:rFonts w:ascii="Times New Roman" w:hAnsi="Times New Roman" w:cs="Times New Roman"/>
                <w:noProof/>
                <w:webHidden/>
                <w:sz w:val="24"/>
                <w:szCs w:val="24"/>
              </w:rPr>
              <w:instrText xml:space="preserve"> PAGEREF _Toc509228611 \h </w:instrText>
            </w:r>
            <w:r w:rsidR="006749DE" w:rsidRPr="00944EE4">
              <w:rPr>
                <w:rFonts w:ascii="Times New Roman" w:hAnsi="Times New Roman" w:cs="Times New Roman"/>
                <w:noProof/>
                <w:webHidden/>
                <w:sz w:val="24"/>
                <w:szCs w:val="24"/>
              </w:rPr>
            </w:r>
            <w:r w:rsidR="006749DE" w:rsidRPr="00944EE4">
              <w:rPr>
                <w:rFonts w:ascii="Times New Roman" w:hAnsi="Times New Roman" w:cs="Times New Roman"/>
                <w:noProof/>
                <w:webHidden/>
                <w:sz w:val="24"/>
                <w:szCs w:val="24"/>
              </w:rPr>
              <w:fldChar w:fldCharType="separate"/>
            </w:r>
            <w:r w:rsidR="00DC32CB" w:rsidRPr="00944EE4">
              <w:rPr>
                <w:rFonts w:ascii="Times New Roman" w:hAnsi="Times New Roman" w:cs="Times New Roman"/>
                <w:noProof/>
                <w:webHidden/>
                <w:sz w:val="24"/>
                <w:szCs w:val="24"/>
              </w:rPr>
              <w:t>3</w:t>
            </w:r>
            <w:r w:rsidR="006749DE" w:rsidRPr="00944EE4">
              <w:rPr>
                <w:rFonts w:ascii="Times New Roman" w:hAnsi="Times New Roman" w:cs="Times New Roman"/>
                <w:noProof/>
                <w:webHidden/>
                <w:sz w:val="24"/>
                <w:szCs w:val="24"/>
              </w:rPr>
              <w:fldChar w:fldCharType="end"/>
            </w:r>
          </w:hyperlink>
          <w:r w:rsidR="00BB067A">
            <w:rPr>
              <w:rFonts w:ascii="Times New Roman" w:hAnsi="Times New Roman" w:cs="Times New Roman"/>
              <w:noProof/>
              <w:sz w:val="24"/>
              <w:szCs w:val="24"/>
            </w:rPr>
            <w:t>0</w:t>
          </w:r>
        </w:p>
        <w:p w14:paraId="0DBD1833" w14:textId="35CB796A" w:rsidR="006749DE" w:rsidRPr="00944EE4" w:rsidRDefault="00E15BF1">
          <w:pPr>
            <w:pStyle w:val="TM1"/>
            <w:tabs>
              <w:tab w:val="right" w:leader="dot" w:pos="9634"/>
            </w:tabs>
            <w:rPr>
              <w:rFonts w:ascii="Times New Roman" w:hAnsi="Times New Roman" w:cs="Times New Roman"/>
              <w:noProof/>
              <w:sz w:val="24"/>
              <w:szCs w:val="24"/>
            </w:rPr>
          </w:pPr>
          <w:hyperlink w:anchor="_Toc509228612" w:history="1">
            <w:r w:rsidR="006749DE" w:rsidRPr="00944EE4">
              <w:rPr>
                <w:rStyle w:val="Lienhypertexte"/>
                <w:rFonts w:ascii="Times New Roman" w:hAnsi="Times New Roman" w:cs="Times New Roman"/>
                <w:noProof/>
                <w:sz w:val="24"/>
                <w:szCs w:val="24"/>
              </w:rPr>
              <w:t>PARTIE III : INITIATIVES NE FIGURANT PAS DANS LES MATRICES DE RESULTATS UNDAF+</w:t>
            </w:r>
            <w:r w:rsidR="006749DE" w:rsidRPr="00944EE4">
              <w:rPr>
                <w:rFonts w:ascii="Times New Roman" w:hAnsi="Times New Roman" w:cs="Times New Roman"/>
                <w:noProof/>
                <w:webHidden/>
                <w:sz w:val="24"/>
                <w:szCs w:val="24"/>
              </w:rPr>
              <w:tab/>
            </w:r>
            <w:r w:rsidR="006749DE" w:rsidRPr="00944EE4">
              <w:rPr>
                <w:rFonts w:ascii="Times New Roman" w:hAnsi="Times New Roman" w:cs="Times New Roman"/>
                <w:noProof/>
                <w:webHidden/>
                <w:sz w:val="24"/>
                <w:szCs w:val="24"/>
              </w:rPr>
              <w:fldChar w:fldCharType="begin"/>
            </w:r>
            <w:r w:rsidR="006749DE" w:rsidRPr="00944EE4">
              <w:rPr>
                <w:rFonts w:ascii="Times New Roman" w:hAnsi="Times New Roman" w:cs="Times New Roman"/>
                <w:noProof/>
                <w:webHidden/>
                <w:sz w:val="24"/>
                <w:szCs w:val="24"/>
              </w:rPr>
              <w:instrText xml:space="preserve"> PAGEREF _Toc509228612 \h </w:instrText>
            </w:r>
            <w:r w:rsidR="006749DE" w:rsidRPr="00944EE4">
              <w:rPr>
                <w:rFonts w:ascii="Times New Roman" w:hAnsi="Times New Roman" w:cs="Times New Roman"/>
                <w:noProof/>
                <w:webHidden/>
                <w:sz w:val="24"/>
                <w:szCs w:val="24"/>
              </w:rPr>
            </w:r>
            <w:r w:rsidR="006749DE" w:rsidRPr="00944EE4">
              <w:rPr>
                <w:rFonts w:ascii="Times New Roman" w:hAnsi="Times New Roman" w:cs="Times New Roman"/>
                <w:noProof/>
                <w:webHidden/>
                <w:sz w:val="24"/>
                <w:szCs w:val="24"/>
              </w:rPr>
              <w:fldChar w:fldCharType="separate"/>
            </w:r>
            <w:r w:rsidR="00DC32CB" w:rsidRPr="00944EE4">
              <w:rPr>
                <w:rFonts w:ascii="Times New Roman" w:hAnsi="Times New Roman" w:cs="Times New Roman"/>
                <w:noProof/>
                <w:webHidden/>
                <w:sz w:val="24"/>
                <w:szCs w:val="24"/>
              </w:rPr>
              <w:t>3</w:t>
            </w:r>
            <w:r w:rsidR="006749DE" w:rsidRPr="00944EE4">
              <w:rPr>
                <w:rFonts w:ascii="Times New Roman" w:hAnsi="Times New Roman" w:cs="Times New Roman"/>
                <w:noProof/>
                <w:webHidden/>
                <w:sz w:val="24"/>
                <w:szCs w:val="24"/>
              </w:rPr>
              <w:fldChar w:fldCharType="end"/>
            </w:r>
          </w:hyperlink>
          <w:r w:rsidR="00724E1B">
            <w:rPr>
              <w:rFonts w:ascii="Times New Roman" w:hAnsi="Times New Roman" w:cs="Times New Roman"/>
              <w:noProof/>
              <w:sz w:val="24"/>
              <w:szCs w:val="24"/>
            </w:rPr>
            <w:t>4</w:t>
          </w:r>
        </w:p>
        <w:p w14:paraId="2A560D4F" w14:textId="10FF857B" w:rsidR="006749DE" w:rsidRPr="00944EE4" w:rsidRDefault="00E15BF1">
          <w:pPr>
            <w:pStyle w:val="TM1"/>
            <w:tabs>
              <w:tab w:val="right" w:leader="dot" w:pos="9634"/>
            </w:tabs>
            <w:rPr>
              <w:rFonts w:ascii="Times New Roman" w:hAnsi="Times New Roman" w:cs="Times New Roman"/>
              <w:noProof/>
              <w:sz w:val="24"/>
              <w:szCs w:val="24"/>
            </w:rPr>
          </w:pPr>
          <w:hyperlink w:anchor="_Toc509228613" w:history="1">
            <w:r w:rsidR="006749DE" w:rsidRPr="00944EE4">
              <w:rPr>
                <w:rStyle w:val="Lienhypertexte"/>
                <w:rFonts w:ascii="Times New Roman" w:hAnsi="Times New Roman" w:cs="Times New Roman"/>
                <w:noProof/>
                <w:sz w:val="24"/>
                <w:szCs w:val="24"/>
              </w:rPr>
              <w:t>PARTIE IV : MISE EN ŒUVRE</w:t>
            </w:r>
            <w:r w:rsidR="006749DE" w:rsidRPr="00944EE4">
              <w:rPr>
                <w:rFonts w:ascii="Times New Roman" w:hAnsi="Times New Roman" w:cs="Times New Roman"/>
                <w:noProof/>
                <w:webHidden/>
                <w:sz w:val="24"/>
                <w:szCs w:val="24"/>
              </w:rPr>
              <w:tab/>
            </w:r>
            <w:r w:rsidR="006749DE" w:rsidRPr="00944EE4">
              <w:rPr>
                <w:rFonts w:ascii="Times New Roman" w:hAnsi="Times New Roman" w:cs="Times New Roman"/>
                <w:noProof/>
                <w:webHidden/>
                <w:sz w:val="24"/>
                <w:szCs w:val="24"/>
              </w:rPr>
              <w:fldChar w:fldCharType="begin"/>
            </w:r>
            <w:r w:rsidR="006749DE" w:rsidRPr="00944EE4">
              <w:rPr>
                <w:rFonts w:ascii="Times New Roman" w:hAnsi="Times New Roman" w:cs="Times New Roman"/>
                <w:noProof/>
                <w:webHidden/>
                <w:sz w:val="24"/>
                <w:szCs w:val="24"/>
              </w:rPr>
              <w:instrText xml:space="preserve"> PAGEREF _Toc509228613 \h </w:instrText>
            </w:r>
            <w:r w:rsidR="006749DE" w:rsidRPr="00944EE4">
              <w:rPr>
                <w:rFonts w:ascii="Times New Roman" w:hAnsi="Times New Roman" w:cs="Times New Roman"/>
                <w:noProof/>
                <w:webHidden/>
                <w:sz w:val="24"/>
                <w:szCs w:val="24"/>
              </w:rPr>
            </w:r>
            <w:r w:rsidR="006749DE" w:rsidRPr="00944EE4">
              <w:rPr>
                <w:rFonts w:ascii="Times New Roman" w:hAnsi="Times New Roman" w:cs="Times New Roman"/>
                <w:noProof/>
                <w:webHidden/>
                <w:sz w:val="24"/>
                <w:szCs w:val="24"/>
              </w:rPr>
              <w:fldChar w:fldCharType="separate"/>
            </w:r>
            <w:r w:rsidR="00DC32CB" w:rsidRPr="00944EE4">
              <w:rPr>
                <w:rFonts w:ascii="Times New Roman" w:hAnsi="Times New Roman" w:cs="Times New Roman"/>
                <w:noProof/>
                <w:webHidden/>
                <w:sz w:val="24"/>
                <w:szCs w:val="24"/>
              </w:rPr>
              <w:t>3</w:t>
            </w:r>
            <w:r w:rsidR="006749DE" w:rsidRPr="00944EE4">
              <w:rPr>
                <w:rFonts w:ascii="Times New Roman" w:hAnsi="Times New Roman" w:cs="Times New Roman"/>
                <w:noProof/>
                <w:webHidden/>
                <w:sz w:val="24"/>
                <w:szCs w:val="24"/>
              </w:rPr>
              <w:fldChar w:fldCharType="end"/>
            </w:r>
          </w:hyperlink>
          <w:r w:rsidR="00222405">
            <w:rPr>
              <w:rFonts w:ascii="Times New Roman" w:hAnsi="Times New Roman" w:cs="Times New Roman"/>
              <w:noProof/>
              <w:sz w:val="24"/>
              <w:szCs w:val="24"/>
            </w:rPr>
            <w:t>5</w:t>
          </w:r>
        </w:p>
        <w:p w14:paraId="42494CB1" w14:textId="5FF0F739" w:rsidR="006749DE" w:rsidRPr="00944EE4" w:rsidRDefault="00E15BF1">
          <w:pPr>
            <w:pStyle w:val="TM1"/>
            <w:tabs>
              <w:tab w:val="right" w:leader="dot" w:pos="9634"/>
            </w:tabs>
            <w:rPr>
              <w:rFonts w:ascii="Times New Roman" w:hAnsi="Times New Roman" w:cs="Times New Roman"/>
              <w:noProof/>
              <w:sz w:val="24"/>
              <w:szCs w:val="24"/>
            </w:rPr>
          </w:pPr>
          <w:hyperlink w:anchor="_Toc509228614" w:history="1">
            <w:r w:rsidR="006749DE" w:rsidRPr="00944EE4">
              <w:rPr>
                <w:rStyle w:val="Lienhypertexte"/>
                <w:rFonts w:ascii="Times New Roman" w:hAnsi="Times New Roman" w:cs="Times New Roman"/>
                <w:noProof/>
                <w:sz w:val="24"/>
                <w:szCs w:val="24"/>
              </w:rPr>
              <w:t>PARTIE V : ESTIMATION DES RESSOURCES NECESSAIRES ET MOBILISATION DES RESSOURCES</w:t>
            </w:r>
            <w:r w:rsidR="006749DE" w:rsidRPr="00944EE4">
              <w:rPr>
                <w:rFonts w:ascii="Times New Roman" w:hAnsi="Times New Roman" w:cs="Times New Roman"/>
                <w:noProof/>
                <w:webHidden/>
                <w:sz w:val="24"/>
                <w:szCs w:val="24"/>
              </w:rPr>
              <w:tab/>
            </w:r>
          </w:hyperlink>
          <w:r w:rsidR="00EF65E1">
            <w:rPr>
              <w:rFonts w:ascii="Times New Roman" w:hAnsi="Times New Roman" w:cs="Times New Roman"/>
              <w:noProof/>
              <w:sz w:val="24"/>
              <w:szCs w:val="24"/>
            </w:rPr>
            <w:t>39</w:t>
          </w:r>
        </w:p>
        <w:p w14:paraId="110FF699" w14:textId="4FADB010" w:rsidR="006749DE" w:rsidRPr="00944EE4" w:rsidRDefault="00E15BF1">
          <w:pPr>
            <w:pStyle w:val="TM1"/>
            <w:tabs>
              <w:tab w:val="right" w:leader="dot" w:pos="9634"/>
            </w:tabs>
            <w:rPr>
              <w:rFonts w:ascii="Times New Roman" w:hAnsi="Times New Roman" w:cs="Times New Roman"/>
              <w:noProof/>
              <w:sz w:val="24"/>
              <w:szCs w:val="24"/>
            </w:rPr>
          </w:pPr>
          <w:hyperlink w:anchor="_Toc509228615" w:history="1">
            <w:r w:rsidR="006749DE" w:rsidRPr="00944EE4">
              <w:rPr>
                <w:rStyle w:val="Lienhypertexte"/>
                <w:rFonts w:ascii="Times New Roman" w:hAnsi="Times New Roman" w:cs="Times New Roman"/>
                <w:noProof/>
                <w:sz w:val="24"/>
                <w:szCs w:val="24"/>
              </w:rPr>
              <w:t>PARTIE VI : SUIVI EVALUATION</w:t>
            </w:r>
            <w:r w:rsidR="006749DE" w:rsidRPr="00944EE4">
              <w:rPr>
                <w:rFonts w:ascii="Times New Roman" w:hAnsi="Times New Roman" w:cs="Times New Roman"/>
                <w:noProof/>
                <w:webHidden/>
                <w:sz w:val="24"/>
                <w:szCs w:val="24"/>
              </w:rPr>
              <w:tab/>
            </w:r>
            <w:r w:rsidR="006749DE" w:rsidRPr="00944EE4">
              <w:rPr>
                <w:rFonts w:ascii="Times New Roman" w:hAnsi="Times New Roman" w:cs="Times New Roman"/>
                <w:noProof/>
                <w:webHidden/>
                <w:sz w:val="24"/>
                <w:szCs w:val="24"/>
              </w:rPr>
              <w:fldChar w:fldCharType="begin"/>
            </w:r>
            <w:r w:rsidR="006749DE" w:rsidRPr="00944EE4">
              <w:rPr>
                <w:rFonts w:ascii="Times New Roman" w:hAnsi="Times New Roman" w:cs="Times New Roman"/>
                <w:noProof/>
                <w:webHidden/>
                <w:sz w:val="24"/>
                <w:szCs w:val="24"/>
              </w:rPr>
              <w:instrText xml:space="preserve"> PAGEREF _Toc509228615 \h </w:instrText>
            </w:r>
            <w:r w:rsidR="006749DE" w:rsidRPr="00944EE4">
              <w:rPr>
                <w:rFonts w:ascii="Times New Roman" w:hAnsi="Times New Roman" w:cs="Times New Roman"/>
                <w:noProof/>
                <w:webHidden/>
                <w:sz w:val="24"/>
                <w:szCs w:val="24"/>
              </w:rPr>
            </w:r>
            <w:r w:rsidR="006749DE" w:rsidRPr="00944EE4">
              <w:rPr>
                <w:rFonts w:ascii="Times New Roman" w:hAnsi="Times New Roman" w:cs="Times New Roman"/>
                <w:noProof/>
                <w:webHidden/>
                <w:sz w:val="24"/>
                <w:szCs w:val="24"/>
              </w:rPr>
              <w:fldChar w:fldCharType="separate"/>
            </w:r>
            <w:r w:rsidR="00DC32CB" w:rsidRPr="00944EE4">
              <w:rPr>
                <w:rFonts w:ascii="Times New Roman" w:hAnsi="Times New Roman" w:cs="Times New Roman"/>
                <w:noProof/>
                <w:webHidden/>
                <w:sz w:val="24"/>
                <w:szCs w:val="24"/>
              </w:rPr>
              <w:t>4</w:t>
            </w:r>
            <w:r w:rsidR="006749DE" w:rsidRPr="00944EE4">
              <w:rPr>
                <w:rFonts w:ascii="Times New Roman" w:hAnsi="Times New Roman" w:cs="Times New Roman"/>
                <w:noProof/>
                <w:webHidden/>
                <w:sz w:val="24"/>
                <w:szCs w:val="24"/>
              </w:rPr>
              <w:fldChar w:fldCharType="end"/>
            </w:r>
          </w:hyperlink>
          <w:r w:rsidR="000D72AF">
            <w:rPr>
              <w:rFonts w:ascii="Times New Roman" w:hAnsi="Times New Roman" w:cs="Times New Roman"/>
              <w:noProof/>
              <w:sz w:val="24"/>
              <w:szCs w:val="24"/>
            </w:rPr>
            <w:t>0</w:t>
          </w:r>
        </w:p>
        <w:p w14:paraId="2C740C52" w14:textId="57C446C8" w:rsidR="006749DE" w:rsidRPr="00944EE4" w:rsidRDefault="00E15BF1">
          <w:pPr>
            <w:pStyle w:val="TM1"/>
            <w:tabs>
              <w:tab w:val="right" w:leader="dot" w:pos="9634"/>
            </w:tabs>
            <w:rPr>
              <w:rFonts w:ascii="Times New Roman" w:hAnsi="Times New Roman" w:cs="Times New Roman"/>
              <w:noProof/>
              <w:sz w:val="24"/>
              <w:szCs w:val="24"/>
            </w:rPr>
          </w:pPr>
          <w:hyperlink w:anchor="_Toc509228616" w:history="1">
            <w:r w:rsidR="006749DE" w:rsidRPr="00944EE4">
              <w:rPr>
                <w:rStyle w:val="Lienhypertexte"/>
                <w:rFonts w:ascii="Times New Roman" w:hAnsi="Times New Roman" w:cs="Times New Roman"/>
                <w:noProof/>
                <w:sz w:val="24"/>
                <w:szCs w:val="24"/>
              </w:rPr>
              <w:t>PARTIE VII : RISQUES SUR LA SUITE DU PROGRAMME</w:t>
            </w:r>
            <w:r w:rsidR="006749DE" w:rsidRPr="00944EE4">
              <w:rPr>
                <w:rFonts w:ascii="Times New Roman" w:hAnsi="Times New Roman" w:cs="Times New Roman"/>
                <w:noProof/>
                <w:webHidden/>
                <w:sz w:val="24"/>
                <w:szCs w:val="24"/>
              </w:rPr>
              <w:tab/>
            </w:r>
            <w:r w:rsidR="006749DE" w:rsidRPr="00944EE4">
              <w:rPr>
                <w:rFonts w:ascii="Times New Roman" w:hAnsi="Times New Roman" w:cs="Times New Roman"/>
                <w:noProof/>
                <w:webHidden/>
                <w:sz w:val="24"/>
                <w:szCs w:val="24"/>
              </w:rPr>
              <w:fldChar w:fldCharType="begin"/>
            </w:r>
            <w:r w:rsidR="006749DE" w:rsidRPr="00944EE4">
              <w:rPr>
                <w:rFonts w:ascii="Times New Roman" w:hAnsi="Times New Roman" w:cs="Times New Roman"/>
                <w:noProof/>
                <w:webHidden/>
                <w:sz w:val="24"/>
                <w:szCs w:val="24"/>
              </w:rPr>
              <w:instrText xml:space="preserve"> PAGEREF _Toc509228616 \h </w:instrText>
            </w:r>
            <w:r w:rsidR="006749DE" w:rsidRPr="00944EE4">
              <w:rPr>
                <w:rFonts w:ascii="Times New Roman" w:hAnsi="Times New Roman" w:cs="Times New Roman"/>
                <w:noProof/>
                <w:webHidden/>
                <w:sz w:val="24"/>
                <w:szCs w:val="24"/>
              </w:rPr>
            </w:r>
            <w:r w:rsidR="006749DE" w:rsidRPr="00944EE4">
              <w:rPr>
                <w:rFonts w:ascii="Times New Roman" w:hAnsi="Times New Roman" w:cs="Times New Roman"/>
                <w:noProof/>
                <w:webHidden/>
                <w:sz w:val="24"/>
                <w:szCs w:val="24"/>
              </w:rPr>
              <w:fldChar w:fldCharType="separate"/>
            </w:r>
            <w:r w:rsidR="00DC32CB" w:rsidRPr="00944EE4">
              <w:rPr>
                <w:rFonts w:ascii="Times New Roman" w:hAnsi="Times New Roman" w:cs="Times New Roman"/>
                <w:noProof/>
                <w:webHidden/>
                <w:sz w:val="24"/>
                <w:szCs w:val="24"/>
              </w:rPr>
              <w:t>4</w:t>
            </w:r>
            <w:r w:rsidR="006749DE" w:rsidRPr="00944EE4">
              <w:rPr>
                <w:rFonts w:ascii="Times New Roman" w:hAnsi="Times New Roman" w:cs="Times New Roman"/>
                <w:noProof/>
                <w:webHidden/>
                <w:sz w:val="24"/>
                <w:szCs w:val="24"/>
              </w:rPr>
              <w:fldChar w:fldCharType="end"/>
            </w:r>
          </w:hyperlink>
          <w:r w:rsidR="00994506">
            <w:rPr>
              <w:rFonts w:ascii="Times New Roman" w:hAnsi="Times New Roman" w:cs="Times New Roman"/>
              <w:noProof/>
              <w:sz w:val="24"/>
              <w:szCs w:val="24"/>
            </w:rPr>
            <w:t>2</w:t>
          </w:r>
        </w:p>
        <w:p w14:paraId="7B097D3A" w14:textId="67AFEB0E" w:rsidR="006749DE" w:rsidRPr="00944EE4" w:rsidRDefault="00E15BF1">
          <w:pPr>
            <w:pStyle w:val="TM1"/>
            <w:tabs>
              <w:tab w:val="right" w:leader="dot" w:pos="9634"/>
            </w:tabs>
            <w:rPr>
              <w:rFonts w:ascii="Times New Roman" w:hAnsi="Times New Roman" w:cs="Times New Roman"/>
              <w:noProof/>
              <w:sz w:val="24"/>
              <w:szCs w:val="24"/>
            </w:rPr>
          </w:pPr>
          <w:hyperlink w:anchor="_Toc509228617" w:history="1">
            <w:r w:rsidR="006749DE" w:rsidRPr="00944EE4">
              <w:rPr>
                <w:rStyle w:val="Lienhypertexte"/>
                <w:rFonts w:ascii="Times New Roman" w:hAnsi="Times New Roman" w:cs="Times New Roman"/>
                <w:noProof/>
                <w:sz w:val="24"/>
                <w:szCs w:val="24"/>
              </w:rPr>
              <w:t>ANNEXES</w:t>
            </w:r>
            <w:r w:rsidR="006749DE" w:rsidRPr="00944EE4">
              <w:rPr>
                <w:rFonts w:ascii="Times New Roman" w:hAnsi="Times New Roman" w:cs="Times New Roman"/>
                <w:noProof/>
                <w:webHidden/>
                <w:sz w:val="24"/>
                <w:szCs w:val="24"/>
              </w:rPr>
              <w:tab/>
            </w:r>
            <w:r w:rsidR="006749DE" w:rsidRPr="00944EE4">
              <w:rPr>
                <w:rFonts w:ascii="Times New Roman" w:hAnsi="Times New Roman" w:cs="Times New Roman"/>
                <w:noProof/>
                <w:webHidden/>
                <w:sz w:val="24"/>
                <w:szCs w:val="24"/>
              </w:rPr>
              <w:fldChar w:fldCharType="begin"/>
            </w:r>
            <w:r w:rsidR="006749DE" w:rsidRPr="00944EE4">
              <w:rPr>
                <w:rFonts w:ascii="Times New Roman" w:hAnsi="Times New Roman" w:cs="Times New Roman"/>
                <w:noProof/>
                <w:webHidden/>
                <w:sz w:val="24"/>
                <w:szCs w:val="24"/>
              </w:rPr>
              <w:instrText xml:space="preserve"> PAGEREF _Toc509228617 \h </w:instrText>
            </w:r>
            <w:r w:rsidR="006749DE" w:rsidRPr="00944EE4">
              <w:rPr>
                <w:rFonts w:ascii="Times New Roman" w:hAnsi="Times New Roman" w:cs="Times New Roman"/>
                <w:noProof/>
                <w:webHidden/>
                <w:sz w:val="24"/>
                <w:szCs w:val="24"/>
              </w:rPr>
            </w:r>
            <w:r w:rsidR="006749DE" w:rsidRPr="00944EE4">
              <w:rPr>
                <w:rFonts w:ascii="Times New Roman" w:hAnsi="Times New Roman" w:cs="Times New Roman"/>
                <w:noProof/>
                <w:webHidden/>
                <w:sz w:val="24"/>
                <w:szCs w:val="24"/>
              </w:rPr>
              <w:fldChar w:fldCharType="separate"/>
            </w:r>
            <w:r w:rsidR="00DC32CB" w:rsidRPr="00944EE4">
              <w:rPr>
                <w:rFonts w:ascii="Times New Roman" w:hAnsi="Times New Roman" w:cs="Times New Roman"/>
                <w:noProof/>
                <w:webHidden/>
                <w:sz w:val="24"/>
                <w:szCs w:val="24"/>
              </w:rPr>
              <w:t>4</w:t>
            </w:r>
            <w:r w:rsidR="006749DE" w:rsidRPr="00944EE4">
              <w:rPr>
                <w:rFonts w:ascii="Times New Roman" w:hAnsi="Times New Roman" w:cs="Times New Roman"/>
                <w:noProof/>
                <w:webHidden/>
                <w:sz w:val="24"/>
                <w:szCs w:val="24"/>
              </w:rPr>
              <w:fldChar w:fldCharType="end"/>
            </w:r>
          </w:hyperlink>
          <w:r w:rsidR="00994506">
            <w:rPr>
              <w:rFonts w:ascii="Times New Roman" w:hAnsi="Times New Roman" w:cs="Times New Roman"/>
              <w:noProof/>
              <w:sz w:val="24"/>
              <w:szCs w:val="24"/>
            </w:rPr>
            <w:t>4</w:t>
          </w:r>
        </w:p>
        <w:p w14:paraId="3C95675F" w14:textId="33726C7B" w:rsidR="00994506" w:rsidRPr="00994506" w:rsidRDefault="00994506" w:rsidP="00994506">
          <w:pPr>
            <w:ind w:firstLine="220"/>
            <w:rPr>
              <w:rFonts w:ascii="Times New Roman" w:eastAsia="MS Mincho" w:hAnsi="Times New Roman" w:cs="Times New Roman"/>
              <w:sz w:val="24"/>
              <w:szCs w:val="24"/>
            </w:rPr>
          </w:pPr>
          <w:r w:rsidRPr="00994506">
            <w:rPr>
              <w:rFonts w:ascii="Times New Roman" w:eastAsia="MS Mincho" w:hAnsi="Times New Roman" w:cs="Times New Roman"/>
              <w:sz w:val="24"/>
              <w:szCs w:val="24"/>
            </w:rPr>
            <w:t>Plan Intégré de Recherche, Suivi et Evaluation (IMEP</w:t>
          </w:r>
          <w:r>
            <w:rPr>
              <w:rFonts w:ascii="Times New Roman" w:eastAsia="MS Mincho" w:hAnsi="Times New Roman" w:cs="Times New Roman"/>
              <w:sz w:val="24"/>
              <w:szCs w:val="24"/>
            </w:rPr>
            <w:t>)……….</w:t>
          </w:r>
          <w:r w:rsidRPr="00994506">
            <w:rPr>
              <w:rFonts w:ascii="Times New Roman" w:hAnsi="Times New Roman" w:cs="Times New Roman"/>
              <w:sz w:val="24"/>
              <w:szCs w:val="24"/>
            </w:rPr>
            <w:t>………………………………...</w:t>
          </w:r>
          <w:r w:rsidR="00DC0515">
            <w:rPr>
              <w:rFonts w:ascii="Times New Roman" w:hAnsi="Times New Roman" w:cs="Times New Roman"/>
              <w:sz w:val="24"/>
              <w:szCs w:val="24"/>
            </w:rPr>
            <w:t>.</w:t>
          </w:r>
          <w:r w:rsidR="008424FA">
            <w:rPr>
              <w:rFonts w:ascii="Times New Roman" w:hAnsi="Times New Roman" w:cs="Times New Roman"/>
              <w:sz w:val="24"/>
              <w:szCs w:val="24"/>
            </w:rPr>
            <w:t>44</w:t>
          </w:r>
        </w:p>
        <w:p w14:paraId="3616194D" w14:textId="39D1BE87" w:rsidR="006749DE" w:rsidRPr="00944EE4" w:rsidRDefault="00E15BF1">
          <w:pPr>
            <w:pStyle w:val="TM2"/>
            <w:tabs>
              <w:tab w:val="right" w:leader="dot" w:pos="9634"/>
            </w:tabs>
            <w:rPr>
              <w:rFonts w:ascii="Times New Roman" w:hAnsi="Times New Roman" w:cs="Times New Roman"/>
              <w:noProof/>
              <w:sz w:val="24"/>
              <w:szCs w:val="24"/>
            </w:rPr>
          </w:pPr>
          <w:hyperlink w:anchor="_Toc509228618" w:history="1">
            <w:r w:rsidR="006749DE" w:rsidRPr="00944EE4">
              <w:rPr>
                <w:rStyle w:val="Lienhypertexte"/>
                <w:rFonts w:ascii="Times New Roman" w:hAnsi="Times New Roman" w:cs="Times New Roman"/>
                <w:noProof/>
                <w:sz w:val="24"/>
                <w:szCs w:val="24"/>
              </w:rPr>
              <w:t>Matrice des résultats UNDAF + : Axe 1 Paix, Sécurité et réconciliation</w:t>
            </w:r>
            <w:r w:rsidR="006749DE" w:rsidRPr="00944EE4">
              <w:rPr>
                <w:rFonts w:ascii="Times New Roman" w:hAnsi="Times New Roman" w:cs="Times New Roman"/>
                <w:noProof/>
                <w:webHidden/>
                <w:sz w:val="24"/>
                <w:szCs w:val="24"/>
              </w:rPr>
              <w:tab/>
            </w:r>
            <w:r w:rsidR="006749DE" w:rsidRPr="00944EE4">
              <w:rPr>
                <w:rFonts w:ascii="Times New Roman" w:hAnsi="Times New Roman" w:cs="Times New Roman"/>
                <w:noProof/>
                <w:webHidden/>
                <w:sz w:val="24"/>
                <w:szCs w:val="24"/>
              </w:rPr>
              <w:fldChar w:fldCharType="begin"/>
            </w:r>
            <w:r w:rsidR="006749DE" w:rsidRPr="00944EE4">
              <w:rPr>
                <w:rFonts w:ascii="Times New Roman" w:hAnsi="Times New Roman" w:cs="Times New Roman"/>
                <w:noProof/>
                <w:webHidden/>
                <w:sz w:val="24"/>
                <w:szCs w:val="24"/>
              </w:rPr>
              <w:instrText xml:space="preserve"> PAGEREF _Toc509228618 \h </w:instrText>
            </w:r>
            <w:r w:rsidR="006749DE" w:rsidRPr="00944EE4">
              <w:rPr>
                <w:rFonts w:ascii="Times New Roman" w:hAnsi="Times New Roman" w:cs="Times New Roman"/>
                <w:noProof/>
                <w:webHidden/>
                <w:sz w:val="24"/>
                <w:szCs w:val="24"/>
              </w:rPr>
            </w:r>
            <w:r w:rsidR="006749DE" w:rsidRPr="00944EE4">
              <w:rPr>
                <w:rFonts w:ascii="Times New Roman" w:hAnsi="Times New Roman" w:cs="Times New Roman"/>
                <w:noProof/>
                <w:webHidden/>
                <w:sz w:val="24"/>
                <w:szCs w:val="24"/>
              </w:rPr>
              <w:fldChar w:fldCharType="separate"/>
            </w:r>
            <w:r w:rsidR="00DC32CB" w:rsidRPr="00944EE4">
              <w:rPr>
                <w:rFonts w:ascii="Times New Roman" w:hAnsi="Times New Roman" w:cs="Times New Roman"/>
                <w:noProof/>
                <w:webHidden/>
                <w:sz w:val="24"/>
                <w:szCs w:val="24"/>
              </w:rPr>
              <w:t>4</w:t>
            </w:r>
            <w:r w:rsidR="006749DE" w:rsidRPr="00944EE4">
              <w:rPr>
                <w:rFonts w:ascii="Times New Roman" w:hAnsi="Times New Roman" w:cs="Times New Roman"/>
                <w:noProof/>
                <w:webHidden/>
                <w:sz w:val="24"/>
                <w:szCs w:val="24"/>
              </w:rPr>
              <w:fldChar w:fldCharType="end"/>
            </w:r>
          </w:hyperlink>
          <w:r w:rsidR="0062181C">
            <w:rPr>
              <w:rFonts w:ascii="Times New Roman" w:hAnsi="Times New Roman" w:cs="Times New Roman"/>
              <w:noProof/>
              <w:sz w:val="24"/>
              <w:szCs w:val="24"/>
            </w:rPr>
            <w:t>6</w:t>
          </w:r>
        </w:p>
        <w:p w14:paraId="08D562F0" w14:textId="62757026" w:rsidR="006749DE" w:rsidRPr="00944EE4" w:rsidRDefault="00E15BF1">
          <w:pPr>
            <w:pStyle w:val="TM2"/>
            <w:tabs>
              <w:tab w:val="right" w:leader="dot" w:pos="9634"/>
            </w:tabs>
            <w:rPr>
              <w:rFonts w:ascii="Times New Roman" w:hAnsi="Times New Roman" w:cs="Times New Roman"/>
              <w:noProof/>
              <w:sz w:val="24"/>
              <w:szCs w:val="24"/>
            </w:rPr>
          </w:pPr>
          <w:hyperlink w:anchor="_Toc509228619" w:history="1">
            <w:r w:rsidR="006749DE" w:rsidRPr="00944EE4">
              <w:rPr>
                <w:rStyle w:val="Lienhypertexte"/>
                <w:rFonts w:ascii="Times New Roman" w:hAnsi="Times New Roman" w:cs="Times New Roman"/>
                <w:noProof/>
                <w:sz w:val="24"/>
                <w:szCs w:val="24"/>
              </w:rPr>
              <w:t>Matrice des résultats UNDAF+ : Axe 2 Gouvernance</w:t>
            </w:r>
            <w:r w:rsidR="006749DE" w:rsidRPr="00944EE4">
              <w:rPr>
                <w:rFonts w:ascii="Times New Roman" w:hAnsi="Times New Roman" w:cs="Times New Roman"/>
                <w:noProof/>
                <w:webHidden/>
                <w:sz w:val="24"/>
                <w:szCs w:val="24"/>
              </w:rPr>
              <w:tab/>
            </w:r>
            <w:r w:rsidR="006749DE" w:rsidRPr="00944EE4">
              <w:rPr>
                <w:rFonts w:ascii="Times New Roman" w:hAnsi="Times New Roman" w:cs="Times New Roman"/>
                <w:noProof/>
                <w:webHidden/>
                <w:sz w:val="24"/>
                <w:szCs w:val="24"/>
              </w:rPr>
              <w:fldChar w:fldCharType="begin"/>
            </w:r>
            <w:r w:rsidR="006749DE" w:rsidRPr="00944EE4">
              <w:rPr>
                <w:rFonts w:ascii="Times New Roman" w:hAnsi="Times New Roman" w:cs="Times New Roman"/>
                <w:noProof/>
                <w:webHidden/>
                <w:sz w:val="24"/>
                <w:szCs w:val="24"/>
              </w:rPr>
              <w:instrText xml:space="preserve"> PAGEREF _Toc509228619 \h </w:instrText>
            </w:r>
            <w:r w:rsidR="006749DE" w:rsidRPr="00944EE4">
              <w:rPr>
                <w:rFonts w:ascii="Times New Roman" w:hAnsi="Times New Roman" w:cs="Times New Roman"/>
                <w:noProof/>
                <w:webHidden/>
                <w:sz w:val="24"/>
                <w:szCs w:val="24"/>
              </w:rPr>
            </w:r>
            <w:r w:rsidR="006749DE" w:rsidRPr="00944EE4">
              <w:rPr>
                <w:rFonts w:ascii="Times New Roman" w:hAnsi="Times New Roman" w:cs="Times New Roman"/>
                <w:noProof/>
                <w:webHidden/>
                <w:sz w:val="24"/>
                <w:szCs w:val="24"/>
              </w:rPr>
              <w:fldChar w:fldCharType="separate"/>
            </w:r>
            <w:r w:rsidR="00DC32CB" w:rsidRPr="00944EE4">
              <w:rPr>
                <w:rFonts w:ascii="Times New Roman" w:hAnsi="Times New Roman" w:cs="Times New Roman"/>
                <w:noProof/>
                <w:webHidden/>
                <w:sz w:val="24"/>
                <w:szCs w:val="24"/>
              </w:rPr>
              <w:t>5</w:t>
            </w:r>
            <w:r w:rsidR="006749DE" w:rsidRPr="00944EE4">
              <w:rPr>
                <w:rFonts w:ascii="Times New Roman" w:hAnsi="Times New Roman" w:cs="Times New Roman"/>
                <w:noProof/>
                <w:webHidden/>
                <w:sz w:val="24"/>
                <w:szCs w:val="24"/>
              </w:rPr>
              <w:fldChar w:fldCharType="end"/>
            </w:r>
          </w:hyperlink>
          <w:r w:rsidR="005C34ED">
            <w:rPr>
              <w:rFonts w:ascii="Times New Roman" w:hAnsi="Times New Roman" w:cs="Times New Roman"/>
              <w:noProof/>
              <w:sz w:val="24"/>
              <w:szCs w:val="24"/>
            </w:rPr>
            <w:t>8</w:t>
          </w:r>
        </w:p>
        <w:p w14:paraId="7D413AFE" w14:textId="280385AB" w:rsidR="006749DE" w:rsidRPr="00944EE4" w:rsidRDefault="00E15BF1">
          <w:pPr>
            <w:pStyle w:val="TM2"/>
            <w:tabs>
              <w:tab w:val="right" w:leader="dot" w:pos="9634"/>
            </w:tabs>
            <w:rPr>
              <w:rFonts w:ascii="Times New Roman" w:hAnsi="Times New Roman" w:cs="Times New Roman"/>
              <w:noProof/>
              <w:sz w:val="24"/>
              <w:szCs w:val="24"/>
            </w:rPr>
          </w:pPr>
          <w:hyperlink w:anchor="_Toc509228620" w:history="1">
            <w:r w:rsidR="006749DE" w:rsidRPr="00944EE4">
              <w:rPr>
                <w:rStyle w:val="Lienhypertexte"/>
                <w:rFonts w:ascii="Times New Roman" w:hAnsi="Times New Roman" w:cs="Times New Roman"/>
                <w:noProof/>
                <w:sz w:val="24"/>
                <w:szCs w:val="24"/>
              </w:rPr>
              <w:t>Matrice des résultats UNDAF+ Axe 3 : Services Sociaux de Base</w:t>
            </w:r>
            <w:r w:rsidR="006749DE" w:rsidRPr="00944EE4">
              <w:rPr>
                <w:rFonts w:ascii="Times New Roman" w:hAnsi="Times New Roman" w:cs="Times New Roman"/>
                <w:noProof/>
                <w:webHidden/>
                <w:sz w:val="24"/>
                <w:szCs w:val="24"/>
              </w:rPr>
              <w:tab/>
            </w:r>
            <w:r w:rsidR="006749DE" w:rsidRPr="00944EE4">
              <w:rPr>
                <w:rFonts w:ascii="Times New Roman" w:hAnsi="Times New Roman" w:cs="Times New Roman"/>
                <w:noProof/>
                <w:webHidden/>
                <w:sz w:val="24"/>
                <w:szCs w:val="24"/>
              </w:rPr>
              <w:fldChar w:fldCharType="begin"/>
            </w:r>
            <w:r w:rsidR="006749DE" w:rsidRPr="00944EE4">
              <w:rPr>
                <w:rFonts w:ascii="Times New Roman" w:hAnsi="Times New Roman" w:cs="Times New Roman"/>
                <w:noProof/>
                <w:webHidden/>
                <w:sz w:val="24"/>
                <w:szCs w:val="24"/>
              </w:rPr>
              <w:instrText xml:space="preserve"> PAGEREF _Toc509228620 \h </w:instrText>
            </w:r>
            <w:r w:rsidR="006749DE" w:rsidRPr="00944EE4">
              <w:rPr>
                <w:rFonts w:ascii="Times New Roman" w:hAnsi="Times New Roman" w:cs="Times New Roman"/>
                <w:noProof/>
                <w:webHidden/>
                <w:sz w:val="24"/>
                <w:szCs w:val="24"/>
              </w:rPr>
            </w:r>
            <w:r w:rsidR="006749DE" w:rsidRPr="00944EE4">
              <w:rPr>
                <w:rFonts w:ascii="Times New Roman" w:hAnsi="Times New Roman" w:cs="Times New Roman"/>
                <w:noProof/>
                <w:webHidden/>
                <w:sz w:val="24"/>
                <w:szCs w:val="24"/>
              </w:rPr>
              <w:fldChar w:fldCharType="separate"/>
            </w:r>
            <w:r w:rsidR="00DC32CB" w:rsidRPr="00944EE4">
              <w:rPr>
                <w:rFonts w:ascii="Times New Roman" w:hAnsi="Times New Roman" w:cs="Times New Roman"/>
                <w:noProof/>
                <w:webHidden/>
                <w:sz w:val="24"/>
                <w:szCs w:val="24"/>
              </w:rPr>
              <w:t>6</w:t>
            </w:r>
            <w:r w:rsidR="006749DE" w:rsidRPr="00944EE4">
              <w:rPr>
                <w:rFonts w:ascii="Times New Roman" w:hAnsi="Times New Roman" w:cs="Times New Roman"/>
                <w:noProof/>
                <w:webHidden/>
                <w:sz w:val="24"/>
                <w:szCs w:val="24"/>
              </w:rPr>
              <w:fldChar w:fldCharType="end"/>
            </w:r>
          </w:hyperlink>
          <w:r w:rsidR="005C34ED">
            <w:rPr>
              <w:rFonts w:ascii="Times New Roman" w:hAnsi="Times New Roman" w:cs="Times New Roman"/>
              <w:noProof/>
              <w:sz w:val="24"/>
              <w:szCs w:val="24"/>
            </w:rPr>
            <w:t>6</w:t>
          </w:r>
        </w:p>
        <w:p w14:paraId="4A81301D" w14:textId="426E292D" w:rsidR="006749DE" w:rsidRPr="00944EE4" w:rsidRDefault="00E15BF1">
          <w:pPr>
            <w:pStyle w:val="TM2"/>
            <w:tabs>
              <w:tab w:val="right" w:leader="dot" w:pos="9634"/>
            </w:tabs>
            <w:rPr>
              <w:rFonts w:ascii="Times New Roman" w:hAnsi="Times New Roman" w:cs="Times New Roman"/>
              <w:noProof/>
              <w:sz w:val="24"/>
              <w:szCs w:val="24"/>
            </w:rPr>
          </w:pPr>
          <w:hyperlink w:anchor="_Toc509228621" w:history="1">
            <w:r w:rsidR="006749DE" w:rsidRPr="00944EE4">
              <w:rPr>
                <w:rStyle w:val="Lienhypertexte"/>
                <w:rFonts w:ascii="Times New Roman" w:hAnsi="Times New Roman" w:cs="Times New Roman"/>
                <w:noProof/>
                <w:sz w:val="24"/>
                <w:szCs w:val="24"/>
              </w:rPr>
              <w:t>Matrice des résultats UNDAF + : Axe 4 Croissance Inclusive et Développement durable</w:t>
            </w:r>
            <w:r w:rsidR="006749DE" w:rsidRPr="00944EE4">
              <w:rPr>
                <w:rFonts w:ascii="Times New Roman" w:hAnsi="Times New Roman" w:cs="Times New Roman"/>
                <w:noProof/>
                <w:webHidden/>
                <w:sz w:val="24"/>
                <w:szCs w:val="24"/>
              </w:rPr>
              <w:tab/>
            </w:r>
            <w:r w:rsidR="006749DE" w:rsidRPr="00944EE4">
              <w:rPr>
                <w:rFonts w:ascii="Times New Roman" w:hAnsi="Times New Roman" w:cs="Times New Roman"/>
                <w:noProof/>
                <w:webHidden/>
                <w:sz w:val="24"/>
                <w:szCs w:val="24"/>
              </w:rPr>
              <w:fldChar w:fldCharType="begin"/>
            </w:r>
            <w:r w:rsidR="006749DE" w:rsidRPr="00944EE4">
              <w:rPr>
                <w:rFonts w:ascii="Times New Roman" w:hAnsi="Times New Roman" w:cs="Times New Roman"/>
                <w:noProof/>
                <w:webHidden/>
                <w:sz w:val="24"/>
                <w:szCs w:val="24"/>
              </w:rPr>
              <w:instrText xml:space="preserve"> PAGEREF _Toc509228621 \h </w:instrText>
            </w:r>
            <w:r w:rsidR="006749DE" w:rsidRPr="00944EE4">
              <w:rPr>
                <w:rFonts w:ascii="Times New Roman" w:hAnsi="Times New Roman" w:cs="Times New Roman"/>
                <w:noProof/>
                <w:webHidden/>
                <w:sz w:val="24"/>
                <w:szCs w:val="24"/>
              </w:rPr>
            </w:r>
            <w:r w:rsidR="006749DE" w:rsidRPr="00944EE4">
              <w:rPr>
                <w:rFonts w:ascii="Times New Roman" w:hAnsi="Times New Roman" w:cs="Times New Roman"/>
                <w:noProof/>
                <w:webHidden/>
                <w:sz w:val="24"/>
                <w:szCs w:val="24"/>
              </w:rPr>
              <w:fldChar w:fldCharType="separate"/>
            </w:r>
            <w:r w:rsidR="00DC32CB" w:rsidRPr="00944EE4">
              <w:rPr>
                <w:rFonts w:ascii="Times New Roman" w:hAnsi="Times New Roman" w:cs="Times New Roman"/>
                <w:noProof/>
                <w:webHidden/>
                <w:sz w:val="24"/>
                <w:szCs w:val="24"/>
              </w:rPr>
              <w:t>7</w:t>
            </w:r>
            <w:r w:rsidR="006749DE" w:rsidRPr="00944EE4">
              <w:rPr>
                <w:rFonts w:ascii="Times New Roman" w:hAnsi="Times New Roman" w:cs="Times New Roman"/>
                <w:noProof/>
                <w:webHidden/>
                <w:sz w:val="24"/>
                <w:szCs w:val="24"/>
              </w:rPr>
              <w:fldChar w:fldCharType="end"/>
            </w:r>
          </w:hyperlink>
          <w:r w:rsidR="005C34ED">
            <w:rPr>
              <w:rFonts w:ascii="Times New Roman" w:hAnsi="Times New Roman" w:cs="Times New Roman"/>
              <w:noProof/>
              <w:sz w:val="24"/>
              <w:szCs w:val="24"/>
            </w:rPr>
            <w:t>6</w:t>
          </w:r>
        </w:p>
        <w:p w14:paraId="591F9C87" w14:textId="67F4D22B" w:rsidR="006749DE" w:rsidRPr="00944EE4" w:rsidRDefault="00E15BF1">
          <w:pPr>
            <w:pStyle w:val="TM2"/>
            <w:tabs>
              <w:tab w:val="right" w:leader="dot" w:pos="9634"/>
            </w:tabs>
            <w:rPr>
              <w:rFonts w:ascii="Times New Roman" w:hAnsi="Times New Roman" w:cs="Times New Roman"/>
              <w:noProof/>
              <w:sz w:val="24"/>
              <w:szCs w:val="24"/>
            </w:rPr>
          </w:pPr>
          <w:hyperlink w:anchor="_Toc509228622" w:history="1">
            <w:r w:rsidR="006749DE" w:rsidRPr="00944EE4">
              <w:rPr>
                <w:rStyle w:val="Lienhypertexte"/>
                <w:rFonts w:ascii="Times New Roman" w:hAnsi="Times New Roman" w:cs="Times New Roman"/>
                <w:noProof/>
                <w:sz w:val="24"/>
                <w:szCs w:val="24"/>
              </w:rPr>
              <w:t>Tableau d’explicitation de l’ancrage des questions émergentes dans la Matrice UNDAF</w:t>
            </w:r>
            <w:r w:rsidR="006749DE" w:rsidRPr="00944EE4">
              <w:rPr>
                <w:rStyle w:val="Lienhypertexte"/>
                <w:rFonts w:ascii="Times New Roman" w:hAnsi="Times New Roman" w:cs="Times New Roman"/>
                <w:noProof/>
                <w:sz w:val="24"/>
                <w:szCs w:val="24"/>
                <w:vertAlign w:val="superscript"/>
              </w:rPr>
              <w:t>+</w:t>
            </w:r>
            <w:r w:rsidR="006749DE" w:rsidRPr="00944EE4">
              <w:rPr>
                <w:rFonts w:ascii="Times New Roman" w:hAnsi="Times New Roman" w:cs="Times New Roman"/>
                <w:noProof/>
                <w:webHidden/>
                <w:sz w:val="24"/>
                <w:szCs w:val="24"/>
              </w:rPr>
              <w:tab/>
            </w:r>
            <w:r w:rsidR="006749DE" w:rsidRPr="00944EE4">
              <w:rPr>
                <w:rFonts w:ascii="Times New Roman" w:hAnsi="Times New Roman" w:cs="Times New Roman"/>
                <w:noProof/>
                <w:webHidden/>
                <w:sz w:val="24"/>
                <w:szCs w:val="24"/>
              </w:rPr>
              <w:fldChar w:fldCharType="begin"/>
            </w:r>
            <w:r w:rsidR="006749DE" w:rsidRPr="00944EE4">
              <w:rPr>
                <w:rFonts w:ascii="Times New Roman" w:hAnsi="Times New Roman" w:cs="Times New Roman"/>
                <w:noProof/>
                <w:webHidden/>
                <w:sz w:val="24"/>
                <w:szCs w:val="24"/>
              </w:rPr>
              <w:instrText xml:space="preserve"> PAGEREF _Toc509228622 \h </w:instrText>
            </w:r>
            <w:r w:rsidR="006749DE" w:rsidRPr="00944EE4">
              <w:rPr>
                <w:rFonts w:ascii="Times New Roman" w:hAnsi="Times New Roman" w:cs="Times New Roman"/>
                <w:noProof/>
                <w:webHidden/>
                <w:sz w:val="24"/>
                <w:szCs w:val="24"/>
              </w:rPr>
            </w:r>
            <w:r w:rsidR="006749DE" w:rsidRPr="00944EE4">
              <w:rPr>
                <w:rFonts w:ascii="Times New Roman" w:hAnsi="Times New Roman" w:cs="Times New Roman"/>
                <w:noProof/>
                <w:webHidden/>
                <w:sz w:val="24"/>
                <w:szCs w:val="24"/>
              </w:rPr>
              <w:fldChar w:fldCharType="separate"/>
            </w:r>
            <w:r w:rsidR="00DC32CB" w:rsidRPr="00944EE4">
              <w:rPr>
                <w:rFonts w:ascii="Times New Roman" w:hAnsi="Times New Roman" w:cs="Times New Roman"/>
                <w:noProof/>
                <w:webHidden/>
                <w:sz w:val="24"/>
                <w:szCs w:val="24"/>
              </w:rPr>
              <w:t>8</w:t>
            </w:r>
            <w:r w:rsidR="006749DE" w:rsidRPr="00944EE4">
              <w:rPr>
                <w:rFonts w:ascii="Times New Roman" w:hAnsi="Times New Roman" w:cs="Times New Roman"/>
                <w:noProof/>
                <w:webHidden/>
                <w:sz w:val="24"/>
                <w:szCs w:val="24"/>
              </w:rPr>
              <w:fldChar w:fldCharType="end"/>
            </w:r>
          </w:hyperlink>
          <w:r w:rsidR="005C34ED">
            <w:rPr>
              <w:rFonts w:ascii="Times New Roman" w:hAnsi="Times New Roman" w:cs="Times New Roman"/>
              <w:noProof/>
              <w:sz w:val="24"/>
              <w:szCs w:val="24"/>
            </w:rPr>
            <w:t>3</w:t>
          </w:r>
        </w:p>
        <w:p w14:paraId="2CC4D8A3" w14:textId="77777777" w:rsidR="00AA53AB" w:rsidRPr="00944EE4" w:rsidRDefault="00AA53AB">
          <w:pPr>
            <w:rPr>
              <w:rFonts w:ascii="Times New Roman" w:hAnsi="Times New Roman" w:cs="Times New Roman"/>
              <w:sz w:val="24"/>
              <w:szCs w:val="24"/>
            </w:rPr>
          </w:pPr>
          <w:r w:rsidRPr="00944EE4">
            <w:rPr>
              <w:rFonts w:ascii="Times New Roman" w:hAnsi="Times New Roman" w:cs="Times New Roman"/>
              <w:sz w:val="24"/>
              <w:szCs w:val="24"/>
            </w:rPr>
            <w:fldChar w:fldCharType="end"/>
          </w:r>
        </w:p>
      </w:sdtContent>
    </w:sdt>
    <w:p w14:paraId="16B7A6C8" w14:textId="77777777" w:rsidR="00AA53AB" w:rsidRPr="00944EE4" w:rsidRDefault="00AA53AB">
      <w:pPr>
        <w:rPr>
          <w:rFonts w:ascii="Times New Roman" w:hAnsi="Times New Roman" w:cs="Times New Roman"/>
          <w:b/>
          <w:color w:val="1F497D" w:themeColor="text2"/>
          <w:sz w:val="24"/>
          <w:szCs w:val="24"/>
          <w:u w:val="single"/>
        </w:rPr>
      </w:pPr>
    </w:p>
    <w:p w14:paraId="1E85F7A9" w14:textId="77777777" w:rsidR="007D501E" w:rsidRPr="00944EE4" w:rsidRDefault="007D501E">
      <w:pPr>
        <w:rPr>
          <w:rFonts w:ascii="Times New Roman" w:hAnsi="Times New Roman" w:cs="Times New Roman"/>
          <w:b/>
          <w:color w:val="1F497D" w:themeColor="text2"/>
          <w:sz w:val="24"/>
          <w:szCs w:val="24"/>
          <w:u w:val="single"/>
        </w:rPr>
      </w:pPr>
    </w:p>
    <w:p w14:paraId="147AE04B" w14:textId="77777777" w:rsidR="00172055" w:rsidRPr="00944EE4" w:rsidRDefault="00172055">
      <w:pPr>
        <w:rPr>
          <w:rFonts w:ascii="Times New Roman" w:hAnsi="Times New Roman" w:cs="Times New Roman"/>
          <w:b/>
          <w:color w:val="1F497D" w:themeColor="text2"/>
          <w:sz w:val="24"/>
          <w:szCs w:val="24"/>
          <w:u w:val="single"/>
        </w:rPr>
      </w:pPr>
    </w:p>
    <w:p w14:paraId="48FB652D" w14:textId="77777777" w:rsidR="00172055" w:rsidRPr="00944EE4" w:rsidRDefault="00172055">
      <w:pPr>
        <w:rPr>
          <w:rFonts w:ascii="Times New Roman" w:hAnsi="Times New Roman" w:cs="Times New Roman"/>
          <w:b/>
          <w:color w:val="1F497D" w:themeColor="text2"/>
          <w:sz w:val="24"/>
          <w:szCs w:val="24"/>
          <w:u w:val="single"/>
        </w:rPr>
      </w:pPr>
    </w:p>
    <w:p w14:paraId="6F655792" w14:textId="77777777" w:rsidR="00172055" w:rsidRPr="00944EE4" w:rsidRDefault="00172055">
      <w:pPr>
        <w:rPr>
          <w:rFonts w:ascii="Times New Roman" w:hAnsi="Times New Roman" w:cs="Times New Roman"/>
          <w:b/>
          <w:color w:val="1F497D" w:themeColor="text2"/>
          <w:sz w:val="24"/>
          <w:szCs w:val="24"/>
          <w:u w:val="single"/>
        </w:rPr>
      </w:pPr>
    </w:p>
    <w:p w14:paraId="1DDD6F48" w14:textId="77777777" w:rsidR="00172055" w:rsidRPr="00944EE4" w:rsidRDefault="00172055">
      <w:pPr>
        <w:rPr>
          <w:rFonts w:ascii="Times New Roman" w:hAnsi="Times New Roman" w:cs="Times New Roman"/>
          <w:b/>
          <w:color w:val="1F497D" w:themeColor="text2"/>
          <w:sz w:val="24"/>
          <w:szCs w:val="24"/>
          <w:u w:val="single"/>
        </w:rPr>
      </w:pPr>
    </w:p>
    <w:p w14:paraId="5302DEB8" w14:textId="77777777" w:rsidR="00172055" w:rsidRPr="00944EE4" w:rsidRDefault="00172055">
      <w:pPr>
        <w:rPr>
          <w:rFonts w:ascii="Times New Roman" w:hAnsi="Times New Roman" w:cs="Times New Roman"/>
          <w:b/>
          <w:color w:val="1F497D" w:themeColor="text2"/>
          <w:sz w:val="24"/>
          <w:szCs w:val="24"/>
          <w:u w:val="single"/>
        </w:rPr>
      </w:pPr>
    </w:p>
    <w:p w14:paraId="30271036" w14:textId="77777777" w:rsidR="00172055" w:rsidRPr="00944EE4" w:rsidRDefault="00172055">
      <w:pPr>
        <w:rPr>
          <w:rFonts w:ascii="Times New Roman" w:hAnsi="Times New Roman" w:cs="Times New Roman"/>
          <w:b/>
          <w:color w:val="1F497D" w:themeColor="text2"/>
          <w:sz w:val="24"/>
          <w:szCs w:val="24"/>
          <w:u w:val="single"/>
        </w:rPr>
      </w:pPr>
    </w:p>
    <w:p w14:paraId="65A5B983" w14:textId="77777777" w:rsidR="00172055" w:rsidRPr="00944EE4" w:rsidRDefault="00172055">
      <w:pPr>
        <w:rPr>
          <w:rFonts w:ascii="Times New Roman" w:hAnsi="Times New Roman" w:cs="Times New Roman"/>
          <w:b/>
          <w:color w:val="1F497D" w:themeColor="text2"/>
          <w:sz w:val="24"/>
          <w:szCs w:val="24"/>
          <w:u w:val="single"/>
        </w:rPr>
      </w:pPr>
    </w:p>
    <w:p w14:paraId="21CAC4E3" w14:textId="77777777" w:rsidR="00172055" w:rsidRPr="00944EE4" w:rsidRDefault="00172055">
      <w:pPr>
        <w:rPr>
          <w:rFonts w:ascii="Times New Roman" w:hAnsi="Times New Roman" w:cs="Times New Roman"/>
          <w:b/>
          <w:color w:val="1F497D" w:themeColor="text2"/>
          <w:sz w:val="24"/>
          <w:szCs w:val="24"/>
          <w:u w:val="single"/>
        </w:rPr>
        <w:sectPr w:rsidR="00172055" w:rsidRPr="00944EE4" w:rsidSect="00172055">
          <w:footerReference w:type="default" r:id="rId10"/>
          <w:footerReference w:type="first" r:id="rId11"/>
          <w:pgSz w:w="12240" w:h="15840"/>
          <w:pgMar w:top="1151" w:right="1298" w:bottom="902" w:left="1298" w:header="567" w:footer="336" w:gutter="0"/>
          <w:pgNumType w:fmt="lowerRoman" w:start="1"/>
          <w:cols w:space="708"/>
          <w:titlePg/>
          <w:docGrid w:linePitch="360"/>
        </w:sectPr>
      </w:pPr>
    </w:p>
    <w:p w14:paraId="7AEFFA53" w14:textId="77777777" w:rsidR="00B06567" w:rsidRPr="00944EE4" w:rsidRDefault="00880F37" w:rsidP="008B72F6">
      <w:pPr>
        <w:pStyle w:val="Titre1"/>
        <w:rPr>
          <w:rFonts w:ascii="Times New Roman" w:hAnsi="Times New Roman" w:cs="Times New Roman"/>
          <w:sz w:val="24"/>
          <w:szCs w:val="24"/>
          <w:u w:val="single"/>
        </w:rPr>
      </w:pPr>
      <w:bookmarkStart w:id="0" w:name="_Toc509228600"/>
      <w:r w:rsidRPr="00944EE4">
        <w:rPr>
          <w:rFonts w:ascii="Times New Roman" w:hAnsi="Times New Roman" w:cs="Times New Roman"/>
          <w:sz w:val="24"/>
          <w:szCs w:val="24"/>
          <w:u w:val="single"/>
        </w:rPr>
        <w:lastRenderedPageBreak/>
        <w:t>PARTIE I </w:t>
      </w:r>
      <w:r w:rsidRPr="00944EE4">
        <w:rPr>
          <w:rFonts w:ascii="Times New Roman" w:hAnsi="Times New Roman" w:cs="Times New Roman"/>
          <w:sz w:val="24"/>
          <w:szCs w:val="24"/>
        </w:rPr>
        <w:t>: INTRODUCTION</w:t>
      </w:r>
      <w:bookmarkEnd w:id="0"/>
    </w:p>
    <w:p w14:paraId="63633564" w14:textId="77777777" w:rsidR="00B06567" w:rsidRPr="00944EE4" w:rsidRDefault="00B06567" w:rsidP="00C75F63">
      <w:pPr>
        <w:autoSpaceDE w:val="0"/>
        <w:autoSpaceDN w:val="0"/>
        <w:adjustRightInd w:val="0"/>
        <w:rPr>
          <w:rFonts w:ascii="Times New Roman" w:hAnsi="Times New Roman" w:cs="Times New Roman"/>
          <w:sz w:val="24"/>
          <w:szCs w:val="24"/>
        </w:rPr>
      </w:pPr>
    </w:p>
    <w:p w14:paraId="70042540" w14:textId="3011DA56" w:rsidR="00C36B5A" w:rsidRPr="00944EE4" w:rsidRDefault="00880F37" w:rsidP="00C75F63">
      <w:pPr>
        <w:autoSpaceDE w:val="0"/>
        <w:autoSpaceDN w:val="0"/>
        <w:adjustRightInd w:val="0"/>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Le présent Plan cadre </w:t>
      </w:r>
      <w:r w:rsidRPr="00944EE4">
        <w:rPr>
          <w:rFonts w:ascii="Times New Roman" w:hAnsi="Times New Roman" w:cs="Times New Roman"/>
          <w:i/>
          <w:sz w:val="24"/>
          <w:szCs w:val="24"/>
        </w:rPr>
        <w:t xml:space="preserve">intégré </w:t>
      </w:r>
      <w:r w:rsidRPr="00944EE4">
        <w:rPr>
          <w:rFonts w:ascii="Times New Roman" w:hAnsi="Times New Roman" w:cs="Times New Roman"/>
          <w:sz w:val="24"/>
          <w:szCs w:val="24"/>
        </w:rPr>
        <w:t>des Nations Unies pour l’Aide au Développement (</w:t>
      </w:r>
      <w:r w:rsidR="00324372" w:rsidRPr="00944EE4">
        <w:rPr>
          <w:rFonts w:ascii="Times New Roman" w:hAnsi="Times New Roman" w:cs="Times New Roman"/>
          <w:sz w:val="24"/>
          <w:szCs w:val="24"/>
        </w:rPr>
        <w:t>UNDAF+), couvre la période 2015–</w:t>
      </w:r>
      <w:r w:rsidRPr="00944EE4">
        <w:rPr>
          <w:rFonts w:ascii="Times New Roman" w:hAnsi="Times New Roman" w:cs="Times New Roman"/>
          <w:sz w:val="24"/>
          <w:szCs w:val="24"/>
        </w:rPr>
        <w:t>2019 et constitue la base de référence pour les interventions des Nations Unies</w:t>
      </w:r>
      <w:r w:rsidR="00324372" w:rsidRPr="00944EE4">
        <w:rPr>
          <w:rFonts w:ascii="Times New Roman" w:hAnsi="Times New Roman" w:cs="Times New Roman"/>
          <w:sz w:val="24"/>
          <w:szCs w:val="24"/>
        </w:rPr>
        <w:t>,</w:t>
      </w:r>
      <w:r w:rsidRPr="00944EE4">
        <w:rPr>
          <w:rFonts w:ascii="Times New Roman" w:hAnsi="Times New Roman" w:cs="Times New Roman"/>
          <w:sz w:val="24"/>
          <w:szCs w:val="24"/>
        </w:rPr>
        <w:t xml:space="preserve"> composées au Mali de la </w:t>
      </w:r>
      <w:r w:rsidRPr="00944EE4">
        <w:rPr>
          <w:rFonts w:ascii="Times New Roman" w:hAnsi="Times New Roman" w:cs="Times New Roman"/>
          <w:bCs/>
          <w:sz w:val="24"/>
          <w:szCs w:val="24"/>
        </w:rPr>
        <w:t>Mission</w:t>
      </w:r>
      <w:r w:rsidRPr="00944EE4">
        <w:rPr>
          <w:rFonts w:ascii="Times New Roman" w:hAnsi="Times New Roman" w:cs="Times New Roman"/>
          <w:sz w:val="24"/>
          <w:szCs w:val="24"/>
        </w:rPr>
        <w:t xml:space="preserve"> multidimensionnelle </w:t>
      </w:r>
      <w:r w:rsidRPr="00944EE4">
        <w:rPr>
          <w:rFonts w:ascii="Times New Roman" w:hAnsi="Times New Roman" w:cs="Times New Roman"/>
          <w:bCs/>
          <w:sz w:val="24"/>
          <w:szCs w:val="24"/>
        </w:rPr>
        <w:t>intégrée</w:t>
      </w:r>
      <w:r w:rsidRPr="00944EE4">
        <w:rPr>
          <w:rFonts w:ascii="Times New Roman" w:hAnsi="Times New Roman" w:cs="Times New Roman"/>
          <w:sz w:val="24"/>
          <w:szCs w:val="24"/>
        </w:rPr>
        <w:t xml:space="preserve"> des Nations Unies pour la stabilisation au Mali (MINUSMA)</w:t>
      </w:r>
      <w:r w:rsidR="00324372" w:rsidRPr="00944EE4">
        <w:rPr>
          <w:rFonts w:ascii="Times New Roman" w:hAnsi="Times New Roman" w:cs="Times New Roman"/>
          <w:sz w:val="24"/>
          <w:szCs w:val="24"/>
        </w:rPr>
        <w:t>,</w:t>
      </w:r>
      <w:r w:rsidRPr="00944EE4">
        <w:rPr>
          <w:rFonts w:ascii="Times New Roman" w:hAnsi="Times New Roman" w:cs="Times New Roman"/>
          <w:sz w:val="24"/>
          <w:szCs w:val="24"/>
        </w:rPr>
        <w:t xml:space="preserve"> des Fonds, des Programmes et des Institutions Spécialisés des Nations Unies. Partant du contexte spécifique d’une intégration de ces différentes entités, la programmation stratégique de l’assistance des Nations Unies aboutit, à travers un processus participatif, à un programme de coopération dont la mise en œuvre, les ressources et le suivi-évaluation sont définis d’un commun accord, entre le Gouvernement, les Nations Unies et les autres partenaires.</w:t>
      </w:r>
    </w:p>
    <w:p w14:paraId="6A1605FA" w14:textId="77777777" w:rsidR="00C36B5A" w:rsidRPr="00944EE4" w:rsidRDefault="00C36B5A" w:rsidP="00C75F63">
      <w:pPr>
        <w:autoSpaceDE w:val="0"/>
        <w:autoSpaceDN w:val="0"/>
        <w:adjustRightInd w:val="0"/>
        <w:spacing w:line="276" w:lineRule="auto"/>
        <w:jc w:val="both"/>
        <w:rPr>
          <w:rFonts w:ascii="Times New Roman" w:hAnsi="Times New Roman" w:cs="Times New Roman"/>
          <w:sz w:val="24"/>
          <w:szCs w:val="24"/>
        </w:rPr>
      </w:pPr>
    </w:p>
    <w:p w14:paraId="69F0403A" w14:textId="1574A361" w:rsidR="00C36B5A" w:rsidRPr="00944EE4" w:rsidRDefault="00880F37" w:rsidP="00C75F63">
      <w:pPr>
        <w:autoSpaceDE w:val="0"/>
        <w:autoSpaceDN w:val="0"/>
        <w:adjustRightInd w:val="0"/>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Le Mali sort difficilement d’une crise profonde et multidimensionn</w:t>
      </w:r>
      <w:r w:rsidR="00CB1BF9" w:rsidRPr="00944EE4">
        <w:rPr>
          <w:rFonts w:ascii="Times New Roman" w:hAnsi="Times New Roman" w:cs="Times New Roman"/>
          <w:sz w:val="24"/>
          <w:szCs w:val="24"/>
        </w:rPr>
        <w:t>elle qui perdure depuis 2012. Le</w:t>
      </w:r>
      <w:r w:rsidRPr="00944EE4">
        <w:rPr>
          <w:rFonts w:ascii="Times New Roman" w:hAnsi="Times New Roman" w:cs="Times New Roman"/>
          <w:sz w:val="24"/>
          <w:szCs w:val="24"/>
        </w:rPr>
        <w:t xml:space="preserve"> Gouvernement, dé</w:t>
      </w:r>
      <w:r w:rsidR="008F63A8" w:rsidRPr="00944EE4">
        <w:rPr>
          <w:rFonts w:ascii="Times New Roman" w:hAnsi="Times New Roman" w:cs="Times New Roman"/>
          <w:sz w:val="24"/>
          <w:szCs w:val="24"/>
        </w:rPr>
        <w:t>mocratiquement élu en 2013,</w:t>
      </w:r>
      <w:r w:rsidRPr="00944EE4">
        <w:rPr>
          <w:rFonts w:ascii="Times New Roman" w:hAnsi="Times New Roman" w:cs="Times New Roman"/>
          <w:sz w:val="24"/>
          <w:szCs w:val="24"/>
        </w:rPr>
        <w:t xml:space="preserve"> fai</w:t>
      </w:r>
      <w:r w:rsidR="008F63A8" w:rsidRPr="00944EE4">
        <w:rPr>
          <w:rFonts w:ascii="Times New Roman" w:hAnsi="Times New Roman" w:cs="Times New Roman"/>
          <w:sz w:val="24"/>
          <w:szCs w:val="24"/>
        </w:rPr>
        <w:t xml:space="preserve">t </w:t>
      </w:r>
      <w:r w:rsidRPr="00944EE4">
        <w:rPr>
          <w:rFonts w:ascii="Times New Roman" w:hAnsi="Times New Roman" w:cs="Times New Roman"/>
          <w:sz w:val="24"/>
          <w:szCs w:val="24"/>
        </w:rPr>
        <w:t>face à des défis</w:t>
      </w:r>
      <w:r w:rsidR="00324372" w:rsidRPr="00944EE4">
        <w:rPr>
          <w:rFonts w:ascii="Times New Roman" w:hAnsi="Times New Roman" w:cs="Times New Roman"/>
          <w:sz w:val="24"/>
          <w:szCs w:val="24"/>
        </w:rPr>
        <w:t xml:space="preserve"> majeurs liés au processus post-</w:t>
      </w:r>
      <w:r w:rsidRPr="00944EE4">
        <w:rPr>
          <w:rFonts w:ascii="Times New Roman" w:hAnsi="Times New Roman" w:cs="Times New Roman"/>
          <w:sz w:val="24"/>
          <w:szCs w:val="24"/>
        </w:rPr>
        <w:t xml:space="preserve">transition caractérisé </w:t>
      </w:r>
      <w:r w:rsidRPr="00944EE4">
        <w:rPr>
          <w:rFonts w:ascii="Times New Roman" w:hAnsi="Times New Roman" w:cs="Times New Roman"/>
          <w:bCs/>
          <w:iCs/>
          <w:sz w:val="24"/>
          <w:szCs w:val="24"/>
        </w:rPr>
        <w:t>d’une part, par le passage du conflit à la paix et à la stabilisation et, d’autre part, par la gestion des aspects humanitaires et de promotion du développement humain durable</w:t>
      </w:r>
      <w:r w:rsidRPr="00944EE4">
        <w:rPr>
          <w:rFonts w:ascii="Times New Roman" w:hAnsi="Times New Roman" w:cs="Times New Roman"/>
          <w:sz w:val="24"/>
          <w:szCs w:val="24"/>
        </w:rPr>
        <w:t xml:space="preserve">. </w:t>
      </w:r>
    </w:p>
    <w:p w14:paraId="51CC0DFE" w14:textId="77777777" w:rsidR="008F63A8" w:rsidRPr="00944EE4" w:rsidRDefault="008F63A8" w:rsidP="00C75F63">
      <w:pPr>
        <w:autoSpaceDE w:val="0"/>
        <w:autoSpaceDN w:val="0"/>
        <w:adjustRightInd w:val="0"/>
        <w:spacing w:line="276" w:lineRule="auto"/>
        <w:jc w:val="both"/>
        <w:rPr>
          <w:rFonts w:ascii="Times New Roman" w:hAnsi="Times New Roman" w:cs="Times New Roman"/>
          <w:sz w:val="24"/>
          <w:szCs w:val="24"/>
        </w:rPr>
      </w:pPr>
    </w:p>
    <w:p w14:paraId="2CE20739" w14:textId="784601B5" w:rsidR="00000B12" w:rsidRPr="00944EE4" w:rsidRDefault="00880F37" w:rsidP="00C75F63">
      <w:pPr>
        <w:autoSpaceDE w:val="0"/>
        <w:autoSpaceDN w:val="0"/>
        <w:adjustRightInd w:val="0"/>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Il s’agit de consolider la paix et la réconciliation qui passe nécessairement par la mise en place d’institutions démocratiques, la démobilisation et la r</w:t>
      </w:r>
      <w:r w:rsidR="00324372" w:rsidRPr="00944EE4">
        <w:rPr>
          <w:rFonts w:ascii="Times New Roman" w:hAnsi="Times New Roman" w:cs="Times New Roman"/>
          <w:sz w:val="24"/>
          <w:szCs w:val="24"/>
        </w:rPr>
        <w:t>éintégration des ex-combattants</w:t>
      </w:r>
      <w:r w:rsidR="00C84DB2" w:rsidRPr="00944EE4">
        <w:rPr>
          <w:rFonts w:ascii="Times New Roman" w:hAnsi="Times New Roman" w:cs="Times New Roman"/>
          <w:sz w:val="24"/>
          <w:szCs w:val="24"/>
        </w:rPr>
        <w:t xml:space="preserve">, ainsi que par </w:t>
      </w:r>
      <w:r w:rsidRPr="00944EE4">
        <w:rPr>
          <w:rFonts w:ascii="Times New Roman" w:hAnsi="Times New Roman" w:cs="Times New Roman"/>
          <w:sz w:val="24"/>
          <w:szCs w:val="24"/>
        </w:rPr>
        <w:t>la création de conditions favorables à la relance économique pour faire</w:t>
      </w:r>
      <w:r w:rsidR="00324372" w:rsidRPr="00944EE4">
        <w:rPr>
          <w:rFonts w:ascii="Times New Roman" w:hAnsi="Times New Roman" w:cs="Times New Roman"/>
          <w:sz w:val="24"/>
          <w:szCs w:val="24"/>
        </w:rPr>
        <w:t xml:space="preserve"> face à la pauvreté généralisée</w:t>
      </w:r>
      <w:r w:rsidR="00C84DB2" w:rsidRPr="00944EE4">
        <w:rPr>
          <w:rFonts w:ascii="Times New Roman" w:hAnsi="Times New Roman" w:cs="Times New Roman"/>
          <w:sz w:val="24"/>
          <w:szCs w:val="24"/>
        </w:rPr>
        <w:t xml:space="preserve"> et</w:t>
      </w:r>
      <w:r w:rsidRPr="00944EE4">
        <w:rPr>
          <w:rFonts w:ascii="Times New Roman" w:hAnsi="Times New Roman" w:cs="Times New Roman"/>
          <w:sz w:val="24"/>
          <w:szCs w:val="24"/>
        </w:rPr>
        <w:t xml:space="preserve"> permettre le retour durable des populations déplacées</w:t>
      </w:r>
      <w:r w:rsidR="00324372" w:rsidRPr="00944EE4">
        <w:rPr>
          <w:rFonts w:ascii="Times New Roman" w:hAnsi="Times New Roman" w:cs="Times New Roman"/>
          <w:sz w:val="24"/>
          <w:szCs w:val="24"/>
        </w:rPr>
        <w:t xml:space="preserve"> malgré elles</w:t>
      </w:r>
      <w:r w:rsidRPr="00944EE4">
        <w:rPr>
          <w:rFonts w:ascii="Times New Roman" w:hAnsi="Times New Roman" w:cs="Times New Roman"/>
          <w:sz w:val="24"/>
          <w:szCs w:val="24"/>
        </w:rPr>
        <w:t xml:space="preserve">, soit à l’intérieur du pays, soit à l’extérieur. </w:t>
      </w:r>
    </w:p>
    <w:p w14:paraId="763BDC5D" w14:textId="77777777" w:rsidR="00C36B5A" w:rsidRPr="00944EE4" w:rsidRDefault="00C36B5A" w:rsidP="00C75F63">
      <w:pPr>
        <w:autoSpaceDE w:val="0"/>
        <w:autoSpaceDN w:val="0"/>
        <w:adjustRightInd w:val="0"/>
        <w:spacing w:line="276" w:lineRule="auto"/>
        <w:jc w:val="both"/>
        <w:rPr>
          <w:rFonts w:ascii="Times New Roman" w:hAnsi="Times New Roman" w:cs="Times New Roman"/>
          <w:sz w:val="24"/>
          <w:szCs w:val="24"/>
        </w:rPr>
      </w:pPr>
    </w:p>
    <w:p w14:paraId="7181C0A3" w14:textId="6F3466D4" w:rsidR="00C36B5A" w:rsidRPr="00944EE4" w:rsidRDefault="00880F37" w:rsidP="00C75F63">
      <w:pPr>
        <w:autoSpaceDE w:val="0"/>
        <w:autoSpaceDN w:val="0"/>
        <w:adjustRightInd w:val="0"/>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Le contexte de fr</w:t>
      </w:r>
      <w:r w:rsidR="00324372" w:rsidRPr="00944EE4">
        <w:rPr>
          <w:rFonts w:ascii="Times New Roman" w:hAnsi="Times New Roman" w:cs="Times New Roman"/>
          <w:sz w:val="24"/>
          <w:szCs w:val="24"/>
        </w:rPr>
        <w:t>agilité politique et économique</w:t>
      </w:r>
      <w:r w:rsidRPr="00944EE4">
        <w:rPr>
          <w:rFonts w:ascii="Times New Roman" w:hAnsi="Times New Roman" w:cs="Times New Roman"/>
          <w:sz w:val="24"/>
          <w:szCs w:val="24"/>
        </w:rPr>
        <w:t xml:space="preserve"> exige des réponses simultanées, opérationnelles et flexibles. Cette situation montre l’ampleur des défis et demande une grande capacité de formulation, d’exécution et de suivi des stratégies, politiques et programmes du Gouvernement que les Nations Unies devraient largement renforcer.</w:t>
      </w:r>
    </w:p>
    <w:p w14:paraId="19C819F0" w14:textId="77777777" w:rsidR="00C36B5A" w:rsidRPr="00944EE4" w:rsidRDefault="00C36B5A" w:rsidP="00C75F63">
      <w:pPr>
        <w:autoSpaceDE w:val="0"/>
        <w:autoSpaceDN w:val="0"/>
        <w:adjustRightInd w:val="0"/>
        <w:spacing w:line="276" w:lineRule="auto"/>
        <w:jc w:val="both"/>
        <w:rPr>
          <w:rFonts w:ascii="Times New Roman" w:hAnsi="Times New Roman" w:cs="Times New Roman"/>
          <w:sz w:val="24"/>
          <w:szCs w:val="24"/>
        </w:rPr>
      </w:pPr>
    </w:p>
    <w:p w14:paraId="2C97D53E" w14:textId="23308D90" w:rsidR="00C36B5A" w:rsidRPr="00944EE4" w:rsidRDefault="00880F37" w:rsidP="00C75F63">
      <w:pPr>
        <w:autoSpaceDE w:val="0"/>
        <w:autoSpaceDN w:val="0"/>
        <w:adjustRightInd w:val="0"/>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Le Gouvernement a élaboré, de manière participative, son Cadre Stratégique pour la croissance et la réduction de la Pauvreté (CSCRP 2012-2017), le Plan de r</w:t>
      </w:r>
      <w:r w:rsidR="00324372" w:rsidRPr="00944EE4">
        <w:rPr>
          <w:rFonts w:ascii="Times New Roman" w:hAnsi="Times New Roman" w:cs="Times New Roman"/>
          <w:sz w:val="24"/>
          <w:szCs w:val="24"/>
        </w:rPr>
        <w:t>elance durable PRED (2013-2014)</w:t>
      </w:r>
      <w:r w:rsidRPr="00944EE4">
        <w:rPr>
          <w:rFonts w:ascii="Times New Roman" w:hAnsi="Times New Roman" w:cs="Times New Roman"/>
          <w:sz w:val="24"/>
          <w:szCs w:val="24"/>
        </w:rPr>
        <w:t xml:space="preserve"> en prenant en compte les engagements internationaux dont la Conférence de Bruxelles en 2013, et le Plan d’actions Gouvernemental (2013-2018). Le processus du CSCR</w:t>
      </w:r>
      <w:r w:rsidR="00324372" w:rsidRPr="00944EE4">
        <w:rPr>
          <w:rFonts w:ascii="Times New Roman" w:hAnsi="Times New Roman" w:cs="Times New Roman"/>
          <w:sz w:val="24"/>
          <w:szCs w:val="24"/>
        </w:rPr>
        <w:t>P</w:t>
      </w:r>
      <w:r w:rsidRPr="00944EE4">
        <w:rPr>
          <w:rFonts w:ascii="Times New Roman" w:hAnsi="Times New Roman" w:cs="Times New Roman"/>
          <w:sz w:val="24"/>
          <w:szCs w:val="24"/>
        </w:rPr>
        <w:t xml:space="preserve"> a fourni à l’exercice du Bilan Commun de Pays des éléments d'analyse de la situation et de priorisation indispensables pour jeter les bases de la définition des objectifs et des résultats attendus de l’appui des Nations Unies. </w:t>
      </w:r>
    </w:p>
    <w:p w14:paraId="57DC892F" w14:textId="77777777" w:rsidR="00C36B5A" w:rsidRPr="00944EE4" w:rsidRDefault="00C36B5A" w:rsidP="003764E3">
      <w:pPr>
        <w:autoSpaceDE w:val="0"/>
        <w:autoSpaceDN w:val="0"/>
        <w:adjustRightInd w:val="0"/>
        <w:spacing w:line="276" w:lineRule="auto"/>
        <w:jc w:val="both"/>
        <w:rPr>
          <w:rFonts w:ascii="Times New Roman" w:hAnsi="Times New Roman" w:cs="Times New Roman"/>
          <w:sz w:val="24"/>
          <w:szCs w:val="24"/>
        </w:rPr>
      </w:pPr>
    </w:p>
    <w:p w14:paraId="30744356" w14:textId="296D5CE0" w:rsidR="00B30959" w:rsidRPr="00944EE4" w:rsidRDefault="00B30959" w:rsidP="00B30959">
      <w:pPr>
        <w:autoSpaceDE w:val="0"/>
        <w:autoSpaceDN w:val="0"/>
        <w:adjustRightInd w:val="0"/>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En 2016, le gouvernement a elaboré et validé le Cadre Stratégique pour la Relance Economique et le Développement Durable (CREDD) pour guider les priorités du gouvernement et de ses partenaires pour la periode 2016-2018. La realisation de la revue a mi-parcours du UNDAF+ en 2017 a été l’occasion pour le </w:t>
      </w:r>
      <w:r w:rsidR="006B59D0" w:rsidRPr="00944EE4">
        <w:rPr>
          <w:rFonts w:ascii="Times New Roman" w:hAnsi="Times New Roman" w:cs="Times New Roman"/>
          <w:sz w:val="24"/>
          <w:szCs w:val="24"/>
        </w:rPr>
        <w:t xml:space="preserve">Syteme des Nations Unies d’assurer </w:t>
      </w:r>
      <w:r w:rsidR="00D6002C" w:rsidRPr="00944EE4">
        <w:rPr>
          <w:rFonts w:ascii="Times New Roman" w:hAnsi="Times New Roman" w:cs="Times New Roman"/>
          <w:sz w:val="24"/>
          <w:szCs w:val="24"/>
        </w:rPr>
        <w:t>son alignement avec le CREDD ainsi qu’avec les ODD, ce qui justifie les chang</w:t>
      </w:r>
      <w:r w:rsidR="00800CFC" w:rsidRPr="00944EE4">
        <w:rPr>
          <w:rFonts w:ascii="Times New Roman" w:hAnsi="Times New Roman" w:cs="Times New Roman"/>
          <w:sz w:val="24"/>
          <w:szCs w:val="24"/>
        </w:rPr>
        <w:t xml:space="preserve">ements </w:t>
      </w:r>
      <w:r w:rsidR="00D6002C" w:rsidRPr="00944EE4">
        <w:rPr>
          <w:rFonts w:ascii="Times New Roman" w:hAnsi="Times New Roman" w:cs="Times New Roman"/>
          <w:sz w:val="24"/>
          <w:szCs w:val="24"/>
        </w:rPr>
        <w:t>a</w:t>
      </w:r>
      <w:r w:rsidR="00800CFC" w:rsidRPr="00944EE4">
        <w:rPr>
          <w:rFonts w:ascii="Times New Roman" w:hAnsi="Times New Roman" w:cs="Times New Roman"/>
          <w:sz w:val="24"/>
          <w:szCs w:val="24"/>
        </w:rPr>
        <w:t>pportes à certains indicate</w:t>
      </w:r>
      <w:r w:rsidR="00D6002C" w:rsidRPr="00944EE4">
        <w:rPr>
          <w:rFonts w:ascii="Times New Roman" w:hAnsi="Times New Roman" w:cs="Times New Roman"/>
          <w:sz w:val="24"/>
          <w:szCs w:val="24"/>
        </w:rPr>
        <w:t>u</w:t>
      </w:r>
      <w:r w:rsidR="00800CFC" w:rsidRPr="00944EE4">
        <w:rPr>
          <w:rFonts w:ascii="Times New Roman" w:hAnsi="Times New Roman" w:cs="Times New Roman"/>
          <w:sz w:val="24"/>
          <w:szCs w:val="24"/>
        </w:rPr>
        <w:t>r</w:t>
      </w:r>
      <w:r w:rsidR="00D6002C" w:rsidRPr="00944EE4">
        <w:rPr>
          <w:rFonts w:ascii="Times New Roman" w:hAnsi="Times New Roman" w:cs="Times New Roman"/>
          <w:sz w:val="24"/>
          <w:szCs w:val="24"/>
        </w:rPr>
        <w:t>s de resultats du UNDAF+.</w:t>
      </w:r>
    </w:p>
    <w:p w14:paraId="3A0F57D5" w14:textId="77777777" w:rsidR="00D6002C" w:rsidRPr="00944EE4" w:rsidRDefault="00D6002C" w:rsidP="00B30959">
      <w:pPr>
        <w:autoSpaceDE w:val="0"/>
        <w:autoSpaceDN w:val="0"/>
        <w:adjustRightInd w:val="0"/>
        <w:spacing w:line="276" w:lineRule="auto"/>
        <w:jc w:val="both"/>
        <w:rPr>
          <w:rFonts w:ascii="Times New Roman" w:hAnsi="Times New Roman" w:cs="Times New Roman"/>
          <w:sz w:val="24"/>
          <w:szCs w:val="24"/>
        </w:rPr>
      </w:pPr>
    </w:p>
    <w:p w14:paraId="4287ABDD" w14:textId="1907BD5E" w:rsidR="00C36B5A" w:rsidRPr="00944EE4" w:rsidRDefault="00880F37" w:rsidP="00B30959">
      <w:pPr>
        <w:autoSpaceDE w:val="0"/>
        <w:autoSpaceDN w:val="0"/>
        <w:adjustRightInd w:val="0"/>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L’assistance des Nations Unies se propose de soutenir sur la base de ses avantages comparatifs </w:t>
      </w:r>
      <w:r w:rsidR="00324372" w:rsidRPr="00944EE4">
        <w:rPr>
          <w:rFonts w:ascii="Times New Roman" w:hAnsi="Times New Roman" w:cs="Times New Roman"/>
          <w:sz w:val="24"/>
          <w:szCs w:val="24"/>
        </w:rPr>
        <w:t xml:space="preserve">- </w:t>
      </w:r>
      <w:r w:rsidRPr="00944EE4">
        <w:rPr>
          <w:rFonts w:ascii="Times New Roman" w:hAnsi="Times New Roman" w:cs="Times New Roman"/>
          <w:sz w:val="24"/>
          <w:szCs w:val="24"/>
        </w:rPr>
        <w:t>et par l’atteinte de résultats mesurables</w:t>
      </w:r>
      <w:r w:rsidR="00324372" w:rsidRPr="00944EE4">
        <w:rPr>
          <w:rFonts w:ascii="Times New Roman" w:hAnsi="Times New Roman" w:cs="Times New Roman"/>
          <w:sz w:val="24"/>
          <w:szCs w:val="24"/>
        </w:rPr>
        <w:t xml:space="preserve"> </w:t>
      </w:r>
      <w:r w:rsidRPr="00944EE4">
        <w:rPr>
          <w:rFonts w:ascii="Times New Roman" w:hAnsi="Times New Roman" w:cs="Times New Roman"/>
          <w:sz w:val="24"/>
          <w:szCs w:val="24"/>
        </w:rPr>
        <w:t xml:space="preserve">- les actions menées par le Gouvernement, de manière </w:t>
      </w:r>
      <w:r w:rsidRPr="00944EE4">
        <w:rPr>
          <w:rFonts w:ascii="Times New Roman" w:hAnsi="Times New Roman" w:cs="Times New Roman"/>
          <w:sz w:val="24"/>
          <w:szCs w:val="24"/>
        </w:rPr>
        <w:lastRenderedPageBreak/>
        <w:t>synergique et complémentaire avec les autres partenaires. Le renforcement des capacités,</w:t>
      </w:r>
      <w:r w:rsidR="00324372" w:rsidRPr="00944EE4">
        <w:rPr>
          <w:rFonts w:ascii="Times New Roman" w:hAnsi="Times New Roman" w:cs="Times New Roman"/>
          <w:sz w:val="24"/>
          <w:szCs w:val="24"/>
        </w:rPr>
        <w:t xml:space="preserve"> le plaidoyer, la communication</w:t>
      </w:r>
      <w:r w:rsidRPr="00944EE4">
        <w:rPr>
          <w:rFonts w:ascii="Times New Roman" w:hAnsi="Times New Roman" w:cs="Times New Roman"/>
          <w:sz w:val="24"/>
          <w:szCs w:val="24"/>
        </w:rPr>
        <w:t xml:space="preserve"> et le développement des politiques publiques axées sur la performance figurent parmi les stratégies privilégiées par les Nations Unies pour contribuer de manière significative au développement humain.</w:t>
      </w:r>
    </w:p>
    <w:p w14:paraId="69D90451" w14:textId="77777777" w:rsidR="0030371F" w:rsidRPr="00944EE4" w:rsidRDefault="0030371F" w:rsidP="006E2938">
      <w:pPr>
        <w:autoSpaceDE w:val="0"/>
        <w:autoSpaceDN w:val="0"/>
        <w:adjustRightInd w:val="0"/>
        <w:spacing w:line="276" w:lineRule="auto"/>
        <w:jc w:val="both"/>
        <w:rPr>
          <w:rFonts w:ascii="Times New Roman" w:hAnsi="Times New Roman" w:cs="Times New Roman"/>
          <w:sz w:val="24"/>
          <w:szCs w:val="24"/>
        </w:rPr>
      </w:pPr>
    </w:p>
    <w:p w14:paraId="458778C2" w14:textId="7B7F85BA" w:rsidR="00C36B5A" w:rsidRPr="00944EE4" w:rsidRDefault="00880F37" w:rsidP="006E2938">
      <w:pPr>
        <w:autoSpaceDE w:val="0"/>
        <w:autoSpaceDN w:val="0"/>
        <w:adjustRightInd w:val="0"/>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Les Nations Unie</w:t>
      </w:r>
      <w:r w:rsidR="00324372" w:rsidRPr="00944EE4">
        <w:rPr>
          <w:rFonts w:ascii="Times New Roman" w:hAnsi="Times New Roman" w:cs="Times New Roman"/>
          <w:sz w:val="24"/>
          <w:szCs w:val="24"/>
        </w:rPr>
        <w:t>s estiment qu’environ 1.137.632.</w:t>
      </w:r>
      <w:r w:rsidR="009532B4" w:rsidRPr="00944EE4">
        <w:rPr>
          <w:rFonts w:ascii="Times New Roman" w:hAnsi="Times New Roman" w:cs="Times New Roman"/>
          <w:sz w:val="24"/>
          <w:szCs w:val="24"/>
        </w:rPr>
        <w:t>878 dollars américains seraient</w:t>
      </w:r>
      <w:r w:rsidRPr="00944EE4">
        <w:rPr>
          <w:rFonts w:ascii="Times New Roman" w:hAnsi="Times New Roman" w:cs="Times New Roman"/>
          <w:sz w:val="24"/>
          <w:szCs w:val="24"/>
        </w:rPr>
        <w:t xml:space="preserve"> nécessaires pour l’atteinte des résultats de l’UNDAF+. Ce montant inclut les ressources propres des agences, les ressources de la MINUSMA et les ressources que ces entités, avec l’appui du Gouvernement, espèrent mobiliser à partir de sources extérieures.</w:t>
      </w:r>
      <w:r w:rsidR="00F33E14" w:rsidRPr="00944EE4">
        <w:rPr>
          <w:rFonts w:ascii="Times New Roman" w:hAnsi="Times New Roman" w:cs="Times New Roman"/>
          <w:sz w:val="24"/>
          <w:szCs w:val="24"/>
        </w:rPr>
        <w:t xml:space="preserve"> </w:t>
      </w:r>
      <w:r w:rsidR="00AF0426" w:rsidRPr="00944EE4">
        <w:rPr>
          <w:rFonts w:ascii="Times New Roman" w:hAnsi="Times New Roman" w:cs="Times New Roman"/>
          <w:sz w:val="24"/>
          <w:szCs w:val="24"/>
        </w:rPr>
        <w:t>Les montants mobilis</w:t>
      </w:r>
      <w:r w:rsidR="008A140E" w:rsidRPr="00944EE4">
        <w:rPr>
          <w:rFonts w:ascii="Times New Roman" w:hAnsi="Times New Roman" w:cs="Times New Roman"/>
          <w:sz w:val="24"/>
          <w:szCs w:val="24"/>
        </w:rPr>
        <w:t>é</w:t>
      </w:r>
      <w:r w:rsidR="00AF0426" w:rsidRPr="00944EE4">
        <w:rPr>
          <w:rFonts w:ascii="Times New Roman" w:hAnsi="Times New Roman" w:cs="Times New Roman"/>
          <w:sz w:val="24"/>
          <w:szCs w:val="24"/>
        </w:rPr>
        <w:t xml:space="preserve">s de 2015 </w:t>
      </w:r>
      <w:r w:rsidR="00800CFC" w:rsidRPr="00944EE4">
        <w:rPr>
          <w:rFonts w:ascii="Times New Roman" w:hAnsi="Times New Roman" w:cs="Times New Roman"/>
          <w:sz w:val="24"/>
          <w:szCs w:val="24"/>
        </w:rPr>
        <w:t>à</w:t>
      </w:r>
      <w:r w:rsidR="00AF0426" w:rsidRPr="00944EE4">
        <w:rPr>
          <w:rFonts w:ascii="Times New Roman" w:hAnsi="Times New Roman" w:cs="Times New Roman"/>
          <w:sz w:val="24"/>
          <w:szCs w:val="24"/>
        </w:rPr>
        <w:t xml:space="preserve"> 2017 (261 millions USD) sont </w:t>
      </w:r>
      <w:r w:rsidR="00A2272A" w:rsidRPr="00944EE4">
        <w:rPr>
          <w:rFonts w:ascii="Times New Roman" w:hAnsi="Times New Roman" w:cs="Times New Roman"/>
          <w:sz w:val="24"/>
          <w:szCs w:val="24"/>
        </w:rPr>
        <w:t xml:space="preserve">cependant </w:t>
      </w:r>
      <w:r w:rsidR="00AF0426" w:rsidRPr="00944EE4">
        <w:rPr>
          <w:rFonts w:ascii="Times New Roman" w:hAnsi="Times New Roman" w:cs="Times New Roman"/>
          <w:sz w:val="24"/>
          <w:szCs w:val="24"/>
        </w:rPr>
        <w:t xml:space="preserve">tres loin des previsions </w:t>
      </w:r>
      <w:r w:rsidR="008A140E" w:rsidRPr="00944EE4">
        <w:rPr>
          <w:rFonts w:ascii="Times New Roman" w:hAnsi="Times New Roman" w:cs="Times New Roman"/>
          <w:sz w:val="24"/>
          <w:szCs w:val="24"/>
        </w:rPr>
        <w:t>initiales, et ont ain</w:t>
      </w:r>
      <w:r w:rsidR="00AF0426" w:rsidRPr="00944EE4">
        <w:rPr>
          <w:rFonts w:ascii="Times New Roman" w:hAnsi="Times New Roman" w:cs="Times New Roman"/>
          <w:sz w:val="24"/>
          <w:szCs w:val="24"/>
        </w:rPr>
        <w:t xml:space="preserve">si induit une revision des ambitions du UNDAF en termes de resultats </w:t>
      </w:r>
      <w:r w:rsidR="008F63A8" w:rsidRPr="00944EE4">
        <w:rPr>
          <w:rFonts w:ascii="Times New Roman" w:hAnsi="Times New Roman" w:cs="Times New Roman"/>
          <w:sz w:val="24"/>
          <w:szCs w:val="24"/>
        </w:rPr>
        <w:t>à</w:t>
      </w:r>
      <w:r w:rsidR="00AF0426" w:rsidRPr="00944EE4">
        <w:rPr>
          <w:rFonts w:ascii="Times New Roman" w:hAnsi="Times New Roman" w:cs="Times New Roman"/>
          <w:sz w:val="24"/>
          <w:szCs w:val="24"/>
        </w:rPr>
        <w:t xml:space="preserve"> atteindre.  </w:t>
      </w:r>
    </w:p>
    <w:p w14:paraId="1ECCE254" w14:textId="77777777" w:rsidR="00D50917" w:rsidRDefault="00D50917" w:rsidP="00D50917">
      <w:pPr>
        <w:autoSpaceDE w:val="0"/>
        <w:autoSpaceDN w:val="0"/>
        <w:adjustRightInd w:val="0"/>
        <w:spacing w:line="276" w:lineRule="auto"/>
        <w:jc w:val="both"/>
        <w:rPr>
          <w:rFonts w:ascii="Times New Roman" w:hAnsi="Times New Roman" w:cs="Times New Roman"/>
          <w:sz w:val="24"/>
          <w:szCs w:val="24"/>
        </w:rPr>
      </w:pPr>
    </w:p>
    <w:p w14:paraId="2B8BFB4A" w14:textId="10AB82FD" w:rsidR="00D50917" w:rsidRPr="00944EE4" w:rsidRDefault="00D50917" w:rsidP="00D50917">
      <w:pPr>
        <w:autoSpaceDE w:val="0"/>
        <w:autoSpaceDN w:val="0"/>
        <w:adjustRightInd w:val="0"/>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L’UNDAF+ 2015-2019 a fait l’objet d’une evaluation externe a mi-parcours (en fin 2017) qui </w:t>
      </w:r>
      <w:r>
        <w:rPr>
          <w:rFonts w:ascii="Times New Roman" w:hAnsi="Times New Roman" w:cs="Times New Roman"/>
          <w:sz w:val="24"/>
          <w:szCs w:val="24"/>
        </w:rPr>
        <w:t xml:space="preserve">a </w:t>
      </w:r>
      <w:r w:rsidRPr="00944EE4">
        <w:rPr>
          <w:rFonts w:ascii="Times New Roman" w:hAnsi="Times New Roman" w:cs="Times New Roman"/>
          <w:sz w:val="24"/>
          <w:szCs w:val="24"/>
        </w:rPr>
        <w:t xml:space="preserve">servi de base a la revue a mi-parcours et </w:t>
      </w:r>
      <w:r>
        <w:rPr>
          <w:rFonts w:ascii="Times New Roman" w:hAnsi="Times New Roman" w:cs="Times New Roman"/>
          <w:sz w:val="24"/>
          <w:szCs w:val="24"/>
        </w:rPr>
        <w:t xml:space="preserve">a </w:t>
      </w:r>
      <w:r w:rsidRPr="00944EE4">
        <w:rPr>
          <w:rFonts w:ascii="Times New Roman" w:hAnsi="Times New Roman" w:cs="Times New Roman"/>
          <w:sz w:val="24"/>
          <w:szCs w:val="24"/>
        </w:rPr>
        <w:t xml:space="preserve">la definition des priorites pour le reste du cycle (2018 et 2019). </w:t>
      </w:r>
    </w:p>
    <w:p w14:paraId="268678FD" w14:textId="166D5757" w:rsidR="00041759" w:rsidRPr="00944EE4" w:rsidRDefault="00041759" w:rsidP="006E2938">
      <w:pPr>
        <w:autoSpaceDE w:val="0"/>
        <w:autoSpaceDN w:val="0"/>
        <w:adjustRightInd w:val="0"/>
        <w:spacing w:line="276" w:lineRule="auto"/>
        <w:jc w:val="both"/>
        <w:rPr>
          <w:rFonts w:ascii="Times New Roman" w:hAnsi="Times New Roman" w:cs="Times New Roman"/>
          <w:sz w:val="24"/>
          <w:szCs w:val="24"/>
        </w:rPr>
      </w:pPr>
    </w:p>
    <w:p w14:paraId="55090C54" w14:textId="77777777" w:rsidR="007C6BB8" w:rsidRPr="00944EE4" w:rsidRDefault="00880F37" w:rsidP="00D50917">
      <w:pPr>
        <w:pStyle w:val="Titre2"/>
        <w:rPr>
          <w:rFonts w:ascii="Times New Roman" w:hAnsi="Times New Roman" w:cs="Times New Roman"/>
          <w:sz w:val="24"/>
          <w:szCs w:val="24"/>
        </w:rPr>
      </w:pPr>
      <w:bookmarkStart w:id="1" w:name="_Toc509228601"/>
      <w:r w:rsidRPr="00944EE4">
        <w:rPr>
          <w:rFonts w:ascii="Times New Roman" w:hAnsi="Times New Roman" w:cs="Times New Roman"/>
          <w:sz w:val="24"/>
          <w:szCs w:val="24"/>
        </w:rPr>
        <w:t>Contexte National</w:t>
      </w:r>
      <w:bookmarkEnd w:id="1"/>
    </w:p>
    <w:p w14:paraId="572AE647" w14:textId="77777777" w:rsidR="009A4BF4" w:rsidRPr="00944EE4" w:rsidRDefault="009A4BF4" w:rsidP="00EE1DF7">
      <w:pPr>
        <w:autoSpaceDE w:val="0"/>
        <w:autoSpaceDN w:val="0"/>
        <w:adjustRightInd w:val="0"/>
        <w:spacing w:line="276" w:lineRule="auto"/>
        <w:rPr>
          <w:rFonts w:ascii="Times New Roman" w:hAnsi="Times New Roman" w:cs="Times New Roman"/>
          <w:i/>
          <w:color w:val="0070C0"/>
          <w:sz w:val="24"/>
          <w:szCs w:val="24"/>
          <w:u w:val="single"/>
        </w:rPr>
      </w:pPr>
    </w:p>
    <w:p w14:paraId="23D123FC" w14:textId="77777777" w:rsidR="000A0894" w:rsidRPr="00944EE4" w:rsidRDefault="00880F37" w:rsidP="006E2938">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La crise sécuritaire et politique traversée par le Mali est la quatrième depuis son indépendance (1963, 1990, 2006, puis 2012). La résurgence, en janvier 2012, d’une rébellion armée dans le nord du pays, puis le coup d’Etat militaire sont révélateurs des fragilités structurelles qui n'ont jamais trouvé de solutions satisfaisantes.</w:t>
      </w:r>
    </w:p>
    <w:p w14:paraId="295E4D7F" w14:textId="19CC9795" w:rsidR="006E2938" w:rsidRPr="00944EE4" w:rsidRDefault="006E2938" w:rsidP="006E2938">
      <w:pPr>
        <w:spacing w:line="276" w:lineRule="auto"/>
        <w:jc w:val="both"/>
        <w:rPr>
          <w:rFonts w:ascii="Times New Roman" w:hAnsi="Times New Roman" w:cs="Times New Roman"/>
          <w:sz w:val="24"/>
          <w:szCs w:val="24"/>
        </w:rPr>
      </w:pPr>
    </w:p>
    <w:p w14:paraId="6DA2EB79" w14:textId="07FF5034" w:rsidR="00E132A6" w:rsidRPr="00944EE4" w:rsidRDefault="00E132A6" w:rsidP="00E132A6">
      <w:pPr>
        <w:jc w:val="both"/>
        <w:rPr>
          <w:rFonts w:ascii="Times New Roman" w:hAnsi="Times New Roman" w:cs="Times New Roman"/>
          <w:sz w:val="24"/>
          <w:szCs w:val="24"/>
        </w:rPr>
      </w:pPr>
      <w:r w:rsidRPr="00944EE4">
        <w:rPr>
          <w:rFonts w:ascii="Times New Roman" w:hAnsi="Times New Roman" w:cs="Times New Roman"/>
          <w:sz w:val="24"/>
          <w:szCs w:val="24"/>
        </w:rPr>
        <w:t>Un Accord de Paix et de Réconciliation a été signé en 2014 mais sa mise en œuvre rencontre encore de nombreuses difficultés. Les questions de sécurité restent brûlantes dans le pays, en particulier dans les régions du Nord et, plus récemment, du Centre. Le rétablissement de l’autorité de l’État, le retour des réfugiés et des personnes déplacées dans le pays, et l’accès aux zones d’intervention restent des défis majeurs. L’insécurité s’est d’autant plus aggravée qu’il s’accompagne de métastases sous-régionales, qui rendent plus difficile encore son traitement par un Etat pris isolément. Conscients de cette nouvelle donne, le pays et 4 autres de la sous-région, ont mis en place le cadre de réponse intégré qu’est le G5 Sahel.</w:t>
      </w:r>
    </w:p>
    <w:p w14:paraId="1E3069EF" w14:textId="77777777" w:rsidR="00E132A6" w:rsidRPr="00944EE4" w:rsidRDefault="00E132A6" w:rsidP="00E132A6">
      <w:pPr>
        <w:jc w:val="both"/>
        <w:rPr>
          <w:rFonts w:ascii="Times New Roman" w:hAnsi="Times New Roman" w:cs="Times New Roman"/>
          <w:sz w:val="24"/>
          <w:szCs w:val="24"/>
        </w:rPr>
      </w:pPr>
    </w:p>
    <w:p w14:paraId="425CBBBC" w14:textId="5966C297" w:rsidR="00E132A6" w:rsidRPr="00944EE4" w:rsidRDefault="00E132A6" w:rsidP="00E132A6">
      <w:pPr>
        <w:jc w:val="both"/>
        <w:rPr>
          <w:rFonts w:ascii="Times New Roman" w:hAnsi="Times New Roman" w:cs="Times New Roman"/>
          <w:sz w:val="24"/>
          <w:szCs w:val="24"/>
        </w:rPr>
      </w:pPr>
      <w:r w:rsidRPr="00944EE4">
        <w:rPr>
          <w:rFonts w:ascii="Times New Roman" w:hAnsi="Times New Roman" w:cs="Times New Roman"/>
          <w:sz w:val="24"/>
          <w:szCs w:val="24"/>
        </w:rPr>
        <w:t>Depuis 2013, à la suite de l’intervention militaire de la France contre les groupes armés qui menaçaient la souveraineté du pays, intervention dont subsiste encore un dispositif armé à portée régionale, la communauté internationale a déployé la Mission Multidimensionnelle Intégrée des Nations Unies pour la Stabilisation au Mali (MINUSMA), Conformément à la Décision 24/2008 de Juin 2008 du Secrétaire Général de l’ONU, un cadre d’intégration des interventions entre les Agences du SNU et la MINUSMA existe à travers l’UNDAF</w:t>
      </w:r>
      <w:r w:rsidRPr="00944EE4">
        <w:rPr>
          <w:rFonts w:ascii="Times New Roman" w:hAnsi="Times New Roman" w:cs="Times New Roman"/>
          <w:sz w:val="24"/>
          <w:szCs w:val="24"/>
          <w:vertAlign w:val="superscript"/>
        </w:rPr>
        <w:t>+</w:t>
      </w:r>
      <w:r w:rsidRPr="00944EE4">
        <w:rPr>
          <w:rFonts w:ascii="Times New Roman" w:hAnsi="Times New Roman" w:cs="Times New Roman"/>
          <w:sz w:val="24"/>
          <w:szCs w:val="24"/>
        </w:rPr>
        <w:t>. Malgré le contexte toujours volatile, des évolutions sont entrevues dans le mandat la Mission. La stratégie de sortie de celle-ci va de pair avec une réflex</w:t>
      </w:r>
      <w:r w:rsidR="00F51445" w:rsidRPr="00944EE4">
        <w:rPr>
          <w:rFonts w:ascii="Times New Roman" w:hAnsi="Times New Roman" w:cs="Times New Roman"/>
          <w:sz w:val="24"/>
          <w:szCs w:val="24"/>
        </w:rPr>
        <w:t>ion sur le repositionnement des</w:t>
      </w:r>
      <w:r w:rsidRPr="00944EE4">
        <w:rPr>
          <w:rFonts w:ascii="Times New Roman" w:hAnsi="Times New Roman" w:cs="Times New Roman"/>
          <w:sz w:val="24"/>
          <w:szCs w:val="24"/>
        </w:rPr>
        <w:t xml:space="preserve"> agences, fonds et programmes du SNU dans ce cadre. Ces dynamiques ne sauraient manquer d’avoir une certaine résonnance sur la seconde moitié du cycle de vie de l’UNDAF</w:t>
      </w:r>
      <w:r w:rsidRPr="00944EE4">
        <w:rPr>
          <w:rFonts w:ascii="Times New Roman" w:hAnsi="Times New Roman" w:cs="Times New Roman"/>
          <w:sz w:val="24"/>
          <w:szCs w:val="24"/>
          <w:vertAlign w:val="superscript"/>
        </w:rPr>
        <w:t>+</w:t>
      </w:r>
    </w:p>
    <w:p w14:paraId="38C0D7AA" w14:textId="227FA3A8" w:rsidR="000A0894" w:rsidRPr="00944EE4" w:rsidRDefault="000A0894" w:rsidP="006E2938">
      <w:pPr>
        <w:spacing w:line="276" w:lineRule="auto"/>
        <w:jc w:val="both"/>
        <w:rPr>
          <w:rFonts w:ascii="Times New Roman" w:hAnsi="Times New Roman" w:cs="Times New Roman"/>
          <w:sz w:val="24"/>
          <w:szCs w:val="24"/>
        </w:rPr>
      </w:pPr>
    </w:p>
    <w:p w14:paraId="591E66E1" w14:textId="0E212D30" w:rsidR="000A0894" w:rsidRPr="00944EE4" w:rsidRDefault="00AF0426" w:rsidP="006E2938">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Malgre l’insecurite continue</w:t>
      </w:r>
      <w:r w:rsidR="00880F37" w:rsidRPr="00944EE4">
        <w:rPr>
          <w:rFonts w:ascii="Times New Roman" w:hAnsi="Times New Roman" w:cs="Times New Roman"/>
          <w:sz w:val="24"/>
          <w:szCs w:val="24"/>
        </w:rPr>
        <w:t xml:space="preserve">, il y a un réel espoir de retour de la paix au Mali, bien que le pays doive encore faire face à des défis tels que l’épineuse question des réfugiés et des déplacés, la problématique cruciale de la démobilisation des ex-combattants, la réforme des forces de défense et de sécurité, et </w:t>
      </w:r>
      <w:r w:rsidR="00880F37" w:rsidRPr="00944EE4">
        <w:rPr>
          <w:rFonts w:ascii="Times New Roman" w:hAnsi="Times New Roman" w:cs="Times New Roman"/>
          <w:sz w:val="24"/>
          <w:szCs w:val="24"/>
        </w:rPr>
        <w:lastRenderedPageBreak/>
        <w:t>la restauration de la confiance entre les communautés. Il faut ajouter à cela la recrudescence d’actes terroristes dans le nord du pays et la présence de groupes armés et non identifiés dans des zones auparavant inoccupées. </w:t>
      </w:r>
    </w:p>
    <w:p w14:paraId="7E5DA292" w14:textId="77777777" w:rsidR="006E2938" w:rsidRPr="00944EE4" w:rsidRDefault="006E2938" w:rsidP="006E2938">
      <w:pPr>
        <w:spacing w:line="276" w:lineRule="auto"/>
        <w:jc w:val="both"/>
        <w:rPr>
          <w:rFonts w:ascii="Times New Roman" w:hAnsi="Times New Roman" w:cs="Times New Roman"/>
          <w:sz w:val="24"/>
          <w:szCs w:val="24"/>
        </w:rPr>
      </w:pPr>
    </w:p>
    <w:p w14:paraId="6932BD43" w14:textId="1D8605CE" w:rsidR="000A0894" w:rsidRPr="00944EE4" w:rsidRDefault="00880F37" w:rsidP="006E2938">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Suite aux élections présidentielles organisées en juillet </w:t>
      </w:r>
      <w:r w:rsidR="008A140E" w:rsidRPr="00944EE4">
        <w:rPr>
          <w:rFonts w:ascii="Times New Roman" w:hAnsi="Times New Roman" w:cs="Times New Roman"/>
          <w:sz w:val="24"/>
          <w:szCs w:val="24"/>
        </w:rPr>
        <w:t xml:space="preserve">2013 </w:t>
      </w:r>
      <w:r w:rsidRPr="00944EE4">
        <w:rPr>
          <w:rFonts w:ascii="Times New Roman" w:hAnsi="Times New Roman" w:cs="Times New Roman"/>
          <w:sz w:val="24"/>
          <w:szCs w:val="24"/>
        </w:rPr>
        <w:t>et aux législatives, tenues les 24 novembre et 15 décembre 2</w:t>
      </w:r>
      <w:r w:rsidR="00E132A6" w:rsidRPr="00944EE4">
        <w:rPr>
          <w:rFonts w:ascii="Times New Roman" w:hAnsi="Times New Roman" w:cs="Times New Roman"/>
          <w:sz w:val="24"/>
          <w:szCs w:val="24"/>
        </w:rPr>
        <w:t>013, les députés de l’Assemblée</w:t>
      </w:r>
      <w:r w:rsidRPr="00944EE4">
        <w:rPr>
          <w:rFonts w:ascii="Times New Roman" w:hAnsi="Times New Roman" w:cs="Times New Roman"/>
          <w:sz w:val="24"/>
          <w:szCs w:val="24"/>
        </w:rPr>
        <w:t xml:space="preserve"> Nationale ont été élus, consacrant ainsi le retour définitif à l’ordre constitutionnel. Les Etats généraux de la Décentralisation ont permis d’identifier les principaux axes d’approfondissement de la politique de décentralisation. Les Assises nationales sur le Nord les ont enrichis et ont conduit à l’adoption d’un Plan de Développement Accéléré des régions du Nord. </w:t>
      </w:r>
    </w:p>
    <w:p w14:paraId="5A93A7DA" w14:textId="77777777" w:rsidR="006E2938" w:rsidRPr="00944EE4" w:rsidRDefault="006E2938" w:rsidP="006E2938">
      <w:pPr>
        <w:spacing w:line="276" w:lineRule="auto"/>
        <w:jc w:val="both"/>
        <w:rPr>
          <w:rFonts w:ascii="Times New Roman" w:hAnsi="Times New Roman" w:cs="Times New Roman"/>
          <w:sz w:val="24"/>
          <w:szCs w:val="24"/>
        </w:rPr>
      </w:pPr>
    </w:p>
    <w:p w14:paraId="11176995" w14:textId="4DD71FF7" w:rsidR="00E132A6" w:rsidRPr="00944EE4" w:rsidRDefault="00880F37" w:rsidP="008B1B43">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Les crises sécuritaire, politique, sociale, humanitaire, institutionnelle et</w:t>
      </w:r>
      <w:r w:rsidR="00AF0426" w:rsidRPr="00944EE4">
        <w:rPr>
          <w:rFonts w:ascii="Times New Roman" w:hAnsi="Times New Roman" w:cs="Times New Roman"/>
          <w:sz w:val="24"/>
          <w:szCs w:val="24"/>
        </w:rPr>
        <w:t xml:space="preserve"> économique ont affecté</w:t>
      </w:r>
      <w:r w:rsidRPr="00944EE4">
        <w:rPr>
          <w:rFonts w:ascii="Times New Roman" w:hAnsi="Times New Roman" w:cs="Times New Roman"/>
          <w:sz w:val="24"/>
          <w:szCs w:val="24"/>
        </w:rPr>
        <w:t xml:space="preserve"> l’atteinte des objectifs fixés dans le CSCRP</w:t>
      </w:r>
      <w:r w:rsidR="0058705C" w:rsidRPr="00944EE4">
        <w:rPr>
          <w:rFonts w:ascii="Times New Roman" w:hAnsi="Times New Roman" w:cs="Times New Roman"/>
          <w:sz w:val="24"/>
          <w:szCs w:val="24"/>
        </w:rPr>
        <w:t xml:space="preserve"> et le CREDD</w:t>
      </w:r>
      <w:r w:rsidRPr="00944EE4">
        <w:rPr>
          <w:rFonts w:ascii="Times New Roman" w:hAnsi="Times New Roman" w:cs="Times New Roman"/>
          <w:sz w:val="24"/>
          <w:szCs w:val="24"/>
        </w:rPr>
        <w:t xml:space="preserve">. En effet, l’économie a connu une </w:t>
      </w:r>
      <w:r w:rsidR="008A140E" w:rsidRPr="00944EE4">
        <w:rPr>
          <w:rFonts w:ascii="Times New Roman" w:hAnsi="Times New Roman" w:cs="Times New Roman"/>
          <w:sz w:val="24"/>
          <w:szCs w:val="24"/>
        </w:rPr>
        <w:t xml:space="preserve">evolution en dents de scie, avec une croissance du PIB passant </w:t>
      </w:r>
      <w:r w:rsidRPr="00944EE4">
        <w:rPr>
          <w:rFonts w:ascii="Times New Roman" w:hAnsi="Times New Roman" w:cs="Times New Roman"/>
          <w:sz w:val="24"/>
          <w:szCs w:val="24"/>
        </w:rPr>
        <w:t>de 2,7% en 2011 à 0,0% en 2012</w:t>
      </w:r>
      <w:r w:rsidR="008A140E" w:rsidRPr="00944EE4">
        <w:rPr>
          <w:rFonts w:ascii="Times New Roman" w:hAnsi="Times New Roman" w:cs="Times New Roman"/>
          <w:sz w:val="24"/>
          <w:szCs w:val="24"/>
        </w:rPr>
        <w:t xml:space="preserve">, pour remonter a 6% en 2015 avant de redescendre a 5,8% en 2016 </w:t>
      </w:r>
      <w:r w:rsidR="00F067F5" w:rsidRPr="00944EE4">
        <w:rPr>
          <w:rFonts w:ascii="Times New Roman" w:hAnsi="Times New Roman" w:cs="Times New Roman"/>
          <w:sz w:val="24"/>
          <w:szCs w:val="24"/>
        </w:rPr>
        <w:t>et 5,3% en 2017 (pour un objectif de 5,6% inscrit dans le CSCRP 2012-2017)</w:t>
      </w:r>
      <w:r w:rsidRPr="00944EE4">
        <w:rPr>
          <w:rFonts w:ascii="Times New Roman" w:hAnsi="Times New Roman" w:cs="Times New Roman"/>
          <w:sz w:val="24"/>
          <w:szCs w:val="24"/>
        </w:rPr>
        <w:t xml:space="preserve">. </w:t>
      </w:r>
      <w:r w:rsidR="00F067F5" w:rsidRPr="00944EE4">
        <w:rPr>
          <w:rFonts w:ascii="Times New Roman" w:hAnsi="Times New Roman" w:cs="Times New Roman"/>
          <w:sz w:val="24"/>
          <w:szCs w:val="24"/>
        </w:rPr>
        <w:t>L</w:t>
      </w:r>
      <w:r w:rsidRPr="00944EE4">
        <w:rPr>
          <w:rFonts w:ascii="Times New Roman" w:hAnsi="Times New Roman" w:cs="Times New Roman"/>
          <w:sz w:val="24"/>
          <w:szCs w:val="24"/>
        </w:rPr>
        <w:t xml:space="preserve">a </w:t>
      </w:r>
      <w:r w:rsidR="00F067F5" w:rsidRPr="00944EE4">
        <w:rPr>
          <w:rFonts w:ascii="Times New Roman" w:hAnsi="Times New Roman" w:cs="Times New Roman"/>
          <w:sz w:val="24"/>
          <w:szCs w:val="24"/>
        </w:rPr>
        <w:t xml:space="preserve">succession de </w:t>
      </w:r>
      <w:r w:rsidRPr="00944EE4">
        <w:rPr>
          <w:rFonts w:ascii="Times New Roman" w:hAnsi="Times New Roman" w:cs="Times New Roman"/>
          <w:sz w:val="24"/>
          <w:szCs w:val="24"/>
        </w:rPr>
        <w:t>mauvaise</w:t>
      </w:r>
      <w:r w:rsidR="00F067F5" w:rsidRPr="00944EE4">
        <w:rPr>
          <w:rFonts w:ascii="Times New Roman" w:hAnsi="Times New Roman" w:cs="Times New Roman"/>
          <w:sz w:val="24"/>
          <w:szCs w:val="24"/>
        </w:rPr>
        <w:t>s</w:t>
      </w:r>
      <w:r w:rsidRPr="00944EE4">
        <w:rPr>
          <w:rFonts w:ascii="Times New Roman" w:hAnsi="Times New Roman" w:cs="Times New Roman"/>
          <w:sz w:val="24"/>
          <w:szCs w:val="24"/>
        </w:rPr>
        <w:t xml:space="preserve"> campagne</w:t>
      </w:r>
      <w:r w:rsidR="00F067F5" w:rsidRPr="00944EE4">
        <w:rPr>
          <w:rFonts w:ascii="Times New Roman" w:hAnsi="Times New Roman" w:cs="Times New Roman"/>
          <w:sz w:val="24"/>
          <w:szCs w:val="24"/>
        </w:rPr>
        <w:t>s</w:t>
      </w:r>
      <w:r w:rsidRPr="00944EE4">
        <w:rPr>
          <w:rFonts w:ascii="Times New Roman" w:hAnsi="Times New Roman" w:cs="Times New Roman"/>
          <w:sz w:val="24"/>
          <w:szCs w:val="24"/>
        </w:rPr>
        <w:t xml:space="preserve"> agricole</w:t>
      </w:r>
      <w:r w:rsidR="00F067F5" w:rsidRPr="00944EE4">
        <w:rPr>
          <w:rFonts w:ascii="Times New Roman" w:hAnsi="Times New Roman" w:cs="Times New Roman"/>
          <w:sz w:val="24"/>
          <w:szCs w:val="24"/>
        </w:rPr>
        <w:t>s</w:t>
      </w:r>
      <w:r w:rsidRPr="00944EE4">
        <w:rPr>
          <w:rFonts w:ascii="Times New Roman" w:hAnsi="Times New Roman" w:cs="Times New Roman"/>
          <w:sz w:val="24"/>
          <w:szCs w:val="24"/>
        </w:rPr>
        <w:t xml:space="preserve"> a contribué à fragiliser</w:t>
      </w:r>
      <w:r w:rsidR="00F067F5" w:rsidRPr="00944EE4">
        <w:rPr>
          <w:rFonts w:ascii="Times New Roman" w:hAnsi="Times New Roman" w:cs="Times New Roman"/>
          <w:sz w:val="24"/>
          <w:szCs w:val="24"/>
        </w:rPr>
        <w:t xml:space="preserve"> </w:t>
      </w:r>
      <w:r w:rsidRPr="00944EE4">
        <w:rPr>
          <w:rFonts w:ascii="Times New Roman" w:hAnsi="Times New Roman" w:cs="Times New Roman"/>
          <w:sz w:val="24"/>
          <w:szCs w:val="24"/>
        </w:rPr>
        <w:t xml:space="preserve">la reprise </w:t>
      </w:r>
      <w:r w:rsidR="00F067F5" w:rsidRPr="00944EE4">
        <w:rPr>
          <w:rFonts w:ascii="Times New Roman" w:hAnsi="Times New Roman" w:cs="Times New Roman"/>
          <w:sz w:val="24"/>
          <w:szCs w:val="24"/>
        </w:rPr>
        <w:t xml:space="preserve">economique. </w:t>
      </w:r>
      <w:r w:rsidRPr="00944EE4">
        <w:rPr>
          <w:rFonts w:ascii="Times New Roman" w:hAnsi="Times New Roman" w:cs="Times New Roman"/>
          <w:sz w:val="24"/>
          <w:szCs w:val="24"/>
        </w:rPr>
        <w:t>L’augmentation de la désertification</w:t>
      </w:r>
      <w:r w:rsidR="00F067F5" w:rsidRPr="00944EE4">
        <w:rPr>
          <w:rFonts w:ascii="Times New Roman" w:hAnsi="Times New Roman" w:cs="Times New Roman"/>
          <w:sz w:val="24"/>
          <w:szCs w:val="24"/>
        </w:rPr>
        <w:t xml:space="preserve"> au Nord comme au sud,</w:t>
      </w:r>
      <w:r w:rsidR="00E132A6" w:rsidRPr="00944EE4">
        <w:rPr>
          <w:rFonts w:ascii="Times New Roman" w:hAnsi="Times New Roman" w:cs="Times New Roman"/>
          <w:sz w:val="24"/>
          <w:szCs w:val="24"/>
        </w:rPr>
        <w:t xml:space="preserve"> sont parmi les facteurs qui </w:t>
      </w:r>
      <w:r w:rsidRPr="00944EE4">
        <w:rPr>
          <w:rFonts w:ascii="Times New Roman" w:hAnsi="Times New Roman" w:cs="Times New Roman"/>
          <w:sz w:val="24"/>
          <w:szCs w:val="24"/>
        </w:rPr>
        <w:t>entravent l’atteinte d’une croissance durable. </w:t>
      </w:r>
    </w:p>
    <w:p w14:paraId="37EEA358" w14:textId="7D72D9B1" w:rsidR="00E132A6" w:rsidRPr="00944EE4" w:rsidRDefault="00E132A6" w:rsidP="008B1B43">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Depuis 2013, le niveau de pauvreté fluctue autour de 47%. En 2016, avec une incidence de la pauvreté qui se situait à 46,8% (55,2 % en milieu rural), plus de 8 millions d’individus étaient dans une situation de pauvreté.</w:t>
      </w:r>
    </w:p>
    <w:p w14:paraId="6D9B4157" w14:textId="2E50E9E2" w:rsidR="008B1B43" w:rsidRPr="00944EE4" w:rsidRDefault="00880F37" w:rsidP="008B1B43">
      <w:pPr>
        <w:spacing w:line="276" w:lineRule="auto"/>
        <w:jc w:val="both"/>
        <w:rPr>
          <w:rFonts w:ascii="Times New Roman" w:hAnsi="Times New Roman" w:cs="Times New Roman"/>
          <w:sz w:val="24"/>
          <w:szCs w:val="24"/>
        </w:rPr>
      </w:pPr>
      <w:r w:rsidRPr="00944EE4">
        <w:rPr>
          <w:rFonts w:ascii="Times New Roman" w:hAnsi="Times New Roman" w:cs="Times New Roman"/>
          <w:iCs/>
          <w:sz w:val="24"/>
          <w:szCs w:val="24"/>
        </w:rPr>
        <w:t xml:space="preserve">Concernant l’accès aux services sociaux, le Mali a fait des efforts significatifs notamment en matière d’accès à l’eau potable et de lutte contre le VIH/SIDA. La situation reste néanmoins préoccupante, notamment en matière de mortalité maternelle et infantile. En effet l’analyse montre que la qualité des services sociaux, le chômage (notamment celui des jeunes), les inégalités, la vulnérabilité face aux chocs, demeurent des thèmes récurrents qui </w:t>
      </w:r>
      <w:r w:rsidR="005B053F" w:rsidRPr="00944EE4">
        <w:rPr>
          <w:rFonts w:ascii="Times New Roman" w:hAnsi="Times New Roman" w:cs="Times New Roman"/>
          <w:iCs/>
          <w:sz w:val="24"/>
          <w:szCs w:val="24"/>
        </w:rPr>
        <w:t>font parti</w:t>
      </w:r>
      <w:r w:rsidRPr="00944EE4">
        <w:rPr>
          <w:rFonts w:ascii="Times New Roman" w:hAnsi="Times New Roman" w:cs="Times New Roman"/>
          <w:iCs/>
          <w:sz w:val="24"/>
          <w:szCs w:val="24"/>
        </w:rPr>
        <w:t xml:space="preserve">es </w:t>
      </w:r>
      <w:r w:rsidR="005B053F" w:rsidRPr="00944EE4">
        <w:rPr>
          <w:rFonts w:ascii="Times New Roman" w:hAnsi="Times New Roman" w:cs="Times New Roman"/>
          <w:iCs/>
          <w:sz w:val="24"/>
          <w:szCs w:val="24"/>
        </w:rPr>
        <w:t xml:space="preserve">des </w:t>
      </w:r>
      <w:r w:rsidRPr="00944EE4">
        <w:rPr>
          <w:rFonts w:ascii="Times New Roman" w:hAnsi="Times New Roman" w:cs="Times New Roman"/>
          <w:iCs/>
          <w:sz w:val="24"/>
          <w:szCs w:val="24"/>
        </w:rPr>
        <w:t>priorités de l’agenda de</w:t>
      </w:r>
      <w:r w:rsidR="005B053F" w:rsidRPr="00944EE4">
        <w:rPr>
          <w:rFonts w:ascii="Times New Roman" w:hAnsi="Times New Roman" w:cs="Times New Roman"/>
          <w:iCs/>
          <w:sz w:val="24"/>
          <w:szCs w:val="24"/>
        </w:rPr>
        <w:t xml:space="preserve"> développement pour l’après 2015 (ODD 2016-2030)</w:t>
      </w:r>
      <w:r w:rsidRPr="00944EE4">
        <w:rPr>
          <w:rFonts w:ascii="Times New Roman" w:hAnsi="Times New Roman" w:cs="Times New Roman"/>
          <w:iCs/>
          <w:sz w:val="24"/>
          <w:szCs w:val="24"/>
        </w:rPr>
        <w:t>.</w:t>
      </w:r>
    </w:p>
    <w:p w14:paraId="78269D10" w14:textId="77777777" w:rsidR="008B1B43" w:rsidRPr="00944EE4" w:rsidRDefault="008B1B43" w:rsidP="008B1B43">
      <w:pPr>
        <w:spacing w:line="276" w:lineRule="auto"/>
        <w:jc w:val="both"/>
        <w:rPr>
          <w:rFonts w:ascii="Times New Roman" w:hAnsi="Times New Roman" w:cs="Times New Roman"/>
          <w:sz w:val="24"/>
          <w:szCs w:val="24"/>
        </w:rPr>
      </w:pPr>
    </w:p>
    <w:p w14:paraId="7C6475C1" w14:textId="18994E07" w:rsidR="000C13BA" w:rsidRPr="00944EE4" w:rsidRDefault="00880F37" w:rsidP="000C13BA">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Avec un taux de croissance démographique de 3,6%, la population du M</w:t>
      </w:r>
      <w:r w:rsidR="00F067F5" w:rsidRPr="00944EE4">
        <w:rPr>
          <w:rFonts w:ascii="Times New Roman" w:hAnsi="Times New Roman" w:cs="Times New Roman"/>
          <w:sz w:val="24"/>
          <w:szCs w:val="24"/>
        </w:rPr>
        <w:t>ali se chiffre en 2009 à 14.528.</w:t>
      </w:r>
      <w:r w:rsidRPr="00944EE4">
        <w:rPr>
          <w:rFonts w:ascii="Times New Roman" w:hAnsi="Times New Roman" w:cs="Times New Roman"/>
          <w:sz w:val="24"/>
          <w:szCs w:val="24"/>
        </w:rPr>
        <w:t>662 habitants (RGPH 2009) et doublera d’ici à 2030 si cette tendance se maintenait. En effet selon cette même source, à la fin du présent cycle de l’UNDAF+ 2015-2019, la population du Mali aura franchi le cap de 20 millions (dont plus de 52% ayant moins de 18 ans). Cette croissance pourrait constituer</w:t>
      </w:r>
      <w:r w:rsidR="00F067F5" w:rsidRPr="00944EE4">
        <w:rPr>
          <w:rFonts w:ascii="Times New Roman" w:hAnsi="Times New Roman" w:cs="Times New Roman"/>
          <w:sz w:val="24"/>
          <w:szCs w:val="24"/>
        </w:rPr>
        <w:t xml:space="preserve"> un atout pour le Mali, portant</w:t>
      </w:r>
      <w:r w:rsidRPr="00944EE4">
        <w:rPr>
          <w:rFonts w:ascii="Times New Roman" w:hAnsi="Times New Roman" w:cs="Times New Roman"/>
          <w:sz w:val="24"/>
          <w:szCs w:val="24"/>
        </w:rPr>
        <w:t xml:space="preserve"> en elle des opportunités de développeme</w:t>
      </w:r>
      <w:r w:rsidR="00F067F5" w:rsidRPr="00944EE4">
        <w:rPr>
          <w:rFonts w:ascii="Times New Roman" w:hAnsi="Times New Roman" w:cs="Times New Roman"/>
          <w:sz w:val="24"/>
          <w:szCs w:val="24"/>
        </w:rPr>
        <w:t xml:space="preserve">nt. En effet, arrivé à l’âge où elle sera active dans la </w:t>
      </w:r>
      <w:r w:rsidR="005B053F" w:rsidRPr="00944EE4">
        <w:rPr>
          <w:rFonts w:ascii="Times New Roman" w:hAnsi="Times New Roman" w:cs="Times New Roman"/>
          <w:sz w:val="24"/>
          <w:szCs w:val="24"/>
        </w:rPr>
        <w:t>production,</w:t>
      </w:r>
      <w:r w:rsidRPr="00944EE4">
        <w:rPr>
          <w:rFonts w:ascii="Times New Roman" w:hAnsi="Times New Roman" w:cs="Times New Roman"/>
          <w:sz w:val="24"/>
          <w:szCs w:val="24"/>
        </w:rPr>
        <w:t xml:space="preserve"> cette grande cohorte de jeunes pourrait faire accélérer par son travail la croissance et l’économie du pays.</w:t>
      </w:r>
      <w:r w:rsidR="00F067F5" w:rsidRPr="00944EE4">
        <w:rPr>
          <w:rFonts w:ascii="Times New Roman" w:hAnsi="Times New Roman" w:cs="Times New Roman"/>
          <w:sz w:val="24"/>
          <w:szCs w:val="24"/>
        </w:rPr>
        <w:t xml:space="preserve"> Cependant, il faudrait d’abord</w:t>
      </w:r>
      <w:r w:rsidRPr="00944EE4">
        <w:rPr>
          <w:rFonts w:ascii="Times New Roman" w:hAnsi="Times New Roman" w:cs="Times New Roman"/>
          <w:sz w:val="24"/>
          <w:szCs w:val="24"/>
        </w:rPr>
        <w:t xml:space="preserve"> que les jeunes puissent jouir d’une bonne santé et acquérir par la formation les compétences des plus hauts niveaux. La forte cr</w:t>
      </w:r>
      <w:r w:rsidR="00F067F5" w:rsidRPr="00944EE4">
        <w:rPr>
          <w:rFonts w:ascii="Times New Roman" w:hAnsi="Times New Roman" w:cs="Times New Roman"/>
          <w:sz w:val="24"/>
          <w:szCs w:val="24"/>
        </w:rPr>
        <w:t>oissance démographique actuelle</w:t>
      </w:r>
      <w:r w:rsidRPr="00944EE4">
        <w:rPr>
          <w:rFonts w:ascii="Times New Roman" w:hAnsi="Times New Roman" w:cs="Times New Roman"/>
          <w:sz w:val="24"/>
          <w:szCs w:val="24"/>
        </w:rPr>
        <w:t xml:space="preserve"> du Mali représente alors une sour</w:t>
      </w:r>
      <w:r w:rsidR="00F067F5" w:rsidRPr="00944EE4">
        <w:rPr>
          <w:rFonts w:ascii="Times New Roman" w:hAnsi="Times New Roman" w:cs="Times New Roman"/>
          <w:sz w:val="24"/>
          <w:szCs w:val="24"/>
        </w:rPr>
        <w:t>ce de défis structurels pour le</w:t>
      </w:r>
      <w:r w:rsidRPr="00944EE4">
        <w:rPr>
          <w:rFonts w:ascii="Times New Roman" w:hAnsi="Times New Roman" w:cs="Times New Roman"/>
          <w:sz w:val="24"/>
          <w:szCs w:val="24"/>
        </w:rPr>
        <w:t xml:space="preserve"> pays et dans tous les secteurs : accès à l’éducation et à l’instruction, à la santé, y compris la santé de la reproduction et la planification familiale, la création d’emplois, la création et la sauvegarde d’un environnement sain et </w:t>
      </w:r>
      <w:r w:rsidR="00F067F5" w:rsidRPr="00944EE4">
        <w:rPr>
          <w:rFonts w:ascii="Times New Roman" w:hAnsi="Times New Roman" w:cs="Times New Roman"/>
          <w:sz w:val="24"/>
          <w:szCs w:val="24"/>
        </w:rPr>
        <w:t>viable, etc. Avec une économie</w:t>
      </w:r>
      <w:r w:rsidRPr="00944EE4">
        <w:rPr>
          <w:rFonts w:ascii="Times New Roman" w:hAnsi="Times New Roman" w:cs="Times New Roman"/>
          <w:sz w:val="24"/>
          <w:szCs w:val="24"/>
        </w:rPr>
        <w:t xml:space="preserve"> faible et fragilisé par la crise multiforme </w:t>
      </w:r>
      <w:r w:rsidR="00F067F5" w:rsidRPr="00944EE4">
        <w:rPr>
          <w:rFonts w:ascii="Times New Roman" w:hAnsi="Times New Roman" w:cs="Times New Roman"/>
          <w:sz w:val="24"/>
          <w:szCs w:val="24"/>
        </w:rPr>
        <w:t>qu’il est entrain de traverser, le Mali ne saurait tirer profit de</w:t>
      </w:r>
      <w:r w:rsidRPr="00944EE4">
        <w:rPr>
          <w:rFonts w:ascii="Times New Roman" w:hAnsi="Times New Roman" w:cs="Times New Roman"/>
          <w:sz w:val="24"/>
          <w:szCs w:val="24"/>
        </w:rPr>
        <w:t xml:space="preserve"> « la dividende démographique » sans adresser efficacement ces défis y compris les questions de santé de la reproduction et de la planification familiale, en particulier pour les adolescents</w:t>
      </w:r>
      <w:r w:rsidR="00F067F5" w:rsidRPr="00944EE4">
        <w:rPr>
          <w:rFonts w:ascii="Times New Roman" w:hAnsi="Times New Roman" w:cs="Times New Roman"/>
          <w:sz w:val="24"/>
          <w:szCs w:val="24"/>
        </w:rPr>
        <w:t xml:space="preserve"> et les jeunes (15-24 ans). </w:t>
      </w:r>
    </w:p>
    <w:p w14:paraId="35067290" w14:textId="77777777" w:rsidR="00D307CC" w:rsidRPr="00944EE4" w:rsidRDefault="00D307CC" w:rsidP="00365105">
      <w:pPr>
        <w:spacing w:line="276" w:lineRule="auto"/>
        <w:jc w:val="both"/>
        <w:rPr>
          <w:rFonts w:ascii="Times New Roman" w:hAnsi="Times New Roman" w:cs="Times New Roman"/>
          <w:sz w:val="24"/>
          <w:szCs w:val="24"/>
        </w:rPr>
      </w:pPr>
    </w:p>
    <w:p w14:paraId="78D5084E" w14:textId="513B3D2A" w:rsidR="00F51445" w:rsidRPr="00944EE4" w:rsidRDefault="00F067F5" w:rsidP="00E65087">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Malgre la continuite de la </w:t>
      </w:r>
      <w:r w:rsidR="00880F37" w:rsidRPr="00944EE4">
        <w:rPr>
          <w:rFonts w:ascii="Times New Roman" w:hAnsi="Times New Roman" w:cs="Times New Roman"/>
          <w:sz w:val="24"/>
          <w:szCs w:val="24"/>
        </w:rPr>
        <w:t xml:space="preserve">crise </w:t>
      </w:r>
      <w:r w:rsidRPr="00944EE4">
        <w:rPr>
          <w:rFonts w:ascii="Times New Roman" w:hAnsi="Times New Roman" w:cs="Times New Roman"/>
          <w:sz w:val="24"/>
          <w:szCs w:val="24"/>
        </w:rPr>
        <w:t>securitaire</w:t>
      </w:r>
      <w:r w:rsidR="00880F37" w:rsidRPr="00944EE4">
        <w:rPr>
          <w:rFonts w:ascii="Times New Roman" w:hAnsi="Times New Roman" w:cs="Times New Roman"/>
          <w:sz w:val="24"/>
          <w:szCs w:val="24"/>
        </w:rPr>
        <w:t>, le Mali est résolument engagé sur la voie de son redressement. Le Programme d’Actions du Gouvernement (PAG) pour la période 2013-2018 traduit la vision du Gouvernement élu en un programme opérationnel</w:t>
      </w:r>
      <w:r w:rsidR="00334982" w:rsidRPr="00944EE4">
        <w:rPr>
          <w:rFonts w:ascii="Times New Roman" w:hAnsi="Times New Roman" w:cs="Times New Roman"/>
          <w:sz w:val="24"/>
          <w:szCs w:val="24"/>
        </w:rPr>
        <w:t xml:space="preserve">, renforcé par le </w:t>
      </w:r>
      <w:r w:rsidR="00F51445" w:rsidRPr="00944EE4">
        <w:rPr>
          <w:rFonts w:ascii="Times New Roman" w:hAnsi="Times New Roman" w:cs="Times New Roman"/>
          <w:sz w:val="24"/>
          <w:szCs w:val="24"/>
        </w:rPr>
        <w:t xml:space="preserve">Cadre Stratégique pour la Relance Economique et le Développement Durable (CREDD) 2016-2018, qui </w:t>
      </w:r>
      <w:r w:rsidR="00880F37" w:rsidRPr="00944EE4">
        <w:rPr>
          <w:rFonts w:ascii="Times New Roman" w:hAnsi="Times New Roman" w:cs="Times New Roman"/>
          <w:sz w:val="24"/>
          <w:szCs w:val="24"/>
        </w:rPr>
        <w:t xml:space="preserve">s’articule autour de </w:t>
      </w:r>
      <w:r w:rsidR="00494FF7" w:rsidRPr="00944EE4">
        <w:rPr>
          <w:rFonts w:ascii="Times New Roman" w:hAnsi="Times New Roman" w:cs="Times New Roman"/>
          <w:sz w:val="24"/>
          <w:szCs w:val="24"/>
        </w:rPr>
        <w:t>2 axes pré</w:t>
      </w:r>
      <w:r w:rsidR="00F51445" w:rsidRPr="00944EE4">
        <w:rPr>
          <w:rFonts w:ascii="Times New Roman" w:hAnsi="Times New Roman" w:cs="Times New Roman"/>
          <w:sz w:val="24"/>
          <w:szCs w:val="24"/>
        </w:rPr>
        <w:t>alable</w:t>
      </w:r>
      <w:r w:rsidR="00EB2EC6" w:rsidRPr="00944EE4">
        <w:rPr>
          <w:rFonts w:ascii="Times New Roman" w:hAnsi="Times New Roman" w:cs="Times New Roman"/>
          <w:sz w:val="24"/>
          <w:szCs w:val="24"/>
        </w:rPr>
        <w:t>s (« Paix et Securite » et « Stabilite macro-economique ») et 3 axes strategiques (1. « Croissance economique inclusive et durable » ; 2. « Developpement social et acces aux services sociaux de base</w:t>
      </w:r>
      <w:r w:rsidR="004C33CA">
        <w:rPr>
          <w:rFonts w:ascii="Times New Roman" w:hAnsi="Times New Roman" w:cs="Times New Roman"/>
          <w:sz w:val="24"/>
          <w:szCs w:val="24"/>
        </w:rPr>
        <w:t xml:space="preserve"> </w:t>
      </w:r>
      <w:r w:rsidR="00EB2EC6" w:rsidRPr="00944EE4">
        <w:rPr>
          <w:rFonts w:ascii="Times New Roman" w:hAnsi="Times New Roman" w:cs="Times New Roman"/>
          <w:sz w:val="24"/>
          <w:szCs w:val="24"/>
        </w:rPr>
        <w:t>» ; et 3 « Developpement institutionnel et Gouvernance»).</w:t>
      </w:r>
    </w:p>
    <w:p w14:paraId="49081032" w14:textId="77777777" w:rsidR="00E65087" w:rsidRPr="00944EE4" w:rsidRDefault="00E65087" w:rsidP="00E65087">
      <w:pPr>
        <w:spacing w:line="276" w:lineRule="auto"/>
        <w:jc w:val="both"/>
        <w:rPr>
          <w:rFonts w:ascii="Times New Roman" w:hAnsi="Times New Roman" w:cs="Times New Roman"/>
          <w:sz w:val="24"/>
          <w:szCs w:val="24"/>
        </w:rPr>
      </w:pPr>
    </w:p>
    <w:p w14:paraId="33AA633E" w14:textId="56DE8C3D" w:rsidR="000A0894" w:rsidRPr="00944EE4" w:rsidRDefault="00880F37" w:rsidP="00365105">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Le Gouvernement est plei</w:t>
      </w:r>
      <w:r w:rsidR="00E65087" w:rsidRPr="00944EE4">
        <w:rPr>
          <w:rFonts w:ascii="Times New Roman" w:hAnsi="Times New Roman" w:cs="Times New Roman"/>
          <w:sz w:val="24"/>
          <w:szCs w:val="24"/>
        </w:rPr>
        <w:t>nement engagé dans la mise en</w:t>
      </w:r>
      <w:r w:rsidRPr="00944EE4">
        <w:rPr>
          <w:rFonts w:ascii="Times New Roman" w:hAnsi="Times New Roman" w:cs="Times New Roman"/>
          <w:sz w:val="24"/>
          <w:szCs w:val="24"/>
        </w:rPr>
        <w:t xml:space="preserve"> œu</w:t>
      </w:r>
      <w:r w:rsidR="00E65087" w:rsidRPr="00944EE4">
        <w:rPr>
          <w:rFonts w:ascii="Times New Roman" w:hAnsi="Times New Roman" w:cs="Times New Roman"/>
          <w:sz w:val="24"/>
          <w:szCs w:val="24"/>
        </w:rPr>
        <w:t>vre de ce programme dans lequel</w:t>
      </w:r>
      <w:r w:rsidRPr="00944EE4">
        <w:rPr>
          <w:rFonts w:ascii="Times New Roman" w:hAnsi="Times New Roman" w:cs="Times New Roman"/>
          <w:sz w:val="24"/>
          <w:szCs w:val="24"/>
        </w:rPr>
        <w:t xml:space="preserve"> la mise en place d’institutions fortes et crédibles tient une place essentielle. Les </w:t>
      </w:r>
      <w:r w:rsidR="00E65087" w:rsidRPr="00944EE4">
        <w:rPr>
          <w:rFonts w:ascii="Times New Roman" w:hAnsi="Times New Roman" w:cs="Times New Roman"/>
          <w:sz w:val="24"/>
          <w:szCs w:val="24"/>
        </w:rPr>
        <w:t xml:space="preserve">autorités nationales prévoient </w:t>
      </w:r>
      <w:r w:rsidRPr="00944EE4">
        <w:rPr>
          <w:rFonts w:ascii="Times New Roman" w:hAnsi="Times New Roman" w:cs="Times New Roman"/>
          <w:sz w:val="24"/>
          <w:szCs w:val="24"/>
        </w:rPr>
        <w:t>à cet effet : (i) la lutte contre la corruption et l’impunité, (ii) la refondation des administrations publiques, (iii) la réhabilitation de l’institution judiciaire, (iv) l’approfondissement de la décentralisation, (v) l’approfondissement des instruments de la démocratie participative, (vi) la réforme du processus et du système électoral, et (vii) le recouvrement d’une position forte dans un environnement international en profonde mutation.</w:t>
      </w:r>
    </w:p>
    <w:p w14:paraId="2AAE17C4" w14:textId="77777777" w:rsidR="000A0894" w:rsidRPr="00944EE4" w:rsidRDefault="000A0894" w:rsidP="00365105">
      <w:pPr>
        <w:spacing w:line="276" w:lineRule="auto"/>
        <w:jc w:val="both"/>
        <w:rPr>
          <w:rFonts w:ascii="Times New Roman" w:hAnsi="Times New Roman" w:cs="Times New Roman"/>
          <w:sz w:val="24"/>
          <w:szCs w:val="24"/>
        </w:rPr>
      </w:pPr>
    </w:p>
    <w:p w14:paraId="73D296A9" w14:textId="6FECBC1F" w:rsidR="001312BF" w:rsidRPr="00944EE4" w:rsidRDefault="00880F37" w:rsidP="001312BF">
      <w:pPr>
        <w:autoSpaceDE w:val="0"/>
        <w:autoSpaceDN w:val="0"/>
        <w:adjustRightInd w:val="0"/>
        <w:spacing w:line="276" w:lineRule="auto"/>
        <w:jc w:val="both"/>
        <w:rPr>
          <w:rFonts w:ascii="Times New Roman" w:hAnsi="Times New Roman" w:cs="Times New Roman"/>
          <w:b/>
          <w:sz w:val="24"/>
          <w:szCs w:val="24"/>
        </w:rPr>
      </w:pPr>
      <w:r w:rsidRPr="00944EE4">
        <w:rPr>
          <w:rFonts w:ascii="Times New Roman" w:hAnsi="Times New Roman" w:cs="Times New Roman"/>
          <w:sz w:val="24"/>
          <w:szCs w:val="24"/>
        </w:rPr>
        <w:t>La construction d’une économie émergente est un autre axe majeur du programme de développement avec comme objectif un taux de croissance à deux chiffres à l’horizon 2018. Pour ce faire, le Gouvernement entend maintenir la stabilité macroéconomique, développer les infrastructures (énergie à moindre coût, transport, TIC) et accélérer le développement et la modernisation du secteur agricole afin de renouer avec la croissance et le développement durable</w:t>
      </w:r>
      <w:r w:rsidRPr="00944EE4">
        <w:rPr>
          <w:rFonts w:ascii="Times New Roman" w:hAnsi="Times New Roman" w:cs="Times New Roman"/>
          <w:b/>
          <w:sz w:val="24"/>
          <w:szCs w:val="24"/>
        </w:rPr>
        <w:t>. Ce processus de reconstruction devra être inclusif, notamment avec la participation des femmes, sans lesquelles les résultats resteraient précaires.</w:t>
      </w:r>
    </w:p>
    <w:p w14:paraId="70EAD724" w14:textId="77777777" w:rsidR="000A0894" w:rsidRPr="00944EE4" w:rsidRDefault="000A0894" w:rsidP="00365105">
      <w:pPr>
        <w:autoSpaceDE w:val="0"/>
        <w:autoSpaceDN w:val="0"/>
        <w:adjustRightInd w:val="0"/>
        <w:spacing w:line="276" w:lineRule="auto"/>
        <w:jc w:val="both"/>
        <w:rPr>
          <w:rFonts w:ascii="Times New Roman" w:hAnsi="Times New Roman" w:cs="Times New Roman"/>
          <w:i/>
          <w:color w:val="1F497D" w:themeColor="text2"/>
          <w:sz w:val="24"/>
          <w:szCs w:val="24"/>
          <w:u w:val="single"/>
        </w:rPr>
      </w:pPr>
    </w:p>
    <w:p w14:paraId="7C4C62C1" w14:textId="7BFAEC7C" w:rsidR="007C6BB8" w:rsidRPr="00944EE4" w:rsidRDefault="00880F37" w:rsidP="00D50917">
      <w:pPr>
        <w:pStyle w:val="Titre2"/>
        <w:rPr>
          <w:rFonts w:ascii="Times New Roman" w:hAnsi="Times New Roman" w:cs="Times New Roman"/>
          <w:sz w:val="24"/>
          <w:szCs w:val="24"/>
        </w:rPr>
      </w:pPr>
      <w:bookmarkStart w:id="2" w:name="_Toc509228602"/>
      <w:r w:rsidRPr="00944EE4">
        <w:rPr>
          <w:rFonts w:ascii="Times New Roman" w:hAnsi="Times New Roman" w:cs="Times New Roman"/>
          <w:sz w:val="24"/>
          <w:szCs w:val="24"/>
        </w:rPr>
        <w:t xml:space="preserve">Processus de préparation </w:t>
      </w:r>
      <w:r w:rsidR="004F5E4E" w:rsidRPr="00944EE4">
        <w:rPr>
          <w:rFonts w:ascii="Times New Roman" w:hAnsi="Times New Roman" w:cs="Times New Roman"/>
          <w:sz w:val="24"/>
          <w:szCs w:val="24"/>
        </w:rPr>
        <w:t xml:space="preserve">et de révision </w:t>
      </w:r>
      <w:r w:rsidRPr="00944EE4">
        <w:rPr>
          <w:rFonts w:ascii="Times New Roman" w:hAnsi="Times New Roman" w:cs="Times New Roman"/>
          <w:sz w:val="24"/>
          <w:szCs w:val="24"/>
        </w:rPr>
        <w:t>de l’UNDAF+</w:t>
      </w:r>
      <w:bookmarkEnd w:id="2"/>
    </w:p>
    <w:p w14:paraId="19758EDC" w14:textId="77777777" w:rsidR="007B29EB" w:rsidRPr="00944EE4" w:rsidRDefault="007B29EB" w:rsidP="007C6BB8">
      <w:pPr>
        <w:autoSpaceDE w:val="0"/>
        <w:autoSpaceDN w:val="0"/>
        <w:adjustRightInd w:val="0"/>
        <w:rPr>
          <w:rFonts w:ascii="Times New Roman" w:hAnsi="Times New Roman" w:cs="Times New Roman"/>
          <w:i/>
          <w:color w:val="0070C0"/>
          <w:sz w:val="24"/>
          <w:szCs w:val="24"/>
          <w:u w:val="single"/>
        </w:rPr>
      </w:pPr>
    </w:p>
    <w:p w14:paraId="41E342A4" w14:textId="5311A887" w:rsidR="00D177AB" w:rsidRPr="00944EE4" w:rsidRDefault="00B05092" w:rsidP="00F929E2">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Le preparation du UNDAF+ 2015-2019 s’est deroulé suivant un</w:t>
      </w:r>
      <w:r w:rsidR="00880F37" w:rsidRPr="00944EE4">
        <w:rPr>
          <w:rFonts w:ascii="Times New Roman" w:hAnsi="Times New Roman" w:cs="Times New Roman"/>
          <w:sz w:val="24"/>
          <w:szCs w:val="24"/>
        </w:rPr>
        <w:t xml:space="preserve"> processus </w:t>
      </w:r>
      <w:r w:rsidRPr="00944EE4">
        <w:rPr>
          <w:rFonts w:ascii="Times New Roman" w:hAnsi="Times New Roman" w:cs="Times New Roman"/>
          <w:sz w:val="24"/>
          <w:szCs w:val="24"/>
        </w:rPr>
        <w:t xml:space="preserve">participatif, qui </w:t>
      </w:r>
      <w:r w:rsidR="00880F37" w:rsidRPr="00944EE4">
        <w:rPr>
          <w:rFonts w:ascii="Times New Roman" w:hAnsi="Times New Roman" w:cs="Times New Roman"/>
          <w:sz w:val="24"/>
          <w:szCs w:val="24"/>
        </w:rPr>
        <w:t xml:space="preserve">avait vu l’implication officielle du Gouvernement et s’était déroulé avec la participation nationale au plus haut niveau, celle de la société civile ainsi que celle des agences des Nations Unies. </w:t>
      </w:r>
    </w:p>
    <w:p w14:paraId="46806E9C" w14:textId="77777777" w:rsidR="00D177AB" w:rsidRPr="00944EE4" w:rsidRDefault="00D177AB" w:rsidP="00F929E2">
      <w:pPr>
        <w:spacing w:line="276" w:lineRule="auto"/>
        <w:jc w:val="both"/>
        <w:rPr>
          <w:rFonts w:ascii="Times New Roman" w:hAnsi="Times New Roman" w:cs="Times New Roman"/>
          <w:sz w:val="24"/>
          <w:szCs w:val="24"/>
        </w:rPr>
      </w:pPr>
    </w:p>
    <w:p w14:paraId="7A970D2B" w14:textId="79153695" w:rsidR="007B29EB" w:rsidRPr="00944EE4" w:rsidRDefault="00880F37" w:rsidP="00F929E2">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Une retraite de planification stratégique avec le Gouvernement et les PTFs organisée </w:t>
      </w:r>
      <w:r w:rsidR="00B05092" w:rsidRPr="00944EE4">
        <w:rPr>
          <w:rFonts w:ascii="Times New Roman" w:hAnsi="Times New Roman" w:cs="Times New Roman"/>
          <w:sz w:val="24"/>
          <w:szCs w:val="24"/>
        </w:rPr>
        <w:t>en</w:t>
      </w:r>
      <w:r w:rsidRPr="00944EE4">
        <w:rPr>
          <w:rFonts w:ascii="Times New Roman" w:hAnsi="Times New Roman" w:cs="Times New Roman"/>
          <w:sz w:val="24"/>
          <w:szCs w:val="24"/>
        </w:rPr>
        <w:t xml:space="preserve"> Aout 2014 </w:t>
      </w:r>
      <w:r w:rsidR="00B05092" w:rsidRPr="00944EE4">
        <w:rPr>
          <w:rFonts w:ascii="Times New Roman" w:hAnsi="Times New Roman" w:cs="Times New Roman"/>
          <w:sz w:val="24"/>
          <w:szCs w:val="24"/>
        </w:rPr>
        <w:t xml:space="preserve">permis </w:t>
      </w:r>
      <w:r w:rsidRPr="00944EE4">
        <w:rPr>
          <w:rFonts w:ascii="Times New Roman" w:hAnsi="Times New Roman" w:cs="Times New Roman"/>
          <w:sz w:val="24"/>
          <w:szCs w:val="24"/>
        </w:rPr>
        <w:t xml:space="preserve">de confirmer </w:t>
      </w:r>
      <w:r w:rsidR="00B05092" w:rsidRPr="00944EE4">
        <w:rPr>
          <w:rFonts w:ascii="Times New Roman" w:hAnsi="Times New Roman" w:cs="Times New Roman"/>
          <w:sz w:val="24"/>
          <w:szCs w:val="24"/>
        </w:rPr>
        <w:t>de manière consensuelle</w:t>
      </w:r>
      <w:r w:rsidRPr="00944EE4">
        <w:rPr>
          <w:rFonts w:ascii="Times New Roman" w:hAnsi="Times New Roman" w:cs="Times New Roman"/>
          <w:sz w:val="24"/>
          <w:szCs w:val="24"/>
        </w:rPr>
        <w:t xml:space="preserve"> les orientations stratégiques futures des Nations Unies</w:t>
      </w:r>
      <w:r w:rsidR="00B05092" w:rsidRPr="00944EE4">
        <w:rPr>
          <w:rFonts w:ascii="Times New Roman" w:hAnsi="Times New Roman" w:cs="Times New Roman"/>
          <w:sz w:val="24"/>
          <w:szCs w:val="24"/>
        </w:rPr>
        <w:t xml:space="preserve"> au Mali</w:t>
      </w:r>
      <w:r w:rsidRPr="00944EE4">
        <w:rPr>
          <w:rFonts w:ascii="Times New Roman" w:hAnsi="Times New Roman" w:cs="Times New Roman"/>
          <w:sz w:val="24"/>
          <w:szCs w:val="24"/>
        </w:rPr>
        <w:t xml:space="preserve">. Lors de cette rencontre, le Gouvernement et les Nations Unies ont examiné les principaux obstacles du développement national, défini les priorités stratégiques des Nations Unies, traduit ces hautes priorités en effets et produits de l’UNDAF+.  </w:t>
      </w:r>
    </w:p>
    <w:p w14:paraId="0FE121D6" w14:textId="77777777" w:rsidR="007B29EB" w:rsidRPr="00944EE4" w:rsidRDefault="007B29EB" w:rsidP="007C6BB8">
      <w:pPr>
        <w:autoSpaceDE w:val="0"/>
        <w:autoSpaceDN w:val="0"/>
        <w:adjustRightInd w:val="0"/>
        <w:rPr>
          <w:rFonts w:ascii="Times New Roman" w:hAnsi="Times New Roman" w:cs="Times New Roman"/>
          <w:i/>
          <w:color w:val="0070C0"/>
          <w:sz w:val="24"/>
          <w:szCs w:val="24"/>
          <w:u w:val="single"/>
        </w:rPr>
      </w:pPr>
    </w:p>
    <w:p w14:paraId="4ADBC1EB" w14:textId="77777777" w:rsidR="007C6BB8" w:rsidRPr="00944EE4" w:rsidRDefault="00880F37" w:rsidP="00D50917">
      <w:pPr>
        <w:pStyle w:val="Titre2"/>
        <w:rPr>
          <w:rFonts w:ascii="Times New Roman" w:hAnsi="Times New Roman" w:cs="Times New Roman"/>
          <w:sz w:val="24"/>
          <w:szCs w:val="24"/>
        </w:rPr>
      </w:pPr>
      <w:bookmarkStart w:id="3" w:name="_Toc509228603"/>
      <w:r w:rsidRPr="00944EE4">
        <w:rPr>
          <w:rFonts w:ascii="Times New Roman" w:hAnsi="Times New Roman" w:cs="Times New Roman"/>
          <w:sz w:val="24"/>
          <w:szCs w:val="24"/>
        </w:rPr>
        <w:t>Les avantages comparatifs du SNU au Mali</w:t>
      </w:r>
      <w:bookmarkEnd w:id="3"/>
    </w:p>
    <w:p w14:paraId="6BAB3088" w14:textId="77777777" w:rsidR="00F904A6" w:rsidRPr="00944EE4" w:rsidRDefault="00F904A6" w:rsidP="007C6BB8">
      <w:pPr>
        <w:autoSpaceDE w:val="0"/>
        <w:autoSpaceDN w:val="0"/>
        <w:adjustRightInd w:val="0"/>
        <w:rPr>
          <w:rFonts w:ascii="Times New Roman" w:hAnsi="Times New Roman" w:cs="Times New Roman"/>
          <w:i/>
          <w:color w:val="0070C0"/>
          <w:sz w:val="24"/>
          <w:szCs w:val="24"/>
          <w:u w:val="single"/>
        </w:rPr>
      </w:pPr>
    </w:p>
    <w:p w14:paraId="2171BB48" w14:textId="286944AD" w:rsidR="00F904A6" w:rsidRPr="00944EE4" w:rsidRDefault="00880F37" w:rsidP="00F929E2">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Sur la base de l’analyse de situation faite dans le Bilan Commun de Pays, il a été constaté que les avantages comparatifs du Système des Nations Unies</w:t>
      </w:r>
      <w:r w:rsidR="00293CFE" w:rsidRPr="00944EE4">
        <w:rPr>
          <w:rFonts w:ascii="Times New Roman" w:hAnsi="Times New Roman" w:cs="Times New Roman"/>
          <w:sz w:val="24"/>
          <w:szCs w:val="24"/>
        </w:rPr>
        <w:t xml:space="preserve"> au Mali reposent sur certaines</w:t>
      </w:r>
      <w:r w:rsidRPr="00944EE4">
        <w:rPr>
          <w:rFonts w:ascii="Times New Roman" w:hAnsi="Times New Roman" w:cs="Times New Roman"/>
          <w:sz w:val="24"/>
          <w:szCs w:val="24"/>
        </w:rPr>
        <w:t xml:space="preserve"> atouts caractéristiques, à savoir : (i) son mandat en matière de promotion des Droits Humains, y compris le </w:t>
      </w:r>
      <w:r w:rsidRPr="00944EE4">
        <w:rPr>
          <w:rFonts w:ascii="Times New Roman" w:hAnsi="Times New Roman" w:cs="Times New Roman"/>
          <w:sz w:val="24"/>
          <w:szCs w:val="24"/>
        </w:rPr>
        <w:lastRenderedPageBreak/>
        <w:t>droit des femmes (ii) sa neutralité, (iii) son expertise pluridisciplinaire en termes de renforcement des capacités nationales, (iv) son aptitude spécifique à protéger les groupes vulnérables et sa mission d’intervention dans les zones où vivent les plus pauvres,  (v) son mandat dans le domaine de l’environnement et du développement durable  (vi) son mandat dans le domaine de la santé publique et sa responsabilité reconnue dans la lutte contre le VIH/SIDA., (vii) sa connaissance approfondie et son expérience de la dynamique des conflits et du processus de paix, à ses outils et sa longue et solide expérience en matière de reconstruction post-conflit, de protection sociale et de développement, (viii) la synergie entre les agences des Nations Unies renforcée par l’intégration avec la MINUSMA ; (ix) sa flexibilité, sa capacité à faire face aux situations d’urgence et son expérience avérée dans le domaine humanitaire ; (x) son expertise disponible dans la facilitation du dialogue politique entre les acteurs politiques, la formulation des politiques, des stratégies et la conduite des actions de plaidoyer.</w:t>
      </w:r>
    </w:p>
    <w:p w14:paraId="232A85F6" w14:textId="77777777" w:rsidR="00382CBB" w:rsidRPr="00944EE4" w:rsidRDefault="00382CBB" w:rsidP="00F929E2">
      <w:pPr>
        <w:spacing w:line="276" w:lineRule="auto"/>
        <w:jc w:val="both"/>
        <w:rPr>
          <w:rFonts w:ascii="Times New Roman" w:hAnsi="Times New Roman" w:cs="Times New Roman"/>
          <w:sz w:val="24"/>
          <w:szCs w:val="24"/>
        </w:rPr>
      </w:pPr>
    </w:p>
    <w:p w14:paraId="3161E8D0" w14:textId="6F0C68EF" w:rsidR="00382CBB" w:rsidRPr="00944EE4" w:rsidRDefault="00880F37" w:rsidP="00F06CF6">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Le Bilan Commun de Pays a fait ressortir des domaines stratégiques dans lesquels les Nations Unies pourront apporter un véritable changement à l’échelle nationale. Il s’agit principalement de :</w:t>
      </w:r>
    </w:p>
    <w:p w14:paraId="142D411E" w14:textId="77777777" w:rsidR="004044C1" w:rsidRPr="00944EE4" w:rsidRDefault="004044C1" w:rsidP="004044C1">
      <w:pPr>
        <w:pStyle w:val="Default"/>
        <w:spacing w:line="276" w:lineRule="auto"/>
        <w:ind w:left="360"/>
        <w:jc w:val="both"/>
        <w:rPr>
          <w:color w:val="auto"/>
        </w:rPr>
      </w:pPr>
    </w:p>
    <w:p w14:paraId="2727CF4D" w14:textId="4AD17478" w:rsidR="004044C1" w:rsidRPr="00944EE4" w:rsidRDefault="00293CFE" w:rsidP="00A701F5">
      <w:pPr>
        <w:pStyle w:val="Default"/>
        <w:numPr>
          <w:ilvl w:val="0"/>
          <w:numId w:val="5"/>
        </w:numPr>
        <w:spacing w:line="276" w:lineRule="auto"/>
        <w:jc w:val="both"/>
        <w:rPr>
          <w:color w:val="auto"/>
        </w:rPr>
      </w:pPr>
      <w:r w:rsidRPr="00944EE4">
        <w:rPr>
          <w:b/>
          <w:i/>
          <w:color w:val="auto"/>
        </w:rPr>
        <w:t>La Stabilisation post-</w:t>
      </w:r>
      <w:r w:rsidR="00880F37" w:rsidRPr="00944EE4">
        <w:rPr>
          <w:b/>
          <w:i/>
          <w:color w:val="auto"/>
        </w:rPr>
        <w:t>conflit et la Réforme du Secteur de la Sécurité</w:t>
      </w:r>
      <w:r w:rsidR="00880F37" w:rsidRPr="00944EE4">
        <w:rPr>
          <w:b/>
          <w:color w:val="auto"/>
        </w:rPr>
        <w:t> </w:t>
      </w:r>
      <w:r w:rsidR="00880F37" w:rsidRPr="00944EE4">
        <w:rPr>
          <w:color w:val="auto"/>
          <w:lang w:eastAsia="fr-FR"/>
        </w:rPr>
        <w:t>y compris la Réinsertion socioéconomique des ex-combattants, le cantonnement et le DDR, entre autres ;</w:t>
      </w:r>
    </w:p>
    <w:p w14:paraId="3D4887AD" w14:textId="458F8ADA" w:rsidR="004044C1" w:rsidRPr="00944EE4" w:rsidRDefault="00880F37" w:rsidP="00A701F5">
      <w:pPr>
        <w:pStyle w:val="Default"/>
        <w:numPr>
          <w:ilvl w:val="0"/>
          <w:numId w:val="5"/>
        </w:numPr>
        <w:spacing w:line="276" w:lineRule="auto"/>
        <w:jc w:val="both"/>
        <w:rPr>
          <w:color w:val="auto"/>
        </w:rPr>
      </w:pPr>
      <w:r w:rsidRPr="00944EE4">
        <w:rPr>
          <w:b/>
          <w:i/>
          <w:color w:val="auto"/>
        </w:rPr>
        <w:t xml:space="preserve">Le renforcement de la Bonne Gouvernance et de l’Etat de Droit </w:t>
      </w:r>
      <w:r w:rsidRPr="00944EE4">
        <w:rPr>
          <w:color w:val="auto"/>
          <w:lang w:eastAsia="fr-FR"/>
        </w:rPr>
        <w:t>y compris la refondation des administrations publiques, l’approfondissement de la décentralisation et de la gouvernance inclusiv</w:t>
      </w:r>
      <w:r w:rsidR="00293CFE" w:rsidRPr="00944EE4">
        <w:rPr>
          <w:color w:val="auto"/>
          <w:lang w:eastAsia="fr-FR"/>
        </w:rPr>
        <w:t>e, la réhabilitation du système</w:t>
      </w:r>
      <w:r w:rsidRPr="00944EE4">
        <w:rPr>
          <w:color w:val="auto"/>
          <w:lang w:eastAsia="fr-FR"/>
        </w:rPr>
        <w:t xml:space="preserve"> judicia</w:t>
      </w:r>
      <w:r w:rsidR="00293CFE" w:rsidRPr="00944EE4">
        <w:rPr>
          <w:color w:val="auto"/>
          <w:lang w:eastAsia="fr-FR"/>
        </w:rPr>
        <w:t>ire, le respect pour les droits</w:t>
      </w:r>
      <w:r w:rsidRPr="00944EE4">
        <w:rPr>
          <w:color w:val="auto"/>
          <w:lang w:eastAsia="fr-FR"/>
        </w:rPr>
        <w:t xml:space="preserve"> humain et l’égalité hommes – femmes ; la lutte contre la corruption et l’impunité, le renforcement des capacités de la société civile et des communautés de base, etc.</w:t>
      </w:r>
      <w:r w:rsidR="00293CFE" w:rsidRPr="00944EE4">
        <w:rPr>
          <w:color w:val="auto"/>
          <w:lang w:eastAsia="fr-FR"/>
        </w:rPr>
        <w:t> ;</w:t>
      </w:r>
    </w:p>
    <w:p w14:paraId="2289D55C" w14:textId="1BA46F37" w:rsidR="004044C1" w:rsidRPr="00944EE4" w:rsidRDefault="00880F37" w:rsidP="00A701F5">
      <w:pPr>
        <w:pStyle w:val="Default"/>
        <w:numPr>
          <w:ilvl w:val="0"/>
          <w:numId w:val="5"/>
        </w:numPr>
        <w:spacing w:line="276" w:lineRule="auto"/>
        <w:jc w:val="both"/>
        <w:rPr>
          <w:color w:val="auto"/>
        </w:rPr>
      </w:pPr>
      <w:r w:rsidRPr="00944EE4">
        <w:rPr>
          <w:b/>
          <w:bCs/>
          <w:i/>
          <w:iCs/>
          <w:color w:val="auto"/>
          <w:lang w:eastAsia="fr-FR"/>
        </w:rPr>
        <w:t xml:space="preserve">Le soutien au dialogue inclusif et la réconciliation nationale </w:t>
      </w:r>
      <w:r w:rsidRPr="00944EE4">
        <w:rPr>
          <w:color w:val="auto"/>
          <w:lang w:eastAsia="fr-FR"/>
        </w:rPr>
        <w:t>y compris le processus de paix, le dialogue entre l’état et les communautés, les dialogues intercommunautaires, la cohésion sociale et la recherche de solutions durables telles l’intégration locale</w:t>
      </w:r>
      <w:r w:rsidR="00293CFE" w:rsidRPr="00944EE4">
        <w:rPr>
          <w:color w:val="auto"/>
          <w:lang w:eastAsia="fr-FR"/>
        </w:rPr>
        <w:t xml:space="preserve"> des réfugiés vivant au Mali et</w:t>
      </w:r>
      <w:r w:rsidRPr="00944EE4">
        <w:rPr>
          <w:color w:val="auto"/>
          <w:lang w:eastAsia="fr-FR"/>
        </w:rPr>
        <w:t xml:space="preserve"> la réintégration socioéconomique des personnes déplacées et des rapatriés</w:t>
      </w:r>
      <w:r w:rsidR="00293CFE" w:rsidRPr="00944EE4">
        <w:rPr>
          <w:i/>
          <w:iCs/>
          <w:color w:val="auto"/>
          <w:lang w:eastAsia="fr-FR"/>
        </w:rPr>
        <w:t> ;</w:t>
      </w:r>
      <w:r w:rsidRPr="00944EE4">
        <w:rPr>
          <w:i/>
          <w:iCs/>
          <w:color w:val="auto"/>
          <w:lang w:eastAsia="fr-FR"/>
        </w:rPr>
        <w:t xml:space="preserve"> </w:t>
      </w:r>
      <w:r w:rsidRPr="00944EE4">
        <w:rPr>
          <w:b/>
          <w:bCs/>
          <w:i/>
          <w:iCs/>
          <w:color w:val="auto"/>
          <w:lang w:eastAsia="fr-FR"/>
        </w:rPr>
        <w:t> </w:t>
      </w:r>
    </w:p>
    <w:p w14:paraId="1CCAF846" w14:textId="3F675044" w:rsidR="004044C1" w:rsidRPr="00944EE4" w:rsidRDefault="00880F37" w:rsidP="00A701F5">
      <w:pPr>
        <w:pStyle w:val="Default"/>
        <w:numPr>
          <w:ilvl w:val="0"/>
          <w:numId w:val="5"/>
        </w:numPr>
        <w:spacing w:line="276" w:lineRule="auto"/>
        <w:jc w:val="both"/>
        <w:rPr>
          <w:color w:val="auto"/>
        </w:rPr>
      </w:pPr>
      <w:r w:rsidRPr="00944EE4">
        <w:rPr>
          <w:b/>
          <w:i/>
          <w:color w:val="auto"/>
        </w:rPr>
        <w:t>La promotion de la Croissance Economique et la lutte contre la Pauvreté</w:t>
      </w:r>
      <w:r w:rsidRPr="00944EE4">
        <w:rPr>
          <w:color w:val="auto"/>
        </w:rPr>
        <w:t> </w:t>
      </w:r>
      <w:r w:rsidRPr="00944EE4">
        <w:rPr>
          <w:color w:val="auto"/>
          <w:lang w:eastAsia="fr-FR"/>
        </w:rPr>
        <w:t>y compris le développement rural et la sécurité alimentaire et nutritionnelle, le développement du secteur privé, la promotion de l’emploi des jeunes et travail décent, etc.)</w:t>
      </w:r>
      <w:r w:rsidR="00293CFE" w:rsidRPr="00944EE4">
        <w:rPr>
          <w:color w:val="auto"/>
          <w:lang w:eastAsia="fr-FR"/>
        </w:rPr>
        <w:t xml:space="preserve"> </w:t>
      </w:r>
      <w:r w:rsidRPr="00944EE4">
        <w:rPr>
          <w:color w:val="auto"/>
          <w:lang w:eastAsia="fr-FR"/>
        </w:rPr>
        <w:t>;</w:t>
      </w:r>
    </w:p>
    <w:p w14:paraId="31A364B4" w14:textId="77777777" w:rsidR="004044C1" w:rsidRPr="00944EE4" w:rsidRDefault="00880F37" w:rsidP="00A701F5">
      <w:pPr>
        <w:pStyle w:val="Default"/>
        <w:numPr>
          <w:ilvl w:val="0"/>
          <w:numId w:val="5"/>
        </w:numPr>
        <w:spacing w:line="276" w:lineRule="auto"/>
        <w:jc w:val="both"/>
        <w:rPr>
          <w:color w:val="auto"/>
        </w:rPr>
      </w:pPr>
      <w:r w:rsidRPr="00944EE4">
        <w:rPr>
          <w:b/>
          <w:bCs/>
          <w:i/>
          <w:iCs/>
          <w:color w:val="auto"/>
          <w:lang w:eastAsia="fr-FR"/>
        </w:rPr>
        <w:t>Le soutien au retour de l’administration et l’amélioration de l’Accès aux services sociaux de base</w:t>
      </w:r>
      <w:r w:rsidRPr="00944EE4">
        <w:rPr>
          <w:color w:val="auto"/>
          <w:lang w:eastAsia="fr-FR"/>
        </w:rPr>
        <w:t xml:space="preserve"> : y compris le respect des droits sociaux et économiques (Santé, Education, Logement décent), l’accès à l’Eau potable et l’Assainissement, la Protection sécuritaire et sociale et des groupes vulnérables (Personnes Agées, Personnes Handicapées et Enfants) ; </w:t>
      </w:r>
    </w:p>
    <w:p w14:paraId="645B2DF9" w14:textId="14482C82" w:rsidR="004044C1" w:rsidRPr="00944EE4" w:rsidRDefault="00880F37" w:rsidP="00A701F5">
      <w:pPr>
        <w:pStyle w:val="Default"/>
        <w:numPr>
          <w:ilvl w:val="0"/>
          <w:numId w:val="5"/>
        </w:numPr>
        <w:spacing w:line="276" w:lineRule="auto"/>
        <w:jc w:val="both"/>
        <w:rPr>
          <w:b/>
          <w:color w:val="auto"/>
        </w:rPr>
      </w:pPr>
      <w:r w:rsidRPr="00944EE4">
        <w:rPr>
          <w:b/>
          <w:color w:val="auto"/>
        </w:rPr>
        <w:t>La Gestion de l’Environnement et des Changements Climatiques</w:t>
      </w:r>
      <w:r w:rsidR="001430EB" w:rsidRPr="00944EE4">
        <w:rPr>
          <w:b/>
          <w:color w:val="auto"/>
        </w:rPr>
        <w:t xml:space="preserve"> </w:t>
      </w:r>
      <w:r w:rsidRPr="00944EE4">
        <w:rPr>
          <w:color w:val="auto"/>
        </w:rPr>
        <w:t>: y compris les Energies Renouvelables</w:t>
      </w:r>
      <w:r w:rsidR="00293CFE" w:rsidRPr="00944EE4">
        <w:rPr>
          <w:color w:val="auto"/>
        </w:rPr>
        <w:t xml:space="preserve"> </w:t>
      </w:r>
      <w:r w:rsidRPr="00944EE4">
        <w:rPr>
          <w:color w:val="auto"/>
        </w:rPr>
        <w:t>;</w:t>
      </w:r>
    </w:p>
    <w:p w14:paraId="18FF8878" w14:textId="77777777" w:rsidR="004044C1" w:rsidRPr="00944EE4" w:rsidRDefault="00880F37" w:rsidP="00A701F5">
      <w:pPr>
        <w:pStyle w:val="Default"/>
        <w:numPr>
          <w:ilvl w:val="0"/>
          <w:numId w:val="5"/>
        </w:numPr>
        <w:spacing w:line="276" w:lineRule="auto"/>
        <w:jc w:val="both"/>
        <w:rPr>
          <w:b/>
          <w:color w:val="auto"/>
        </w:rPr>
      </w:pPr>
      <w:r w:rsidRPr="00944EE4">
        <w:rPr>
          <w:b/>
          <w:color w:val="auto"/>
        </w:rPr>
        <w:t>La Prévention et la Gestion des Catastrophes Naturelles.</w:t>
      </w:r>
    </w:p>
    <w:p w14:paraId="1E23235C" w14:textId="77777777" w:rsidR="00382CBB" w:rsidRPr="00944EE4" w:rsidRDefault="00382CBB" w:rsidP="00F929E2">
      <w:pPr>
        <w:spacing w:line="276" w:lineRule="auto"/>
        <w:jc w:val="both"/>
        <w:rPr>
          <w:rFonts w:ascii="Times New Roman" w:hAnsi="Times New Roman" w:cs="Times New Roman"/>
          <w:sz w:val="24"/>
          <w:szCs w:val="24"/>
        </w:rPr>
      </w:pPr>
    </w:p>
    <w:p w14:paraId="45104A00" w14:textId="77777777" w:rsidR="007B406F" w:rsidRPr="00944EE4" w:rsidRDefault="00880F37" w:rsidP="00F929E2">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En plus de ces domaines stratégiques susmentionnés, les Nations Unies au Mali vont appuyer le Gouvernement dans le renforcement de la Résilience des communautés notamment dans le cadre de la mise en œuvre de la stratégie intégrée des Nations Unies pour le Sahel</w:t>
      </w:r>
    </w:p>
    <w:p w14:paraId="1CF3CA14" w14:textId="77777777" w:rsidR="00976217" w:rsidRPr="00944EE4" w:rsidRDefault="00976217" w:rsidP="00F904A6">
      <w:pPr>
        <w:rPr>
          <w:rFonts w:ascii="Times New Roman" w:hAnsi="Times New Roman" w:cs="Times New Roman"/>
          <w:i/>
          <w:color w:val="1F497D" w:themeColor="text2"/>
          <w:sz w:val="24"/>
          <w:szCs w:val="24"/>
          <w:u w:val="single"/>
        </w:rPr>
      </w:pPr>
    </w:p>
    <w:p w14:paraId="4F9C2034" w14:textId="77777777" w:rsidR="00F904A6" w:rsidRPr="00944EE4" w:rsidRDefault="00880F37" w:rsidP="00D50917">
      <w:pPr>
        <w:pStyle w:val="Titre2"/>
        <w:rPr>
          <w:rFonts w:ascii="Times New Roman" w:hAnsi="Times New Roman" w:cs="Times New Roman"/>
          <w:sz w:val="24"/>
          <w:szCs w:val="24"/>
        </w:rPr>
      </w:pPr>
      <w:bookmarkStart w:id="4" w:name="_Toc509228604"/>
      <w:r w:rsidRPr="00944EE4">
        <w:rPr>
          <w:rFonts w:ascii="Times New Roman" w:hAnsi="Times New Roman" w:cs="Times New Roman"/>
          <w:sz w:val="24"/>
          <w:szCs w:val="24"/>
        </w:rPr>
        <w:lastRenderedPageBreak/>
        <w:t>La présence intégrée des Nations Unies au Mali</w:t>
      </w:r>
      <w:bookmarkEnd w:id="4"/>
    </w:p>
    <w:p w14:paraId="338C5AE9" w14:textId="77777777" w:rsidR="00F904A6" w:rsidRPr="00944EE4" w:rsidRDefault="00F904A6" w:rsidP="00F904A6">
      <w:pPr>
        <w:rPr>
          <w:rFonts w:ascii="Times New Roman" w:hAnsi="Times New Roman" w:cs="Times New Roman"/>
          <w:b/>
          <w:sz w:val="24"/>
          <w:szCs w:val="24"/>
        </w:rPr>
      </w:pPr>
    </w:p>
    <w:p w14:paraId="2A886554" w14:textId="77777777" w:rsidR="00F904A6" w:rsidRPr="00944EE4" w:rsidRDefault="00880F37" w:rsidP="00F929E2">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En réponse à la crise sécuritaire et politique qui a traversé le pays, le Conseil de sécurité a mis en place la Mission de stabilisation multidimensionnelle intégrée des Nations Unies au Mali (MINUSMA), par sa résolution 2100 (2013) du 25 Avril 2013 et 2164 (2014).</w:t>
      </w:r>
    </w:p>
    <w:p w14:paraId="4DA40255" w14:textId="77777777" w:rsidR="00F904A6" w:rsidRPr="00944EE4" w:rsidRDefault="00F904A6" w:rsidP="00F929E2">
      <w:pPr>
        <w:spacing w:line="276" w:lineRule="auto"/>
        <w:jc w:val="both"/>
        <w:rPr>
          <w:rFonts w:ascii="Times New Roman" w:hAnsi="Times New Roman" w:cs="Times New Roman"/>
          <w:sz w:val="24"/>
          <w:szCs w:val="24"/>
        </w:rPr>
      </w:pPr>
    </w:p>
    <w:p w14:paraId="27FA6746" w14:textId="77777777" w:rsidR="00F904A6" w:rsidRPr="00944EE4" w:rsidRDefault="00880F37" w:rsidP="00F929E2">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Le mandat de la MINUSMA comprend: (i) la stabilisation des principaux centres de population et de soutien pour le rétablissement de l'autorité de l'État dans tout le pays, (ii) l'appui à la mise en œuvre de la feuille de route de transition, y compris le dialogue politique national et du processus électoral ainsi que de faciliter un processus de négociation exclusive entre les autorités de transition et les groupes armés rebelles, (iii) la protection des civils et le personnel des Nations Unies, (iv) la promotion et la protection des droits de l'homme, (v) le soutien à l'aide humanitaire et la reconstruction participative et les efforts de relèvement au niveau national et local, conduisant à la consolidation de la paix et du développement socio-économique à long terme;(vi) un appui à la sauvegarde du patrimoine culturel, et (vii) l'appui à la justice nationale.</w:t>
      </w:r>
    </w:p>
    <w:p w14:paraId="4C58AD97" w14:textId="77777777" w:rsidR="00F904A6" w:rsidRPr="00944EE4" w:rsidRDefault="00F904A6" w:rsidP="00F929E2">
      <w:pPr>
        <w:spacing w:line="276" w:lineRule="auto"/>
        <w:jc w:val="both"/>
        <w:rPr>
          <w:rFonts w:ascii="Times New Roman" w:hAnsi="Times New Roman" w:cs="Times New Roman"/>
          <w:sz w:val="24"/>
          <w:szCs w:val="24"/>
        </w:rPr>
      </w:pPr>
    </w:p>
    <w:p w14:paraId="784776FB" w14:textId="1CA09FF4" w:rsidR="00CD0C4B" w:rsidRPr="00944EE4" w:rsidRDefault="00880F37" w:rsidP="00CD0C4B">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La présence d’une Mission intégrée et multidimensionnelle impose une réorganisation de la planification conjointe entre la Mission et les agences des Nations Unies. L’UNDAF+ assure non seulement l’harmonisation des processus de planification des agences, fonds et programmes, mais aussi ceux de la Mission tel que l’élaboration d’objectifs de référence (‘benchmarks’) avec des indicateurs de réalisation des priorités du mandat de la MINUSMA comme requis par le Conseil de sécurité (S/RES/2164, 2014), notamment (i) sécurité, stabilisation et protection des civils ; (ii) appui au dialogue politique national et à la réconciliation nationale ; et (iii) appui au rétablissement de l’autorité de l’Etat dans tout le pays, à la reconstruction du secteur de la sécurité malien, à la promotion et la protection des droits de l’homme, et à l’aide humanitaire.</w:t>
      </w:r>
    </w:p>
    <w:p w14:paraId="68AC85A6" w14:textId="77777777" w:rsidR="00BE5F71" w:rsidRPr="00944EE4" w:rsidRDefault="00BE5F71" w:rsidP="00F929E2">
      <w:pPr>
        <w:spacing w:line="276" w:lineRule="auto"/>
        <w:jc w:val="both"/>
        <w:rPr>
          <w:rFonts w:ascii="Times New Roman" w:hAnsi="Times New Roman" w:cs="Times New Roman"/>
          <w:sz w:val="24"/>
          <w:szCs w:val="24"/>
        </w:rPr>
      </w:pPr>
    </w:p>
    <w:p w14:paraId="3D9024EB" w14:textId="4739A192" w:rsidR="00FF7A65" w:rsidRPr="00944EE4" w:rsidRDefault="00880F37" w:rsidP="00FF7A65">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L’UNDAF+ prend en compte le contexte post conflit et la nécessité de procéder à la consolidation de la paix encore fragile tout en s’engageant résolument vers le relèvement des indicateurs sociaux de base.  Tirant les leçons du passé, et en se basant sur les analyses de conflit, l’action des Nations Unies se traduira par une présence plus marquée dans les régions du Nord, notamment à travers les bureaux régionaux et d’initiatives des équipes intégrées. Les efforts entrepris pour la restauration de l’autorité de l’Etat seront poursuivis avec un accent particulier sur un renforcement des capacités dans le long terme.</w:t>
      </w:r>
    </w:p>
    <w:p w14:paraId="5DE52FA0" w14:textId="77777777" w:rsidR="00FF7A65" w:rsidRPr="00944EE4" w:rsidRDefault="00FF7A65" w:rsidP="00FF7A65">
      <w:pPr>
        <w:rPr>
          <w:rFonts w:ascii="Times New Roman" w:hAnsi="Times New Roman" w:cs="Times New Roman"/>
          <w:sz w:val="24"/>
          <w:szCs w:val="24"/>
        </w:rPr>
      </w:pPr>
    </w:p>
    <w:p w14:paraId="3C60E850" w14:textId="5E175EA5" w:rsidR="00F904A6" w:rsidRPr="00944EE4" w:rsidRDefault="00880F37" w:rsidP="00F929E2">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L’UNDAF+ 2015-2019 est l’expression la plus concrète d’une programmation intégrée entre une Mis</w:t>
      </w:r>
      <w:r w:rsidR="00293CFE" w:rsidRPr="00944EE4">
        <w:rPr>
          <w:rFonts w:ascii="Times New Roman" w:hAnsi="Times New Roman" w:cs="Times New Roman"/>
          <w:sz w:val="24"/>
          <w:szCs w:val="24"/>
        </w:rPr>
        <w:t>sion de maintien de la paix et l</w:t>
      </w:r>
      <w:r w:rsidRPr="00944EE4">
        <w:rPr>
          <w:rFonts w:ascii="Times New Roman" w:hAnsi="Times New Roman" w:cs="Times New Roman"/>
          <w:sz w:val="24"/>
          <w:szCs w:val="24"/>
        </w:rPr>
        <w:t xml:space="preserve">es agences du système des Nations Unies. </w:t>
      </w:r>
    </w:p>
    <w:p w14:paraId="6CBD2112" w14:textId="77777777" w:rsidR="00F904A6" w:rsidRPr="00944EE4" w:rsidRDefault="00F904A6" w:rsidP="00F929E2">
      <w:pPr>
        <w:spacing w:line="276" w:lineRule="auto"/>
        <w:rPr>
          <w:rFonts w:ascii="Times New Roman" w:hAnsi="Times New Roman" w:cs="Times New Roman"/>
          <w:sz w:val="24"/>
          <w:szCs w:val="24"/>
        </w:rPr>
      </w:pPr>
    </w:p>
    <w:p w14:paraId="2EAAB1D7" w14:textId="77777777" w:rsidR="007C6BB8" w:rsidRPr="00944EE4" w:rsidRDefault="00880F37" w:rsidP="00D50917">
      <w:pPr>
        <w:pStyle w:val="Titre2"/>
        <w:rPr>
          <w:rFonts w:ascii="Times New Roman" w:hAnsi="Times New Roman" w:cs="Times New Roman"/>
          <w:sz w:val="24"/>
          <w:szCs w:val="24"/>
          <w:lang w:val="en-US"/>
        </w:rPr>
      </w:pPr>
      <w:bookmarkStart w:id="5" w:name="_Toc509228605"/>
      <w:r w:rsidRPr="00944EE4">
        <w:rPr>
          <w:rFonts w:ascii="Times New Roman" w:hAnsi="Times New Roman" w:cs="Times New Roman"/>
          <w:sz w:val="24"/>
          <w:szCs w:val="24"/>
          <w:lang w:val="en-US"/>
        </w:rPr>
        <w:t>Le processus « Delivering As One »</w:t>
      </w:r>
      <w:bookmarkEnd w:id="5"/>
    </w:p>
    <w:p w14:paraId="65755A26" w14:textId="77777777" w:rsidR="007C6BB8" w:rsidRPr="00944EE4" w:rsidRDefault="007C6BB8" w:rsidP="007C6BB8">
      <w:pPr>
        <w:autoSpaceDE w:val="0"/>
        <w:autoSpaceDN w:val="0"/>
        <w:adjustRightInd w:val="0"/>
        <w:rPr>
          <w:rFonts w:ascii="Times New Roman" w:hAnsi="Times New Roman" w:cs="Times New Roman"/>
          <w:sz w:val="24"/>
          <w:szCs w:val="24"/>
          <w:lang w:val="en-US"/>
        </w:rPr>
      </w:pPr>
    </w:p>
    <w:p w14:paraId="621043DC" w14:textId="569306B1" w:rsidR="00F904A6" w:rsidRPr="00944EE4" w:rsidRDefault="00880F37" w:rsidP="005B0E36">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L’initiative « Delivering as One » a été consacrée au Mali avec la </w:t>
      </w:r>
      <w:r w:rsidRPr="00944EE4">
        <w:rPr>
          <w:rFonts w:ascii="Times New Roman" w:hAnsi="Times New Roman" w:cs="Times New Roman"/>
          <w:bCs/>
          <w:sz w:val="24"/>
          <w:szCs w:val="24"/>
        </w:rPr>
        <w:t>signature de la Note Conceptuelle « Unis dans l’Action » en 2010</w:t>
      </w:r>
      <w:r w:rsidRPr="00944EE4">
        <w:rPr>
          <w:rFonts w:ascii="Times New Roman" w:hAnsi="Times New Roman" w:cs="Times New Roman"/>
          <w:sz w:val="24"/>
          <w:szCs w:val="24"/>
        </w:rPr>
        <w:t xml:space="preserve">.  L’objectif était de mobiliser les efforts, les moyens d’action et les contributions de chaque entité des Nations Unies pour mener une action cohérente à l’appui des efforts déployés par les pays en vue de promouvoir la croissance économique et le développement </w:t>
      </w:r>
      <w:r w:rsidRPr="00944EE4">
        <w:rPr>
          <w:rFonts w:ascii="Times New Roman" w:hAnsi="Times New Roman" w:cs="Times New Roman"/>
          <w:sz w:val="24"/>
          <w:szCs w:val="24"/>
        </w:rPr>
        <w:lastRenderedPageBreak/>
        <w:t>durable. La vision inscrite dans la réforme repose sur quatre principes</w:t>
      </w:r>
      <w:r w:rsidR="00A2175A" w:rsidRPr="00944EE4">
        <w:rPr>
          <w:rFonts w:ascii="Times New Roman" w:hAnsi="Times New Roman" w:cs="Times New Roman"/>
          <w:sz w:val="24"/>
          <w:szCs w:val="24"/>
        </w:rPr>
        <w:t xml:space="preserve"> </w:t>
      </w:r>
      <w:r w:rsidRPr="00944EE4">
        <w:rPr>
          <w:rFonts w:ascii="Times New Roman" w:hAnsi="Times New Roman" w:cs="Times New Roman"/>
          <w:sz w:val="24"/>
          <w:szCs w:val="24"/>
        </w:rPr>
        <w:t>: un responsable unique</w:t>
      </w:r>
      <w:r w:rsidR="00D64D0D" w:rsidRPr="00944EE4">
        <w:rPr>
          <w:rFonts w:ascii="Times New Roman" w:hAnsi="Times New Roman" w:cs="Times New Roman"/>
          <w:sz w:val="24"/>
          <w:szCs w:val="24"/>
        </w:rPr>
        <w:t xml:space="preserve"> </w:t>
      </w:r>
      <w:r w:rsidRPr="00944EE4">
        <w:rPr>
          <w:rFonts w:ascii="Times New Roman" w:hAnsi="Times New Roman" w:cs="Times New Roman"/>
          <w:sz w:val="24"/>
          <w:szCs w:val="24"/>
        </w:rPr>
        <w:t>; un programme unique</w:t>
      </w:r>
      <w:r w:rsidR="00D64D0D" w:rsidRPr="00944EE4">
        <w:rPr>
          <w:rFonts w:ascii="Times New Roman" w:hAnsi="Times New Roman" w:cs="Times New Roman"/>
          <w:sz w:val="24"/>
          <w:szCs w:val="24"/>
        </w:rPr>
        <w:t xml:space="preserve"> </w:t>
      </w:r>
      <w:r w:rsidRPr="00944EE4">
        <w:rPr>
          <w:rFonts w:ascii="Times New Roman" w:hAnsi="Times New Roman" w:cs="Times New Roman"/>
          <w:sz w:val="24"/>
          <w:szCs w:val="24"/>
        </w:rPr>
        <w:t xml:space="preserve">; un cadre budgétaire unique; et, le cas échéant, un bureau unique.   </w:t>
      </w:r>
    </w:p>
    <w:p w14:paraId="250849E2" w14:textId="77777777" w:rsidR="00F904A6" w:rsidRPr="00944EE4" w:rsidRDefault="00F904A6" w:rsidP="005B0E36">
      <w:pPr>
        <w:spacing w:line="276" w:lineRule="auto"/>
        <w:jc w:val="both"/>
        <w:rPr>
          <w:rFonts w:ascii="Times New Roman" w:hAnsi="Times New Roman" w:cs="Times New Roman"/>
          <w:sz w:val="24"/>
          <w:szCs w:val="24"/>
        </w:rPr>
      </w:pPr>
    </w:p>
    <w:p w14:paraId="4A071959" w14:textId="77777777" w:rsidR="00560416" w:rsidRPr="00944EE4" w:rsidRDefault="00880F37" w:rsidP="001F4F50">
      <w:pPr>
        <w:spacing w:line="276" w:lineRule="auto"/>
        <w:jc w:val="both"/>
        <w:rPr>
          <w:rStyle w:val="lev"/>
          <w:rFonts w:ascii="Times New Roman" w:hAnsi="Times New Roman" w:cs="Times New Roman"/>
          <w:b w:val="0"/>
          <w:sz w:val="24"/>
          <w:szCs w:val="24"/>
        </w:rPr>
      </w:pPr>
      <w:r w:rsidRPr="00944EE4">
        <w:rPr>
          <w:rFonts w:ascii="Times New Roman" w:hAnsi="Times New Roman" w:cs="Times New Roman"/>
          <w:sz w:val="24"/>
          <w:szCs w:val="24"/>
        </w:rPr>
        <w:t>Afin de remplir ce rôle avec efficacité et responsabilité, le Système des Nations Unies poursuivra ses interventions dans la dynamique et l’esprit qui a guidé l’action des Nations Unies au Mali depuis plus de trois ans, à savoir, la détermination à poursuivre la mise en place du « Delivering As One ». Toutefois, des avancées méritent d’être signalées, notamment dans le domaine de la Communication et des relations avec les médias.  De fait, une stratégie commune et un Plan d’action conjoint lient les agences et la mission intégrée des Nations Unies pour une couverture commune des activités menées sur l’ensemble du territoire et pour une distribution d’une information de qualité. De plus, le document intitulé « </w:t>
      </w:r>
      <w:r w:rsidRPr="00944EE4">
        <w:rPr>
          <w:rStyle w:val="lev"/>
          <w:rFonts w:ascii="Times New Roman" w:hAnsi="Times New Roman" w:cs="Times New Roman"/>
          <w:b w:val="0"/>
          <w:sz w:val="24"/>
          <w:szCs w:val="24"/>
        </w:rPr>
        <w:t xml:space="preserve">Directives relatives aux relations avec les Médias » répond à la nécessité d’adopter une approche harmonisée dans la façon dont les différentes entités des Nations Unies (Agences, Fonds et Programmes des Nations Unies ainsi que MINUSMA) traitent avec les Médias au Mali. </w:t>
      </w:r>
    </w:p>
    <w:p w14:paraId="0D6458A8" w14:textId="77777777" w:rsidR="009650C2" w:rsidRPr="00944EE4" w:rsidRDefault="009650C2" w:rsidP="00560416">
      <w:pPr>
        <w:jc w:val="both"/>
        <w:rPr>
          <w:rStyle w:val="lev"/>
          <w:rFonts w:ascii="Times New Roman" w:hAnsi="Times New Roman" w:cs="Times New Roman"/>
          <w:b w:val="0"/>
          <w:sz w:val="24"/>
          <w:szCs w:val="24"/>
        </w:rPr>
      </w:pPr>
    </w:p>
    <w:p w14:paraId="5DA9D908" w14:textId="77777777" w:rsidR="009650C2" w:rsidRPr="00944EE4" w:rsidRDefault="00880F37" w:rsidP="001F4F50">
      <w:pPr>
        <w:spacing w:line="276" w:lineRule="auto"/>
        <w:jc w:val="both"/>
        <w:rPr>
          <w:rStyle w:val="lev"/>
          <w:rFonts w:ascii="Times New Roman" w:hAnsi="Times New Roman" w:cs="Times New Roman"/>
          <w:b w:val="0"/>
          <w:sz w:val="24"/>
          <w:szCs w:val="24"/>
        </w:rPr>
      </w:pPr>
      <w:r w:rsidRPr="00944EE4">
        <w:rPr>
          <w:rStyle w:val="lev"/>
          <w:rFonts w:ascii="Times New Roman" w:hAnsi="Times New Roman" w:cs="Times New Roman"/>
          <w:b w:val="0"/>
          <w:sz w:val="24"/>
          <w:szCs w:val="24"/>
        </w:rPr>
        <w:t>Par ailleurs, la mutualisation de certains services communs comme les voyages, les services de nettoyage ou de gardiennage ont également redonné une impulsion au processus de « Delivering as One » au Mali.  Les agences et la MINUSMA travaillent conjointement pour améliorer la cohésion entre les différents services proposés par les Nations Unies aux partenaires sur le terrain.</w:t>
      </w:r>
      <w:r w:rsidRPr="00944EE4">
        <w:rPr>
          <w:rFonts w:ascii="Times New Roman" w:hAnsi="Times New Roman" w:cs="Times New Roman"/>
          <w:bCs/>
          <w:sz w:val="24"/>
          <w:szCs w:val="24"/>
        </w:rPr>
        <w:t xml:space="preserve"> (Ex : partage d’informations renforcé, programmes conjoints en vue de maximiser les ressources et l’impact).</w:t>
      </w:r>
    </w:p>
    <w:p w14:paraId="57F7E3FE" w14:textId="77777777" w:rsidR="00B50E99" w:rsidRPr="00944EE4" w:rsidRDefault="00B50E99">
      <w:pPr>
        <w:rPr>
          <w:rFonts w:ascii="Times New Roman" w:hAnsi="Times New Roman" w:cs="Times New Roman"/>
          <w:sz w:val="24"/>
          <w:szCs w:val="24"/>
        </w:rPr>
      </w:pPr>
    </w:p>
    <w:p w14:paraId="5BF26A2D" w14:textId="1603E20E" w:rsidR="00B50E99" w:rsidRPr="00944EE4" w:rsidRDefault="00B50E99" w:rsidP="00D50917">
      <w:pPr>
        <w:pStyle w:val="Titre2"/>
        <w:rPr>
          <w:rFonts w:ascii="Times New Roman" w:hAnsi="Times New Roman" w:cs="Times New Roman"/>
          <w:sz w:val="24"/>
          <w:szCs w:val="24"/>
        </w:rPr>
      </w:pPr>
      <w:bookmarkStart w:id="6" w:name="_Toc509228606"/>
      <w:r w:rsidRPr="00944EE4">
        <w:rPr>
          <w:rFonts w:ascii="Times New Roman" w:hAnsi="Times New Roman" w:cs="Times New Roman"/>
          <w:sz w:val="24"/>
          <w:szCs w:val="24"/>
        </w:rPr>
        <w:t xml:space="preserve">Evolutions </w:t>
      </w:r>
      <w:r w:rsidR="001430EB" w:rsidRPr="00944EE4">
        <w:rPr>
          <w:rFonts w:ascii="Times New Roman" w:hAnsi="Times New Roman" w:cs="Times New Roman"/>
          <w:sz w:val="24"/>
          <w:szCs w:val="24"/>
        </w:rPr>
        <w:t xml:space="preserve">du </w:t>
      </w:r>
      <w:r w:rsidRPr="00944EE4">
        <w:rPr>
          <w:rFonts w:ascii="Times New Roman" w:hAnsi="Times New Roman" w:cs="Times New Roman"/>
          <w:sz w:val="24"/>
          <w:szCs w:val="24"/>
        </w:rPr>
        <w:t>contexte</w:t>
      </w:r>
      <w:r w:rsidR="004C33CA">
        <w:rPr>
          <w:rFonts w:ascii="Times New Roman" w:hAnsi="Times New Roman" w:cs="Times New Roman"/>
          <w:sz w:val="24"/>
          <w:szCs w:val="24"/>
        </w:rPr>
        <w:t>,</w:t>
      </w:r>
      <w:r w:rsidRPr="00944EE4">
        <w:rPr>
          <w:rFonts w:ascii="Times New Roman" w:hAnsi="Times New Roman" w:cs="Times New Roman"/>
          <w:sz w:val="24"/>
          <w:szCs w:val="24"/>
        </w:rPr>
        <w:t xml:space="preserve"> </w:t>
      </w:r>
      <w:r w:rsidR="001430EB" w:rsidRPr="00944EE4">
        <w:rPr>
          <w:rFonts w:ascii="Times New Roman" w:hAnsi="Times New Roman" w:cs="Times New Roman"/>
          <w:sz w:val="24"/>
          <w:szCs w:val="24"/>
        </w:rPr>
        <w:t xml:space="preserve">observées </w:t>
      </w:r>
      <w:r w:rsidRPr="00944EE4">
        <w:rPr>
          <w:rFonts w:ascii="Times New Roman" w:hAnsi="Times New Roman" w:cs="Times New Roman"/>
          <w:sz w:val="24"/>
          <w:szCs w:val="24"/>
        </w:rPr>
        <w:t>à la faveur de la revue à mi-parcours</w:t>
      </w:r>
      <w:bookmarkEnd w:id="6"/>
    </w:p>
    <w:p w14:paraId="7DE0378E" w14:textId="77777777" w:rsidR="00B50E99" w:rsidRPr="00944EE4" w:rsidRDefault="00B50E99">
      <w:pPr>
        <w:rPr>
          <w:rStyle w:val="lev"/>
          <w:rFonts w:ascii="Times New Roman" w:hAnsi="Times New Roman" w:cs="Times New Roman"/>
          <w:b w:val="0"/>
          <w:sz w:val="24"/>
          <w:szCs w:val="24"/>
        </w:rPr>
      </w:pPr>
    </w:p>
    <w:p w14:paraId="50901F75" w14:textId="385A477A" w:rsidR="00120DEA" w:rsidRPr="00120DEA" w:rsidRDefault="00B50E99" w:rsidP="00120DEA">
      <w:pPr>
        <w:jc w:val="both"/>
        <w:rPr>
          <w:rFonts w:ascii="Times New Roman" w:hAnsi="Times New Roman" w:cs="Times New Roman"/>
          <w:bCs/>
          <w:sz w:val="24"/>
          <w:szCs w:val="24"/>
        </w:rPr>
      </w:pPr>
      <w:r w:rsidRPr="00944EE4">
        <w:rPr>
          <w:rFonts w:ascii="Times New Roman" w:hAnsi="Times New Roman" w:cs="Times New Roman"/>
          <w:bCs/>
          <w:sz w:val="24"/>
          <w:szCs w:val="24"/>
        </w:rPr>
        <w:t>L</w:t>
      </w:r>
      <w:r w:rsidR="00CE25B2" w:rsidRPr="00944EE4">
        <w:rPr>
          <w:rFonts w:ascii="Times New Roman" w:hAnsi="Times New Roman" w:cs="Times New Roman"/>
          <w:bCs/>
          <w:sz w:val="24"/>
          <w:szCs w:val="24"/>
        </w:rPr>
        <w:t xml:space="preserve">’évaluation </w:t>
      </w:r>
      <w:r w:rsidRPr="00944EE4">
        <w:rPr>
          <w:rFonts w:ascii="Times New Roman" w:hAnsi="Times New Roman" w:cs="Times New Roman"/>
          <w:bCs/>
          <w:sz w:val="24"/>
          <w:szCs w:val="24"/>
        </w:rPr>
        <w:t xml:space="preserve">à mi-parcours </w:t>
      </w:r>
      <w:r w:rsidR="00CE25B2" w:rsidRPr="00944EE4">
        <w:rPr>
          <w:rFonts w:ascii="Times New Roman" w:hAnsi="Times New Roman" w:cs="Times New Roman"/>
          <w:bCs/>
          <w:sz w:val="24"/>
          <w:szCs w:val="24"/>
        </w:rPr>
        <w:t xml:space="preserve">a fait ressortir un certain nombre </w:t>
      </w:r>
      <w:r w:rsidR="00A2175A" w:rsidRPr="00944EE4">
        <w:rPr>
          <w:rFonts w:ascii="Times New Roman" w:hAnsi="Times New Roman" w:cs="Times New Roman"/>
          <w:bCs/>
          <w:sz w:val="24"/>
          <w:szCs w:val="24"/>
        </w:rPr>
        <w:t xml:space="preserve">d’elements à prendre en compte pour </w:t>
      </w:r>
      <w:r w:rsidR="00CE25B2" w:rsidRPr="00944EE4">
        <w:rPr>
          <w:rFonts w:ascii="Times New Roman" w:hAnsi="Times New Roman" w:cs="Times New Roman"/>
          <w:bCs/>
          <w:sz w:val="24"/>
          <w:szCs w:val="24"/>
        </w:rPr>
        <w:t>la suite de la mise en œuvre du programme</w:t>
      </w:r>
      <w:r w:rsidR="00120DEA">
        <w:rPr>
          <w:rFonts w:ascii="Times New Roman" w:hAnsi="Times New Roman" w:cs="Times New Roman"/>
          <w:bCs/>
          <w:sz w:val="24"/>
          <w:szCs w:val="24"/>
        </w:rPr>
        <w:t>. Il s’agit notamment du</w:t>
      </w:r>
      <w:r w:rsidR="00CE25B2" w:rsidRPr="00944EE4">
        <w:rPr>
          <w:rFonts w:ascii="Times New Roman" w:hAnsi="Times New Roman" w:cs="Times New Roman"/>
          <w:bCs/>
          <w:sz w:val="24"/>
          <w:szCs w:val="24"/>
        </w:rPr>
        <w:t xml:space="preserve"> Cadre Stratégique pour la Relance Economique et le Développement Durable (</w:t>
      </w:r>
      <w:r w:rsidRPr="00944EE4">
        <w:rPr>
          <w:rFonts w:ascii="Times New Roman" w:hAnsi="Times New Roman" w:cs="Times New Roman"/>
          <w:bCs/>
          <w:sz w:val="24"/>
          <w:szCs w:val="24"/>
        </w:rPr>
        <w:t>CREDD</w:t>
      </w:r>
      <w:r w:rsidR="00A2175A" w:rsidRPr="00944EE4">
        <w:rPr>
          <w:rFonts w:ascii="Times New Roman" w:hAnsi="Times New Roman" w:cs="Times New Roman"/>
          <w:bCs/>
          <w:sz w:val="24"/>
          <w:szCs w:val="24"/>
        </w:rPr>
        <w:t>)</w:t>
      </w:r>
      <w:r w:rsidRPr="00944EE4">
        <w:rPr>
          <w:rFonts w:ascii="Times New Roman" w:hAnsi="Times New Roman" w:cs="Times New Roman"/>
          <w:bCs/>
          <w:sz w:val="24"/>
          <w:szCs w:val="24"/>
        </w:rPr>
        <w:t xml:space="preserve"> comme document national de référence pour l’alignement des stratégies de coopération des pa</w:t>
      </w:r>
      <w:r w:rsidR="00120DEA">
        <w:rPr>
          <w:rFonts w:ascii="Times New Roman" w:hAnsi="Times New Roman" w:cs="Times New Roman"/>
          <w:bCs/>
          <w:sz w:val="24"/>
          <w:szCs w:val="24"/>
        </w:rPr>
        <w:t xml:space="preserve">rtenaires sur la perioide 2016-2018. </w:t>
      </w:r>
      <w:r w:rsidR="00120DEA" w:rsidRPr="00120DEA">
        <w:rPr>
          <w:rFonts w:ascii="Times New Roman" w:hAnsi="Times New Roman" w:cs="Times New Roman"/>
          <w:bCs/>
          <w:sz w:val="24"/>
          <w:szCs w:val="24"/>
        </w:rPr>
        <w:t xml:space="preserve">L’elaboration de CREDD a été une opportunite pour un ordonnancement national complet des ODD, comme suit : Priorité nationale 1 : ODD1 : Eliminer la pauvreté la pauvreté sous toutes ses formes et partout dans le monde ; Priorité nationale 2 : ODD10 : Réduire les inégalités entre les pays et en leur sein ; Priorité nationale 3 : ODD16 : Promouvoir l’avènement de sociétés pacifiques et ouvertes aux fins du développement durable, assurer à tous l’accès à la justice et mettre en place, à tous les niveaux, des institutions efficaces, responsables et ouvertes ; Priorité nationale 4 : ODD2 : Eliminer la faim, assurer la sécurité alimentaire, améliorer la nutrition et promouvoir l’agriculture durable ; Priorité nationale 5 : ODD3 : Donner aux individus les moyens de vivre une vie saine et promouvoir le bien-être de tous à tous les âges ; Priorité nationale 6 : ODD4 : Veiller à ce que tous puissent suivre une éducation de qualité dans des conditions d’équité et promouvoir les opportunités d’apprentissage tout au long de la vie ; Priorité nationale 7 : ODD5 : Réaliser l’égalité des sexes et autonomiser toutes les femmes et les filles ; Priorité nationale 8 : ODD6 : Garantir l’accès de tous à des services d’approvisionnement en eau et d’assainissement et assurer une gestion durable des services en eau ; Priorité nationale 9 : ODD7 : Garantir l’accès de tous à des services énergétiques fiables, durables et modernes à un coût abordable ; Priorité nationale 10/ODD8 : Promouvoir une croissance économique soutenue, partagée et durable, le plein emploi productif et un travail décent pour tous ; Priorité nationale 11/ODD9 : Mettre en place une infrastructure résiliente, promouvoir une industrialisation soutenable qui profite à tous et encourager l’innovation ; Priorité nationale 12/ODD11 : Faire en sorte que les villes et les établissements humains soient ouverts à tous, sûrs, résilients et soutenables ; </w:t>
      </w:r>
      <w:r w:rsidR="00120DEA" w:rsidRPr="00120DEA">
        <w:rPr>
          <w:rFonts w:ascii="Times New Roman" w:hAnsi="Times New Roman" w:cs="Times New Roman"/>
          <w:bCs/>
          <w:sz w:val="24"/>
          <w:szCs w:val="24"/>
        </w:rPr>
        <w:lastRenderedPageBreak/>
        <w:t>Priorité nationale 13/ODD12 : Instaurer des modes de consommation et de production soutenables ; Priorité nationale 14/ODD13 : Prendre d’urgence des mesures pour lutter contre les changements climatiques et leurs répercussions ; Priorité nationale 15/ODD14 : Conserver et exploiter de manière soutenable les océans, les mers et les ressources marines aux fins du développement durable ; Priorité nationale 16/ODD15 : Préserver et restaurer les écosystèmes terrestres, en veillant à les exploiter de façon durable, gérer durablement les forêts, lutter contre la désertification, enrayer et inverser le processus de dégradation des terres et mettre fin à l’appauvrissement de la biodiversité ; Priorité nationale 17/ODD17 : Revitaliser le partenariat mondial au service du développement soutenable et renforcer les moyens de ce partenariat.</w:t>
      </w:r>
    </w:p>
    <w:p w14:paraId="4413B2AE" w14:textId="77777777" w:rsidR="00120DEA" w:rsidRPr="00944EE4" w:rsidRDefault="00120DEA" w:rsidP="00120DEA">
      <w:pPr>
        <w:rPr>
          <w:rFonts w:ascii="Times New Roman" w:hAnsi="Times New Roman" w:cs="Times New Roman"/>
          <w:bCs/>
          <w:sz w:val="24"/>
          <w:szCs w:val="24"/>
          <w:highlight w:val="yellow"/>
        </w:rPr>
      </w:pPr>
    </w:p>
    <w:p w14:paraId="42BA9B9F" w14:textId="11AE5C1A" w:rsidR="00120DEA" w:rsidRPr="00120DEA" w:rsidRDefault="00120DEA" w:rsidP="00120DEA">
      <w:pPr>
        <w:jc w:val="both"/>
        <w:rPr>
          <w:rFonts w:ascii="Times New Roman" w:hAnsi="Times New Roman" w:cs="Times New Roman"/>
          <w:bCs/>
          <w:sz w:val="24"/>
          <w:szCs w:val="24"/>
        </w:rPr>
      </w:pPr>
      <w:r w:rsidRPr="00120DEA">
        <w:rPr>
          <w:rFonts w:ascii="Times New Roman" w:hAnsi="Times New Roman" w:cs="Times New Roman"/>
          <w:bCs/>
          <w:sz w:val="24"/>
          <w:szCs w:val="24"/>
        </w:rPr>
        <w:t>En termes d’organisation, au-delà de la priorisation des contenus, le pays a aussi procédé au regroupement des Objectifs de Développement Durables en cinq centres de signification stratégique : (i) Capital humain (ODD 3, 4, 5,10) ; (ii) Croissance et lutte contre la pauvreté (ODD 1, 2, 8 et 9)</w:t>
      </w:r>
      <w:r w:rsidR="004C33CA">
        <w:rPr>
          <w:rFonts w:ascii="Times New Roman" w:hAnsi="Times New Roman" w:cs="Times New Roman"/>
          <w:bCs/>
          <w:sz w:val="24"/>
          <w:szCs w:val="24"/>
        </w:rPr>
        <w:t xml:space="preserve"> </w:t>
      </w:r>
      <w:r w:rsidRPr="00120DEA">
        <w:rPr>
          <w:rFonts w:ascii="Times New Roman" w:hAnsi="Times New Roman" w:cs="Times New Roman"/>
          <w:bCs/>
          <w:sz w:val="24"/>
          <w:szCs w:val="24"/>
        </w:rPr>
        <w:t xml:space="preserve">; (iii) Environnement et Ressources naturelles (ODD 6, 7, 11, 12,13 et 15) ; (iv) Gouvernance (ODD 16) ; et (v) Partenariat et Mobilisation de ressources (ODD 17). </w:t>
      </w:r>
    </w:p>
    <w:p w14:paraId="3D2CAD81" w14:textId="3DCC7ACD" w:rsidR="00120DEA" w:rsidRDefault="00B50E99" w:rsidP="00B50E99">
      <w:pPr>
        <w:jc w:val="both"/>
        <w:rPr>
          <w:rFonts w:ascii="Times New Roman" w:hAnsi="Times New Roman" w:cs="Times New Roman"/>
          <w:bCs/>
          <w:sz w:val="24"/>
          <w:szCs w:val="24"/>
        </w:rPr>
      </w:pPr>
      <w:r w:rsidRPr="00944EE4">
        <w:rPr>
          <w:rFonts w:ascii="Times New Roman" w:hAnsi="Times New Roman" w:cs="Times New Roman"/>
          <w:bCs/>
          <w:sz w:val="24"/>
          <w:szCs w:val="24"/>
        </w:rPr>
        <w:t xml:space="preserve"> </w:t>
      </w:r>
    </w:p>
    <w:p w14:paraId="1DC0426B" w14:textId="37FD452D" w:rsidR="00B50E99" w:rsidRDefault="00391D0D" w:rsidP="00B50E99">
      <w:pPr>
        <w:jc w:val="both"/>
        <w:rPr>
          <w:rFonts w:ascii="Times New Roman" w:hAnsi="Times New Roman" w:cs="Times New Roman"/>
          <w:bCs/>
          <w:sz w:val="24"/>
          <w:szCs w:val="24"/>
        </w:rPr>
      </w:pPr>
      <w:r>
        <w:rPr>
          <w:rFonts w:ascii="Times New Roman" w:hAnsi="Times New Roman" w:cs="Times New Roman"/>
          <w:bCs/>
          <w:sz w:val="24"/>
          <w:szCs w:val="24"/>
        </w:rPr>
        <w:t>On note aussi l</w:t>
      </w:r>
      <w:r w:rsidR="00CE25B2" w:rsidRPr="00944EE4">
        <w:rPr>
          <w:rFonts w:ascii="Times New Roman" w:hAnsi="Times New Roman" w:cs="Times New Roman"/>
          <w:bCs/>
          <w:sz w:val="24"/>
          <w:szCs w:val="24"/>
        </w:rPr>
        <w:t xml:space="preserve">’existence d’une </w:t>
      </w:r>
      <w:r w:rsidR="00B50E99" w:rsidRPr="00944EE4">
        <w:rPr>
          <w:rFonts w:ascii="Times New Roman" w:hAnsi="Times New Roman" w:cs="Times New Roman"/>
          <w:bCs/>
          <w:sz w:val="24"/>
          <w:szCs w:val="24"/>
        </w:rPr>
        <w:t>Stratégie Spéciale pour le Développement des Régions du Nord</w:t>
      </w:r>
      <w:r w:rsidR="00CE25B2" w:rsidRPr="00944EE4">
        <w:rPr>
          <w:rFonts w:ascii="Times New Roman" w:hAnsi="Times New Roman" w:cs="Times New Roman"/>
          <w:bCs/>
          <w:sz w:val="24"/>
          <w:szCs w:val="24"/>
        </w:rPr>
        <w:t xml:space="preserve"> comme canal de mise e</w:t>
      </w:r>
      <w:r w:rsidR="00616BD7" w:rsidRPr="00944EE4">
        <w:rPr>
          <w:rFonts w:ascii="Times New Roman" w:hAnsi="Times New Roman" w:cs="Times New Roman"/>
          <w:bCs/>
          <w:sz w:val="24"/>
          <w:szCs w:val="24"/>
        </w:rPr>
        <w:t xml:space="preserve">n œuvre des dimensions stratégiques de l’Accord de paix d’Alger </w:t>
      </w:r>
      <w:r w:rsidR="00B50E99" w:rsidRPr="00944EE4">
        <w:rPr>
          <w:rFonts w:ascii="Times New Roman" w:hAnsi="Times New Roman" w:cs="Times New Roman"/>
          <w:bCs/>
          <w:sz w:val="24"/>
          <w:szCs w:val="24"/>
        </w:rPr>
        <w:t xml:space="preserve">; l’émergence de nouvelles approches régionales liant sécurité et développement </w:t>
      </w:r>
      <w:r>
        <w:rPr>
          <w:rFonts w:ascii="Times New Roman" w:hAnsi="Times New Roman" w:cs="Times New Roman"/>
          <w:bCs/>
          <w:sz w:val="24"/>
          <w:szCs w:val="24"/>
        </w:rPr>
        <w:t>(</w:t>
      </w:r>
      <w:r w:rsidR="00B50E99" w:rsidRPr="00944EE4">
        <w:rPr>
          <w:rFonts w:ascii="Times New Roman" w:hAnsi="Times New Roman" w:cs="Times New Roman"/>
          <w:bCs/>
          <w:sz w:val="24"/>
          <w:szCs w:val="24"/>
        </w:rPr>
        <w:t>Stratégie des Nations Unies pour le Sahel &amp; Groupe G5 Sahel</w:t>
      </w:r>
      <w:r>
        <w:rPr>
          <w:rFonts w:ascii="Times New Roman" w:hAnsi="Times New Roman" w:cs="Times New Roman"/>
          <w:bCs/>
          <w:sz w:val="24"/>
          <w:szCs w:val="24"/>
        </w:rPr>
        <w:t>)</w:t>
      </w:r>
      <w:r w:rsidR="00616BD7" w:rsidRPr="00944EE4">
        <w:rPr>
          <w:rFonts w:ascii="Times New Roman" w:hAnsi="Times New Roman" w:cs="Times New Roman"/>
          <w:bCs/>
          <w:sz w:val="24"/>
          <w:szCs w:val="24"/>
        </w:rPr>
        <w:t> ; la R</w:t>
      </w:r>
      <w:r w:rsidR="00A2175A" w:rsidRPr="00944EE4">
        <w:rPr>
          <w:rFonts w:ascii="Times New Roman" w:hAnsi="Times New Roman" w:cs="Times New Roman"/>
          <w:bCs/>
          <w:sz w:val="24"/>
          <w:szCs w:val="24"/>
        </w:rPr>
        <w:t>éforme</w:t>
      </w:r>
      <w:r w:rsidR="00B50E99" w:rsidRPr="00944EE4">
        <w:rPr>
          <w:rFonts w:ascii="Times New Roman" w:hAnsi="Times New Roman" w:cs="Times New Roman"/>
          <w:bCs/>
          <w:sz w:val="24"/>
          <w:szCs w:val="24"/>
        </w:rPr>
        <w:t xml:space="preserve"> en cours </w:t>
      </w:r>
      <w:r w:rsidR="00A2175A" w:rsidRPr="00944EE4">
        <w:rPr>
          <w:rFonts w:ascii="Times New Roman" w:hAnsi="Times New Roman" w:cs="Times New Roman"/>
          <w:bCs/>
          <w:sz w:val="24"/>
          <w:szCs w:val="24"/>
        </w:rPr>
        <w:t>du système des Nations Unies avec ses implications</w:t>
      </w:r>
      <w:r w:rsidR="00B50E99" w:rsidRPr="00944EE4">
        <w:rPr>
          <w:rFonts w:ascii="Times New Roman" w:hAnsi="Times New Roman" w:cs="Times New Roman"/>
          <w:bCs/>
          <w:sz w:val="24"/>
          <w:szCs w:val="24"/>
        </w:rPr>
        <w:t xml:space="preserve"> </w:t>
      </w:r>
      <w:r w:rsidR="00A2175A" w:rsidRPr="00944EE4">
        <w:rPr>
          <w:rFonts w:ascii="Times New Roman" w:hAnsi="Times New Roman" w:cs="Times New Roman"/>
          <w:bCs/>
          <w:sz w:val="24"/>
          <w:szCs w:val="24"/>
        </w:rPr>
        <w:t xml:space="preserve">sur la </w:t>
      </w:r>
      <w:r w:rsidR="00B50E99" w:rsidRPr="00944EE4">
        <w:rPr>
          <w:rFonts w:ascii="Times New Roman" w:hAnsi="Times New Roman" w:cs="Times New Roman"/>
          <w:bCs/>
          <w:sz w:val="24"/>
          <w:szCs w:val="24"/>
        </w:rPr>
        <w:t>coordination résidente ; la Stratégie de transition de la MI</w:t>
      </w:r>
      <w:r w:rsidR="00A2175A" w:rsidRPr="00944EE4">
        <w:rPr>
          <w:rFonts w:ascii="Times New Roman" w:hAnsi="Times New Roman" w:cs="Times New Roman"/>
          <w:bCs/>
          <w:sz w:val="24"/>
          <w:szCs w:val="24"/>
        </w:rPr>
        <w:t>NUSMA, elle aussi en gestation.</w:t>
      </w:r>
      <w:r w:rsidR="00B50E99" w:rsidRPr="00944EE4">
        <w:rPr>
          <w:rFonts w:ascii="Times New Roman" w:hAnsi="Times New Roman" w:cs="Times New Roman"/>
          <w:bCs/>
          <w:sz w:val="24"/>
          <w:szCs w:val="24"/>
        </w:rPr>
        <w:t xml:space="preserve"> </w:t>
      </w:r>
    </w:p>
    <w:p w14:paraId="73C0B1D9" w14:textId="77777777" w:rsidR="00616BD7" w:rsidRPr="00944EE4" w:rsidRDefault="00616BD7" w:rsidP="00B50E99">
      <w:pPr>
        <w:jc w:val="both"/>
        <w:rPr>
          <w:rFonts w:ascii="Times New Roman" w:hAnsi="Times New Roman" w:cs="Times New Roman"/>
          <w:bCs/>
          <w:sz w:val="24"/>
          <w:szCs w:val="24"/>
        </w:rPr>
      </w:pPr>
    </w:p>
    <w:p w14:paraId="4273CDC3" w14:textId="0AE1AC01" w:rsidR="001F588B" w:rsidRPr="00944EE4" w:rsidRDefault="001F588B" w:rsidP="001F588B">
      <w:pPr>
        <w:jc w:val="both"/>
        <w:rPr>
          <w:rFonts w:ascii="Times New Roman" w:hAnsi="Times New Roman" w:cs="Times New Roman"/>
          <w:bCs/>
          <w:sz w:val="24"/>
          <w:szCs w:val="24"/>
        </w:rPr>
      </w:pPr>
      <w:r w:rsidRPr="00944EE4">
        <w:rPr>
          <w:rFonts w:ascii="Times New Roman" w:hAnsi="Times New Roman" w:cs="Times New Roman"/>
          <w:bCs/>
          <w:sz w:val="24"/>
          <w:szCs w:val="24"/>
        </w:rPr>
        <w:t xml:space="preserve">La revue de la matrice des résultats et des ressources montre que le programme a techniquement les moyens de mettre de l’emphase sur chacune de ces dimensions, sans qu’il soit pertinent de créer ni de nouveaux effets, ni de nouveaux produits. La matrice d’intégration de ces domaines de focalisation, qui constitue la dernière annexe du nouveau document de programme, montre précisément dans quels effets et produits s’ancre chaque dimension. C’est donc la programmation opérationnelle qui permet </w:t>
      </w:r>
      <w:r w:rsidR="007D7F17" w:rsidRPr="00944EE4">
        <w:rPr>
          <w:rFonts w:ascii="Times New Roman" w:hAnsi="Times New Roman" w:cs="Times New Roman"/>
          <w:bCs/>
          <w:sz w:val="24"/>
          <w:szCs w:val="24"/>
        </w:rPr>
        <w:t xml:space="preserve">de </w:t>
      </w:r>
      <w:r w:rsidRPr="00944EE4">
        <w:rPr>
          <w:rFonts w:ascii="Times New Roman" w:hAnsi="Times New Roman" w:cs="Times New Roman"/>
          <w:bCs/>
          <w:sz w:val="24"/>
          <w:szCs w:val="24"/>
        </w:rPr>
        <w:t xml:space="preserve">reformuler des activités capables de prendre </w:t>
      </w:r>
      <w:r w:rsidR="00D64D0D" w:rsidRPr="00944EE4">
        <w:rPr>
          <w:rFonts w:ascii="Times New Roman" w:hAnsi="Times New Roman" w:cs="Times New Roman"/>
          <w:bCs/>
          <w:sz w:val="24"/>
          <w:szCs w:val="24"/>
        </w:rPr>
        <w:t>en charges lesdites dimensions.</w:t>
      </w:r>
      <w:r w:rsidR="007D7F17" w:rsidRPr="00944EE4">
        <w:rPr>
          <w:rFonts w:ascii="Times New Roman" w:hAnsi="Times New Roman" w:cs="Times New Roman"/>
          <w:bCs/>
          <w:sz w:val="24"/>
          <w:szCs w:val="24"/>
        </w:rPr>
        <w:t xml:space="preserve"> En l’absence d’Outcomes/Effets </w:t>
      </w:r>
      <w:r w:rsidRPr="00944EE4">
        <w:rPr>
          <w:rFonts w:ascii="Times New Roman" w:hAnsi="Times New Roman" w:cs="Times New Roman"/>
          <w:bCs/>
          <w:sz w:val="24"/>
          <w:szCs w:val="24"/>
        </w:rPr>
        <w:t>et d’Outputs</w:t>
      </w:r>
      <w:r w:rsidR="007D7F17" w:rsidRPr="00944EE4">
        <w:rPr>
          <w:rFonts w:ascii="Times New Roman" w:hAnsi="Times New Roman" w:cs="Times New Roman"/>
          <w:bCs/>
          <w:sz w:val="24"/>
          <w:szCs w:val="24"/>
        </w:rPr>
        <w:t>/produits</w:t>
      </w:r>
      <w:r w:rsidRPr="00944EE4">
        <w:rPr>
          <w:rFonts w:ascii="Times New Roman" w:hAnsi="Times New Roman" w:cs="Times New Roman"/>
          <w:bCs/>
          <w:sz w:val="24"/>
          <w:szCs w:val="24"/>
        </w:rPr>
        <w:t xml:space="preserve"> nouveaux, seuls les indicateurs sont reformulés pour certains pour mieux refléter les résultats correspondants, tandis que l’ensemble est fortement restructuré de sorte à ne garder, au plus, que trois indicateurs par effet ou produit. Il est également inséré dans la nouvelle matrice une véritable fiche technique précisant pour chaque indicateur les paramètres clés suivant :</w:t>
      </w:r>
    </w:p>
    <w:p w14:paraId="6FA99C76" w14:textId="77777777" w:rsidR="001F588B" w:rsidRPr="00944EE4" w:rsidRDefault="001F588B" w:rsidP="00A701F5">
      <w:pPr>
        <w:pStyle w:val="Paragraphedeliste"/>
        <w:numPr>
          <w:ilvl w:val="0"/>
          <w:numId w:val="44"/>
        </w:numPr>
        <w:jc w:val="both"/>
        <w:rPr>
          <w:rFonts w:ascii="Times New Roman" w:hAnsi="Times New Roman" w:cs="Times New Roman"/>
          <w:bCs/>
          <w:sz w:val="24"/>
          <w:szCs w:val="24"/>
        </w:rPr>
      </w:pPr>
      <w:r w:rsidRPr="00944EE4">
        <w:rPr>
          <w:rFonts w:ascii="Times New Roman" w:hAnsi="Times New Roman" w:cs="Times New Roman"/>
          <w:bCs/>
          <w:sz w:val="24"/>
          <w:szCs w:val="24"/>
        </w:rPr>
        <w:t>Mode de calcul ou de détermination</w:t>
      </w:r>
    </w:p>
    <w:p w14:paraId="58E446EA" w14:textId="77777777" w:rsidR="001F588B" w:rsidRPr="00944EE4" w:rsidRDefault="001F588B" w:rsidP="00A701F5">
      <w:pPr>
        <w:pStyle w:val="Paragraphedeliste"/>
        <w:numPr>
          <w:ilvl w:val="0"/>
          <w:numId w:val="44"/>
        </w:numPr>
        <w:jc w:val="both"/>
        <w:rPr>
          <w:rFonts w:ascii="Times New Roman" w:hAnsi="Times New Roman" w:cs="Times New Roman"/>
          <w:bCs/>
          <w:sz w:val="24"/>
          <w:szCs w:val="24"/>
        </w:rPr>
      </w:pPr>
      <w:r w:rsidRPr="00944EE4">
        <w:rPr>
          <w:rFonts w:ascii="Times New Roman" w:hAnsi="Times New Roman" w:cs="Times New Roman"/>
          <w:bCs/>
          <w:sz w:val="24"/>
          <w:szCs w:val="24"/>
        </w:rPr>
        <w:t>Sources de données et moyens de vérification</w:t>
      </w:r>
    </w:p>
    <w:p w14:paraId="48815626" w14:textId="77777777" w:rsidR="001F588B" w:rsidRPr="00944EE4" w:rsidRDefault="001F588B" w:rsidP="00A701F5">
      <w:pPr>
        <w:pStyle w:val="Paragraphedeliste"/>
        <w:numPr>
          <w:ilvl w:val="0"/>
          <w:numId w:val="44"/>
        </w:numPr>
        <w:jc w:val="both"/>
        <w:rPr>
          <w:rFonts w:ascii="Times New Roman" w:hAnsi="Times New Roman" w:cs="Times New Roman"/>
          <w:bCs/>
          <w:sz w:val="24"/>
          <w:szCs w:val="24"/>
        </w:rPr>
      </w:pPr>
      <w:r w:rsidRPr="00944EE4">
        <w:rPr>
          <w:rFonts w:ascii="Times New Roman" w:hAnsi="Times New Roman" w:cs="Times New Roman"/>
          <w:bCs/>
          <w:sz w:val="24"/>
          <w:szCs w:val="24"/>
        </w:rPr>
        <w:t>Périodicité de renseignement</w:t>
      </w:r>
    </w:p>
    <w:p w14:paraId="24D2D329" w14:textId="75224F6D" w:rsidR="001F588B" w:rsidRPr="00944EE4" w:rsidRDefault="001F588B" w:rsidP="00A701F5">
      <w:pPr>
        <w:pStyle w:val="Paragraphedeliste"/>
        <w:numPr>
          <w:ilvl w:val="0"/>
          <w:numId w:val="44"/>
        </w:numPr>
        <w:jc w:val="both"/>
        <w:rPr>
          <w:rFonts w:ascii="Times New Roman" w:hAnsi="Times New Roman" w:cs="Times New Roman"/>
          <w:bCs/>
          <w:sz w:val="24"/>
          <w:szCs w:val="24"/>
        </w:rPr>
      </w:pPr>
      <w:r w:rsidRPr="00944EE4">
        <w:rPr>
          <w:rFonts w:ascii="Times New Roman" w:hAnsi="Times New Roman" w:cs="Times New Roman"/>
          <w:bCs/>
          <w:sz w:val="24"/>
          <w:szCs w:val="24"/>
        </w:rPr>
        <w:t>Maître d’œuvre</w:t>
      </w:r>
      <w:r w:rsidR="007D7F17" w:rsidRPr="00944EE4">
        <w:rPr>
          <w:rFonts w:ascii="Times New Roman" w:hAnsi="Times New Roman" w:cs="Times New Roman"/>
          <w:bCs/>
          <w:sz w:val="24"/>
          <w:szCs w:val="24"/>
        </w:rPr>
        <w:t>.</w:t>
      </w:r>
    </w:p>
    <w:p w14:paraId="46FBA030" w14:textId="77777777" w:rsidR="006749DE" w:rsidRPr="00944EE4" w:rsidRDefault="006749DE" w:rsidP="006749DE">
      <w:pPr>
        <w:jc w:val="both"/>
        <w:rPr>
          <w:rFonts w:ascii="Times New Roman" w:hAnsi="Times New Roman" w:cs="Times New Roman"/>
          <w:sz w:val="24"/>
          <w:szCs w:val="24"/>
        </w:rPr>
      </w:pPr>
    </w:p>
    <w:p w14:paraId="3E3D388A" w14:textId="6544BD66" w:rsidR="001F588B" w:rsidRPr="00944EE4" w:rsidRDefault="006749DE" w:rsidP="006749DE">
      <w:pPr>
        <w:jc w:val="both"/>
        <w:rPr>
          <w:rFonts w:ascii="Times New Roman" w:hAnsi="Times New Roman" w:cs="Times New Roman"/>
          <w:sz w:val="24"/>
          <w:szCs w:val="24"/>
        </w:rPr>
      </w:pPr>
      <w:r w:rsidRPr="00944EE4">
        <w:rPr>
          <w:rFonts w:ascii="Times New Roman" w:hAnsi="Times New Roman" w:cs="Times New Roman"/>
          <w:sz w:val="24"/>
          <w:szCs w:val="24"/>
        </w:rPr>
        <w:t>Enfin un septième chapitre d’analyse de risque est inséré dans le document. Il développe les risques stratégiques qui pèsent sur la mise en œuvre de la seconde moit</w:t>
      </w:r>
      <w:r w:rsidR="007D7F17" w:rsidRPr="00944EE4">
        <w:rPr>
          <w:rFonts w:ascii="Times New Roman" w:hAnsi="Times New Roman" w:cs="Times New Roman"/>
          <w:sz w:val="24"/>
          <w:szCs w:val="24"/>
        </w:rPr>
        <w:t>ié du cycle de programmation. Au</w:t>
      </w:r>
      <w:r w:rsidRPr="00944EE4">
        <w:rPr>
          <w:rFonts w:ascii="Times New Roman" w:hAnsi="Times New Roman" w:cs="Times New Roman"/>
          <w:sz w:val="24"/>
          <w:szCs w:val="24"/>
        </w:rPr>
        <w:t xml:space="preserve"> regard de chaque risque identifié</w:t>
      </w:r>
      <w:r w:rsidR="007D7F17" w:rsidRPr="00944EE4">
        <w:rPr>
          <w:rFonts w:ascii="Times New Roman" w:hAnsi="Times New Roman" w:cs="Times New Roman"/>
          <w:sz w:val="24"/>
          <w:szCs w:val="24"/>
        </w:rPr>
        <w:t>,</w:t>
      </w:r>
      <w:r w:rsidRPr="00944EE4">
        <w:rPr>
          <w:rFonts w:ascii="Times New Roman" w:hAnsi="Times New Roman" w:cs="Times New Roman"/>
          <w:sz w:val="24"/>
          <w:szCs w:val="24"/>
        </w:rPr>
        <w:t xml:space="preserve"> les mesures de mitigation po</w:t>
      </w:r>
      <w:r w:rsidR="007D7F17" w:rsidRPr="00944EE4">
        <w:rPr>
          <w:rFonts w:ascii="Times New Roman" w:hAnsi="Times New Roman" w:cs="Times New Roman"/>
          <w:sz w:val="24"/>
          <w:szCs w:val="24"/>
        </w:rPr>
        <w:t>s</w:t>
      </w:r>
      <w:r w:rsidRPr="00944EE4">
        <w:rPr>
          <w:rFonts w:ascii="Times New Roman" w:hAnsi="Times New Roman" w:cs="Times New Roman"/>
          <w:sz w:val="24"/>
          <w:szCs w:val="24"/>
        </w:rPr>
        <w:t>sibles sont envisagées. Les risques spécifiques liés aux produits sont laissés dans les matr</w:t>
      </w:r>
      <w:r w:rsidR="007D7F17" w:rsidRPr="00944EE4">
        <w:rPr>
          <w:rFonts w:ascii="Times New Roman" w:hAnsi="Times New Roman" w:cs="Times New Roman"/>
          <w:sz w:val="24"/>
          <w:szCs w:val="24"/>
        </w:rPr>
        <w:t>ic</w:t>
      </w:r>
      <w:r w:rsidRPr="00944EE4">
        <w:rPr>
          <w:rFonts w:ascii="Times New Roman" w:hAnsi="Times New Roman" w:cs="Times New Roman"/>
          <w:sz w:val="24"/>
          <w:szCs w:val="24"/>
        </w:rPr>
        <w:t xml:space="preserve">es en annexe.  </w:t>
      </w:r>
    </w:p>
    <w:p w14:paraId="4DAEDD93" w14:textId="77777777" w:rsidR="00FB1DBD" w:rsidRPr="00944EE4" w:rsidRDefault="00FB1DBD" w:rsidP="008C0FF3">
      <w:pPr>
        <w:jc w:val="both"/>
        <w:rPr>
          <w:rFonts w:ascii="Times New Roman" w:hAnsi="Times New Roman" w:cs="Times New Roman"/>
          <w:bCs/>
          <w:sz w:val="24"/>
          <w:szCs w:val="24"/>
        </w:rPr>
      </w:pPr>
    </w:p>
    <w:p w14:paraId="68C82559" w14:textId="77777777" w:rsidR="00102785" w:rsidRDefault="00102785" w:rsidP="008B72F6">
      <w:pPr>
        <w:pStyle w:val="Titre1"/>
        <w:rPr>
          <w:rFonts w:ascii="Times New Roman" w:hAnsi="Times New Roman" w:cs="Times New Roman"/>
          <w:sz w:val="24"/>
          <w:szCs w:val="24"/>
          <w:u w:val="single"/>
        </w:rPr>
      </w:pPr>
      <w:bookmarkStart w:id="7" w:name="_Toc509228607"/>
    </w:p>
    <w:p w14:paraId="1E76FFE1" w14:textId="2F871794" w:rsidR="007C6BB8" w:rsidRDefault="00880F37" w:rsidP="008B72F6">
      <w:pPr>
        <w:pStyle w:val="Titre1"/>
        <w:rPr>
          <w:rFonts w:ascii="Times New Roman" w:hAnsi="Times New Roman" w:cs="Times New Roman"/>
          <w:sz w:val="24"/>
          <w:szCs w:val="24"/>
        </w:rPr>
      </w:pPr>
      <w:r w:rsidRPr="00944EE4">
        <w:rPr>
          <w:rFonts w:ascii="Times New Roman" w:hAnsi="Times New Roman" w:cs="Times New Roman"/>
          <w:sz w:val="24"/>
          <w:szCs w:val="24"/>
          <w:u w:val="single"/>
        </w:rPr>
        <w:t>PARTIE II</w:t>
      </w:r>
      <w:r w:rsidR="00102785">
        <w:rPr>
          <w:rFonts w:ascii="Times New Roman" w:hAnsi="Times New Roman" w:cs="Times New Roman"/>
          <w:sz w:val="24"/>
          <w:szCs w:val="24"/>
        </w:rPr>
        <w:t> : LES</w:t>
      </w:r>
      <w:r w:rsidRPr="00944EE4">
        <w:rPr>
          <w:rFonts w:ascii="Times New Roman" w:hAnsi="Times New Roman" w:cs="Times New Roman"/>
          <w:sz w:val="24"/>
          <w:szCs w:val="24"/>
        </w:rPr>
        <w:t xml:space="preserve"> PILIERS DE L’UNDAF+</w:t>
      </w:r>
      <w:bookmarkEnd w:id="7"/>
    </w:p>
    <w:p w14:paraId="56431CF9" w14:textId="5C84CABE" w:rsidR="00870B34" w:rsidRPr="00944EE4" w:rsidRDefault="00870B34" w:rsidP="00870B34">
      <w:pPr>
        <w:autoSpaceDE w:val="0"/>
        <w:autoSpaceDN w:val="0"/>
        <w:adjustRightInd w:val="0"/>
        <w:rPr>
          <w:rFonts w:ascii="Times New Roman" w:hAnsi="Times New Roman" w:cs="Times New Roman"/>
          <w:color w:val="0070C0"/>
          <w:sz w:val="24"/>
          <w:szCs w:val="24"/>
        </w:rPr>
      </w:pPr>
    </w:p>
    <w:p w14:paraId="26D5C5EA" w14:textId="698B61C8" w:rsidR="00925FBA" w:rsidRPr="00944EE4" w:rsidRDefault="00925FBA" w:rsidP="00925FBA">
      <w:pPr>
        <w:jc w:val="both"/>
        <w:rPr>
          <w:rFonts w:ascii="Times New Roman" w:hAnsi="Times New Roman" w:cs="Times New Roman"/>
          <w:sz w:val="24"/>
          <w:szCs w:val="24"/>
        </w:rPr>
      </w:pPr>
      <w:r w:rsidRPr="00944EE4">
        <w:rPr>
          <w:rFonts w:ascii="Times New Roman" w:hAnsi="Times New Roman" w:cs="Times New Roman"/>
          <w:sz w:val="24"/>
          <w:szCs w:val="24"/>
        </w:rPr>
        <w:t>L’UNDAF+ 2015-2019 se decline en 4 axes, avec 5 Effets escomptés au terme du cycle d’exécution de l’UNDAF+ :</w:t>
      </w:r>
    </w:p>
    <w:p w14:paraId="31288AEF" w14:textId="77777777" w:rsidR="00760465" w:rsidRPr="00760465" w:rsidRDefault="00760465" w:rsidP="00760465">
      <w:pPr>
        <w:jc w:val="both"/>
        <w:rPr>
          <w:rFonts w:ascii="Times New Roman" w:hAnsi="Times New Roman" w:cs="Times New Roman"/>
          <w:b/>
          <w:sz w:val="24"/>
          <w:szCs w:val="24"/>
          <w:u w:val="single"/>
        </w:rPr>
      </w:pPr>
      <w:r w:rsidRPr="00760465">
        <w:rPr>
          <w:rFonts w:ascii="Times New Roman" w:hAnsi="Times New Roman" w:cs="Times New Roman"/>
          <w:b/>
          <w:sz w:val="24"/>
          <w:szCs w:val="24"/>
          <w:u w:val="single"/>
        </w:rPr>
        <w:t>Axe 1 :</w:t>
      </w:r>
    </w:p>
    <w:p w14:paraId="72165ABA" w14:textId="40BD1702" w:rsidR="00925FBA" w:rsidRPr="00944EE4" w:rsidRDefault="00925FBA" w:rsidP="00925FBA">
      <w:pPr>
        <w:numPr>
          <w:ilvl w:val="0"/>
          <w:numId w:val="48"/>
        </w:numPr>
        <w:jc w:val="both"/>
        <w:rPr>
          <w:rFonts w:ascii="Times New Roman" w:hAnsi="Times New Roman" w:cs="Times New Roman"/>
          <w:sz w:val="24"/>
          <w:szCs w:val="24"/>
        </w:rPr>
      </w:pPr>
      <w:r w:rsidRPr="00944EE4">
        <w:rPr>
          <w:rFonts w:ascii="Times New Roman" w:hAnsi="Times New Roman" w:cs="Times New Roman"/>
          <w:sz w:val="24"/>
          <w:szCs w:val="24"/>
          <w:u w:val="single"/>
        </w:rPr>
        <w:t>Effet 1</w:t>
      </w:r>
      <w:r w:rsidRPr="00944EE4">
        <w:rPr>
          <w:rFonts w:ascii="Times New Roman" w:hAnsi="Times New Roman" w:cs="Times New Roman"/>
          <w:sz w:val="24"/>
          <w:szCs w:val="24"/>
        </w:rPr>
        <w:t xml:space="preserve"> : La paix et la stabilisation sont assurées à travers un dialogue politique inclusif et une réforme démocratique des institutions concernées, et la promotion d’une coexistence pacifique et le respect des droits humains.</w:t>
      </w:r>
    </w:p>
    <w:p w14:paraId="5EA37EAA" w14:textId="77777777" w:rsidR="00925FBA" w:rsidRPr="00944EE4" w:rsidRDefault="00925FBA" w:rsidP="00925FBA">
      <w:pPr>
        <w:numPr>
          <w:ilvl w:val="0"/>
          <w:numId w:val="48"/>
        </w:numPr>
        <w:jc w:val="both"/>
        <w:rPr>
          <w:rFonts w:ascii="Times New Roman" w:hAnsi="Times New Roman" w:cs="Times New Roman"/>
          <w:sz w:val="24"/>
          <w:szCs w:val="24"/>
        </w:rPr>
      </w:pPr>
      <w:r w:rsidRPr="00944EE4">
        <w:rPr>
          <w:rFonts w:ascii="Times New Roman" w:hAnsi="Times New Roman" w:cs="Times New Roman"/>
          <w:sz w:val="24"/>
          <w:szCs w:val="24"/>
          <w:u w:val="single"/>
        </w:rPr>
        <w:t>Effet 2</w:t>
      </w:r>
      <w:r w:rsidRPr="00944EE4">
        <w:rPr>
          <w:rFonts w:ascii="Times New Roman" w:hAnsi="Times New Roman" w:cs="Times New Roman"/>
          <w:sz w:val="24"/>
          <w:szCs w:val="24"/>
        </w:rPr>
        <w:t xml:space="preserve"> : D’ici 2019, la cohésion sociale est facilitée par la justice transitionnelle, le dialogue communautaire inclusif, la culture et l’éducation pour la paix.</w:t>
      </w:r>
    </w:p>
    <w:p w14:paraId="413F2B94" w14:textId="754CC414" w:rsidR="00925FBA" w:rsidRPr="00944EE4" w:rsidRDefault="00760465" w:rsidP="00760465">
      <w:pPr>
        <w:jc w:val="both"/>
        <w:rPr>
          <w:rFonts w:ascii="Times New Roman" w:hAnsi="Times New Roman" w:cs="Times New Roman"/>
          <w:sz w:val="24"/>
          <w:szCs w:val="24"/>
        </w:rPr>
      </w:pPr>
      <w:r w:rsidRPr="00760465">
        <w:rPr>
          <w:rFonts w:ascii="Times New Roman" w:hAnsi="Times New Roman" w:cs="Times New Roman"/>
          <w:b/>
          <w:sz w:val="24"/>
          <w:szCs w:val="24"/>
          <w:u w:val="single"/>
        </w:rPr>
        <w:t xml:space="preserve">Axe 2 : </w:t>
      </w:r>
      <w:r w:rsidR="00925FBA" w:rsidRPr="00760465">
        <w:rPr>
          <w:rFonts w:ascii="Times New Roman" w:hAnsi="Times New Roman" w:cs="Times New Roman"/>
          <w:sz w:val="24"/>
          <w:szCs w:val="24"/>
          <w:u w:val="single"/>
        </w:rPr>
        <w:t>Effe</w:t>
      </w:r>
      <w:r w:rsidR="00925FBA" w:rsidRPr="00944EE4">
        <w:rPr>
          <w:rFonts w:ascii="Times New Roman" w:hAnsi="Times New Roman" w:cs="Times New Roman"/>
          <w:sz w:val="24"/>
          <w:szCs w:val="24"/>
          <w:u w:val="single"/>
        </w:rPr>
        <w:t>t 3</w:t>
      </w:r>
      <w:r w:rsidR="00925FBA" w:rsidRPr="00944EE4">
        <w:rPr>
          <w:rFonts w:ascii="Times New Roman" w:hAnsi="Times New Roman" w:cs="Times New Roman"/>
          <w:sz w:val="24"/>
          <w:szCs w:val="24"/>
        </w:rPr>
        <w:t xml:space="preserve"> : Les institutions étatiques, nationales et locales, exercent de manière plus efficace leurs missions de service public et les acteurs non étatiques participent et assurent le contrôle citoyen en conformité avec les principes de bonne gouvernance et d’Etat de droit. </w:t>
      </w:r>
    </w:p>
    <w:p w14:paraId="5DEE818A" w14:textId="77777777" w:rsidR="00760465" w:rsidRDefault="00760465" w:rsidP="00760465">
      <w:pPr>
        <w:jc w:val="both"/>
        <w:rPr>
          <w:rFonts w:ascii="Times New Roman" w:hAnsi="Times New Roman" w:cs="Times New Roman"/>
          <w:sz w:val="24"/>
          <w:szCs w:val="24"/>
          <w:u w:val="single"/>
        </w:rPr>
      </w:pPr>
    </w:p>
    <w:p w14:paraId="2F77B538" w14:textId="7FA0622E" w:rsidR="00925FBA" w:rsidRPr="00944EE4" w:rsidRDefault="00760465" w:rsidP="00760465">
      <w:pPr>
        <w:jc w:val="both"/>
        <w:rPr>
          <w:rFonts w:ascii="Times New Roman" w:hAnsi="Times New Roman" w:cs="Times New Roman"/>
          <w:sz w:val="24"/>
          <w:szCs w:val="24"/>
        </w:rPr>
      </w:pPr>
      <w:r w:rsidRPr="00760465">
        <w:rPr>
          <w:rFonts w:ascii="Times New Roman" w:hAnsi="Times New Roman" w:cs="Times New Roman"/>
          <w:b/>
          <w:sz w:val="24"/>
          <w:szCs w:val="24"/>
          <w:u w:val="single"/>
        </w:rPr>
        <w:t>Axe 3 :</w:t>
      </w:r>
      <w:r w:rsidR="004C33CA">
        <w:rPr>
          <w:rFonts w:ascii="Times New Roman" w:hAnsi="Times New Roman" w:cs="Times New Roman"/>
          <w:b/>
          <w:sz w:val="24"/>
          <w:szCs w:val="24"/>
          <w:u w:val="single"/>
        </w:rPr>
        <w:t xml:space="preserve"> </w:t>
      </w:r>
      <w:r w:rsidR="00925FBA" w:rsidRPr="00944EE4">
        <w:rPr>
          <w:rFonts w:ascii="Times New Roman" w:hAnsi="Times New Roman" w:cs="Times New Roman"/>
          <w:sz w:val="24"/>
          <w:szCs w:val="24"/>
          <w:u w:val="single"/>
        </w:rPr>
        <w:t>Effet 4</w:t>
      </w:r>
      <w:r w:rsidR="00925FBA" w:rsidRPr="00944EE4">
        <w:rPr>
          <w:rFonts w:ascii="Times New Roman" w:hAnsi="Times New Roman" w:cs="Times New Roman"/>
          <w:sz w:val="24"/>
          <w:szCs w:val="24"/>
        </w:rPr>
        <w:t xml:space="preserve"> : D’ici 2019, les populations, en particulier les femmes et les enfants les plus vulnérables et celles affectées par les crises, ont un accès accru et équitable et utilisent les SSB de qualité.</w:t>
      </w:r>
    </w:p>
    <w:p w14:paraId="1E6FE0C4" w14:textId="5FC88F8C" w:rsidR="00925FBA" w:rsidRPr="00944EE4" w:rsidRDefault="00760465" w:rsidP="00760465">
      <w:pPr>
        <w:jc w:val="both"/>
        <w:rPr>
          <w:rFonts w:ascii="Times New Roman" w:hAnsi="Times New Roman" w:cs="Times New Roman"/>
          <w:sz w:val="24"/>
          <w:szCs w:val="24"/>
        </w:rPr>
      </w:pPr>
      <w:r w:rsidRPr="00760465">
        <w:rPr>
          <w:rFonts w:ascii="Times New Roman" w:hAnsi="Times New Roman" w:cs="Times New Roman"/>
          <w:b/>
          <w:sz w:val="24"/>
          <w:szCs w:val="24"/>
          <w:u w:val="single"/>
        </w:rPr>
        <w:t xml:space="preserve">Axe 4 : </w:t>
      </w:r>
      <w:r w:rsidR="00925FBA" w:rsidRPr="00944EE4">
        <w:rPr>
          <w:rFonts w:ascii="Times New Roman" w:hAnsi="Times New Roman" w:cs="Times New Roman"/>
          <w:sz w:val="24"/>
          <w:szCs w:val="24"/>
          <w:u w:val="single"/>
        </w:rPr>
        <w:t>Effet 5</w:t>
      </w:r>
      <w:r w:rsidR="00925FBA" w:rsidRPr="00944EE4">
        <w:rPr>
          <w:rFonts w:ascii="Times New Roman" w:hAnsi="Times New Roman" w:cs="Times New Roman"/>
          <w:sz w:val="24"/>
          <w:szCs w:val="24"/>
        </w:rPr>
        <w:t xml:space="preserve"> : Les populations défavorisées particulièrement les femmes et les jeunes, bénéficient de capacités et d’opportunités productives accrues, dans un environnement sain et durable, favorable à la réduction de la pauvreté.</w:t>
      </w:r>
    </w:p>
    <w:p w14:paraId="6D62BC5A" w14:textId="77777777" w:rsidR="00925FBA" w:rsidRPr="00944EE4" w:rsidRDefault="00925FBA" w:rsidP="00870B34">
      <w:pPr>
        <w:autoSpaceDE w:val="0"/>
        <w:autoSpaceDN w:val="0"/>
        <w:adjustRightInd w:val="0"/>
        <w:rPr>
          <w:rFonts w:ascii="Times New Roman" w:hAnsi="Times New Roman" w:cs="Times New Roman"/>
          <w:color w:val="0070C0"/>
          <w:sz w:val="24"/>
          <w:szCs w:val="24"/>
        </w:rPr>
      </w:pPr>
    </w:p>
    <w:tbl>
      <w:tblPr>
        <w:tblpPr w:leftFromText="141" w:rightFromText="141" w:vertAnchor="text" w:horzAnchor="margin" w:tblpY="117"/>
        <w:tblW w:w="9856" w:type="dxa"/>
        <w:tblBorders>
          <w:top w:val="single" w:sz="24" w:space="0" w:color="1F497D" w:themeColor="text2"/>
          <w:bottom w:val="single" w:sz="24" w:space="0" w:color="1F497D" w:themeColor="text2"/>
        </w:tblBorders>
        <w:tblLook w:val="04A0" w:firstRow="1" w:lastRow="0" w:firstColumn="1" w:lastColumn="0" w:noHBand="0" w:noVBand="1"/>
      </w:tblPr>
      <w:tblGrid>
        <w:gridCol w:w="9856"/>
      </w:tblGrid>
      <w:tr w:rsidR="00870B34" w:rsidRPr="00944EE4" w14:paraId="1C31CD85" w14:textId="77777777" w:rsidTr="003A1F13">
        <w:trPr>
          <w:trHeight w:val="607"/>
        </w:trPr>
        <w:tc>
          <w:tcPr>
            <w:tcW w:w="9856" w:type="dxa"/>
            <w:shd w:val="clear" w:color="auto" w:fill="DBE5F1" w:themeFill="accent1" w:themeFillTint="33"/>
          </w:tcPr>
          <w:p w14:paraId="67BB6C2C" w14:textId="77777777" w:rsidR="00870B34" w:rsidRPr="00944EE4" w:rsidRDefault="00880F37" w:rsidP="003A1F13">
            <w:pPr>
              <w:pStyle w:val="Titre2"/>
              <w:rPr>
                <w:rFonts w:ascii="Times New Roman" w:hAnsi="Times New Roman" w:cs="Times New Roman"/>
                <w:sz w:val="24"/>
                <w:szCs w:val="24"/>
              </w:rPr>
            </w:pPr>
            <w:bookmarkStart w:id="8" w:name="_Toc509228608"/>
            <w:r w:rsidRPr="00944EE4">
              <w:rPr>
                <w:rFonts w:ascii="Times New Roman" w:hAnsi="Times New Roman" w:cs="Times New Roman"/>
                <w:sz w:val="24"/>
                <w:szCs w:val="24"/>
              </w:rPr>
              <w:t>Axe 1 : Paix, Sécurité et Réconciliation Nationale</w:t>
            </w:r>
            <w:bookmarkEnd w:id="8"/>
          </w:p>
        </w:tc>
      </w:tr>
    </w:tbl>
    <w:p w14:paraId="3DA6329F" w14:textId="77777777" w:rsidR="00AA3D0E" w:rsidRPr="00944EE4" w:rsidRDefault="00AA3D0E" w:rsidP="00AA3D0E">
      <w:pPr>
        <w:spacing w:line="276" w:lineRule="auto"/>
        <w:rPr>
          <w:rFonts w:ascii="Times New Roman" w:hAnsi="Times New Roman" w:cs="Times New Roman"/>
          <w:sz w:val="24"/>
          <w:szCs w:val="24"/>
        </w:rPr>
      </w:pPr>
    </w:p>
    <w:p w14:paraId="2BF0C64B" w14:textId="5169F883" w:rsidR="00AA3D0E" w:rsidRPr="00944EE4" w:rsidRDefault="00880F37" w:rsidP="00301F6A">
      <w:pPr>
        <w:pStyle w:val="Commentaire"/>
        <w:spacing w:line="276" w:lineRule="auto"/>
        <w:jc w:val="both"/>
        <w:rPr>
          <w:sz w:val="24"/>
          <w:szCs w:val="24"/>
        </w:rPr>
      </w:pPr>
      <w:r w:rsidRPr="00944EE4">
        <w:rPr>
          <w:sz w:val="24"/>
          <w:szCs w:val="24"/>
        </w:rPr>
        <w:t xml:space="preserve">L’axe </w:t>
      </w:r>
      <w:r w:rsidRPr="00944EE4">
        <w:rPr>
          <w:b/>
          <w:color w:val="1F497D" w:themeColor="text2"/>
          <w:sz w:val="24"/>
          <w:szCs w:val="24"/>
          <w:u w:val="single"/>
        </w:rPr>
        <w:t>Paix, Sécurité et Réconciliation Nationale</w:t>
      </w:r>
      <w:r w:rsidRPr="00944EE4">
        <w:rPr>
          <w:color w:val="1F497D" w:themeColor="text2"/>
          <w:sz w:val="24"/>
          <w:szCs w:val="24"/>
        </w:rPr>
        <w:t xml:space="preserve"> </w:t>
      </w:r>
      <w:r w:rsidRPr="00944EE4">
        <w:rPr>
          <w:sz w:val="24"/>
          <w:szCs w:val="24"/>
        </w:rPr>
        <w:t xml:space="preserve">de l’UNDAF+ s’aligne sur les axes 2 et 3 du Programme d’Actions du Gouvernement (PAG) pour la période 2013-2018 </w:t>
      </w:r>
      <w:r w:rsidR="00494FF7" w:rsidRPr="00944EE4">
        <w:rPr>
          <w:sz w:val="24"/>
          <w:szCs w:val="24"/>
        </w:rPr>
        <w:t xml:space="preserve">et l’Axe Prealable sur la Paix et la Securite du CREDD 2016-2018. Il vise </w:t>
      </w:r>
      <w:r w:rsidRPr="00944EE4">
        <w:rPr>
          <w:sz w:val="24"/>
          <w:szCs w:val="24"/>
        </w:rPr>
        <w:t xml:space="preserve">à </w:t>
      </w:r>
      <w:r w:rsidRPr="00944EE4">
        <w:rPr>
          <w:b/>
          <w:i/>
          <w:sz w:val="24"/>
          <w:szCs w:val="24"/>
        </w:rPr>
        <w:t>(i) la restauration de la sécurité des personnes et des biens sur l’en</w:t>
      </w:r>
      <w:r w:rsidR="00494FF7" w:rsidRPr="00944EE4">
        <w:rPr>
          <w:b/>
          <w:i/>
          <w:sz w:val="24"/>
          <w:szCs w:val="24"/>
        </w:rPr>
        <w:t>semble du territoire national ;</w:t>
      </w:r>
      <w:r w:rsidRPr="00944EE4">
        <w:rPr>
          <w:b/>
          <w:i/>
          <w:sz w:val="24"/>
          <w:szCs w:val="24"/>
        </w:rPr>
        <w:t xml:space="preserve"> </w:t>
      </w:r>
      <w:r w:rsidR="00494FF7" w:rsidRPr="00944EE4">
        <w:rPr>
          <w:b/>
          <w:i/>
          <w:sz w:val="24"/>
          <w:szCs w:val="24"/>
        </w:rPr>
        <w:t xml:space="preserve">et </w:t>
      </w:r>
      <w:r w:rsidRPr="00944EE4">
        <w:rPr>
          <w:b/>
          <w:i/>
          <w:sz w:val="24"/>
          <w:szCs w:val="24"/>
        </w:rPr>
        <w:t>(ii) la mise en œuvre d’une politique active de réconciliation nationale</w:t>
      </w:r>
      <w:r w:rsidRPr="00944EE4">
        <w:rPr>
          <w:sz w:val="24"/>
          <w:szCs w:val="24"/>
        </w:rPr>
        <w:t xml:space="preserve">.  </w:t>
      </w:r>
      <w:r w:rsidRPr="00944EE4">
        <w:rPr>
          <w:bCs/>
          <w:sz w:val="24"/>
          <w:szCs w:val="24"/>
        </w:rPr>
        <w:t>Il est</w:t>
      </w:r>
      <w:r w:rsidRPr="00944EE4">
        <w:rPr>
          <w:b/>
          <w:bCs/>
          <w:i/>
          <w:sz w:val="24"/>
          <w:szCs w:val="24"/>
        </w:rPr>
        <w:t xml:space="preserve"> </w:t>
      </w:r>
      <w:r w:rsidR="00494FF7" w:rsidRPr="00944EE4">
        <w:rPr>
          <w:noProof/>
          <w:sz w:val="24"/>
          <w:szCs w:val="24"/>
        </w:rPr>
        <w:t>aussi</w:t>
      </w:r>
      <w:r w:rsidRPr="00944EE4">
        <w:rPr>
          <w:noProof/>
          <w:sz w:val="24"/>
          <w:szCs w:val="24"/>
        </w:rPr>
        <w:t xml:space="preserve"> en adequation avec le pilier 2 de la Stratégie intégrée des Nations Unies p</w:t>
      </w:r>
      <w:r w:rsidR="00494FF7" w:rsidRPr="00944EE4">
        <w:rPr>
          <w:noProof/>
          <w:sz w:val="24"/>
          <w:szCs w:val="24"/>
        </w:rPr>
        <w:t>our le Sahel visant à renforcer</w:t>
      </w:r>
      <w:r w:rsidRPr="00944EE4">
        <w:rPr>
          <w:noProof/>
          <w:sz w:val="24"/>
          <w:szCs w:val="24"/>
        </w:rPr>
        <w:t xml:space="preserve"> </w:t>
      </w:r>
      <w:r w:rsidRPr="00944EE4">
        <w:rPr>
          <w:bCs/>
          <w:sz w:val="24"/>
          <w:szCs w:val="24"/>
        </w:rPr>
        <w:t>les mécanismes de sécurité nationaux et régionaux en vue de faire face aux menaces transfrontalières.</w:t>
      </w:r>
    </w:p>
    <w:p w14:paraId="4EF3FE7E" w14:textId="77777777" w:rsidR="00AA3D0E" w:rsidRPr="00944EE4" w:rsidRDefault="00AA3D0E" w:rsidP="00AA3D0E">
      <w:pPr>
        <w:autoSpaceDE w:val="0"/>
        <w:autoSpaceDN w:val="0"/>
        <w:adjustRightInd w:val="0"/>
        <w:spacing w:line="276" w:lineRule="auto"/>
        <w:jc w:val="both"/>
        <w:rPr>
          <w:rFonts w:ascii="Times New Roman" w:hAnsi="Times New Roman" w:cs="Times New Roman"/>
          <w:sz w:val="24"/>
          <w:szCs w:val="24"/>
        </w:rPr>
      </w:pPr>
    </w:p>
    <w:p w14:paraId="0176FA0D" w14:textId="6A0CFEAA" w:rsidR="00AA3D0E" w:rsidRPr="00944EE4" w:rsidRDefault="0026128E" w:rsidP="002E6EA8">
      <w:pPr>
        <w:pStyle w:val="Paragraphedeliste"/>
        <w:numPr>
          <w:ilvl w:val="1"/>
          <w:numId w:val="49"/>
        </w:numPr>
        <w:spacing w:line="276" w:lineRule="auto"/>
        <w:jc w:val="both"/>
        <w:rPr>
          <w:rFonts w:ascii="Times New Roman" w:hAnsi="Times New Roman" w:cs="Times New Roman"/>
          <w:b/>
          <w:color w:val="365F91" w:themeColor="accent1" w:themeShade="BF"/>
          <w:sz w:val="24"/>
          <w:szCs w:val="24"/>
          <w:u w:val="single"/>
        </w:rPr>
      </w:pPr>
      <w:r w:rsidRPr="00944EE4">
        <w:rPr>
          <w:rFonts w:ascii="Times New Roman" w:hAnsi="Times New Roman" w:cs="Times New Roman"/>
          <w:b/>
          <w:color w:val="365F91" w:themeColor="accent1" w:themeShade="BF"/>
          <w:sz w:val="24"/>
          <w:szCs w:val="24"/>
          <w:u w:val="single"/>
        </w:rPr>
        <w:t xml:space="preserve">Analyse de situation </w:t>
      </w:r>
      <w:r w:rsidR="000502A0" w:rsidRPr="00944EE4">
        <w:rPr>
          <w:rFonts w:ascii="Times New Roman" w:hAnsi="Times New Roman" w:cs="Times New Roman"/>
          <w:b/>
          <w:color w:val="365F91" w:themeColor="accent1" w:themeShade="BF"/>
          <w:sz w:val="24"/>
          <w:szCs w:val="24"/>
          <w:u w:val="single"/>
        </w:rPr>
        <w:t>a mi-parcours</w:t>
      </w:r>
      <w:r w:rsidRPr="00944EE4">
        <w:rPr>
          <w:rFonts w:ascii="Times New Roman" w:hAnsi="Times New Roman" w:cs="Times New Roman"/>
          <w:b/>
          <w:color w:val="365F91" w:themeColor="accent1" w:themeShade="BF"/>
          <w:sz w:val="24"/>
          <w:szCs w:val="24"/>
          <w:u w:val="single"/>
        </w:rPr>
        <w:t xml:space="preserve"> de l’UNDAF+</w:t>
      </w:r>
    </w:p>
    <w:p w14:paraId="69050159" w14:textId="77777777" w:rsidR="00B8750E" w:rsidRDefault="00944EE4" w:rsidP="00944EE4">
      <w:pPr>
        <w:pStyle w:val="NormalWeb"/>
        <w:jc w:val="both"/>
      </w:pPr>
      <w:r w:rsidRPr="00944EE4">
        <w:t>L’amélioration de la situation sécuritaire du pays</w:t>
      </w:r>
      <w:r>
        <w:t>,</w:t>
      </w:r>
      <w:r w:rsidRPr="00944EE4">
        <w:t xml:space="preserve"> qui avait été observée </w:t>
      </w:r>
      <w:r>
        <w:t>au debut du programme, a recommenc</w:t>
      </w:r>
      <w:r w:rsidRPr="00944EE4">
        <w:t>é</w:t>
      </w:r>
      <w:r>
        <w:t xml:space="preserve"> a se degrader</w:t>
      </w:r>
      <w:r w:rsidRPr="00944EE4">
        <w:t xml:space="preserve"> en 2017</w:t>
      </w:r>
      <w:r>
        <w:t xml:space="preserve">, </w:t>
      </w:r>
      <w:r w:rsidRPr="00944EE4">
        <w:t>malgré les efforts du Gouvernement et de la Communauté internationale, particulièrement dans les rég</w:t>
      </w:r>
      <w:r>
        <w:t>ions du centre (Mopti et Ségou).</w:t>
      </w:r>
      <w:r w:rsidRPr="00944EE4">
        <w:t xml:space="preserve"> Le nombre d’incidents de sécurité est ainsi passés de 904 en 2016 à 1274 en 2017, notamment à cause de l’intensification de la violence intercommunautaire, la reprise des affrontements entre les groupes armés, des attaques menées par les groupes terroristes. </w:t>
      </w:r>
    </w:p>
    <w:p w14:paraId="0383910A" w14:textId="57E1F59A" w:rsidR="00B8750E" w:rsidRPr="00B8750E" w:rsidRDefault="00B8750E" w:rsidP="00B8750E">
      <w:pPr>
        <w:spacing w:after="120"/>
        <w:jc w:val="both"/>
        <w:rPr>
          <w:rFonts w:ascii="Times New Roman" w:hAnsi="Times New Roman" w:cs="Times New Roman"/>
          <w:sz w:val="24"/>
          <w:szCs w:val="24"/>
        </w:rPr>
      </w:pPr>
      <w:r>
        <w:rPr>
          <w:rFonts w:ascii="Times New Roman" w:hAnsi="Times New Roman" w:cs="Times New Roman"/>
          <w:sz w:val="24"/>
          <w:szCs w:val="24"/>
        </w:rPr>
        <w:t xml:space="preserve">On note </w:t>
      </w:r>
      <w:r w:rsidRPr="00B8750E">
        <w:rPr>
          <w:rFonts w:ascii="Times New Roman" w:hAnsi="Times New Roman" w:cs="Times New Roman"/>
          <w:sz w:val="24"/>
          <w:szCs w:val="24"/>
        </w:rPr>
        <w:t xml:space="preserve">davantage de victimes parmi les agents administratifs civils et des personnes en uniforme. Ce ciblage des représentants de l’administration étatique a affecté le déploiement de l’autorité de l’État dans le nord du pays et sa réduction dans le centre. Le nombre de fonctionnaires redéployés </w:t>
      </w:r>
      <w:r w:rsidRPr="00B8750E">
        <w:rPr>
          <w:rFonts w:ascii="Times New Roman" w:hAnsi="Times New Roman" w:cs="Times New Roman"/>
          <w:sz w:val="24"/>
          <w:szCs w:val="24"/>
        </w:rPr>
        <w:lastRenderedPageBreak/>
        <w:t>dans les régions du nord et du centre a ainsi diminué au cours de l’année. En fin 2017</w:t>
      </w:r>
      <w:r>
        <w:rPr>
          <w:rFonts w:ascii="Times New Roman" w:hAnsi="Times New Roman" w:cs="Times New Roman"/>
          <w:sz w:val="24"/>
          <w:szCs w:val="24"/>
        </w:rPr>
        <w:t>, seulement 28</w:t>
      </w:r>
      <w:r w:rsidRPr="00B8750E">
        <w:rPr>
          <w:rFonts w:ascii="Times New Roman" w:hAnsi="Times New Roman" w:cs="Times New Roman"/>
          <w:sz w:val="24"/>
          <w:szCs w:val="24"/>
        </w:rPr>
        <w:t>% des agents de l’État étaient à leur poste dans les régions septentrionales et dans la Région de Mopti contr</w:t>
      </w:r>
      <w:r>
        <w:rPr>
          <w:rFonts w:ascii="Times New Roman" w:hAnsi="Times New Roman" w:cs="Times New Roman"/>
          <w:sz w:val="24"/>
          <w:szCs w:val="24"/>
        </w:rPr>
        <w:t>e 38</w:t>
      </w:r>
      <w:r w:rsidRPr="00B8750E">
        <w:rPr>
          <w:rFonts w:ascii="Times New Roman" w:hAnsi="Times New Roman" w:cs="Times New Roman"/>
          <w:sz w:val="24"/>
          <w:szCs w:val="24"/>
        </w:rPr>
        <w:t>% au début de l’année.</w:t>
      </w:r>
    </w:p>
    <w:p w14:paraId="179D88A1" w14:textId="77777777" w:rsidR="00B8750E" w:rsidRPr="00944EE4" w:rsidRDefault="00B8750E" w:rsidP="00B8750E">
      <w:pPr>
        <w:pStyle w:val="NormalWeb"/>
        <w:jc w:val="both"/>
      </w:pPr>
      <w:r w:rsidRPr="00944EE4">
        <w:t xml:space="preserve">L’acheminement de l’aide humanitaire dans le Nord et le Centre a été difficile en raison de la détérioration de la situation sécuritaire. En 2017, 133 cas de contraintes d'accès humanitaire ont été enregistrés (soit le plus grand nombre jamais enregistré dans le pays). </w:t>
      </w:r>
    </w:p>
    <w:p w14:paraId="7E0767A8" w14:textId="7B964665" w:rsidR="00944EE4" w:rsidRPr="00944EE4" w:rsidRDefault="00B8750E" w:rsidP="00944EE4">
      <w:pPr>
        <w:pStyle w:val="NormalWeb"/>
        <w:jc w:val="both"/>
      </w:pPr>
      <w:r>
        <w:t>L</w:t>
      </w:r>
      <w:r w:rsidR="00944EE4" w:rsidRPr="00944EE4">
        <w:t xml:space="preserve">e nombre de réfugiés et de déplacés internes a </w:t>
      </w:r>
      <w:r>
        <w:t>globale</w:t>
      </w:r>
      <w:r w:rsidR="00944EE4" w:rsidRPr="00944EE4">
        <w:t xml:space="preserve">ment diminué, passant de </w:t>
      </w:r>
      <w:r>
        <w:t xml:space="preserve">140.033 au debut du programme </w:t>
      </w:r>
      <w:r w:rsidR="00944EE4" w:rsidRPr="00944EE4">
        <w:t>à 101.279 en 2017</w:t>
      </w:r>
      <w:r>
        <w:t>, avec c</w:t>
      </w:r>
      <w:r w:rsidR="00944EE4" w:rsidRPr="00944EE4">
        <w:t>ependant</w:t>
      </w:r>
      <w:r>
        <w:t xml:space="preserve"> </w:t>
      </w:r>
      <w:r w:rsidR="00944EE4" w:rsidRPr="00944EE4">
        <w:t xml:space="preserve">une hausse du nombre de déplacés internes dans les régions du Centre (6.723 pour Ségou dont 3.630 femmes, et 2.151 à Mopti dont 1.662 femmes).   </w:t>
      </w:r>
    </w:p>
    <w:p w14:paraId="34B15324" w14:textId="2DEDDE5D" w:rsidR="00944EE4" w:rsidRPr="00B8750E" w:rsidRDefault="00944EE4" w:rsidP="00B8750E">
      <w:pPr>
        <w:pStyle w:val="Corpsdetexte"/>
        <w:spacing w:line="240" w:lineRule="auto"/>
        <w:rPr>
          <w:rFonts w:ascii="Times New Roman" w:hAnsi="Times New Roman" w:cs="Times New Roman"/>
        </w:rPr>
      </w:pPr>
      <w:r w:rsidRPr="00944EE4">
        <w:rPr>
          <w:rFonts w:ascii="Times New Roman" w:hAnsi="Times New Roman" w:cs="Times New Roman"/>
        </w:rPr>
        <w:t>La mise en œuvre de l’Accord pour la paix et la réconciliation nationale n’a pas connu de progrès</w:t>
      </w:r>
      <w:r w:rsidR="00B8750E">
        <w:rPr>
          <w:rFonts w:ascii="Times New Roman" w:hAnsi="Times New Roman" w:cs="Times New Roman"/>
        </w:rPr>
        <w:t xml:space="preserve"> significatifs sur le terrain. L</w:t>
      </w:r>
      <w:r w:rsidRPr="00B8750E">
        <w:rPr>
          <w:rFonts w:ascii="Times New Roman" w:hAnsi="Times New Roman" w:cs="Times New Roman"/>
        </w:rPr>
        <w:t>’état d’avancement de la mise en œuvre des principales dispositions politiques de l’Accord pour la paix et la réconciliation au Mali n’a pas permis de dépasser l’étape transitoire du Mécanisme Opérationnel de Coordination (MOC) et des patrouilles mixtes pour initier le processus de Désarmement Démobilisation et Réinsertion (DDR) des combattants. Une Stratégie nationale visant à prévenir et à combattre l’extrémisme violent et le terrorisme a été approuvée, intégrant les principaux piliers de la Stratégie mondial des Nations Unies contre le terrorisme. La force du G5 Sahel a cependant été constituée avec l’établissement de son quartier général au Mali.</w:t>
      </w:r>
    </w:p>
    <w:p w14:paraId="0554C671" w14:textId="77777777" w:rsidR="00944EE4" w:rsidRPr="00B8750E" w:rsidRDefault="00944EE4" w:rsidP="000502A0">
      <w:pPr>
        <w:autoSpaceDE w:val="0"/>
        <w:autoSpaceDN w:val="0"/>
        <w:adjustRightInd w:val="0"/>
        <w:jc w:val="both"/>
        <w:rPr>
          <w:rFonts w:ascii="Times New Roman" w:hAnsi="Times New Roman" w:cs="Times New Roman"/>
          <w:sz w:val="24"/>
          <w:szCs w:val="24"/>
        </w:rPr>
      </w:pPr>
    </w:p>
    <w:p w14:paraId="5E05C6C9" w14:textId="43E69297" w:rsidR="000502A0" w:rsidRPr="00944EE4" w:rsidRDefault="000502A0" w:rsidP="000502A0">
      <w:pPr>
        <w:autoSpaceDE w:val="0"/>
        <w:autoSpaceDN w:val="0"/>
        <w:adjustRightInd w:val="0"/>
        <w:jc w:val="both"/>
        <w:rPr>
          <w:rFonts w:ascii="Times New Roman" w:hAnsi="Times New Roman" w:cs="Times New Roman"/>
          <w:sz w:val="24"/>
          <w:szCs w:val="24"/>
        </w:rPr>
      </w:pPr>
      <w:r w:rsidRPr="00944EE4">
        <w:rPr>
          <w:rFonts w:ascii="Times New Roman" w:hAnsi="Times New Roman" w:cs="Times New Roman"/>
          <w:sz w:val="24"/>
          <w:szCs w:val="24"/>
        </w:rPr>
        <w:t xml:space="preserve">Le programme a </w:t>
      </w:r>
      <w:r w:rsidR="00B8750E">
        <w:rPr>
          <w:rFonts w:ascii="Times New Roman" w:hAnsi="Times New Roman" w:cs="Times New Roman"/>
          <w:sz w:val="24"/>
          <w:szCs w:val="24"/>
        </w:rPr>
        <w:t xml:space="preserve">ainsi </w:t>
      </w:r>
      <w:r w:rsidRPr="00944EE4">
        <w:rPr>
          <w:rFonts w:ascii="Times New Roman" w:hAnsi="Times New Roman" w:cs="Times New Roman"/>
          <w:sz w:val="24"/>
          <w:szCs w:val="24"/>
        </w:rPr>
        <w:t>subi les contre-coups de la dégradation de la situation sécuritaire. Alors que beaucoup d’espoir</w:t>
      </w:r>
      <w:r w:rsidR="0026128E" w:rsidRPr="00944EE4">
        <w:rPr>
          <w:rFonts w:ascii="Times New Roman" w:hAnsi="Times New Roman" w:cs="Times New Roman"/>
          <w:sz w:val="24"/>
          <w:szCs w:val="24"/>
        </w:rPr>
        <w:t>s de stabilisation ont</w:t>
      </w:r>
      <w:r w:rsidRPr="00944EE4">
        <w:rPr>
          <w:rFonts w:ascii="Times New Roman" w:hAnsi="Times New Roman" w:cs="Times New Roman"/>
          <w:sz w:val="24"/>
          <w:szCs w:val="24"/>
        </w:rPr>
        <w:t xml:space="preserve"> été placé</w:t>
      </w:r>
      <w:r w:rsidR="0026128E" w:rsidRPr="00944EE4">
        <w:rPr>
          <w:rFonts w:ascii="Times New Roman" w:hAnsi="Times New Roman" w:cs="Times New Roman"/>
          <w:sz w:val="24"/>
          <w:szCs w:val="24"/>
        </w:rPr>
        <w:t>s</w:t>
      </w:r>
      <w:r w:rsidRPr="00944EE4">
        <w:rPr>
          <w:rFonts w:ascii="Times New Roman" w:hAnsi="Times New Roman" w:cs="Times New Roman"/>
          <w:sz w:val="24"/>
          <w:szCs w:val="24"/>
        </w:rPr>
        <w:t xml:space="preserve"> dans l’Accord de paix, il est finalement apparu que la signature de celui-ci, intervenue mi-2015, ne signifiait pas la fin de l’insécurité. Les épisodes violents se sont multipliés et diversifiés, avec une extension vers le centre du pays. La mise en œuvre du programme a été affectée par cette situation, à travers les restrictions à sa capacité de déploiement dans les zones à risque sécuritaire élevé.</w:t>
      </w:r>
    </w:p>
    <w:p w14:paraId="6A594B20" w14:textId="77777777" w:rsidR="000502A0" w:rsidRPr="00944EE4" w:rsidRDefault="000502A0" w:rsidP="00AA3D0E">
      <w:pPr>
        <w:rPr>
          <w:rFonts w:ascii="Times New Roman" w:hAnsi="Times New Roman" w:cs="Times New Roman"/>
          <w:sz w:val="24"/>
          <w:szCs w:val="24"/>
        </w:rPr>
      </w:pPr>
    </w:p>
    <w:p w14:paraId="52859ED1" w14:textId="7D52FFA0" w:rsidR="00AA3D0E" w:rsidRPr="00944EE4" w:rsidRDefault="000502A0" w:rsidP="00AA3D0E">
      <w:pPr>
        <w:spacing w:line="276" w:lineRule="auto"/>
        <w:jc w:val="both"/>
        <w:rPr>
          <w:rFonts w:ascii="Times New Roman" w:eastAsia="Times New Roman" w:hAnsi="Times New Roman" w:cs="Times New Roman"/>
          <w:sz w:val="24"/>
          <w:szCs w:val="24"/>
          <w:lang w:eastAsia="fr-FR"/>
        </w:rPr>
      </w:pPr>
      <w:r w:rsidRPr="00944EE4">
        <w:rPr>
          <w:rFonts w:ascii="Times New Roman" w:hAnsi="Times New Roman" w:cs="Times New Roman"/>
          <w:sz w:val="24"/>
          <w:szCs w:val="24"/>
        </w:rPr>
        <w:t>M</w:t>
      </w:r>
      <w:r w:rsidR="00880F37" w:rsidRPr="00944EE4">
        <w:rPr>
          <w:rFonts w:ascii="Times New Roman" w:hAnsi="Times New Roman" w:cs="Times New Roman"/>
          <w:sz w:val="24"/>
          <w:szCs w:val="24"/>
        </w:rPr>
        <w:t xml:space="preserve">algré les efforts en cours, </w:t>
      </w:r>
      <w:r w:rsidR="00880F37" w:rsidRPr="00944EE4">
        <w:rPr>
          <w:rFonts w:ascii="Times New Roman" w:eastAsia="Gulim" w:hAnsi="Times New Roman" w:cs="Times New Roman"/>
          <w:sz w:val="24"/>
          <w:szCs w:val="24"/>
        </w:rPr>
        <w:t>la présence et les capacités d’action des institutions de s</w:t>
      </w:r>
      <w:r w:rsidR="000D6DAE" w:rsidRPr="00944EE4">
        <w:rPr>
          <w:rFonts w:ascii="Times New Roman" w:eastAsia="Gulim" w:hAnsi="Times New Roman" w:cs="Times New Roman"/>
          <w:sz w:val="24"/>
          <w:szCs w:val="24"/>
        </w:rPr>
        <w:t xml:space="preserve">écurité intérieure restent </w:t>
      </w:r>
      <w:r w:rsidR="00880F37" w:rsidRPr="00944EE4">
        <w:rPr>
          <w:rFonts w:ascii="Times New Roman" w:eastAsia="Gulim" w:hAnsi="Times New Roman" w:cs="Times New Roman"/>
          <w:sz w:val="24"/>
          <w:szCs w:val="24"/>
        </w:rPr>
        <w:t>limitées dans les régions nord du pays. L</w:t>
      </w:r>
      <w:r w:rsidR="00880F37" w:rsidRPr="00944EE4">
        <w:rPr>
          <w:rFonts w:ascii="Times New Roman" w:hAnsi="Times New Roman" w:cs="Times New Roman"/>
          <w:sz w:val="24"/>
          <w:szCs w:val="24"/>
        </w:rPr>
        <w:t>a situation sécuritaire dans ces régions demeure encore volatile</w:t>
      </w:r>
      <w:r w:rsidR="00880F37" w:rsidRPr="00944EE4">
        <w:rPr>
          <w:rFonts w:ascii="Times New Roman" w:eastAsia="Times New Roman" w:hAnsi="Times New Roman" w:cs="Times New Roman"/>
          <w:sz w:val="24"/>
          <w:szCs w:val="24"/>
          <w:lang w:eastAsia="fr-FR"/>
        </w:rPr>
        <w:t xml:space="preserve"> et imprévisible à cause des</w:t>
      </w:r>
      <w:r w:rsidR="00880F37" w:rsidRPr="00944EE4">
        <w:rPr>
          <w:rFonts w:ascii="Times New Roman" w:hAnsi="Times New Roman" w:cs="Times New Roman"/>
          <w:sz w:val="24"/>
          <w:szCs w:val="24"/>
        </w:rPr>
        <w:t xml:space="preserve"> menaces graves qui continuent de peser sur la sécurité : attentats terroristes à répétition </w:t>
      </w:r>
      <w:r w:rsidR="00880F37" w:rsidRPr="00944EE4">
        <w:rPr>
          <w:rFonts w:ascii="Times New Roman" w:eastAsia="Times New Roman" w:hAnsi="Times New Roman" w:cs="Times New Roman"/>
          <w:sz w:val="24"/>
          <w:szCs w:val="24"/>
          <w:lang w:eastAsia="fr-FR"/>
        </w:rPr>
        <w:t>(attentats-suicides ou à l’engin explosif), prolifération anarchique des armes légères et de petits calibres</w:t>
      </w:r>
      <w:r w:rsidR="00880F37" w:rsidRPr="00944EE4">
        <w:rPr>
          <w:rFonts w:ascii="Times New Roman" w:hAnsi="Times New Roman" w:cs="Times New Roman"/>
          <w:sz w:val="24"/>
          <w:szCs w:val="24"/>
        </w:rPr>
        <w:t xml:space="preserve">, contrebande de drogue et autres activités criminelles, </w:t>
      </w:r>
      <w:r w:rsidR="00880F37" w:rsidRPr="00944EE4">
        <w:rPr>
          <w:rFonts w:ascii="Times New Roman" w:eastAsia="Times New Roman" w:hAnsi="Times New Roman" w:cs="Times New Roman"/>
          <w:sz w:val="24"/>
          <w:szCs w:val="24"/>
          <w:lang w:eastAsia="fr-FR"/>
        </w:rPr>
        <w:t>contamination des zones par des restes d’explosifs de guerre, des engins explosifs improvisés et des mines, constituant ainsi des risques majeurs sur la sécurité et la mobilité des populations civiles</w:t>
      </w:r>
      <w:r w:rsidR="00A12C31" w:rsidRPr="00944EE4">
        <w:rPr>
          <w:rFonts w:ascii="Times New Roman" w:eastAsia="Times New Roman" w:hAnsi="Times New Roman" w:cs="Times New Roman"/>
          <w:sz w:val="24"/>
          <w:szCs w:val="24"/>
          <w:lang w:eastAsia="fr-FR"/>
        </w:rPr>
        <w:t>, particuli</w:t>
      </w:r>
      <w:r w:rsidR="00A12C31" w:rsidRPr="00944EE4">
        <w:rPr>
          <w:rFonts w:ascii="Times New Roman" w:eastAsia="Gulim" w:hAnsi="Times New Roman" w:cs="Times New Roman"/>
          <w:sz w:val="24"/>
          <w:szCs w:val="24"/>
        </w:rPr>
        <w:t>è</w:t>
      </w:r>
      <w:r w:rsidR="00A12C31" w:rsidRPr="00944EE4">
        <w:rPr>
          <w:rFonts w:ascii="Times New Roman" w:eastAsia="Times New Roman" w:hAnsi="Times New Roman" w:cs="Times New Roman"/>
          <w:sz w:val="24"/>
          <w:szCs w:val="24"/>
          <w:lang w:eastAsia="fr-FR"/>
        </w:rPr>
        <w:t>rement au fur et a mesure que la menace explosive avance vers les zon</w:t>
      </w:r>
      <w:r w:rsidR="004C33CA">
        <w:rPr>
          <w:rFonts w:ascii="Times New Roman" w:eastAsia="Times New Roman" w:hAnsi="Times New Roman" w:cs="Times New Roman"/>
          <w:sz w:val="24"/>
          <w:szCs w:val="24"/>
          <w:lang w:eastAsia="fr-FR"/>
        </w:rPr>
        <w:t>es plus plus peuplées du centre.</w:t>
      </w:r>
      <w:r w:rsidR="00880F37" w:rsidRPr="00944EE4">
        <w:rPr>
          <w:rFonts w:ascii="Times New Roman" w:eastAsia="Times New Roman" w:hAnsi="Times New Roman" w:cs="Times New Roman"/>
          <w:sz w:val="24"/>
          <w:szCs w:val="24"/>
          <w:lang w:eastAsia="fr-FR"/>
        </w:rPr>
        <w:t xml:space="preserve"> </w:t>
      </w:r>
    </w:p>
    <w:p w14:paraId="18A587F4" w14:textId="77777777" w:rsidR="000D6DAE" w:rsidRPr="00944EE4" w:rsidRDefault="000D6DAE" w:rsidP="00FB1778">
      <w:pPr>
        <w:jc w:val="both"/>
        <w:rPr>
          <w:rFonts w:ascii="Times New Roman" w:hAnsi="Times New Roman" w:cs="Times New Roman"/>
          <w:sz w:val="24"/>
          <w:szCs w:val="24"/>
        </w:rPr>
      </w:pPr>
    </w:p>
    <w:p w14:paraId="1E1E9790" w14:textId="77777777" w:rsidR="00AA3D0E" w:rsidRPr="00944EE4" w:rsidRDefault="00880F37" w:rsidP="00AA3D0E">
      <w:pPr>
        <w:pStyle w:val="NormalWeb"/>
        <w:spacing w:before="0" w:beforeAutospacing="0" w:after="0" w:afterAutospacing="0" w:line="276" w:lineRule="auto"/>
        <w:textAlignment w:val="baseline"/>
        <w:rPr>
          <w:rFonts w:eastAsiaTheme="minorEastAsia"/>
          <w:b/>
          <w:color w:val="1F497D" w:themeColor="text2"/>
          <w:kern w:val="24"/>
          <w:u w:val="single"/>
        </w:rPr>
      </w:pPr>
      <w:r w:rsidRPr="00944EE4">
        <w:rPr>
          <w:rFonts w:eastAsiaTheme="minorEastAsia"/>
          <w:b/>
          <w:color w:val="1F497D" w:themeColor="text2"/>
          <w:kern w:val="24"/>
          <w:u w:val="single"/>
        </w:rPr>
        <w:t>1.2 Contribution des Nations Unies</w:t>
      </w:r>
    </w:p>
    <w:p w14:paraId="75B9023C" w14:textId="77777777" w:rsidR="00AA3D0E" w:rsidRPr="00944EE4" w:rsidRDefault="00AA3D0E" w:rsidP="00AA3D0E">
      <w:pPr>
        <w:rPr>
          <w:rFonts w:ascii="Times New Roman" w:hAnsi="Times New Roman" w:cs="Times New Roman"/>
          <w:sz w:val="24"/>
          <w:szCs w:val="24"/>
        </w:rPr>
      </w:pPr>
    </w:p>
    <w:p w14:paraId="3B1C670F" w14:textId="25320FD1" w:rsidR="00AA3D0E" w:rsidRPr="00944EE4" w:rsidRDefault="00880F37" w:rsidP="00AA3D0E">
      <w:pPr>
        <w:spacing w:line="276" w:lineRule="auto"/>
        <w:jc w:val="both"/>
        <w:rPr>
          <w:rFonts w:ascii="Times New Roman" w:hAnsi="Times New Roman" w:cs="Times New Roman"/>
          <w:sz w:val="24"/>
          <w:szCs w:val="24"/>
        </w:rPr>
      </w:pPr>
      <w:r w:rsidRPr="00944EE4">
        <w:rPr>
          <w:rFonts w:ascii="Times New Roman" w:hAnsi="Times New Roman" w:cs="Times New Roman"/>
          <w:bCs/>
          <w:sz w:val="24"/>
          <w:szCs w:val="24"/>
        </w:rPr>
        <w:t xml:space="preserve">Les Nations Unies </w:t>
      </w:r>
      <w:r w:rsidR="0026128E" w:rsidRPr="00944EE4">
        <w:rPr>
          <w:rFonts w:ascii="Times New Roman" w:hAnsi="Times New Roman" w:cs="Times New Roman"/>
          <w:bCs/>
          <w:sz w:val="24"/>
          <w:szCs w:val="24"/>
        </w:rPr>
        <w:t xml:space="preserve">continueront à </w:t>
      </w:r>
      <w:r w:rsidRPr="00944EE4">
        <w:rPr>
          <w:rFonts w:ascii="Times New Roman" w:hAnsi="Times New Roman" w:cs="Times New Roman"/>
          <w:bCs/>
          <w:sz w:val="24"/>
          <w:szCs w:val="24"/>
        </w:rPr>
        <w:t xml:space="preserve">contribuer à la résolution des problèmes </w:t>
      </w:r>
      <w:r w:rsidR="0026128E" w:rsidRPr="00944EE4">
        <w:rPr>
          <w:rFonts w:ascii="Times New Roman" w:hAnsi="Times New Roman" w:cs="Times New Roman"/>
          <w:bCs/>
          <w:sz w:val="24"/>
          <w:szCs w:val="24"/>
        </w:rPr>
        <w:t>securitaires et de cohesion sociale</w:t>
      </w:r>
      <w:r w:rsidRPr="00944EE4">
        <w:rPr>
          <w:rFonts w:ascii="Times New Roman" w:hAnsi="Times New Roman" w:cs="Times New Roman"/>
          <w:bCs/>
          <w:sz w:val="24"/>
          <w:szCs w:val="24"/>
        </w:rPr>
        <w:t xml:space="preserve"> à travers deux effets dont le premier est ainsi libellé « </w:t>
      </w:r>
      <w:r w:rsidRPr="00944EE4">
        <w:rPr>
          <w:rFonts w:ascii="Times New Roman" w:hAnsi="Times New Roman" w:cs="Times New Roman"/>
          <w:b/>
          <w:bCs/>
          <w:sz w:val="24"/>
          <w:szCs w:val="24"/>
        </w:rPr>
        <w:t>D’ici 2019, l</w:t>
      </w:r>
      <w:r w:rsidRPr="00944EE4">
        <w:rPr>
          <w:rFonts w:ascii="Times New Roman" w:hAnsi="Times New Roman" w:cs="Times New Roman"/>
          <w:b/>
          <w:sz w:val="24"/>
          <w:szCs w:val="24"/>
        </w:rPr>
        <w:t>a paix et la stabilisation sont assurées à travers un dialogue politique inclusif, une réforme des institutions concernées et la promot</w:t>
      </w:r>
      <w:r w:rsidR="0026128E" w:rsidRPr="00944EE4">
        <w:rPr>
          <w:rFonts w:ascii="Times New Roman" w:hAnsi="Times New Roman" w:cs="Times New Roman"/>
          <w:b/>
          <w:sz w:val="24"/>
          <w:szCs w:val="24"/>
        </w:rPr>
        <w:t>ion d’une coexistence pacifique</w:t>
      </w:r>
      <w:r w:rsidRPr="00944EE4">
        <w:rPr>
          <w:rFonts w:ascii="Times New Roman" w:hAnsi="Times New Roman" w:cs="Times New Roman"/>
          <w:b/>
          <w:sz w:val="24"/>
          <w:szCs w:val="24"/>
        </w:rPr>
        <w:t xml:space="preserve"> et le respect des droits humains »</w:t>
      </w:r>
      <w:r w:rsidR="0026128E" w:rsidRPr="00944EE4">
        <w:rPr>
          <w:rFonts w:ascii="Times New Roman" w:hAnsi="Times New Roman" w:cs="Times New Roman"/>
          <w:sz w:val="24"/>
          <w:szCs w:val="24"/>
        </w:rPr>
        <w:t>, qui se</w:t>
      </w:r>
      <w:r w:rsidRPr="00944EE4">
        <w:rPr>
          <w:rFonts w:ascii="Times New Roman" w:hAnsi="Times New Roman" w:cs="Times New Roman"/>
          <w:sz w:val="24"/>
          <w:szCs w:val="24"/>
        </w:rPr>
        <w:t xml:space="preserve"> déclin</w:t>
      </w:r>
      <w:r w:rsidR="0026128E" w:rsidRPr="00944EE4">
        <w:rPr>
          <w:rFonts w:ascii="Times New Roman" w:hAnsi="Times New Roman" w:cs="Times New Roman"/>
          <w:sz w:val="24"/>
          <w:szCs w:val="24"/>
        </w:rPr>
        <w:t>e en produits dans</w:t>
      </w:r>
      <w:r w:rsidRPr="00944EE4">
        <w:rPr>
          <w:rFonts w:ascii="Times New Roman" w:hAnsi="Times New Roman" w:cs="Times New Roman"/>
          <w:sz w:val="24"/>
          <w:szCs w:val="24"/>
        </w:rPr>
        <w:t xml:space="preserve"> les domaines d’interventions suivants : </w:t>
      </w:r>
    </w:p>
    <w:p w14:paraId="4BAA8809" w14:textId="77777777" w:rsidR="00AA3D0E" w:rsidRPr="00944EE4" w:rsidRDefault="00AA3D0E" w:rsidP="00AA3D0E">
      <w:pPr>
        <w:spacing w:line="276" w:lineRule="auto"/>
        <w:jc w:val="both"/>
        <w:rPr>
          <w:rFonts w:ascii="Times New Roman" w:hAnsi="Times New Roman" w:cs="Times New Roman"/>
          <w:sz w:val="24"/>
          <w:szCs w:val="24"/>
        </w:rPr>
      </w:pPr>
    </w:p>
    <w:p w14:paraId="68319616" w14:textId="1E0F61ED" w:rsidR="00AA3D0E" w:rsidRPr="00944EE4" w:rsidRDefault="00880F37" w:rsidP="00AA3D0E">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lastRenderedPageBreak/>
        <w:t xml:space="preserve">En appui au </w:t>
      </w:r>
      <w:r w:rsidRPr="00944EE4">
        <w:rPr>
          <w:rFonts w:ascii="Times New Roman" w:hAnsi="Times New Roman" w:cs="Times New Roman"/>
          <w:b/>
          <w:i/>
          <w:sz w:val="24"/>
          <w:szCs w:val="24"/>
        </w:rPr>
        <w:t>dialogue politique inclusif</w:t>
      </w:r>
      <w:r w:rsidRPr="00944EE4">
        <w:rPr>
          <w:rFonts w:ascii="Times New Roman" w:hAnsi="Times New Roman" w:cs="Times New Roman"/>
          <w:sz w:val="24"/>
          <w:szCs w:val="24"/>
        </w:rPr>
        <w:t xml:space="preserve">, les Nations Unies au Mali vont </w:t>
      </w:r>
      <w:r w:rsidR="0026128E" w:rsidRPr="00944EE4">
        <w:rPr>
          <w:rFonts w:ascii="Times New Roman" w:hAnsi="Times New Roman" w:cs="Times New Roman"/>
          <w:sz w:val="24"/>
          <w:szCs w:val="24"/>
        </w:rPr>
        <w:t xml:space="preserve">continuer à </w:t>
      </w:r>
      <w:r w:rsidRPr="00944EE4">
        <w:rPr>
          <w:rFonts w:ascii="Times New Roman" w:hAnsi="Times New Roman" w:cs="Times New Roman"/>
          <w:sz w:val="24"/>
          <w:szCs w:val="24"/>
        </w:rPr>
        <w:t>faciliter la médiation et les négociations de paix entre le Gouvernement et les groupes armés. En ce qui concerne la ré</w:t>
      </w:r>
      <w:r w:rsidR="0026128E" w:rsidRPr="00944EE4">
        <w:rPr>
          <w:rFonts w:ascii="Times New Roman" w:hAnsi="Times New Roman" w:cs="Times New Roman"/>
          <w:sz w:val="24"/>
          <w:szCs w:val="24"/>
        </w:rPr>
        <w:t>conciliation, les Nations Unies continueront</w:t>
      </w:r>
      <w:r w:rsidRPr="00944EE4">
        <w:rPr>
          <w:rFonts w:ascii="Times New Roman" w:hAnsi="Times New Roman" w:cs="Times New Roman"/>
          <w:sz w:val="24"/>
          <w:szCs w:val="24"/>
        </w:rPr>
        <w:t xml:space="preserve"> </w:t>
      </w:r>
      <w:r w:rsidR="0026128E" w:rsidRPr="00944EE4">
        <w:rPr>
          <w:rFonts w:ascii="Times New Roman" w:hAnsi="Times New Roman" w:cs="Times New Roman"/>
          <w:sz w:val="24"/>
          <w:szCs w:val="24"/>
        </w:rPr>
        <w:t xml:space="preserve">à </w:t>
      </w:r>
      <w:r w:rsidRPr="00944EE4">
        <w:rPr>
          <w:rFonts w:ascii="Times New Roman" w:hAnsi="Times New Roman" w:cs="Times New Roman"/>
          <w:sz w:val="24"/>
          <w:szCs w:val="24"/>
        </w:rPr>
        <w:t>travailler avec le Gouvernement, les partis politiques, les organisations de l</w:t>
      </w:r>
      <w:r w:rsidR="00EB2EC6" w:rsidRPr="00944EE4">
        <w:rPr>
          <w:rFonts w:ascii="Times New Roman" w:hAnsi="Times New Roman" w:cs="Times New Roman"/>
          <w:sz w:val="24"/>
          <w:szCs w:val="24"/>
        </w:rPr>
        <w:t>a société civile y compris les o</w:t>
      </w:r>
      <w:r w:rsidRPr="00944EE4">
        <w:rPr>
          <w:rFonts w:ascii="Times New Roman" w:hAnsi="Times New Roman" w:cs="Times New Roman"/>
          <w:sz w:val="24"/>
          <w:szCs w:val="24"/>
        </w:rPr>
        <w:t>rganisations féminines du Mali et celles travaillant dans le d</w:t>
      </w:r>
      <w:r w:rsidR="0026128E" w:rsidRPr="00944EE4">
        <w:rPr>
          <w:rFonts w:ascii="Times New Roman" w:hAnsi="Times New Roman" w:cs="Times New Roman"/>
          <w:sz w:val="24"/>
          <w:szCs w:val="24"/>
        </w:rPr>
        <w:t>omaine de la promotion du Genre</w:t>
      </w:r>
      <w:r w:rsidRPr="00944EE4">
        <w:rPr>
          <w:rFonts w:ascii="Times New Roman" w:hAnsi="Times New Roman" w:cs="Times New Roman"/>
          <w:sz w:val="24"/>
          <w:szCs w:val="24"/>
        </w:rPr>
        <w:t>, les femmes et lea</w:t>
      </w:r>
      <w:r w:rsidR="00EB2EC6" w:rsidRPr="00944EE4">
        <w:rPr>
          <w:rFonts w:ascii="Times New Roman" w:hAnsi="Times New Roman" w:cs="Times New Roman"/>
          <w:sz w:val="24"/>
          <w:szCs w:val="24"/>
        </w:rPr>
        <w:t xml:space="preserve">ders de la jeunesse, en vue de </w:t>
      </w:r>
      <w:r w:rsidRPr="00944EE4">
        <w:rPr>
          <w:rFonts w:ascii="Times New Roman" w:hAnsi="Times New Roman" w:cs="Times New Roman"/>
          <w:sz w:val="24"/>
          <w:szCs w:val="24"/>
        </w:rPr>
        <w:t>renforcer les capacités des organisations et des individus pour la prévention et la gestion des conflits au niveau local et national.</w:t>
      </w:r>
    </w:p>
    <w:p w14:paraId="5157BB82" w14:textId="77777777" w:rsidR="00AA3D0E" w:rsidRPr="00944EE4" w:rsidRDefault="00AA3D0E" w:rsidP="00AA3D0E">
      <w:pPr>
        <w:spacing w:line="276" w:lineRule="auto"/>
        <w:jc w:val="both"/>
        <w:rPr>
          <w:rFonts w:ascii="Times New Roman" w:hAnsi="Times New Roman" w:cs="Times New Roman"/>
          <w:sz w:val="24"/>
          <w:szCs w:val="24"/>
        </w:rPr>
      </w:pPr>
    </w:p>
    <w:p w14:paraId="2DC14B2F" w14:textId="6455A9B4" w:rsidR="00AA3D0E" w:rsidRPr="00944EE4" w:rsidRDefault="00880F37" w:rsidP="00AA3D0E">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Dans le cadre de la </w:t>
      </w:r>
      <w:r w:rsidRPr="00944EE4">
        <w:rPr>
          <w:rFonts w:ascii="Times New Roman" w:hAnsi="Times New Roman" w:cs="Times New Roman"/>
          <w:b/>
          <w:i/>
          <w:sz w:val="24"/>
          <w:szCs w:val="24"/>
        </w:rPr>
        <w:t>réforme du secteur de la sécurité</w:t>
      </w:r>
      <w:r w:rsidR="00EB2EC6" w:rsidRPr="00944EE4">
        <w:rPr>
          <w:rFonts w:ascii="Times New Roman" w:hAnsi="Times New Roman" w:cs="Times New Roman"/>
          <w:sz w:val="24"/>
          <w:szCs w:val="24"/>
        </w:rPr>
        <w:t>, les Nations Unies continueront à appuyer</w:t>
      </w:r>
      <w:r w:rsidRPr="00944EE4">
        <w:rPr>
          <w:rFonts w:ascii="Times New Roman" w:hAnsi="Times New Roman" w:cs="Times New Roman"/>
          <w:sz w:val="24"/>
          <w:szCs w:val="24"/>
        </w:rPr>
        <w:t xml:space="preserve"> les effo</w:t>
      </w:r>
      <w:r w:rsidR="00EB2EC6" w:rsidRPr="00944EE4">
        <w:rPr>
          <w:rFonts w:ascii="Times New Roman" w:hAnsi="Times New Roman" w:cs="Times New Roman"/>
          <w:sz w:val="24"/>
          <w:szCs w:val="24"/>
        </w:rPr>
        <w:t>rts du Gouvernement pour rendre</w:t>
      </w:r>
      <w:r w:rsidRPr="00944EE4">
        <w:rPr>
          <w:rFonts w:ascii="Times New Roman" w:hAnsi="Times New Roman" w:cs="Times New Roman"/>
          <w:sz w:val="24"/>
          <w:szCs w:val="24"/>
        </w:rPr>
        <w:t xml:space="preserve">les forces de défense et de sécurité plus professionnelles et plus respectueuses des droits humains. </w:t>
      </w:r>
      <w:r w:rsidR="00EB2EC6" w:rsidRPr="00944EE4">
        <w:rPr>
          <w:rFonts w:ascii="Times New Roman" w:hAnsi="Times New Roman" w:cs="Times New Roman"/>
          <w:sz w:val="24"/>
          <w:szCs w:val="24"/>
        </w:rPr>
        <w:t>L’appui des Nations Unies vise</w:t>
      </w:r>
      <w:r w:rsidRPr="00944EE4">
        <w:rPr>
          <w:rFonts w:ascii="Times New Roman" w:hAnsi="Times New Roman" w:cs="Times New Roman"/>
          <w:sz w:val="24"/>
          <w:szCs w:val="24"/>
        </w:rPr>
        <w:t xml:space="preserve"> également à les rendre plus aptes à assurer la protection de l’intégrité territoriale, à lutter contre la criminalité transfrontalière et le crime organisé, contre la prolifération des armes légère</w:t>
      </w:r>
      <w:r w:rsidR="00EB2EC6" w:rsidRPr="00944EE4">
        <w:rPr>
          <w:rFonts w:ascii="Times New Roman" w:hAnsi="Times New Roman" w:cs="Times New Roman"/>
          <w:sz w:val="24"/>
          <w:szCs w:val="24"/>
        </w:rPr>
        <w:t xml:space="preserve">s et petits calibres et contre </w:t>
      </w:r>
      <w:r w:rsidRPr="00944EE4">
        <w:rPr>
          <w:rFonts w:ascii="Times New Roman" w:hAnsi="Times New Roman" w:cs="Times New Roman"/>
          <w:sz w:val="24"/>
          <w:szCs w:val="24"/>
        </w:rPr>
        <w:t xml:space="preserve">le terrorisme. </w:t>
      </w:r>
    </w:p>
    <w:p w14:paraId="6B6E258F" w14:textId="35B8CBCD" w:rsidR="00AA3D0E" w:rsidRPr="00944EE4" w:rsidRDefault="00880F37" w:rsidP="00AA3D0E">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Le renforcement des capacités techniques et institutionnelles </w:t>
      </w:r>
      <w:r w:rsidR="000D4050" w:rsidRPr="00944EE4">
        <w:rPr>
          <w:rFonts w:ascii="Times New Roman" w:hAnsi="Times New Roman" w:cs="Times New Roman"/>
          <w:sz w:val="24"/>
          <w:szCs w:val="24"/>
        </w:rPr>
        <w:t>de la</w:t>
      </w:r>
      <w:r w:rsidRPr="00944EE4">
        <w:rPr>
          <w:rFonts w:ascii="Times New Roman" w:hAnsi="Times New Roman" w:cs="Times New Roman"/>
          <w:sz w:val="24"/>
          <w:szCs w:val="24"/>
        </w:rPr>
        <w:t xml:space="preserve"> Commission nationale DDR sera </w:t>
      </w:r>
      <w:r w:rsidR="00EB2EC6" w:rsidRPr="00944EE4">
        <w:rPr>
          <w:rFonts w:ascii="Times New Roman" w:hAnsi="Times New Roman" w:cs="Times New Roman"/>
          <w:sz w:val="24"/>
          <w:szCs w:val="24"/>
        </w:rPr>
        <w:t>poursuivi</w:t>
      </w:r>
      <w:r w:rsidRPr="00944EE4">
        <w:rPr>
          <w:rFonts w:ascii="Times New Roman" w:hAnsi="Times New Roman" w:cs="Times New Roman"/>
          <w:sz w:val="24"/>
          <w:szCs w:val="24"/>
        </w:rPr>
        <w:t xml:space="preserve"> afin d’assurer un bon déroulement de la </w:t>
      </w:r>
      <w:r w:rsidRPr="00944EE4">
        <w:rPr>
          <w:rFonts w:ascii="Times New Roman" w:hAnsi="Times New Roman" w:cs="Times New Roman"/>
          <w:b/>
          <w:i/>
          <w:sz w:val="24"/>
          <w:szCs w:val="24"/>
        </w:rPr>
        <w:t>démobilisation et de la réinsertion des ex-combattants</w:t>
      </w:r>
      <w:r w:rsidRPr="00944EE4">
        <w:rPr>
          <w:rFonts w:ascii="Times New Roman" w:hAnsi="Times New Roman" w:cs="Times New Roman"/>
          <w:sz w:val="24"/>
          <w:szCs w:val="24"/>
        </w:rPr>
        <w:t> y compris </w:t>
      </w:r>
      <w:r w:rsidRPr="00944EE4">
        <w:rPr>
          <w:rFonts w:ascii="Times New Roman" w:hAnsi="Times New Roman" w:cs="Times New Roman"/>
          <w:bCs/>
          <w:sz w:val="24"/>
          <w:szCs w:val="24"/>
        </w:rPr>
        <w:t>la réinsertion d</w:t>
      </w:r>
      <w:r w:rsidRPr="00944EE4">
        <w:rPr>
          <w:rFonts w:ascii="Times New Roman" w:hAnsi="Times New Roman" w:cs="Times New Roman"/>
          <w:sz w:val="24"/>
          <w:szCs w:val="24"/>
        </w:rPr>
        <w:t xml:space="preserve">es enfants </w:t>
      </w:r>
      <w:r w:rsidRPr="00944EE4">
        <w:rPr>
          <w:rFonts w:ascii="Times New Roman" w:hAnsi="Times New Roman" w:cs="Times New Roman"/>
          <w:bCs/>
          <w:sz w:val="24"/>
          <w:szCs w:val="24"/>
        </w:rPr>
        <w:t xml:space="preserve">associés aux forces et groupes armés dans les communautés, et la réunification avec leurs familles. </w:t>
      </w:r>
    </w:p>
    <w:p w14:paraId="7BA3D6D5" w14:textId="77777777" w:rsidR="00AA3D0E" w:rsidRPr="00944EE4" w:rsidRDefault="00AA3D0E" w:rsidP="00AA3D0E">
      <w:pPr>
        <w:spacing w:line="276" w:lineRule="auto"/>
        <w:jc w:val="both"/>
        <w:rPr>
          <w:rFonts w:ascii="Times New Roman" w:hAnsi="Times New Roman" w:cs="Times New Roman"/>
          <w:bCs/>
          <w:sz w:val="24"/>
          <w:szCs w:val="24"/>
        </w:rPr>
      </w:pPr>
    </w:p>
    <w:p w14:paraId="57759B32" w14:textId="73BEC5EC" w:rsidR="00AA3D0E" w:rsidRPr="00944EE4" w:rsidRDefault="00880F37" w:rsidP="00AA3D0E">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Les Nations Unies </w:t>
      </w:r>
      <w:r w:rsidR="001E4F64" w:rsidRPr="00944EE4">
        <w:rPr>
          <w:rFonts w:ascii="Times New Roman" w:hAnsi="Times New Roman" w:cs="Times New Roman"/>
          <w:sz w:val="24"/>
          <w:szCs w:val="24"/>
        </w:rPr>
        <w:t>contin</w:t>
      </w:r>
      <w:r w:rsidR="00EB2EC6" w:rsidRPr="00944EE4">
        <w:rPr>
          <w:rFonts w:ascii="Times New Roman" w:hAnsi="Times New Roman" w:cs="Times New Roman"/>
          <w:sz w:val="24"/>
          <w:szCs w:val="24"/>
        </w:rPr>
        <w:t>u</w:t>
      </w:r>
      <w:r w:rsidR="001E4F64" w:rsidRPr="00944EE4">
        <w:rPr>
          <w:rFonts w:ascii="Times New Roman" w:hAnsi="Times New Roman" w:cs="Times New Roman"/>
          <w:sz w:val="24"/>
          <w:szCs w:val="24"/>
        </w:rPr>
        <w:t>e</w:t>
      </w:r>
      <w:r w:rsidR="00EB2EC6" w:rsidRPr="00944EE4">
        <w:rPr>
          <w:rFonts w:ascii="Times New Roman" w:hAnsi="Times New Roman" w:cs="Times New Roman"/>
          <w:sz w:val="24"/>
          <w:szCs w:val="24"/>
        </w:rPr>
        <w:t xml:space="preserve">ront aussi à </w:t>
      </w:r>
      <w:r w:rsidRPr="00944EE4">
        <w:rPr>
          <w:rFonts w:ascii="Times New Roman" w:hAnsi="Times New Roman" w:cs="Times New Roman"/>
          <w:sz w:val="24"/>
          <w:szCs w:val="24"/>
        </w:rPr>
        <w:t xml:space="preserve">renforcer les capacités du Gouvernement et des Forces </w:t>
      </w:r>
      <w:r w:rsidR="00A12C31" w:rsidRPr="00944EE4">
        <w:rPr>
          <w:rFonts w:ascii="Times New Roman" w:hAnsi="Times New Roman" w:cs="Times New Roman"/>
          <w:sz w:val="24"/>
          <w:szCs w:val="24"/>
        </w:rPr>
        <w:t xml:space="preserve">de Défense et Securité Maliennes </w:t>
      </w:r>
      <w:r w:rsidRPr="00944EE4">
        <w:rPr>
          <w:rFonts w:ascii="Times New Roman" w:hAnsi="Times New Roman" w:cs="Times New Roman"/>
          <w:sz w:val="24"/>
          <w:szCs w:val="24"/>
        </w:rPr>
        <w:t xml:space="preserve">à réduire </w:t>
      </w:r>
      <w:r w:rsidRPr="00944EE4">
        <w:rPr>
          <w:rFonts w:ascii="Times New Roman" w:hAnsi="Times New Roman" w:cs="Times New Roman"/>
          <w:b/>
          <w:sz w:val="24"/>
          <w:szCs w:val="24"/>
        </w:rPr>
        <w:t>les risques liés aux mines et restes explosifs de guerre</w:t>
      </w:r>
      <w:r w:rsidR="00A12C31" w:rsidRPr="00944EE4">
        <w:rPr>
          <w:rFonts w:ascii="Times New Roman" w:hAnsi="Times New Roman" w:cs="Times New Roman"/>
          <w:b/>
          <w:sz w:val="24"/>
          <w:szCs w:val="24"/>
        </w:rPr>
        <w:t xml:space="preserve"> ainsi que les armes légères et de petit calibre</w:t>
      </w:r>
      <w:r w:rsidR="00EB2EC6" w:rsidRPr="00944EE4">
        <w:rPr>
          <w:rFonts w:ascii="Times New Roman" w:hAnsi="Times New Roman" w:cs="Times New Roman"/>
          <w:sz w:val="24"/>
          <w:szCs w:val="24"/>
        </w:rPr>
        <w:t xml:space="preserve">, notamment </w:t>
      </w:r>
      <w:r w:rsidRPr="00944EE4">
        <w:rPr>
          <w:rFonts w:ascii="Times New Roman" w:hAnsi="Times New Roman" w:cs="Times New Roman"/>
          <w:sz w:val="24"/>
          <w:szCs w:val="24"/>
        </w:rPr>
        <w:t>par la sensibilisation et les fo</w:t>
      </w:r>
      <w:r w:rsidR="00EB2EC6" w:rsidRPr="00944EE4">
        <w:rPr>
          <w:rFonts w:ascii="Times New Roman" w:hAnsi="Times New Roman" w:cs="Times New Roman"/>
          <w:sz w:val="24"/>
          <w:szCs w:val="24"/>
        </w:rPr>
        <w:t xml:space="preserve">rmations </w:t>
      </w:r>
      <w:r w:rsidRPr="00944EE4">
        <w:rPr>
          <w:rFonts w:ascii="Times New Roman" w:hAnsi="Times New Roman" w:cs="Times New Roman"/>
          <w:sz w:val="24"/>
          <w:szCs w:val="24"/>
        </w:rPr>
        <w:t>au niveau communautaire</w:t>
      </w:r>
      <w:r w:rsidR="00A12C31" w:rsidRPr="00944EE4">
        <w:rPr>
          <w:rFonts w:ascii="Times New Roman" w:hAnsi="Times New Roman" w:cs="Times New Roman"/>
          <w:sz w:val="24"/>
          <w:szCs w:val="24"/>
        </w:rPr>
        <w:t xml:space="preserve"> pour reduire l’impact sur les populations civiles</w:t>
      </w:r>
      <w:r w:rsidRPr="00944EE4">
        <w:rPr>
          <w:rFonts w:ascii="Times New Roman" w:hAnsi="Times New Roman" w:cs="Times New Roman"/>
          <w:sz w:val="24"/>
          <w:szCs w:val="24"/>
        </w:rPr>
        <w:t xml:space="preserve">. </w:t>
      </w:r>
    </w:p>
    <w:p w14:paraId="55CFA3B5" w14:textId="1806126B" w:rsidR="0053055F" w:rsidRPr="00944EE4" w:rsidRDefault="0053055F" w:rsidP="0053055F">
      <w:pPr>
        <w:jc w:val="both"/>
        <w:rPr>
          <w:rFonts w:ascii="Times New Roman" w:hAnsi="Times New Roman" w:cs="Times New Roman"/>
          <w:bCs/>
          <w:sz w:val="24"/>
          <w:szCs w:val="24"/>
          <w:highlight w:val="yellow"/>
        </w:rPr>
      </w:pPr>
    </w:p>
    <w:p w14:paraId="19C828BA" w14:textId="19AB01C1" w:rsidR="0053055F" w:rsidRPr="00944EE4" w:rsidRDefault="001E4F64" w:rsidP="0053055F">
      <w:pPr>
        <w:jc w:val="both"/>
        <w:rPr>
          <w:rFonts w:ascii="Times New Roman" w:hAnsi="Times New Roman" w:cs="Times New Roman"/>
          <w:bCs/>
          <w:sz w:val="24"/>
          <w:szCs w:val="24"/>
        </w:rPr>
      </w:pPr>
      <w:r w:rsidRPr="00944EE4">
        <w:rPr>
          <w:rFonts w:ascii="Times New Roman" w:hAnsi="Times New Roman" w:cs="Times New Roman"/>
          <w:bCs/>
          <w:sz w:val="24"/>
          <w:szCs w:val="24"/>
        </w:rPr>
        <w:t>A mi-</w:t>
      </w:r>
      <w:r w:rsidR="0053055F" w:rsidRPr="00944EE4">
        <w:rPr>
          <w:rFonts w:ascii="Times New Roman" w:hAnsi="Times New Roman" w:cs="Times New Roman"/>
          <w:bCs/>
          <w:sz w:val="24"/>
          <w:szCs w:val="24"/>
        </w:rPr>
        <w:t xml:space="preserve">parcours du cycle de programmation conjointe, l’interdépendance des enjeux de développement et de sécurité </w:t>
      </w:r>
      <w:r w:rsidR="00EB2EC6" w:rsidRPr="00944EE4">
        <w:rPr>
          <w:rFonts w:ascii="Times New Roman" w:hAnsi="Times New Roman" w:cs="Times New Roman"/>
          <w:bCs/>
          <w:sz w:val="24"/>
          <w:szCs w:val="24"/>
        </w:rPr>
        <w:t>de la région, qui se traduit</w:t>
      </w:r>
      <w:r w:rsidR="00634B94" w:rsidRPr="00944EE4">
        <w:rPr>
          <w:rFonts w:ascii="Times New Roman" w:hAnsi="Times New Roman" w:cs="Times New Roman"/>
          <w:bCs/>
          <w:sz w:val="24"/>
          <w:szCs w:val="24"/>
        </w:rPr>
        <w:t>,</w:t>
      </w:r>
      <w:r w:rsidR="00EB2EC6" w:rsidRPr="00944EE4">
        <w:rPr>
          <w:rFonts w:ascii="Times New Roman" w:hAnsi="Times New Roman" w:cs="Times New Roman"/>
          <w:bCs/>
          <w:sz w:val="24"/>
          <w:szCs w:val="24"/>
        </w:rPr>
        <w:t xml:space="preserve"> </w:t>
      </w:r>
      <w:r w:rsidR="00634B94" w:rsidRPr="00944EE4">
        <w:rPr>
          <w:rFonts w:ascii="Times New Roman" w:hAnsi="Times New Roman" w:cs="Times New Roman"/>
          <w:bCs/>
          <w:sz w:val="24"/>
          <w:szCs w:val="24"/>
        </w:rPr>
        <w:t xml:space="preserve">entre autres, </w:t>
      </w:r>
      <w:r w:rsidR="00EB2EC6" w:rsidRPr="00944EE4">
        <w:rPr>
          <w:rFonts w:ascii="Times New Roman" w:hAnsi="Times New Roman" w:cs="Times New Roman"/>
          <w:bCs/>
          <w:sz w:val="24"/>
          <w:szCs w:val="24"/>
        </w:rPr>
        <w:t>par l’opera</w:t>
      </w:r>
      <w:r w:rsidR="00634B94" w:rsidRPr="00944EE4">
        <w:rPr>
          <w:rFonts w:ascii="Times New Roman" w:hAnsi="Times New Roman" w:cs="Times New Roman"/>
          <w:bCs/>
          <w:sz w:val="24"/>
          <w:szCs w:val="24"/>
        </w:rPr>
        <w:t>t</w:t>
      </w:r>
      <w:r w:rsidR="00EB2EC6" w:rsidRPr="00944EE4">
        <w:rPr>
          <w:rFonts w:ascii="Times New Roman" w:hAnsi="Times New Roman" w:cs="Times New Roman"/>
          <w:bCs/>
          <w:sz w:val="24"/>
          <w:szCs w:val="24"/>
        </w:rPr>
        <w:t>ion</w:t>
      </w:r>
      <w:r w:rsidR="00634B94" w:rsidRPr="00944EE4">
        <w:rPr>
          <w:rFonts w:ascii="Times New Roman" w:hAnsi="Times New Roman" w:cs="Times New Roman"/>
          <w:bCs/>
          <w:sz w:val="24"/>
          <w:szCs w:val="24"/>
        </w:rPr>
        <w:t>na</w:t>
      </w:r>
      <w:r w:rsidR="00EB2EC6" w:rsidRPr="00944EE4">
        <w:rPr>
          <w:rFonts w:ascii="Times New Roman" w:hAnsi="Times New Roman" w:cs="Times New Roman"/>
          <w:bCs/>
          <w:sz w:val="24"/>
          <w:szCs w:val="24"/>
        </w:rPr>
        <w:t>lisation du G</w:t>
      </w:r>
      <w:r w:rsidR="001430EB" w:rsidRPr="00944EE4">
        <w:rPr>
          <w:rFonts w:ascii="Times New Roman" w:hAnsi="Times New Roman" w:cs="Times New Roman"/>
          <w:bCs/>
          <w:sz w:val="24"/>
          <w:szCs w:val="24"/>
        </w:rPr>
        <w:t>5 Sahel</w:t>
      </w:r>
      <w:r w:rsidR="0053055F" w:rsidRPr="00944EE4">
        <w:rPr>
          <w:rFonts w:ascii="Times New Roman" w:hAnsi="Times New Roman" w:cs="Times New Roman"/>
          <w:bCs/>
          <w:sz w:val="24"/>
          <w:szCs w:val="24"/>
        </w:rPr>
        <w:t xml:space="preserve">, </w:t>
      </w:r>
      <w:r w:rsidR="00634B94" w:rsidRPr="00944EE4">
        <w:rPr>
          <w:rFonts w:ascii="Times New Roman" w:hAnsi="Times New Roman" w:cs="Times New Roman"/>
          <w:bCs/>
          <w:sz w:val="24"/>
          <w:szCs w:val="24"/>
        </w:rPr>
        <w:t xml:space="preserve">appelle des interventions plus coordonnees a l’echelle regionale et la mise en œuvre effective de la </w:t>
      </w:r>
      <w:r w:rsidR="0053055F" w:rsidRPr="00944EE4">
        <w:rPr>
          <w:rFonts w:ascii="Times New Roman" w:hAnsi="Times New Roman" w:cs="Times New Roman"/>
          <w:bCs/>
          <w:sz w:val="24"/>
          <w:szCs w:val="24"/>
        </w:rPr>
        <w:t>Stratégie Intégrée pour le Sahel (UNISS), cadre spécifique d’accompagnement de la région, qui va bien au-delà de la sécurité pour embrasser le défi global du développement humain durable.</w:t>
      </w:r>
    </w:p>
    <w:p w14:paraId="2ECF3679" w14:textId="77777777" w:rsidR="0053055F" w:rsidRPr="00944EE4" w:rsidRDefault="0053055F" w:rsidP="0053055F">
      <w:pPr>
        <w:jc w:val="both"/>
        <w:rPr>
          <w:rFonts w:ascii="Times New Roman" w:hAnsi="Times New Roman" w:cs="Times New Roman"/>
          <w:bCs/>
          <w:sz w:val="24"/>
          <w:szCs w:val="24"/>
          <w:highlight w:val="yellow"/>
        </w:rPr>
      </w:pPr>
    </w:p>
    <w:p w14:paraId="1F58CD0D" w14:textId="1C490472" w:rsidR="00AA3D0E" w:rsidRPr="00944EE4" w:rsidRDefault="00880F37" w:rsidP="00AA3D0E">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Dans le deuxième effet, « </w:t>
      </w:r>
      <w:r w:rsidRPr="00944EE4">
        <w:rPr>
          <w:rFonts w:ascii="Times New Roman" w:hAnsi="Times New Roman" w:cs="Times New Roman"/>
          <w:b/>
          <w:sz w:val="24"/>
          <w:szCs w:val="24"/>
        </w:rPr>
        <w:t>D’ici 2019, la cohésion sociale est facilitée par la justice transitionnelle</w:t>
      </w:r>
      <w:r w:rsidRPr="00944EE4">
        <w:rPr>
          <w:rFonts w:ascii="Times New Roman" w:hAnsi="Times New Roman" w:cs="Times New Roman"/>
          <w:b/>
          <w:i/>
          <w:sz w:val="24"/>
          <w:szCs w:val="24"/>
        </w:rPr>
        <w:t>,</w:t>
      </w:r>
      <w:r w:rsidRPr="00944EE4">
        <w:rPr>
          <w:rFonts w:ascii="Times New Roman" w:hAnsi="Times New Roman" w:cs="Times New Roman"/>
          <w:b/>
          <w:sz w:val="24"/>
          <w:szCs w:val="24"/>
        </w:rPr>
        <w:t xml:space="preserve"> le dialogue communautaire inclusif, la culture et l’éducation pour la paix</w:t>
      </w:r>
      <w:r w:rsidR="00634B94" w:rsidRPr="00944EE4">
        <w:rPr>
          <w:rFonts w:ascii="Times New Roman" w:hAnsi="Times New Roman" w:cs="Times New Roman"/>
          <w:b/>
          <w:sz w:val="24"/>
          <w:szCs w:val="24"/>
        </w:rPr>
        <w:t xml:space="preserve"> </w:t>
      </w:r>
      <w:r w:rsidRPr="00944EE4">
        <w:rPr>
          <w:rFonts w:ascii="Times New Roman" w:hAnsi="Times New Roman" w:cs="Times New Roman"/>
          <w:b/>
          <w:sz w:val="24"/>
          <w:szCs w:val="24"/>
        </w:rPr>
        <w:t>»</w:t>
      </w:r>
      <w:r w:rsidRPr="00944EE4">
        <w:rPr>
          <w:rFonts w:ascii="Times New Roman" w:hAnsi="Times New Roman" w:cs="Times New Roman"/>
          <w:sz w:val="24"/>
          <w:szCs w:val="24"/>
        </w:rPr>
        <w:t xml:space="preserve">, les Nations Unies </w:t>
      </w:r>
      <w:r w:rsidR="00634B94" w:rsidRPr="00944EE4">
        <w:rPr>
          <w:rFonts w:ascii="Times New Roman" w:hAnsi="Times New Roman" w:cs="Times New Roman"/>
          <w:sz w:val="24"/>
          <w:szCs w:val="24"/>
        </w:rPr>
        <w:t xml:space="preserve">continueront </w:t>
      </w:r>
      <w:r w:rsidRPr="00944EE4">
        <w:rPr>
          <w:rFonts w:ascii="Times New Roman" w:hAnsi="Times New Roman" w:cs="Times New Roman"/>
          <w:sz w:val="24"/>
          <w:szCs w:val="24"/>
        </w:rPr>
        <w:t xml:space="preserve">s’engager dans les interventions suivantes : </w:t>
      </w:r>
    </w:p>
    <w:p w14:paraId="2CBF208C" w14:textId="77777777" w:rsidR="00AA3D0E" w:rsidRPr="00944EE4" w:rsidRDefault="00AA3D0E" w:rsidP="00AA3D0E">
      <w:pPr>
        <w:spacing w:line="276" w:lineRule="auto"/>
        <w:jc w:val="both"/>
        <w:rPr>
          <w:rFonts w:ascii="Times New Roman" w:hAnsi="Times New Roman" w:cs="Times New Roman"/>
          <w:sz w:val="24"/>
          <w:szCs w:val="24"/>
        </w:rPr>
      </w:pPr>
    </w:p>
    <w:p w14:paraId="3B5076DF" w14:textId="48AE8B11" w:rsidR="00AA3D0E" w:rsidRPr="00944EE4" w:rsidRDefault="00880F37" w:rsidP="00AA3D0E">
      <w:pPr>
        <w:spacing w:line="276" w:lineRule="auto"/>
        <w:jc w:val="both"/>
        <w:rPr>
          <w:rFonts w:ascii="Times New Roman" w:hAnsi="Times New Roman" w:cs="Times New Roman"/>
          <w:bCs/>
          <w:sz w:val="24"/>
          <w:szCs w:val="24"/>
        </w:rPr>
      </w:pPr>
      <w:r w:rsidRPr="00944EE4">
        <w:rPr>
          <w:rFonts w:ascii="Times New Roman" w:hAnsi="Times New Roman" w:cs="Times New Roman"/>
          <w:bCs/>
          <w:sz w:val="24"/>
          <w:szCs w:val="24"/>
        </w:rPr>
        <w:t xml:space="preserve">Les capacités techniques de la Commission Vérité, Justice, Réconciliation (CVJR) </w:t>
      </w:r>
      <w:r w:rsidR="00634B94" w:rsidRPr="00944EE4">
        <w:rPr>
          <w:rFonts w:ascii="Times New Roman" w:hAnsi="Times New Roman" w:cs="Times New Roman"/>
          <w:bCs/>
          <w:sz w:val="24"/>
          <w:szCs w:val="24"/>
        </w:rPr>
        <w:t>continueront</w:t>
      </w:r>
      <w:r w:rsidRPr="00944EE4">
        <w:rPr>
          <w:rFonts w:ascii="Times New Roman" w:hAnsi="Times New Roman" w:cs="Times New Roman"/>
          <w:bCs/>
          <w:sz w:val="24"/>
          <w:szCs w:val="24"/>
        </w:rPr>
        <w:t xml:space="preserve"> </w:t>
      </w:r>
      <w:r w:rsidR="00634B94" w:rsidRPr="00944EE4">
        <w:rPr>
          <w:rFonts w:ascii="Times New Roman" w:hAnsi="Times New Roman" w:cs="Times New Roman"/>
          <w:bCs/>
          <w:sz w:val="24"/>
          <w:szCs w:val="24"/>
        </w:rPr>
        <w:t xml:space="preserve">a etre </w:t>
      </w:r>
      <w:r w:rsidRPr="00944EE4">
        <w:rPr>
          <w:rFonts w:ascii="Times New Roman" w:hAnsi="Times New Roman" w:cs="Times New Roman"/>
          <w:bCs/>
          <w:sz w:val="24"/>
          <w:szCs w:val="24"/>
        </w:rPr>
        <w:t xml:space="preserve">renforcées dans le cadre de </w:t>
      </w:r>
      <w:r w:rsidRPr="00944EE4">
        <w:rPr>
          <w:rFonts w:ascii="Times New Roman" w:hAnsi="Times New Roman" w:cs="Times New Roman"/>
          <w:b/>
          <w:bCs/>
          <w:i/>
          <w:sz w:val="24"/>
          <w:szCs w:val="24"/>
        </w:rPr>
        <w:t>la réconciliation</w:t>
      </w:r>
      <w:r w:rsidRPr="00944EE4">
        <w:rPr>
          <w:rFonts w:ascii="Times New Roman" w:hAnsi="Times New Roman" w:cs="Times New Roman"/>
          <w:b/>
          <w:bCs/>
          <w:sz w:val="24"/>
          <w:szCs w:val="24"/>
        </w:rPr>
        <w:t xml:space="preserve"> </w:t>
      </w:r>
      <w:r w:rsidRPr="00944EE4">
        <w:rPr>
          <w:rFonts w:ascii="Times New Roman" w:hAnsi="Times New Roman" w:cs="Times New Roman"/>
          <w:bCs/>
          <w:sz w:val="24"/>
          <w:szCs w:val="24"/>
        </w:rPr>
        <w:t xml:space="preserve">et de la </w:t>
      </w:r>
      <w:r w:rsidRPr="00944EE4">
        <w:rPr>
          <w:rFonts w:ascii="Times New Roman" w:hAnsi="Times New Roman" w:cs="Times New Roman"/>
          <w:b/>
          <w:bCs/>
          <w:i/>
          <w:sz w:val="24"/>
          <w:szCs w:val="24"/>
        </w:rPr>
        <w:t xml:space="preserve">justice transitionnelle, </w:t>
      </w:r>
      <w:r w:rsidRPr="00944EE4">
        <w:rPr>
          <w:rFonts w:ascii="Times New Roman" w:hAnsi="Times New Roman" w:cs="Times New Roman"/>
          <w:bCs/>
          <w:sz w:val="24"/>
          <w:szCs w:val="24"/>
        </w:rPr>
        <w:t>pour la promotion du droit à la vérité, à la justice et à la réparation des victimes, avec une participation active de la société civile.</w:t>
      </w:r>
      <w:r w:rsidRPr="00944EE4">
        <w:rPr>
          <w:rFonts w:ascii="Times New Roman" w:hAnsi="Times New Roman" w:cs="Times New Roman"/>
          <w:sz w:val="24"/>
          <w:szCs w:val="24"/>
        </w:rPr>
        <w:t xml:space="preserve"> </w:t>
      </w:r>
      <w:r w:rsidRPr="00944EE4">
        <w:rPr>
          <w:rFonts w:ascii="Times New Roman" w:hAnsi="Times New Roman" w:cs="Times New Roman"/>
          <w:bCs/>
          <w:sz w:val="24"/>
          <w:szCs w:val="24"/>
        </w:rPr>
        <w:t xml:space="preserve">Afin que la commission dialogue et réconciliation soit inclusive et assure son mandat de façon efficiente, </w:t>
      </w:r>
      <w:r w:rsidR="00634B94" w:rsidRPr="00944EE4">
        <w:rPr>
          <w:rFonts w:ascii="Times New Roman" w:hAnsi="Times New Roman" w:cs="Times New Roman"/>
          <w:bCs/>
          <w:sz w:val="24"/>
          <w:szCs w:val="24"/>
        </w:rPr>
        <w:t>l’</w:t>
      </w:r>
      <w:r w:rsidRPr="00944EE4">
        <w:rPr>
          <w:rFonts w:ascii="Times New Roman" w:hAnsi="Times New Roman" w:cs="Times New Roman"/>
          <w:bCs/>
          <w:sz w:val="24"/>
          <w:szCs w:val="24"/>
        </w:rPr>
        <w:t xml:space="preserve">accent </w:t>
      </w:r>
      <w:r w:rsidR="00634B94" w:rsidRPr="00944EE4">
        <w:rPr>
          <w:rFonts w:ascii="Times New Roman" w:hAnsi="Times New Roman" w:cs="Times New Roman"/>
          <w:bCs/>
          <w:sz w:val="24"/>
          <w:szCs w:val="24"/>
        </w:rPr>
        <w:t>mis sur le renforcement</w:t>
      </w:r>
      <w:r w:rsidRPr="00944EE4">
        <w:rPr>
          <w:rFonts w:ascii="Times New Roman" w:hAnsi="Times New Roman" w:cs="Times New Roman"/>
          <w:bCs/>
          <w:sz w:val="24"/>
          <w:szCs w:val="24"/>
        </w:rPr>
        <w:t xml:space="preserve"> des capacités des femmes</w:t>
      </w:r>
      <w:r w:rsidR="00634B94" w:rsidRPr="00944EE4">
        <w:rPr>
          <w:rFonts w:ascii="Times New Roman" w:hAnsi="Times New Roman" w:cs="Times New Roman"/>
          <w:bCs/>
          <w:sz w:val="24"/>
          <w:szCs w:val="24"/>
        </w:rPr>
        <w:t xml:space="preserve"> sera poursuivi</w:t>
      </w:r>
      <w:r w:rsidRPr="00944EE4">
        <w:rPr>
          <w:rFonts w:ascii="Times New Roman" w:hAnsi="Times New Roman" w:cs="Times New Roman"/>
          <w:bCs/>
          <w:sz w:val="24"/>
          <w:szCs w:val="24"/>
        </w:rPr>
        <w:t xml:space="preserve">, </w:t>
      </w:r>
      <w:r w:rsidR="00634B94" w:rsidRPr="00944EE4">
        <w:rPr>
          <w:rFonts w:ascii="Times New Roman" w:hAnsi="Times New Roman" w:cs="Times New Roman"/>
          <w:bCs/>
          <w:sz w:val="24"/>
          <w:szCs w:val="24"/>
        </w:rPr>
        <w:t xml:space="preserve">celles-ci etant </w:t>
      </w:r>
      <w:r w:rsidRPr="00944EE4">
        <w:rPr>
          <w:rFonts w:ascii="Times New Roman" w:hAnsi="Times New Roman" w:cs="Times New Roman"/>
          <w:bCs/>
          <w:sz w:val="24"/>
          <w:szCs w:val="24"/>
        </w:rPr>
        <w:t xml:space="preserve">encore minoritaires, </w:t>
      </w:r>
      <w:r w:rsidR="00634B94" w:rsidRPr="00944EE4">
        <w:rPr>
          <w:rFonts w:ascii="Times New Roman" w:hAnsi="Times New Roman" w:cs="Times New Roman"/>
          <w:bCs/>
          <w:sz w:val="24"/>
          <w:szCs w:val="24"/>
        </w:rPr>
        <w:t>avec seulement</w:t>
      </w:r>
      <w:r w:rsidRPr="00944EE4">
        <w:rPr>
          <w:rFonts w:ascii="Times New Roman" w:hAnsi="Times New Roman" w:cs="Times New Roman"/>
          <w:bCs/>
          <w:sz w:val="24"/>
          <w:szCs w:val="24"/>
        </w:rPr>
        <w:t xml:space="preserve"> 7 femmes </w:t>
      </w:r>
      <w:r w:rsidR="00634B94" w:rsidRPr="00944EE4">
        <w:rPr>
          <w:rFonts w:ascii="Times New Roman" w:hAnsi="Times New Roman" w:cs="Times New Roman"/>
          <w:bCs/>
          <w:sz w:val="24"/>
          <w:szCs w:val="24"/>
        </w:rPr>
        <w:t>(</w:t>
      </w:r>
      <w:r w:rsidRPr="00944EE4">
        <w:rPr>
          <w:rFonts w:ascii="Times New Roman" w:hAnsi="Times New Roman" w:cs="Times New Roman"/>
          <w:bCs/>
          <w:sz w:val="24"/>
          <w:szCs w:val="24"/>
        </w:rPr>
        <w:t>dont la première vice-présidente</w:t>
      </w:r>
      <w:r w:rsidR="00634B94" w:rsidRPr="00944EE4">
        <w:rPr>
          <w:rFonts w:ascii="Times New Roman" w:hAnsi="Times New Roman" w:cs="Times New Roman"/>
          <w:bCs/>
          <w:sz w:val="24"/>
          <w:szCs w:val="24"/>
        </w:rPr>
        <w:t>)</w:t>
      </w:r>
      <w:r w:rsidRPr="00944EE4">
        <w:rPr>
          <w:rFonts w:ascii="Times New Roman" w:hAnsi="Times New Roman" w:cs="Times New Roman"/>
          <w:bCs/>
          <w:sz w:val="24"/>
          <w:szCs w:val="24"/>
        </w:rPr>
        <w:t xml:space="preserve"> sur 33 membres.</w:t>
      </w:r>
    </w:p>
    <w:p w14:paraId="18ED24F4" w14:textId="77777777" w:rsidR="00AA3D0E" w:rsidRPr="00944EE4" w:rsidRDefault="00AA3D0E" w:rsidP="00AA3D0E">
      <w:pPr>
        <w:spacing w:line="276" w:lineRule="auto"/>
        <w:jc w:val="both"/>
        <w:rPr>
          <w:rFonts w:ascii="Times New Roman" w:hAnsi="Times New Roman" w:cs="Times New Roman"/>
          <w:bCs/>
          <w:sz w:val="24"/>
          <w:szCs w:val="24"/>
        </w:rPr>
      </w:pPr>
    </w:p>
    <w:p w14:paraId="5CAF533F" w14:textId="1F16B093" w:rsidR="00AA3D0E" w:rsidRPr="00944EE4" w:rsidRDefault="00880F37" w:rsidP="00AA3D0E">
      <w:pPr>
        <w:spacing w:line="276" w:lineRule="auto"/>
        <w:jc w:val="both"/>
        <w:rPr>
          <w:rFonts w:ascii="Times New Roman" w:hAnsi="Times New Roman" w:cs="Times New Roman"/>
          <w:bCs/>
          <w:sz w:val="24"/>
          <w:szCs w:val="24"/>
        </w:rPr>
      </w:pPr>
      <w:r w:rsidRPr="00944EE4">
        <w:rPr>
          <w:rFonts w:ascii="Times New Roman" w:hAnsi="Times New Roman" w:cs="Times New Roman"/>
          <w:bCs/>
          <w:sz w:val="24"/>
          <w:szCs w:val="24"/>
        </w:rPr>
        <w:t xml:space="preserve">Pour la prévention et la gestion des conflits, les Nations Unies </w:t>
      </w:r>
      <w:r w:rsidR="00634B94" w:rsidRPr="00944EE4">
        <w:rPr>
          <w:rFonts w:ascii="Times New Roman" w:hAnsi="Times New Roman" w:cs="Times New Roman"/>
          <w:bCs/>
          <w:sz w:val="24"/>
          <w:szCs w:val="24"/>
        </w:rPr>
        <w:t xml:space="preserve">contineuront à </w:t>
      </w:r>
      <w:r w:rsidRPr="00944EE4">
        <w:rPr>
          <w:rFonts w:ascii="Times New Roman" w:hAnsi="Times New Roman" w:cs="Times New Roman"/>
          <w:bCs/>
          <w:sz w:val="24"/>
          <w:szCs w:val="24"/>
        </w:rPr>
        <w:t xml:space="preserve">renforcer les capacités des communautés à mettre en place des espaces de </w:t>
      </w:r>
      <w:r w:rsidRPr="00944EE4">
        <w:rPr>
          <w:rFonts w:ascii="Times New Roman" w:hAnsi="Times New Roman" w:cs="Times New Roman"/>
          <w:b/>
          <w:bCs/>
          <w:i/>
          <w:sz w:val="24"/>
          <w:szCs w:val="24"/>
        </w:rPr>
        <w:t>dialogue inter et intra-communautaire</w:t>
      </w:r>
      <w:r w:rsidRPr="00944EE4">
        <w:rPr>
          <w:rFonts w:ascii="Times New Roman" w:hAnsi="Times New Roman" w:cs="Times New Roman"/>
          <w:bCs/>
          <w:sz w:val="24"/>
          <w:szCs w:val="24"/>
        </w:rPr>
        <w:t xml:space="preserve"> et à promouvoir la cohésion sociale et la tolérance</w:t>
      </w:r>
      <w:r w:rsidR="00634B94" w:rsidRPr="00944EE4">
        <w:rPr>
          <w:rFonts w:ascii="Times New Roman" w:hAnsi="Times New Roman" w:cs="Times New Roman"/>
          <w:bCs/>
          <w:sz w:val="24"/>
          <w:szCs w:val="24"/>
        </w:rPr>
        <w:t>, notamment dans le cadre de la S</w:t>
      </w:r>
      <w:r w:rsidRPr="00944EE4">
        <w:rPr>
          <w:rFonts w:ascii="Times New Roman" w:hAnsi="Times New Roman" w:cs="Times New Roman"/>
          <w:bCs/>
          <w:sz w:val="24"/>
          <w:szCs w:val="24"/>
        </w:rPr>
        <w:t>tratégie pour les solutions durables au Mali.</w:t>
      </w:r>
    </w:p>
    <w:p w14:paraId="640FFF89" w14:textId="0667E89F" w:rsidR="00AA3D0E" w:rsidRPr="00944EE4" w:rsidRDefault="00880F37" w:rsidP="00AA3D0E">
      <w:pPr>
        <w:widowControl w:val="0"/>
        <w:snapToGrid w:val="0"/>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lastRenderedPageBreak/>
        <w:t xml:space="preserve">Les Nations Unies </w:t>
      </w:r>
      <w:r w:rsidR="00634B94" w:rsidRPr="00944EE4">
        <w:rPr>
          <w:rFonts w:ascii="Times New Roman" w:hAnsi="Times New Roman" w:cs="Times New Roman"/>
          <w:sz w:val="24"/>
          <w:szCs w:val="24"/>
        </w:rPr>
        <w:t>continueront aussi promouvoir</w:t>
      </w:r>
      <w:r w:rsidRPr="00944EE4">
        <w:rPr>
          <w:rFonts w:ascii="Times New Roman" w:hAnsi="Times New Roman" w:cs="Times New Roman"/>
          <w:sz w:val="24"/>
          <w:szCs w:val="24"/>
        </w:rPr>
        <w:t xml:space="preserve"> </w:t>
      </w:r>
      <w:r w:rsidRPr="00944EE4">
        <w:rPr>
          <w:rFonts w:ascii="Times New Roman" w:hAnsi="Times New Roman" w:cs="Times New Roman"/>
          <w:b/>
          <w:i/>
          <w:sz w:val="24"/>
          <w:szCs w:val="24"/>
        </w:rPr>
        <w:t>l’éducation à la culture de la paix</w:t>
      </w:r>
      <w:r w:rsidRPr="00944EE4">
        <w:rPr>
          <w:rFonts w:ascii="Times New Roman" w:hAnsi="Times New Roman" w:cs="Times New Roman"/>
          <w:sz w:val="24"/>
          <w:szCs w:val="24"/>
        </w:rPr>
        <w:t xml:space="preserve"> à travers l’intégration de l’éducation de la paix dans le programme scolaire au niveau national. </w:t>
      </w:r>
    </w:p>
    <w:p w14:paraId="54CB0701" w14:textId="77777777" w:rsidR="00AA3D0E" w:rsidRPr="00944EE4" w:rsidRDefault="00AA3D0E" w:rsidP="00AA3D0E">
      <w:pPr>
        <w:spacing w:line="276" w:lineRule="auto"/>
        <w:jc w:val="both"/>
        <w:rPr>
          <w:rFonts w:ascii="Times New Roman" w:hAnsi="Times New Roman" w:cs="Times New Roman"/>
          <w:sz w:val="24"/>
          <w:szCs w:val="24"/>
        </w:rPr>
      </w:pPr>
    </w:p>
    <w:p w14:paraId="0BD8A235" w14:textId="6811E67D" w:rsidR="00AA3D0E" w:rsidRPr="00944EE4" w:rsidRDefault="00880F37" w:rsidP="00AA3D0E">
      <w:pPr>
        <w:spacing w:line="276" w:lineRule="auto"/>
        <w:rPr>
          <w:rFonts w:ascii="Times New Roman" w:hAnsi="Times New Roman" w:cs="Times New Roman"/>
          <w:color w:val="1F497D"/>
          <w:sz w:val="24"/>
          <w:szCs w:val="24"/>
        </w:rPr>
      </w:pPr>
      <w:r w:rsidRPr="00944EE4">
        <w:rPr>
          <w:rFonts w:ascii="Times New Roman" w:hAnsi="Times New Roman" w:cs="Times New Roman"/>
          <w:sz w:val="24"/>
          <w:szCs w:val="24"/>
        </w:rPr>
        <w:t xml:space="preserve">L’appui </w:t>
      </w:r>
      <w:r w:rsidR="00634B94" w:rsidRPr="00944EE4">
        <w:rPr>
          <w:rFonts w:ascii="Times New Roman" w:hAnsi="Times New Roman" w:cs="Times New Roman"/>
          <w:sz w:val="24"/>
          <w:szCs w:val="24"/>
        </w:rPr>
        <w:t xml:space="preserve">continu </w:t>
      </w:r>
      <w:r w:rsidRPr="00944EE4">
        <w:rPr>
          <w:rFonts w:ascii="Times New Roman" w:hAnsi="Times New Roman" w:cs="Times New Roman"/>
          <w:sz w:val="24"/>
          <w:szCs w:val="24"/>
        </w:rPr>
        <w:t xml:space="preserve">à </w:t>
      </w:r>
      <w:r w:rsidRPr="00944EE4">
        <w:rPr>
          <w:rFonts w:ascii="Times New Roman" w:hAnsi="Times New Roman" w:cs="Times New Roman"/>
          <w:b/>
          <w:i/>
          <w:sz w:val="24"/>
          <w:szCs w:val="24"/>
        </w:rPr>
        <w:t>la sauvegarde du patrimoine culturel et la promotion de la diversité culturelle</w:t>
      </w:r>
      <w:r w:rsidR="00634B94" w:rsidRPr="00944EE4">
        <w:rPr>
          <w:rFonts w:ascii="Times New Roman" w:hAnsi="Times New Roman" w:cs="Times New Roman"/>
          <w:sz w:val="24"/>
          <w:szCs w:val="24"/>
        </w:rPr>
        <w:t xml:space="preserve"> permettra</w:t>
      </w:r>
      <w:r w:rsidRPr="00944EE4">
        <w:rPr>
          <w:rFonts w:ascii="Times New Roman" w:hAnsi="Times New Roman" w:cs="Times New Roman"/>
          <w:sz w:val="24"/>
          <w:szCs w:val="24"/>
        </w:rPr>
        <w:t xml:space="preserve"> notamment de restaurer la di</w:t>
      </w:r>
      <w:r w:rsidR="00634B94" w:rsidRPr="00944EE4">
        <w:rPr>
          <w:rFonts w:ascii="Times New Roman" w:hAnsi="Times New Roman" w:cs="Times New Roman"/>
          <w:sz w:val="24"/>
          <w:szCs w:val="24"/>
        </w:rPr>
        <w:t>gnité des communautés dans la partie N</w:t>
      </w:r>
      <w:r w:rsidRPr="00944EE4">
        <w:rPr>
          <w:rFonts w:ascii="Times New Roman" w:hAnsi="Times New Roman" w:cs="Times New Roman"/>
          <w:sz w:val="24"/>
          <w:szCs w:val="24"/>
        </w:rPr>
        <w:t>ord</w:t>
      </w:r>
      <w:r w:rsidR="00634B94" w:rsidRPr="00944EE4">
        <w:rPr>
          <w:rFonts w:ascii="Times New Roman" w:hAnsi="Times New Roman" w:cs="Times New Roman"/>
          <w:sz w:val="24"/>
          <w:szCs w:val="24"/>
        </w:rPr>
        <w:t>,</w:t>
      </w:r>
      <w:r w:rsidRPr="00944EE4">
        <w:rPr>
          <w:rFonts w:ascii="Times New Roman" w:hAnsi="Times New Roman" w:cs="Times New Roman"/>
          <w:sz w:val="24"/>
          <w:szCs w:val="24"/>
        </w:rPr>
        <w:t xml:space="preserve"> dont le développement socio-économique dépend fortement de son patrimoine culturel. Ainsi la culture pourra </w:t>
      </w:r>
      <w:r w:rsidR="001E4F64" w:rsidRPr="00944EE4">
        <w:rPr>
          <w:rFonts w:ascii="Times New Roman" w:hAnsi="Times New Roman" w:cs="Times New Roman"/>
          <w:sz w:val="24"/>
          <w:szCs w:val="24"/>
        </w:rPr>
        <w:t xml:space="preserve">effectivement </w:t>
      </w:r>
      <w:r w:rsidRPr="00944EE4">
        <w:rPr>
          <w:rFonts w:ascii="Times New Roman" w:hAnsi="Times New Roman" w:cs="Times New Roman"/>
          <w:sz w:val="24"/>
          <w:szCs w:val="24"/>
        </w:rPr>
        <w:t>jouer un rôle primordial dans la construction de la paix et de la cohésion sociale </w:t>
      </w:r>
      <w:r w:rsidR="00634B94" w:rsidRPr="00944EE4">
        <w:rPr>
          <w:rFonts w:ascii="Times New Roman" w:hAnsi="Times New Roman" w:cs="Times New Roman"/>
          <w:sz w:val="24"/>
          <w:szCs w:val="24"/>
        </w:rPr>
        <w:t>en créant un espace de dialogue</w:t>
      </w:r>
      <w:r w:rsidRPr="00944EE4">
        <w:rPr>
          <w:rFonts w:ascii="Times New Roman" w:hAnsi="Times New Roman" w:cs="Times New Roman"/>
          <w:sz w:val="24"/>
          <w:szCs w:val="24"/>
        </w:rPr>
        <w:t xml:space="preserve"> pour les membres des communautés </w:t>
      </w:r>
      <w:r w:rsidR="00634B94" w:rsidRPr="00944EE4">
        <w:rPr>
          <w:rFonts w:ascii="Times New Roman" w:hAnsi="Times New Roman" w:cs="Times New Roman"/>
          <w:sz w:val="24"/>
          <w:szCs w:val="24"/>
        </w:rPr>
        <w:t>dans leur diversité de fonction,</w:t>
      </w:r>
      <w:r w:rsidRPr="00944EE4">
        <w:rPr>
          <w:rFonts w:ascii="Times New Roman" w:hAnsi="Times New Roman" w:cs="Times New Roman"/>
          <w:sz w:val="24"/>
          <w:szCs w:val="24"/>
        </w:rPr>
        <w:t xml:space="preserve"> sans exclusion. </w:t>
      </w:r>
    </w:p>
    <w:p w14:paraId="10D393DD" w14:textId="77777777" w:rsidR="00AA3D0E" w:rsidRPr="00944EE4" w:rsidRDefault="00AA3D0E" w:rsidP="00AA3D0E">
      <w:pPr>
        <w:pStyle w:val="NormalWeb"/>
        <w:spacing w:before="0" w:beforeAutospacing="0" w:after="0" w:afterAutospacing="0" w:line="276" w:lineRule="auto"/>
        <w:textAlignment w:val="baseline"/>
        <w:rPr>
          <w:rFonts w:eastAsiaTheme="minorEastAsia"/>
          <w:b/>
          <w:color w:val="1F497D" w:themeColor="text2"/>
          <w:kern w:val="24"/>
          <w:u w:val="single"/>
        </w:rPr>
      </w:pPr>
    </w:p>
    <w:p w14:paraId="1FDC3923" w14:textId="4E51CB88" w:rsidR="00394972" w:rsidRPr="00944EE4" w:rsidRDefault="00394972" w:rsidP="00394972">
      <w:pPr>
        <w:jc w:val="both"/>
        <w:rPr>
          <w:rFonts w:ascii="Times New Roman" w:hAnsi="Times New Roman" w:cs="Times New Roman"/>
          <w:bCs/>
          <w:sz w:val="24"/>
          <w:szCs w:val="24"/>
        </w:rPr>
      </w:pPr>
      <w:r w:rsidRPr="00944EE4">
        <w:rPr>
          <w:rFonts w:ascii="Times New Roman" w:hAnsi="Times New Roman" w:cs="Times New Roman"/>
          <w:bCs/>
          <w:sz w:val="24"/>
          <w:szCs w:val="24"/>
        </w:rPr>
        <w:t xml:space="preserve">De manière spécifique, la prise en compte des spécificités de développement actées dans la Stratégie de Développement Intégré des </w:t>
      </w:r>
      <w:r w:rsidR="001E4F64" w:rsidRPr="00944EE4">
        <w:rPr>
          <w:rFonts w:ascii="Times New Roman" w:hAnsi="Times New Roman" w:cs="Times New Roman"/>
          <w:bCs/>
          <w:sz w:val="24"/>
          <w:szCs w:val="24"/>
        </w:rPr>
        <w:t>Régions du Nord Mali (SDIRN), sera mieux</w:t>
      </w:r>
      <w:r w:rsidRPr="00944EE4">
        <w:rPr>
          <w:rFonts w:ascii="Times New Roman" w:hAnsi="Times New Roman" w:cs="Times New Roman"/>
          <w:bCs/>
          <w:sz w:val="24"/>
          <w:szCs w:val="24"/>
        </w:rPr>
        <w:t xml:space="preserve"> assurée dans la seconde moitié du programme</w:t>
      </w:r>
      <w:r w:rsidR="001E4F64" w:rsidRPr="00944EE4">
        <w:rPr>
          <w:rFonts w:ascii="Times New Roman" w:hAnsi="Times New Roman" w:cs="Times New Roman"/>
          <w:bCs/>
          <w:sz w:val="24"/>
          <w:szCs w:val="24"/>
        </w:rPr>
        <w:t>,</w:t>
      </w:r>
      <w:r w:rsidRPr="00944EE4">
        <w:rPr>
          <w:rFonts w:ascii="Times New Roman" w:hAnsi="Times New Roman" w:cs="Times New Roman"/>
          <w:bCs/>
          <w:sz w:val="24"/>
          <w:szCs w:val="24"/>
        </w:rPr>
        <w:t xml:space="preserve"> en intégrant dans l’identification des contenus opérationnels d</w:t>
      </w:r>
      <w:r w:rsidR="001E4F64" w:rsidRPr="00944EE4">
        <w:rPr>
          <w:rFonts w:ascii="Times New Roman" w:hAnsi="Times New Roman" w:cs="Times New Roman"/>
          <w:bCs/>
          <w:sz w:val="24"/>
          <w:szCs w:val="24"/>
        </w:rPr>
        <w:t>es entités-</w:t>
      </w:r>
      <w:r w:rsidR="0053055F" w:rsidRPr="00944EE4">
        <w:rPr>
          <w:rFonts w:ascii="Times New Roman" w:hAnsi="Times New Roman" w:cs="Times New Roman"/>
          <w:bCs/>
          <w:sz w:val="24"/>
          <w:szCs w:val="24"/>
        </w:rPr>
        <w:t>p</w:t>
      </w:r>
      <w:r w:rsidR="001E4F64" w:rsidRPr="00944EE4">
        <w:rPr>
          <w:rFonts w:ascii="Times New Roman" w:hAnsi="Times New Roman" w:cs="Times New Roman"/>
          <w:bCs/>
          <w:sz w:val="24"/>
          <w:szCs w:val="24"/>
        </w:rPr>
        <w:t>a</w:t>
      </w:r>
      <w:r w:rsidR="0053055F" w:rsidRPr="00944EE4">
        <w:rPr>
          <w:rFonts w:ascii="Times New Roman" w:hAnsi="Times New Roman" w:cs="Times New Roman"/>
          <w:bCs/>
          <w:sz w:val="24"/>
          <w:szCs w:val="24"/>
        </w:rPr>
        <w:t xml:space="preserve">rties à l’UNDAF, </w:t>
      </w:r>
      <w:r w:rsidRPr="00944EE4">
        <w:rPr>
          <w:rFonts w:ascii="Times New Roman" w:hAnsi="Times New Roman" w:cs="Times New Roman"/>
          <w:bCs/>
          <w:sz w:val="24"/>
          <w:szCs w:val="24"/>
        </w:rPr>
        <w:t xml:space="preserve">les critères ci-dessous </w:t>
      </w:r>
      <w:r w:rsidR="0053055F" w:rsidRPr="00944EE4">
        <w:rPr>
          <w:rFonts w:ascii="Times New Roman" w:hAnsi="Times New Roman" w:cs="Times New Roman"/>
          <w:bCs/>
          <w:sz w:val="24"/>
          <w:szCs w:val="24"/>
        </w:rPr>
        <w:t>ar</w:t>
      </w:r>
      <w:r w:rsidR="001E4F64" w:rsidRPr="00944EE4">
        <w:rPr>
          <w:rFonts w:ascii="Times New Roman" w:hAnsi="Times New Roman" w:cs="Times New Roman"/>
          <w:bCs/>
          <w:sz w:val="24"/>
          <w:szCs w:val="24"/>
        </w:rPr>
        <w:t>rêtés dans la S</w:t>
      </w:r>
      <w:r w:rsidRPr="00944EE4">
        <w:rPr>
          <w:rFonts w:ascii="Times New Roman" w:hAnsi="Times New Roman" w:cs="Times New Roman"/>
          <w:bCs/>
          <w:sz w:val="24"/>
          <w:szCs w:val="24"/>
        </w:rPr>
        <w:t xml:space="preserve">DIRN :  </w:t>
      </w:r>
    </w:p>
    <w:p w14:paraId="5E88C1DD" w14:textId="77777777" w:rsidR="00394972" w:rsidRPr="00944EE4" w:rsidRDefault="00394972" w:rsidP="00394972">
      <w:pPr>
        <w:rPr>
          <w:rFonts w:ascii="Times New Roman" w:hAnsi="Times New Roman" w:cs="Times New Roman"/>
          <w:bCs/>
          <w:sz w:val="24"/>
          <w:szCs w:val="24"/>
        </w:rPr>
      </w:pPr>
    </w:p>
    <w:p w14:paraId="3F82266F" w14:textId="7A887A10" w:rsidR="00394972" w:rsidRPr="00944EE4" w:rsidRDefault="001E4F64" w:rsidP="00A701F5">
      <w:pPr>
        <w:numPr>
          <w:ilvl w:val="0"/>
          <w:numId w:val="45"/>
        </w:numPr>
        <w:ind w:left="330"/>
        <w:jc w:val="both"/>
        <w:rPr>
          <w:rFonts w:ascii="Times New Roman" w:hAnsi="Times New Roman" w:cs="Times New Roman"/>
          <w:bCs/>
          <w:sz w:val="24"/>
          <w:szCs w:val="24"/>
          <w:u w:val="single"/>
        </w:rPr>
      </w:pPr>
      <w:r w:rsidRPr="00944EE4">
        <w:rPr>
          <w:rFonts w:ascii="Times New Roman" w:hAnsi="Times New Roman" w:cs="Times New Roman"/>
          <w:bCs/>
          <w:sz w:val="24"/>
          <w:szCs w:val="24"/>
          <w:u w:val="single"/>
        </w:rPr>
        <w:t>"</w:t>
      </w:r>
      <w:r w:rsidR="00394972" w:rsidRPr="00944EE4">
        <w:rPr>
          <w:rFonts w:ascii="Times New Roman" w:hAnsi="Times New Roman" w:cs="Times New Roman"/>
          <w:bCs/>
          <w:sz w:val="24"/>
          <w:szCs w:val="24"/>
          <w:u w:val="single"/>
        </w:rPr>
        <w:t>Exploiter les atouts pérennes et naturels</w:t>
      </w:r>
      <w:r w:rsidR="00394972" w:rsidRPr="00944EE4">
        <w:rPr>
          <w:rFonts w:ascii="Times New Roman" w:hAnsi="Times New Roman" w:cs="Times New Roman"/>
          <w:bCs/>
          <w:sz w:val="24"/>
          <w:szCs w:val="24"/>
        </w:rPr>
        <w:t> : afin de définir parmi ce portefeuille le « projet phare », il est proposé de se fonder sur ceux qui exploitent et mettent en valeur directement les atouts pérennes de ces régions du Nord du Mali, et notamment le fleuve Niger, le climat ensoleillé, le sous-sol et le patrimoine culturel. En somme, les caractéristiques spatiales des régions du Nord du Mali et les enjeux liés à la géopolitique et à la géostratégie, commandent de faire des contraintes d’aujourd’hui les atouts de demain."</w:t>
      </w:r>
    </w:p>
    <w:p w14:paraId="7F09406B" w14:textId="77777777" w:rsidR="00394972" w:rsidRPr="00944EE4" w:rsidRDefault="00394972" w:rsidP="00394972">
      <w:pPr>
        <w:ind w:left="720"/>
        <w:rPr>
          <w:rFonts w:ascii="Times New Roman" w:hAnsi="Times New Roman" w:cs="Times New Roman"/>
          <w:bCs/>
          <w:sz w:val="24"/>
          <w:szCs w:val="24"/>
        </w:rPr>
      </w:pPr>
    </w:p>
    <w:p w14:paraId="20F94FBF" w14:textId="70F2A4B3" w:rsidR="00394972" w:rsidRPr="00944EE4" w:rsidRDefault="00394972" w:rsidP="00A701F5">
      <w:pPr>
        <w:numPr>
          <w:ilvl w:val="0"/>
          <w:numId w:val="45"/>
        </w:numPr>
        <w:ind w:left="330"/>
        <w:jc w:val="both"/>
        <w:rPr>
          <w:rFonts w:ascii="Times New Roman" w:hAnsi="Times New Roman" w:cs="Times New Roman"/>
          <w:bCs/>
          <w:sz w:val="24"/>
          <w:szCs w:val="24"/>
          <w:u w:val="single"/>
        </w:rPr>
      </w:pPr>
      <w:r w:rsidRPr="00944EE4">
        <w:rPr>
          <w:rFonts w:ascii="Times New Roman" w:hAnsi="Times New Roman" w:cs="Times New Roman"/>
          <w:bCs/>
          <w:sz w:val="24"/>
          <w:szCs w:val="24"/>
          <w:u w:val="single"/>
        </w:rPr>
        <w:t>"Prendre en considération les exigences du court terme et préparer l’avenir</w:t>
      </w:r>
      <w:r w:rsidRPr="00944EE4">
        <w:rPr>
          <w:rFonts w:ascii="Times New Roman" w:hAnsi="Times New Roman" w:cs="Times New Roman"/>
          <w:bCs/>
          <w:sz w:val="24"/>
          <w:szCs w:val="24"/>
        </w:rPr>
        <w:t> : il est nécessaire d’avoir un impact significatif sur le court terme et, dans le même temps, préparer l’avenir. Deux types de projets prioritaires sont donc proposés, d’une part les projets qui tout en exploitant les atouts naturels du pays, permettent d’obtenir des résultats significatifs à un an, et d’autre part, les projets structurants à plus long terme, qui nécessitent plus de préparation, et pour lesquels les choix d’aujourd’hui seront déterminants."</w:t>
      </w:r>
    </w:p>
    <w:p w14:paraId="17750411" w14:textId="77777777" w:rsidR="00394972" w:rsidRPr="00944EE4" w:rsidRDefault="00394972" w:rsidP="00394972">
      <w:pPr>
        <w:ind w:left="720"/>
        <w:rPr>
          <w:rFonts w:ascii="Times New Roman" w:hAnsi="Times New Roman" w:cs="Times New Roman"/>
          <w:bCs/>
          <w:sz w:val="24"/>
          <w:szCs w:val="24"/>
        </w:rPr>
      </w:pPr>
    </w:p>
    <w:p w14:paraId="7F29C40F" w14:textId="45C97DDA" w:rsidR="00394972" w:rsidRPr="00944EE4" w:rsidRDefault="00394972" w:rsidP="00A701F5">
      <w:pPr>
        <w:numPr>
          <w:ilvl w:val="0"/>
          <w:numId w:val="45"/>
        </w:numPr>
        <w:ind w:left="330"/>
        <w:jc w:val="both"/>
        <w:rPr>
          <w:rFonts w:ascii="Times New Roman" w:hAnsi="Times New Roman" w:cs="Times New Roman"/>
          <w:bCs/>
          <w:sz w:val="24"/>
          <w:szCs w:val="24"/>
        </w:rPr>
      </w:pPr>
      <w:r w:rsidRPr="00944EE4">
        <w:rPr>
          <w:rFonts w:ascii="Times New Roman" w:hAnsi="Times New Roman" w:cs="Times New Roman"/>
          <w:bCs/>
          <w:sz w:val="24"/>
          <w:szCs w:val="24"/>
          <w:u w:val="single"/>
        </w:rPr>
        <w:t>"Rechercher les effets leviers et multiplicateurs</w:t>
      </w:r>
      <w:r w:rsidRPr="00944EE4">
        <w:rPr>
          <w:rFonts w:ascii="Times New Roman" w:hAnsi="Times New Roman" w:cs="Times New Roman"/>
          <w:bCs/>
          <w:sz w:val="24"/>
          <w:szCs w:val="24"/>
        </w:rPr>
        <w:t> : la stratégie consiste ici à prioriser les projets qu</w:t>
      </w:r>
      <w:r w:rsidR="001E4F64" w:rsidRPr="00944EE4">
        <w:rPr>
          <w:rFonts w:ascii="Times New Roman" w:hAnsi="Times New Roman" w:cs="Times New Roman"/>
          <w:bCs/>
          <w:sz w:val="24"/>
          <w:szCs w:val="24"/>
        </w:rPr>
        <w:t>i nécessitent le minimum de pré-</w:t>
      </w:r>
      <w:r w:rsidRPr="00944EE4">
        <w:rPr>
          <w:rFonts w:ascii="Times New Roman" w:hAnsi="Times New Roman" w:cs="Times New Roman"/>
          <w:bCs/>
          <w:sz w:val="24"/>
          <w:szCs w:val="24"/>
        </w:rPr>
        <w:t>requis et d’investissements pour réussir (en tenant compte du critère sécuritaire conjoncturel), et qui ont le maximum d’effets leviers en terme</w:t>
      </w:r>
      <w:r w:rsidR="00FE45C6">
        <w:rPr>
          <w:rFonts w:ascii="Times New Roman" w:hAnsi="Times New Roman" w:cs="Times New Roman"/>
          <w:bCs/>
          <w:sz w:val="24"/>
          <w:szCs w:val="24"/>
        </w:rPr>
        <w:t>s</w:t>
      </w:r>
      <w:r w:rsidRPr="00944EE4">
        <w:rPr>
          <w:rFonts w:ascii="Times New Roman" w:hAnsi="Times New Roman" w:cs="Times New Roman"/>
          <w:bCs/>
          <w:sz w:val="24"/>
          <w:szCs w:val="24"/>
        </w:rPr>
        <w:t xml:space="preserve"> d’impact sur le développement de ces régions, sur la cohésion sociale, sur la production de richesses et la réduction de la pauvreté, sur le climat des affaires, et qui faciliteront la mise en œuvre d’autres projets."</w:t>
      </w:r>
    </w:p>
    <w:p w14:paraId="00536306" w14:textId="77777777" w:rsidR="0053055F" w:rsidRPr="00944EE4" w:rsidRDefault="0053055F" w:rsidP="00AA3D0E">
      <w:pPr>
        <w:pStyle w:val="NormalWeb"/>
        <w:spacing w:before="0" w:beforeAutospacing="0" w:after="0" w:afterAutospacing="0" w:line="276" w:lineRule="auto"/>
        <w:textAlignment w:val="baseline"/>
        <w:rPr>
          <w:rFonts w:eastAsiaTheme="minorEastAsia"/>
          <w:b/>
          <w:color w:val="1F497D" w:themeColor="text2"/>
          <w:kern w:val="24"/>
          <w:u w:val="single"/>
        </w:rPr>
      </w:pPr>
    </w:p>
    <w:p w14:paraId="1A0A7C21" w14:textId="17994D8E" w:rsidR="00FB1778" w:rsidRPr="00944EE4" w:rsidRDefault="001E4F64" w:rsidP="00A71A5F">
      <w:pPr>
        <w:pStyle w:val="NormalWeb"/>
        <w:spacing w:before="0" w:beforeAutospacing="0" w:after="0" w:afterAutospacing="0"/>
        <w:jc w:val="both"/>
        <w:textAlignment w:val="baseline"/>
        <w:rPr>
          <w:bCs/>
          <w:shd w:val="clear" w:color="auto" w:fill="FFFF00"/>
        </w:rPr>
      </w:pPr>
      <w:r w:rsidRPr="00463AB6">
        <w:rPr>
          <w:rFonts w:eastAsiaTheme="minorEastAsia"/>
        </w:rPr>
        <w:t>Dans le cadre de la Stratégie</w:t>
      </w:r>
      <w:r w:rsidR="00A71A5F" w:rsidRPr="00463AB6">
        <w:rPr>
          <w:rFonts w:eastAsiaTheme="minorEastAsia"/>
        </w:rPr>
        <w:t xml:space="preserve"> d’évolution du profil de la MINUSMA en cours de formualtion, et e</w:t>
      </w:r>
      <w:r w:rsidRPr="00463AB6">
        <w:rPr>
          <w:rFonts w:eastAsiaTheme="minorEastAsia"/>
        </w:rPr>
        <w:t>n rapp</w:t>
      </w:r>
      <w:r w:rsidR="00FB1778" w:rsidRPr="00463AB6">
        <w:rPr>
          <w:rFonts w:eastAsiaTheme="minorEastAsia"/>
        </w:rPr>
        <w:t>o</w:t>
      </w:r>
      <w:r w:rsidRPr="00463AB6">
        <w:rPr>
          <w:rFonts w:eastAsiaTheme="minorEastAsia"/>
        </w:rPr>
        <w:t>r</w:t>
      </w:r>
      <w:r w:rsidR="00FB1778" w:rsidRPr="00463AB6">
        <w:rPr>
          <w:rFonts w:eastAsiaTheme="minorEastAsia"/>
        </w:rPr>
        <w:t>t avec le soutien à la mise en œuvre d</w:t>
      </w:r>
      <w:r w:rsidRPr="00463AB6">
        <w:rPr>
          <w:rFonts w:eastAsiaTheme="minorEastAsia"/>
        </w:rPr>
        <w:t>e</w:t>
      </w:r>
      <w:r w:rsidR="00FB1778" w:rsidRPr="00463AB6">
        <w:rPr>
          <w:rFonts w:eastAsiaTheme="minorEastAsia"/>
        </w:rPr>
        <w:t xml:space="preserve"> l’Accord de paix, </w:t>
      </w:r>
      <w:r w:rsidR="00A71A5F" w:rsidRPr="00463AB6">
        <w:rPr>
          <w:rFonts w:eastAsiaTheme="minorEastAsia"/>
        </w:rPr>
        <w:t xml:space="preserve">le programme devra mettre en avant une capacité de redistribution de rôles entre la Mission elle-même et les entités de développement. </w:t>
      </w:r>
      <w:r w:rsidR="00A71A5F" w:rsidRPr="00463AB6">
        <w:t>Les</w:t>
      </w:r>
      <w:r w:rsidRPr="00944EE4">
        <w:rPr>
          <w:bCs/>
        </w:rPr>
        <w:t xml:space="preserve"> agences seront</w:t>
      </w:r>
      <w:r w:rsidR="00A71A5F" w:rsidRPr="00944EE4">
        <w:rPr>
          <w:bCs/>
        </w:rPr>
        <w:t xml:space="preserve"> amenées à mieux s’engager dans la </w:t>
      </w:r>
      <w:r w:rsidR="00FB1778" w:rsidRPr="00944EE4">
        <w:rPr>
          <w:bCs/>
        </w:rPr>
        <w:t>mise en œuvre de l’Accord de paix</w:t>
      </w:r>
      <w:r w:rsidR="00A71A5F" w:rsidRPr="00944EE4">
        <w:rPr>
          <w:bCs/>
        </w:rPr>
        <w:t>, y compris</w:t>
      </w:r>
      <w:r w:rsidR="00FB1778" w:rsidRPr="00944EE4">
        <w:rPr>
          <w:bCs/>
        </w:rPr>
        <w:t xml:space="preserve"> avec l’aide de la Mission</w:t>
      </w:r>
      <w:r w:rsidRPr="00944EE4">
        <w:rPr>
          <w:bCs/>
        </w:rPr>
        <w:t>,</w:t>
      </w:r>
      <w:r w:rsidR="00A71A5F" w:rsidRPr="00944EE4">
        <w:rPr>
          <w:bCs/>
        </w:rPr>
        <w:t xml:space="preserve"> pour ren</w:t>
      </w:r>
      <w:r w:rsidR="00FB1778" w:rsidRPr="00944EE4">
        <w:rPr>
          <w:bCs/>
        </w:rPr>
        <w:t>force</w:t>
      </w:r>
      <w:r w:rsidR="00A71A5F" w:rsidRPr="00944EE4">
        <w:rPr>
          <w:bCs/>
        </w:rPr>
        <w:t>r</w:t>
      </w:r>
      <w:r w:rsidR="00FB1778" w:rsidRPr="00944EE4">
        <w:rPr>
          <w:bCs/>
        </w:rPr>
        <w:t xml:space="preserve"> leurs capacités là où elles </w:t>
      </w:r>
      <w:r w:rsidRPr="00944EE4">
        <w:rPr>
          <w:bCs/>
        </w:rPr>
        <w:t xml:space="preserve">en </w:t>
      </w:r>
      <w:r w:rsidR="00FB1778" w:rsidRPr="00944EE4">
        <w:rPr>
          <w:bCs/>
        </w:rPr>
        <w:t>ont le mandat</w:t>
      </w:r>
      <w:r w:rsidR="00A71A5F" w:rsidRPr="00944EE4">
        <w:rPr>
          <w:bCs/>
        </w:rPr>
        <w:t xml:space="preserve">. La </w:t>
      </w:r>
      <w:r w:rsidR="00FB1778" w:rsidRPr="00944EE4">
        <w:rPr>
          <w:bCs/>
        </w:rPr>
        <w:t xml:space="preserve">Mission pourrait </w:t>
      </w:r>
      <w:r w:rsidR="00A71A5F" w:rsidRPr="00944EE4">
        <w:rPr>
          <w:bCs/>
        </w:rPr>
        <w:t xml:space="preserve">quant à elle </w:t>
      </w:r>
      <w:r w:rsidR="00FB1778" w:rsidRPr="00944EE4">
        <w:rPr>
          <w:bCs/>
        </w:rPr>
        <w:t>se recentrer sur les aspects politiques et la mobilisation de ressources et laisser plus de place aux autres entités dans le déroulement opérationnel des programmes de paix et de réconciliation natio</w:t>
      </w:r>
      <w:r w:rsidRPr="00944EE4">
        <w:rPr>
          <w:bCs/>
        </w:rPr>
        <w:t xml:space="preserve">nale. </w:t>
      </w:r>
      <w:r w:rsidR="00B751C1" w:rsidRPr="00944EE4">
        <w:rPr>
          <w:bCs/>
        </w:rPr>
        <w:t>L</w:t>
      </w:r>
      <w:r w:rsidR="00FB1778" w:rsidRPr="00944EE4">
        <w:rPr>
          <w:bCs/>
        </w:rPr>
        <w:t xml:space="preserve">es </w:t>
      </w:r>
      <w:r w:rsidR="00A71A5F" w:rsidRPr="00944EE4">
        <w:rPr>
          <w:bCs/>
        </w:rPr>
        <w:t xml:space="preserve">entités </w:t>
      </w:r>
      <w:r w:rsidR="00FB1778" w:rsidRPr="00944EE4">
        <w:rPr>
          <w:bCs/>
        </w:rPr>
        <w:t>ayant un mandat sur le</w:t>
      </w:r>
      <w:r w:rsidR="00B751C1" w:rsidRPr="00944EE4">
        <w:rPr>
          <w:bCs/>
        </w:rPr>
        <w:t>s aspects de protection humaine</w:t>
      </w:r>
      <w:r w:rsidR="00FB1778" w:rsidRPr="00944EE4">
        <w:rPr>
          <w:bCs/>
        </w:rPr>
        <w:t xml:space="preserve"> pourr</w:t>
      </w:r>
      <w:r w:rsidR="00B751C1" w:rsidRPr="00944EE4">
        <w:rPr>
          <w:bCs/>
        </w:rPr>
        <w:t>o</w:t>
      </w:r>
      <w:r w:rsidR="00FB1778" w:rsidRPr="00944EE4">
        <w:rPr>
          <w:bCs/>
        </w:rPr>
        <w:t>nt conforter leur réponse dans des domaines comme la lutte contre les violences sexuelles, la prot</w:t>
      </w:r>
      <w:r w:rsidR="00B751C1" w:rsidRPr="00944EE4">
        <w:rPr>
          <w:bCs/>
        </w:rPr>
        <w:t>ection des personnes déplacées,</w:t>
      </w:r>
      <w:r w:rsidR="00FB1778" w:rsidRPr="00944EE4">
        <w:rPr>
          <w:bCs/>
        </w:rPr>
        <w:t xml:space="preserve"> le tout dans une logique</w:t>
      </w:r>
      <w:r w:rsidR="00B751C1" w:rsidRPr="00944EE4">
        <w:rPr>
          <w:bCs/>
        </w:rPr>
        <w:t xml:space="preserve"> </w:t>
      </w:r>
      <w:r w:rsidR="00FB1778" w:rsidRPr="00944EE4">
        <w:rPr>
          <w:bCs/>
        </w:rPr>
        <w:t>de lien humanitaire-développement, dans les part</w:t>
      </w:r>
      <w:r w:rsidR="00B751C1" w:rsidRPr="00944EE4">
        <w:rPr>
          <w:bCs/>
        </w:rPr>
        <w:t xml:space="preserve">ies du territoire connaissant un </w:t>
      </w:r>
      <w:r w:rsidR="00FB1778" w:rsidRPr="00944EE4">
        <w:rPr>
          <w:bCs/>
        </w:rPr>
        <w:t>apaisement.</w:t>
      </w:r>
    </w:p>
    <w:p w14:paraId="1F48B224" w14:textId="77777777" w:rsidR="00FB1778" w:rsidRPr="00944EE4" w:rsidRDefault="00FB1778" w:rsidP="00FB1778">
      <w:pPr>
        <w:jc w:val="both"/>
        <w:rPr>
          <w:rFonts w:ascii="Times New Roman" w:hAnsi="Times New Roman" w:cs="Times New Roman"/>
          <w:bCs/>
          <w:sz w:val="24"/>
          <w:szCs w:val="24"/>
        </w:rPr>
      </w:pPr>
    </w:p>
    <w:p w14:paraId="42E6E11B" w14:textId="4CEA1C1F" w:rsidR="00FB1778" w:rsidRPr="00944EE4" w:rsidRDefault="00B751C1" w:rsidP="00FB1778">
      <w:pPr>
        <w:jc w:val="both"/>
        <w:rPr>
          <w:rFonts w:ascii="Times New Roman" w:hAnsi="Times New Roman" w:cs="Times New Roman"/>
          <w:bCs/>
          <w:sz w:val="24"/>
          <w:szCs w:val="24"/>
        </w:rPr>
      </w:pPr>
      <w:r w:rsidRPr="00944EE4">
        <w:rPr>
          <w:rFonts w:ascii="Times New Roman" w:hAnsi="Times New Roman" w:cs="Times New Roman"/>
          <w:bCs/>
          <w:sz w:val="24"/>
          <w:szCs w:val="24"/>
        </w:rPr>
        <w:lastRenderedPageBreak/>
        <w:t>La Mission facilitera</w:t>
      </w:r>
      <w:r w:rsidR="00FB1778" w:rsidRPr="00944EE4">
        <w:rPr>
          <w:rFonts w:ascii="Times New Roman" w:hAnsi="Times New Roman" w:cs="Times New Roman"/>
          <w:bCs/>
          <w:sz w:val="24"/>
          <w:szCs w:val="24"/>
        </w:rPr>
        <w:t xml:space="preserve"> l’ancrage sur le terrain d’une présence de plus en plus forte des agences, là où les problèmes de sécurité se résorbent ou deviennent résiduels. Sur le DDR aussi, si sa mise en œuvre intervenait plus significativement dans la période, les agences pourraient se mettre davantage en avant dans les aspects de réinsertion après que la Mission s’est occupée de la démobilisation. La Mission maintiendrait aussi des efforts en matière de mobilisation des ressources nécessaires à des stratégies de réinsertion ambitieuses et viables. Il faut toutefois reconnaître que la mise en œuvre de l’Accord de paix est le segment d’intervention du programme où les incertitudes et les blocages sont encore de mise, et continuent de présager d’un engagement encore lourd de la Mission.</w:t>
      </w:r>
    </w:p>
    <w:p w14:paraId="2E56A68C" w14:textId="77777777" w:rsidR="00FB1778" w:rsidRPr="00944EE4" w:rsidRDefault="00FB1778" w:rsidP="00AA3D0E">
      <w:pPr>
        <w:pStyle w:val="NormalWeb"/>
        <w:spacing w:before="0" w:beforeAutospacing="0" w:after="0" w:afterAutospacing="0" w:line="276" w:lineRule="auto"/>
        <w:textAlignment w:val="baseline"/>
        <w:rPr>
          <w:rFonts w:eastAsiaTheme="minorEastAsia"/>
          <w:b/>
          <w:color w:val="1F497D" w:themeColor="text2"/>
          <w:kern w:val="24"/>
          <w:u w:val="single"/>
        </w:rPr>
      </w:pPr>
    </w:p>
    <w:p w14:paraId="4D400540" w14:textId="77777777" w:rsidR="00AA3D0E" w:rsidRPr="00944EE4" w:rsidRDefault="00880F37" w:rsidP="00AA3D0E">
      <w:pPr>
        <w:pStyle w:val="NormalWeb"/>
        <w:spacing w:before="0" w:beforeAutospacing="0" w:after="0" w:afterAutospacing="0" w:line="276" w:lineRule="auto"/>
        <w:textAlignment w:val="baseline"/>
        <w:rPr>
          <w:rFonts w:eastAsiaTheme="minorEastAsia"/>
          <w:b/>
          <w:color w:val="1F497D" w:themeColor="text2"/>
          <w:kern w:val="24"/>
          <w:u w:val="single"/>
        </w:rPr>
      </w:pPr>
      <w:r w:rsidRPr="00944EE4">
        <w:rPr>
          <w:rFonts w:eastAsiaTheme="minorEastAsia"/>
          <w:b/>
          <w:color w:val="1F497D" w:themeColor="text2"/>
          <w:kern w:val="24"/>
          <w:u w:val="single"/>
        </w:rPr>
        <w:t>1.3 Partenariats et stratégies</w:t>
      </w:r>
    </w:p>
    <w:p w14:paraId="2C165187" w14:textId="77777777" w:rsidR="00AA3D0E" w:rsidRPr="00944EE4" w:rsidRDefault="00AA3D0E" w:rsidP="00AA3D0E">
      <w:pPr>
        <w:rPr>
          <w:rFonts w:ascii="Times New Roman" w:hAnsi="Times New Roman" w:cs="Times New Roman"/>
          <w:sz w:val="24"/>
          <w:szCs w:val="24"/>
        </w:rPr>
      </w:pPr>
    </w:p>
    <w:p w14:paraId="6F426362" w14:textId="72E0F83C" w:rsidR="00AA3D0E" w:rsidRPr="00944EE4" w:rsidRDefault="00880F37" w:rsidP="00AA3D0E">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Les Nations Unies </w:t>
      </w:r>
      <w:r w:rsidR="00452431" w:rsidRPr="00944EE4">
        <w:rPr>
          <w:rFonts w:ascii="Times New Roman" w:hAnsi="Times New Roman" w:cs="Times New Roman"/>
          <w:sz w:val="24"/>
          <w:szCs w:val="24"/>
        </w:rPr>
        <w:t xml:space="preserve">continueront </w:t>
      </w:r>
      <w:r w:rsidR="00452431" w:rsidRPr="00944EE4">
        <w:rPr>
          <w:rFonts w:ascii="Times New Roman" w:hAnsi="Times New Roman" w:cs="Times New Roman"/>
          <w:bCs/>
          <w:sz w:val="24"/>
          <w:szCs w:val="24"/>
        </w:rPr>
        <w:t>à</w:t>
      </w:r>
      <w:r w:rsidRPr="00944EE4">
        <w:rPr>
          <w:rFonts w:ascii="Times New Roman" w:hAnsi="Times New Roman" w:cs="Times New Roman"/>
          <w:sz w:val="24"/>
          <w:szCs w:val="24"/>
        </w:rPr>
        <w:t xml:space="preserve"> accompagner les efforts du Gouvernement à la réalisation des objecti</w:t>
      </w:r>
      <w:r w:rsidR="002256CF" w:rsidRPr="00944EE4">
        <w:rPr>
          <w:rFonts w:ascii="Times New Roman" w:hAnsi="Times New Roman" w:cs="Times New Roman"/>
          <w:sz w:val="24"/>
          <w:szCs w:val="24"/>
        </w:rPr>
        <w:t>fs liés au rétablissement de la</w:t>
      </w:r>
      <w:r w:rsidRPr="00944EE4">
        <w:rPr>
          <w:rFonts w:ascii="Times New Roman" w:hAnsi="Times New Roman" w:cs="Times New Roman"/>
          <w:sz w:val="24"/>
          <w:szCs w:val="24"/>
        </w:rPr>
        <w:t xml:space="preserve"> paix, la stabilisation et la cohésion sociale, avec la participation des autres acteurs parties prenantes (collectivités décentralisées, organes déconcentrés de l’Etat, institutions nationales, les communautés, société civile, secteur privé, etc.).</w:t>
      </w:r>
    </w:p>
    <w:p w14:paraId="60EBA168" w14:textId="77777777" w:rsidR="00AA3D0E" w:rsidRPr="00944EE4" w:rsidRDefault="00AA3D0E" w:rsidP="00AA3D0E">
      <w:pPr>
        <w:spacing w:line="276" w:lineRule="auto"/>
        <w:rPr>
          <w:rFonts w:ascii="Times New Roman" w:hAnsi="Times New Roman" w:cs="Times New Roman"/>
          <w:sz w:val="24"/>
          <w:szCs w:val="24"/>
        </w:rPr>
      </w:pPr>
    </w:p>
    <w:p w14:paraId="4A9C07E5" w14:textId="77777777" w:rsidR="00AA3D0E" w:rsidRPr="00944EE4" w:rsidRDefault="00880F37" w:rsidP="00AA3D0E">
      <w:pPr>
        <w:spacing w:line="276" w:lineRule="auto"/>
        <w:rPr>
          <w:rFonts w:ascii="Times New Roman" w:hAnsi="Times New Roman" w:cs="Times New Roman"/>
          <w:sz w:val="24"/>
          <w:szCs w:val="24"/>
        </w:rPr>
      </w:pPr>
      <w:r w:rsidRPr="00944EE4">
        <w:rPr>
          <w:rFonts w:ascii="Times New Roman" w:hAnsi="Times New Roman" w:cs="Times New Roman"/>
          <w:sz w:val="24"/>
          <w:szCs w:val="24"/>
        </w:rPr>
        <w:t xml:space="preserve">Les Nations Unies vont poursuivre leur appui au processus de négociation et le suivi de la mise en œuvre de l’accord global de paix au niveau national, et accompagner les processus liés au dialogue inclusif national et communautaire.  </w:t>
      </w:r>
    </w:p>
    <w:p w14:paraId="5EE7B25B" w14:textId="77777777" w:rsidR="00AA3D0E" w:rsidRPr="00944EE4" w:rsidRDefault="00AA3D0E" w:rsidP="00AA3D0E">
      <w:pPr>
        <w:spacing w:line="276" w:lineRule="auto"/>
        <w:jc w:val="both"/>
        <w:rPr>
          <w:rFonts w:ascii="Times New Roman" w:hAnsi="Times New Roman" w:cs="Times New Roman"/>
          <w:sz w:val="24"/>
          <w:szCs w:val="24"/>
        </w:rPr>
      </w:pPr>
    </w:p>
    <w:p w14:paraId="79B248E9" w14:textId="5A152A0B" w:rsidR="00AA3D0E" w:rsidRPr="00944EE4" w:rsidRDefault="00880F37" w:rsidP="00AA3D0E">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Le processus de réconciliation nationale devra aller de pair avec des efforts visant à faciliter, restaurer le dialogue communautaire et à</w:t>
      </w:r>
      <w:r w:rsidR="00452431" w:rsidRPr="00944EE4">
        <w:rPr>
          <w:rFonts w:ascii="Times New Roman" w:hAnsi="Times New Roman" w:cs="Times New Roman"/>
          <w:sz w:val="24"/>
          <w:szCs w:val="24"/>
        </w:rPr>
        <w:t xml:space="preserve"> renforcer la cohésion sociale.</w:t>
      </w:r>
      <w:r w:rsidRPr="00944EE4">
        <w:rPr>
          <w:rFonts w:ascii="Times New Roman" w:hAnsi="Times New Roman" w:cs="Times New Roman"/>
          <w:sz w:val="24"/>
          <w:szCs w:val="24"/>
        </w:rPr>
        <w:t xml:space="preserve"> </w:t>
      </w:r>
      <w:r w:rsidR="00452431" w:rsidRPr="00944EE4">
        <w:rPr>
          <w:rFonts w:ascii="Times New Roman" w:hAnsi="Times New Roman" w:cs="Times New Roman"/>
          <w:sz w:val="24"/>
          <w:szCs w:val="24"/>
        </w:rPr>
        <w:t>L</w:t>
      </w:r>
      <w:r w:rsidRPr="00944EE4">
        <w:rPr>
          <w:rFonts w:ascii="Times New Roman" w:hAnsi="Times New Roman" w:cs="Times New Roman"/>
          <w:sz w:val="24"/>
          <w:szCs w:val="24"/>
        </w:rPr>
        <w:t xml:space="preserve">’accompagnement </w:t>
      </w:r>
      <w:r w:rsidR="00452431" w:rsidRPr="00944EE4">
        <w:rPr>
          <w:rFonts w:ascii="Times New Roman" w:hAnsi="Times New Roman" w:cs="Times New Roman"/>
          <w:sz w:val="24"/>
          <w:szCs w:val="24"/>
        </w:rPr>
        <w:t xml:space="preserve">particulier </w:t>
      </w:r>
      <w:r w:rsidRPr="00944EE4">
        <w:rPr>
          <w:rFonts w:ascii="Times New Roman" w:hAnsi="Times New Roman" w:cs="Times New Roman"/>
          <w:sz w:val="24"/>
          <w:szCs w:val="24"/>
        </w:rPr>
        <w:t xml:space="preserve">du Ministère de la réconciliation nationale, garant du processus de réconciliation par les autorités locales et les légitimités traditionnelles, </w:t>
      </w:r>
      <w:r w:rsidR="00452431" w:rsidRPr="00944EE4">
        <w:rPr>
          <w:rFonts w:ascii="Times New Roman" w:hAnsi="Times New Roman" w:cs="Times New Roman"/>
          <w:sz w:val="24"/>
          <w:szCs w:val="24"/>
        </w:rPr>
        <w:t>sera poursuivi</w:t>
      </w:r>
      <w:r w:rsidR="00F4319E" w:rsidRPr="00944EE4">
        <w:rPr>
          <w:rFonts w:ascii="Times New Roman" w:hAnsi="Times New Roman" w:cs="Times New Roman"/>
          <w:sz w:val="24"/>
          <w:szCs w:val="24"/>
        </w:rPr>
        <w:t xml:space="preserve"> en collaboration avec </w:t>
      </w:r>
      <w:r w:rsidRPr="00944EE4">
        <w:rPr>
          <w:rFonts w:ascii="Times New Roman" w:hAnsi="Times New Roman" w:cs="Times New Roman"/>
          <w:sz w:val="24"/>
          <w:szCs w:val="24"/>
        </w:rPr>
        <w:t xml:space="preserve">tous les départements ministériels (en particulier ceux de la Justice, du Développement des Régions du Nord, de l’Education, des Affaires humanitaires), les </w:t>
      </w:r>
      <w:r w:rsidR="002256CF" w:rsidRPr="00944EE4">
        <w:rPr>
          <w:rFonts w:ascii="Times New Roman" w:hAnsi="Times New Roman" w:cs="Times New Roman"/>
          <w:sz w:val="24"/>
          <w:szCs w:val="24"/>
        </w:rPr>
        <w:t xml:space="preserve">autres </w:t>
      </w:r>
      <w:r w:rsidRPr="00944EE4">
        <w:rPr>
          <w:rFonts w:ascii="Times New Roman" w:hAnsi="Times New Roman" w:cs="Times New Roman"/>
          <w:sz w:val="24"/>
          <w:szCs w:val="24"/>
        </w:rPr>
        <w:t xml:space="preserve">institutions de la République (le Bureau du Haut représentant du Chef de l’Etat pour le dialogue inter-malien, le Médiateur de la République) et les organisations de la société civile, avec une forte implication de la Coordination des ONG et associations féminines du Mali. </w:t>
      </w:r>
    </w:p>
    <w:p w14:paraId="47A41C83" w14:textId="77777777" w:rsidR="00AA3D0E" w:rsidRPr="00944EE4" w:rsidRDefault="00AA3D0E" w:rsidP="00AA3D0E">
      <w:pPr>
        <w:spacing w:line="276" w:lineRule="auto"/>
        <w:rPr>
          <w:rFonts w:ascii="Times New Roman" w:hAnsi="Times New Roman" w:cs="Times New Roman"/>
          <w:sz w:val="24"/>
          <w:szCs w:val="24"/>
        </w:rPr>
      </w:pPr>
    </w:p>
    <w:p w14:paraId="7DE6AFD1" w14:textId="29A57D8A" w:rsidR="00AA3D0E" w:rsidRPr="00944EE4" w:rsidRDefault="002256CF" w:rsidP="00AA3D0E">
      <w:pPr>
        <w:spacing w:line="276" w:lineRule="auto"/>
        <w:rPr>
          <w:rFonts w:ascii="Times New Roman" w:hAnsi="Times New Roman" w:cs="Times New Roman"/>
          <w:sz w:val="24"/>
          <w:szCs w:val="24"/>
        </w:rPr>
      </w:pPr>
      <w:r w:rsidRPr="00944EE4">
        <w:rPr>
          <w:rFonts w:ascii="Times New Roman" w:hAnsi="Times New Roman" w:cs="Times New Roman"/>
          <w:sz w:val="24"/>
          <w:szCs w:val="24"/>
        </w:rPr>
        <w:t>L</w:t>
      </w:r>
      <w:r w:rsidR="00880F37" w:rsidRPr="00944EE4">
        <w:rPr>
          <w:rFonts w:ascii="Times New Roman" w:hAnsi="Times New Roman" w:cs="Times New Roman"/>
          <w:sz w:val="24"/>
          <w:szCs w:val="24"/>
        </w:rPr>
        <w:t xml:space="preserve">’appui </w:t>
      </w:r>
      <w:r w:rsidRPr="00944EE4">
        <w:rPr>
          <w:rFonts w:ascii="Times New Roman" w:hAnsi="Times New Roman" w:cs="Times New Roman"/>
          <w:sz w:val="24"/>
          <w:szCs w:val="24"/>
        </w:rPr>
        <w:t xml:space="preserve">continu </w:t>
      </w:r>
      <w:r w:rsidR="00880F37" w:rsidRPr="00944EE4">
        <w:rPr>
          <w:rFonts w:ascii="Times New Roman" w:hAnsi="Times New Roman" w:cs="Times New Roman"/>
          <w:sz w:val="24"/>
          <w:szCs w:val="24"/>
        </w:rPr>
        <w:t>à la Commission de Vérité, Justice et Réconciliation (CVJR) pour exécuter son mandat dans le proce</w:t>
      </w:r>
      <w:r w:rsidRPr="00944EE4">
        <w:rPr>
          <w:rFonts w:ascii="Times New Roman" w:hAnsi="Times New Roman" w:cs="Times New Roman"/>
          <w:sz w:val="24"/>
          <w:szCs w:val="24"/>
        </w:rPr>
        <w:t>ssus de justice transitionnelle, constitut un autre volet.</w:t>
      </w:r>
      <w:r w:rsidR="00880F37" w:rsidRPr="00944EE4">
        <w:rPr>
          <w:rFonts w:ascii="Times New Roman" w:hAnsi="Times New Roman" w:cs="Times New Roman"/>
          <w:sz w:val="24"/>
          <w:szCs w:val="24"/>
        </w:rPr>
        <w:t xml:space="preserve"> </w:t>
      </w:r>
    </w:p>
    <w:p w14:paraId="15F3EA27" w14:textId="77777777" w:rsidR="00AA3D0E" w:rsidRPr="00944EE4" w:rsidRDefault="00AA3D0E" w:rsidP="00AA3D0E">
      <w:pPr>
        <w:spacing w:line="276" w:lineRule="auto"/>
        <w:rPr>
          <w:rFonts w:ascii="Times New Roman" w:hAnsi="Times New Roman" w:cs="Times New Roman"/>
          <w:sz w:val="24"/>
          <w:szCs w:val="24"/>
        </w:rPr>
      </w:pPr>
    </w:p>
    <w:p w14:paraId="496A8C25" w14:textId="4B9BED1F" w:rsidR="00AA3D0E" w:rsidRPr="00944EE4" w:rsidRDefault="00880F37" w:rsidP="00AA3D0E">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Les Nations Unies </w:t>
      </w:r>
      <w:r w:rsidR="002256CF" w:rsidRPr="00944EE4">
        <w:rPr>
          <w:rFonts w:ascii="Times New Roman" w:hAnsi="Times New Roman" w:cs="Times New Roman"/>
          <w:sz w:val="24"/>
          <w:szCs w:val="24"/>
        </w:rPr>
        <w:t xml:space="preserve">continueront à </w:t>
      </w:r>
      <w:r w:rsidRPr="00944EE4">
        <w:rPr>
          <w:rFonts w:ascii="Times New Roman" w:hAnsi="Times New Roman" w:cs="Times New Roman"/>
          <w:sz w:val="24"/>
          <w:szCs w:val="24"/>
        </w:rPr>
        <w:t>appu</w:t>
      </w:r>
      <w:r w:rsidR="002256CF" w:rsidRPr="00944EE4">
        <w:rPr>
          <w:rFonts w:ascii="Times New Roman" w:hAnsi="Times New Roman" w:cs="Times New Roman"/>
          <w:sz w:val="24"/>
          <w:szCs w:val="24"/>
        </w:rPr>
        <w:t>yer</w:t>
      </w:r>
      <w:r w:rsidRPr="00944EE4">
        <w:rPr>
          <w:rFonts w:ascii="Times New Roman" w:hAnsi="Times New Roman" w:cs="Times New Roman"/>
          <w:sz w:val="24"/>
          <w:szCs w:val="24"/>
        </w:rPr>
        <w:t xml:space="preserve"> le Ministère de la Culture dans la réhabilitation et la restauration des sites du patrimoine culturel endommagés pendant la crise (mausolées, mosquées, musées, bibliothèques, monuments) et la sauvegarde des manuscrits anciens. </w:t>
      </w:r>
      <w:r w:rsidR="002256CF" w:rsidRPr="00944EE4">
        <w:rPr>
          <w:rFonts w:ascii="Times New Roman" w:hAnsi="Times New Roman" w:cs="Times New Roman"/>
          <w:sz w:val="24"/>
          <w:szCs w:val="24"/>
        </w:rPr>
        <w:t>L’</w:t>
      </w:r>
      <w:r w:rsidRPr="00944EE4">
        <w:rPr>
          <w:rFonts w:ascii="Times New Roman" w:hAnsi="Times New Roman" w:cs="Times New Roman"/>
          <w:sz w:val="24"/>
          <w:szCs w:val="24"/>
        </w:rPr>
        <w:t xml:space="preserve">appui </w:t>
      </w:r>
      <w:r w:rsidR="002256CF" w:rsidRPr="00944EE4">
        <w:rPr>
          <w:rFonts w:ascii="Times New Roman" w:hAnsi="Times New Roman" w:cs="Times New Roman"/>
          <w:sz w:val="24"/>
          <w:szCs w:val="24"/>
        </w:rPr>
        <w:t xml:space="preserve">aux </w:t>
      </w:r>
      <w:r w:rsidRPr="00944EE4">
        <w:rPr>
          <w:rFonts w:ascii="Times New Roman" w:hAnsi="Times New Roman" w:cs="Times New Roman"/>
          <w:sz w:val="24"/>
          <w:szCs w:val="24"/>
        </w:rPr>
        <w:t>initiatives nationales et locales qui favoriseront la promotion de la diversité des expressions cultu</w:t>
      </w:r>
      <w:r w:rsidR="002256CF" w:rsidRPr="00944EE4">
        <w:rPr>
          <w:rFonts w:ascii="Times New Roman" w:hAnsi="Times New Roman" w:cs="Times New Roman"/>
          <w:sz w:val="24"/>
          <w:szCs w:val="24"/>
        </w:rPr>
        <w:t>relles sera aussi poursuivi. Les communautés continueront</w:t>
      </w:r>
      <w:r w:rsidRPr="00944EE4">
        <w:rPr>
          <w:rFonts w:ascii="Times New Roman" w:hAnsi="Times New Roman" w:cs="Times New Roman"/>
          <w:sz w:val="24"/>
          <w:szCs w:val="24"/>
        </w:rPr>
        <w:t xml:space="preserve"> </w:t>
      </w:r>
      <w:r w:rsidR="002256CF" w:rsidRPr="00944EE4">
        <w:rPr>
          <w:rFonts w:ascii="Times New Roman" w:hAnsi="Times New Roman" w:cs="Times New Roman"/>
          <w:sz w:val="24"/>
          <w:szCs w:val="24"/>
        </w:rPr>
        <w:t>a etre d</w:t>
      </w:r>
      <w:r w:rsidRPr="00944EE4">
        <w:rPr>
          <w:rFonts w:ascii="Times New Roman" w:hAnsi="Times New Roman" w:cs="Times New Roman"/>
          <w:sz w:val="24"/>
          <w:szCs w:val="24"/>
        </w:rPr>
        <w:t>au cœur du processus</w:t>
      </w:r>
      <w:r w:rsidR="002256CF" w:rsidRPr="00944EE4">
        <w:rPr>
          <w:rFonts w:ascii="Times New Roman" w:hAnsi="Times New Roman" w:cs="Times New Roman"/>
          <w:sz w:val="24"/>
          <w:szCs w:val="24"/>
        </w:rPr>
        <w:t xml:space="preserve"> de</w:t>
      </w:r>
      <w:r w:rsidRPr="00944EE4">
        <w:rPr>
          <w:rFonts w:ascii="Times New Roman" w:hAnsi="Times New Roman" w:cs="Times New Roman"/>
          <w:sz w:val="24"/>
          <w:szCs w:val="24"/>
        </w:rPr>
        <w:t xml:space="preserve"> réhabilitation</w:t>
      </w:r>
      <w:r w:rsidR="002256CF" w:rsidRPr="00944EE4">
        <w:rPr>
          <w:rFonts w:ascii="Times New Roman" w:hAnsi="Times New Roman" w:cs="Times New Roman"/>
          <w:sz w:val="24"/>
          <w:szCs w:val="24"/>
        </w:rPr>
        <w:t>,</w:t>
      </w:r>
      <w:r w:rsidRPr="00944EE4">
        <w:rPr>
          <w:rFonts w:ascii="Times New Roman" w:hAnsi="Times New Roman" w:cs="Times New Roman"/>
          <w:sz w:val="24"/>
          <w:szCs w:val="24"/>
        </w:rPr>
        <w:t xml:space="preserve"> permettant de créer les condit</w:t>
      </w:r>
      <w:r w:rsidR="002256CF" w:rsidRPr="00944EE4">
        <w:rPr>
          <w:rFonts w:ascii="Times New Roman" w:hAnsi="Times New Roman" w:cs="Times New Roman"/>
          <w:sz w:val="24"/>
          <w:szCs w:val="24"/>
        </w:rPr>
        <w:t>ions nécessaires pour favoriser</w:t>
      </w:r>
      <w:r w:rsidRPr="00944EE4">
        <w:rPr>
          <w:rFonts w:ascii="Times New Roman" w:hAnsi="Times New Roman" w:cs="Times New Roman"/>
          <w:sz w:val="24"/>
          <w:szCs w:val="24"/>
        </w:rPr>
        <w:t xml:space="preserve"> le dialogue interculturel.</w:t>
      </w:r>
    </w:p>
    <w:p w14:paraId="178F4734" w14:textId="77777777" w:rsidR="00AA3D0E" w:rsidRPr="00944EE4" w:rsidRDefault="00AA3D0E" w:rsidP="00AA3D0E">
      <w:pPr>
        <w:spacing w:line="276" w:lineRule="auto"/>
        <w:jc w:val="both"/>
        <w:rPr>
          <w:rFonts w:ascii="Times New Roman" w:hAnsi="Times New Roman" w:cs="Times New Roman"/>
          <w:sz w:val="24"/>
          <w:szCs w:val="24"/>
        </w:rPr>
      </w:pPr>
    </w:p>
    <w:p w14:paraId="6EAB4E9C" w14:textId="2BBCE018" w:rsidR="00AA3D0E" w:rsidRPr="00944EE4" w:rsidRDefault="00880F37" w:rsidP="00AA3D0E">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Pour le rétablissement de la sécurité dans le pays et la lutte anti-mines, les Nations Unies </w:t>
      </w:r>
      <w:r w:rsidR="002256CF" w:rsidRPr="00944EE4">
        <w:rPr>
          <w:rFonts w:ascii="Times New Roman" w:hAnsi="Times New Roman" w:cs="Times New Roman"/>
          <w:sz w:val="24"/>
          <w:szCs w:val="24"/>
        </w:rPr>
        <w:t xml:space="preserve">continueront </w:t>
      </w:r>
      <w:r w:rsidR="002E6EA8" w:rsidRPr="00944EE4">
        <w:rPr>
          <w:rFonts w:ascii="Times New Roman" w:hAnsi="Times New Roman" w:cs="Times New Roman"/>
          <w:sz w:val="24"/>
          <w:szCs w:val="24"/>
        </w:rPr>
        <w:t>à</w:t>
      </w:r>
      <w:r w:rsidR="002256CF" w:rsidRPr="00944EE4">
        <w:rPr>
          <w:rFonts w:ascii="Times New Roman" w:hAnsi="Times New Roman" w:cs="Times New Roman"/>
          <w:sz w:val="24"/>
          <w:szCs w:val="24"/>
        </w:rPr>
        <w:t xml:space="preserve"> </w:t>
      </w:r>
      <w:r w:rsidRPr="00944EE4">
        <w:rPr>
          <w:rFonts w:ascii="Times New Roman" w:hAnsi="Times New Roman" w:cs="Times New Roman"/>
          <w:sz w:val="24"/>
          <w:szCs w:val="24"/>
        </w:rPr>
        <w:t xml:space="preserve">travailler en partenariat avec le Gouvernement, notamment le Ministère de la Défense, celui de la Sécurité Intérieure et de la Protection Civile, la Commission nationale de lutte contre la prolifération </w:t>
      </w:r>
      <w:r w:rsidRPr="00944EE4">
        <w:rPr>
          <w:rFonts w:ascii="Times New Roman" w:hAnsi="Times New Roman" w:cs="Times New Roman"/>
          <w:sz w:val="24"/>
          <w:szCs w:val="24"/>
        </w:rPr>
        <w:lastRenderedPageBreak/>
        <w:t>des armes légères et de petits calibres, les communautés de ba</w:t>
      </w:r>
      <w:r w:rsidR="002E6EA8" w:rsidRPr="00944EE4">
        <w:rPr>
          <w:rFonts w:ascii="Times New Roman" w:hAnsi="Times New Roman" w:cs="Times New Roman"/>
          <w:sz w:val="24"/>
          <w:szCs w:val="24"/>
        </w:rPr>
        <w:t>se (hommes, femmes, enfants) et</w:t>
      </w:r>
      <w:r w:rsidRPr="00944EE4">
        <w:rPr>
          <w:rFonts w:ascii="Times New Roman" w:hAnsi="Times New Roman" w:cs="Times New Roman"/>
          <w:sz w:val="24"/>
          <w:szCs w:val="24"/>
        </w:rPr>
        <w:t xml:space="preserve"> les Partenaires techniques et financiers.</w:t>
      </w:r>
    </w:p>
    <w:p w14:paraId="3CF3A3C5" w14:textId="77777777" w:rsidR="00AA3D0E" w:rsidRPr="00944EE4" w:rsidRDefault="00AA3D0E" w:rsidP="00AA3D0E">
      <w:pPr>
        <w:spacing w:line="276" w:lineRule="auto"/>
        <w:jc w:val="both"/>
        <w:rPr>
          <w:rFonts w:ascii="Times New Roman" w:hAnsi="Times New Roman" w:cs="Times New Roman"/>
          <w:sz w:val="24"/>
          <w:szCs w:val="24"/>
        </w:rPr>
      </w:pPr>
    </w:p>
    <w:p w14:paraId="69DE8206" w14:textId="4B38E72B" w:rsidR="00AA3D0E" w:rsidRPr="00944EE4" w:rsidRDefault="002256CF" w:rsidP="00AA3D0E">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L</w:t>
      </w:r>
      <w:r w:rsidR="002E6EA8" w:rsidRPr="00944EE4">
        <w:rPr>
          <w:rFonts w:ascii="Times New Roman" w:hAnsi="Times New Roman" w:cs="Times New Roman"/>
          <w:sz w:val="24"/>
          <w:szCs w:val="24"/>
        </w:rPr>
        <w:t>e plaidoyer et le dialogue politique,</w:t>
      </w:r>
      <w:r w:rsidR="00880F37" w:rsidRPr="00944EE4">
        <w:rPr>
          <w:rFonts w:ascii="Times New Roman" w:hAnsi="Times New Roman" w:cs="Times New Roman"/>
          <w:sz w:val="24"/>
          <w:szCs w:val="24"/>
        </w:rPr>
        <w:t xml:space="preserve"> l’appui à l’élaboration de politiques, programmes, et stratégies pour la réconciliation, le renforcement des capacités institutionnelles, techniques et opérat</w:t>
      </w:r>
      <w:r w:rsidRPr="00944EE4">
        <w:rPr>
          <w:rFonts w:ascii="Times New Roman" w:hAnsi="Times New Roman" w:cs="Times New Roman"/>
          <w:sz w:val="24"/>
          <w:szCs w:val="24"/>
        </w:rPr>
        <w:t>ionnelles, la capitalisation et</w:t>
      </w:r>
      <w:r w:rsidR="00880F37" w:rsidRPr="00944EE4">
        <w:rPr>
          <w:rFonts w:ascii="Times New Roman" w:hAnsi="Times New Roman" w:cs="Times New Roman"/>
          <w:sz w:val="24"/>
          <w:szCs w:val="24"/>
        </w:rPr>
        <w:t xml:space="preserve"> la diffusion des connaissances</w:t>
      </w:r>
      <w:r w:rsidRPr="00944EE4">
        <w:rPr>
          <w:rFonts w:ascii="Times New Roman" w:hAnsi="Times New Roman" w:cs="Times New Roman"/>
          <w:sz w:val="24"/>
          <w:szCs w:val="24"/>
        </w:rPr>
        <w:t>, continueront a etre les principales stratégies utilisées</w:t>
      </w:r>
      <w:r w:rsidR="00880F37" w:rsidRPr="00944EE4">
        <w:rPr>
          <w:rFonts w:ascii="Times New Roman" w:hAnsi="Times New Roman" w:cs="Times New Roman"/>
          <w:sz w:val="24"/>
          <w:szCs w:val="24"/>
        </w:rPr>
        <w:t>.</w:t>
      </w:r>
    </w:p>
    <w:p w14:paraId="182F08A2" w14:textId="77777777" w:rsidR="00870B34" w:rsidRPr="00944EE4" w:rsidRDefault="00870B34">
      <w:pPr>
        <w:rPr>
          <w:rFonts w:ascii="Times New Roman" w:hAnsi="Times New Roman" w:cs="Times New Roman"/>
          <w:b/>
          <w:color w:val="17365D" w:themeColor="text2" w:themeShade="BF"/>
          <w:sz w:val="24"/>
          <w:szCs w:val="24"/>
          <w:u w:val="single"/>
        </w:rPr>
      </w:pPr>
    </w:p>
    <w:tbl>
      <w:tblPr>
        <w:tblpPr w:leftFromText="141" w:rightFromText="141" w:vertAnchor="text" w:horzAnchor="margin" w:tblpY="117"/>
        <w:tblW w:w="9856" w:type="dxa"/>
        <w:tblBorders>
          <w:top w:val="single" w:sz="24" w:space="0" w:color="1F497D" w:themeColor="text2"/>
          <w:bottom w:val="single" w:sz="24" w:space="0" w:color="1F497D" w:themeColor="text2"/>
        </w:tblBorders>
        <w:shd w:val="clear" w:color="auto" w:fill="DBE5F1" w:themeFill="accent1" w:themeFillTint="33"/>
        <w:tblLook w:val="04A0" w:firstRow="1" w:lastRow="0" w:firstColumn="1" w:lastColumn="0" w:noHBand="0" w:noVBand="1"/>
      </w:tblPr>
      <w:tblGrid>
        <w:gridCol w:w="9856"/>
      </w:tblGrid>
      <w:tr w:rsidR="00870B34" w:rsidRPr="00944EE4" w14:paraId="0CEA7CBD" w14:textId="77777777" w:rsidTr="003A1F13">
        <w:trPr>
          <w:trHeight w:val="607"/>
        </w:trPr>
        <w:tc>
          <w:tcPr>
            <w:tcW w:w="9856" w:type="dxa"/>
            <w:shd w:val="clear" w:color="auto" w:fill="DBE5F1" w:themeFill="accent1" w:themeFillTint="33"/>
          </w:tcPr>
          <w:p w14:paraId="53AC1D3D" w14:textId="77777777" w:rsidR="00870B34" w:rsidRPr="00944EE4" w:rsidRDefault="00880F37" w:rsidP="003A1F13">
            <w:pPr>
              <w:pStyle w:val="Titre2"/>
              <w:rPr>
                <w:rFonts w:ascii="Times New Roman" w:hAnsi="Times New Roman" w:cs="Times New Roman"/>
                <w:sz w:val="24"/>
                <w:szCs w:val="24"/>
              </w:rPr>
            </w:pPr>
            <w:bookmarkStart w:id="9" w:name="_Toc509228609"/>
            <w:r w:rsidRPr="00944EE4">
              <w:rPr>
                <w:rFonts w:ascii="Times New Roman" w:hAnsi="Times New Roman" w:cs="Times New Roman"/>
                <w:sz w:val="24"/>
                <w:szCs w:val="24"/>
              </w:rPr>
              <w:t>Axe 2 : Gouvernance</w:t>
            </w:r>
            <w:bookmarkEnd w:id="9"/>
          </w:p>
        </w:tc>
      </w:tr>
    </w:tbl>
    <w:p w14:paraId="1AC00E64" w14:textId="77777777" w:rsidR="00870B34" w:rsidRPr="00944EE4" w:rsidRDefault="00870B34" w:rsidP="00870B34">
      <w:pPr>
        <w:rPr>
          <w:rFonts w:ascii="Times New Roman" w:hAnsi="Times New Roman" w:cs="Times New Roman"/>
          <w:sz w:val="24"/>
          <w:szCs w:val="24"/>
        </w:rPr>
      </w:pPr>
    </w:p>
    <w:p w14:paraId="54F4E0DA" w14:textId="75F5FD74" w:rsidR="007E1126" w:rsidRPr="00944EE4" w:rsidRDefault="00880F37" w:rsidP="007E1126">
      <w:pPr>
        <w:pStyle w:val="Commentaire"/>
        <w:spacing w:line="276" w:lineRule="auto"/>
        <w:jc w:val="both"/>
        <w:rPr>
          <w:b/>
          <w:i/>
          <w:sz w:val="24"/>
          <w:szCs w:val="24"/>
        </w:rPr>
      </w:pPr>
      <w:r w:rsidRPr="00944EE4">
        <w:rPr>
          <w:sz w:val="24"/>
          <w:szCs w:val="24"/>
        </w:rPr>
        <w:t xml:space="preserve">L’axe </w:t>
      </w:r>
      <w:r w:rsidRPr="00944EE4">
        <w:rPr>
          <w:b/>
          <w:color w:val="365F91" w:themeColor="accent1" w:themeShade="BF"/>
          <w:sz w:val="24"/>
          <w:szCs w:val="24"/>
          <w:u w:val="single"/>
        </w:rPr>
        <w:t>Gouvernance</w:t>
      </w:r>
      <w:r w:rsidRPr="00944EE4">
        <w:rPr>
          <w:sz w:val="24"/>
          <w:szCs w:val="24"/>
        </w:rPr>
        <w:t xml:space="preserve"> retenu par les Nations Unies pour l’UNDAF+ 2015-2019 correspond à l’axe 1 du Programme d’Actions du Gouvernement (PAG) pour </w:t>
      </w:r>
      <w:r w:rsidRPr="00944EE4">
        <w:rPr>
          <w:b/>
          <w:i/>
          <w:sz w:val="24"/>
          <w:szCs w:val="24"/>
        </w:rPr>
        <w:t xml:space="preserve">la mise en place d’institutions fortes et crédibles.  </w:t>
      </w:r>
      <w:r w:rsidRPr="00944EE4">
        <w:rPr>
          <w:bCs/>
          <w:sz w:val="24"/>
          <w:szCs w:val="24"/>
        </w:rPr>
        <w:t>Il est</w:t>
      </w:r>
      <w:r w:rsidRPr="00944EE4">
        <w:rPr>
          <w:b/>
          <w:bCs/>
          <w:i/>
          <w:sz w:val="24"/>
          <w:szCs w:val="24"/>
        </w:rPr>
        <w:t xml:space="preserve"> </w:t>
      </w:r>
      <w:r w:rsidRPr="00944EE4">
        <w:rPr>
          <w:noProof/>
          <w:sz w:val="24"/>
          <w:szCs w:val="24"/>
        </w:rPr>
        <w:t xml:space="preserve">aussi  en adequation avec </w:t>
      </w:r>
      <w:r w:rsidR="00FE45C6">
        <w:rPr>
          <w:noProof/>
          <w:sz w:val="24"/>
          <w:szCs w:val="24"/>
        </w:rPr>
        <w:t xml:space="preserve">l’Axe Strategique 3 du CREDD et </w:t>
      </w:r>
      <w:r w:rsidRPr="00944EE4">
        <w:rPr>
          <w:noProof/>
          <w:sz w:val="24"/>
          <w:szCs w:val="24"/>
        </w:rPr>
        <w:t>le pilier 1 de la Stratégie intégrée des Nations Unies pour le Sahel visa</w:t>
      </w:r>
      <w:r w:rsidR="002E6EA8" w:rsidRPr="00944EE4">
        <w:rPr>
          <w:noProof/>
          <w:sz w:val="24"/>
          <w:szCs w:val="24"/>
        </w:rPr>
        <w:t>nt à assurer une</w:t>
      </w:r>
      <w:r w:rsidRPr="00944EE4">
        <w:rPr>
          <w:b/>
          <w:bCs/>
          <w:sz w:val="24"/>
          <w:szCs w:val="24"/>
        </w:rPr>
        <w:t xml:space="preserve"> </w:t>
      </w:r>
      <w:r w:rsidRPr="00944EE4">
        <w:rPr>
          <w:bCs/>
          <w:sz w:val="24"/>
          <w:szCs w:val="24"/>
        </w:rPr>
        <w:t>gouvernance efficace et sans exclusive dans l’ensemble de la région.</w:t>
      </w:r>
    </w:p>
    <w:p w14:paraId="5162F2D2" w14:textId="77777777" w:rsidR="005A2674" w:rsidRPr="00944EE4" w:rsidRDefault="00880F37" w:rsidP="005A2674">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 </w:t>
      </w:r>
    </w:p>
    <w:p w14:paraId="136A0E70" w14:textId="415BB517" w:rsidR="002E6EA8" w:rsidRPr="00944EE4" w:rsidRDefault="002E6EA8" w:rsidP="002E6EA8">
      <w:pPr>
        <w:pStyle w:val="Paragraphedeliste"/>
        <w:numPr>
          <w:ilvl w:val="1"/>
          <w:numId w:val="50"/>
        </w:numPr>
        <w:spacing w:line="276" w:lineRule="auto"/>
        <w:jc w:val="both"/>
        <w:rPr>
          <w:rFonts w:ascii="Times New Roman" w:hAnsi="Times New Roman" w:cs="Times New Roman"/>
          <w:b/>
          <w:color w:val="365F91" w:themeColor="accent1" w:themeShade="BF"/>
          <w:sz w:val="24"/>
          <w:szCs w:val="24"/>
          <w:u w:val="single"/>
        </w:rPr>
      </w:pPr>
      <w:r w:rsidRPr="00944EE4">
        <w:rPr>
          <w:rFonts w:ascii="Times New Roman" w:hAnsi="Times New Roman" w:cs="Times New Roman"/>
          <w:b/>
          <w:color w:val="365F91" w:themeColor="accent1" w:themeShade="BF"/>
          <w:sz w:val="24"/>
          <w:szCs w:val="24"/>
          <w:u w:val="single"/>
        </w:rPr>
        <w:t>Analyse de situation a mi-parcours de l’UNDAF+</w:t>
      </w:r>
    </w:p>
    <w:p w14:paraId="498D0C92" w14:textId="77777777" w:rsidR="00B94216" w:rsidRDefault="00B94216" w:rsidP="005A2674">
      <w:pPr>
        <w:spacing w:line="276" w:lineRule="auto"/>
        <w:jc w:val="both"/>
        <w:rPr>
          <w:rFonts w:ascii="Times New Roman" w:eastAsia="Times New Roman" w:hAnsi="Times New Roman" w:cs="Times New Roman"/>
          <w:sz w:val="24"/>
          <w:szCs w:val="24"/>
        </w:rPr>
      </w:pPr>
    </w:p>
    <w:p w14:paraId="0A946F7F" w14:textId="15D6B905" w:rsidR="00B94216" w:rsidRPr="00B94216" w:rsidRDefault="00B94216" w:rsidP="00B94216">
      <w:pPr>
        <w:spacing w:after="120"/>
        <w:jc w:val="both"/>
        <w:rPr>
          <w:rFonts w:ascii="Times New Roman" w:eastAsia="Calibri" w:hAnsi="Times New Roman" w:cs="Times New Roman"/>
          <w:sz w:val="24"/>
          <w:szCs w:val="24"/>
          <w:lang w:val="fr-ML"/>
        </w:rPr>
      </w:pPr>
      <w:r w:rsidRPr="00B94216">
        <w:rPr>
          <w:rFonts w:ascii="Times New Roman" w:eastAsia="Times New Roman" w:hAnsi="Times New Roman" w:cs="Times New Roman"/>
          <w:sz w:val="24"/>
          <w:szCs w:val="24"/>
        </w:rPr>
        <w:t xml:space="preserve">Malgre la situaion securitaire difficile, </w:t>
      </w:r>
      <w:r w:rsidRPr="00B94216">
        <w:rPr>
          <w:rFonts w:ascii="Times New Roman" w:eastAsia="Calibri" w:hAnsi="Times New Roman" w:cs="Times New Roman"/>
          <w:sz w:val="24"/>
          <w:szCs w:val="24"/>
          <w:lang w:val="fr-ML"/>
        </w:rPr>
        <w:t xml:space="preserve">l’index </w:t>
      </w:r>
      <w:bookmarkStart w:id="10" w:name="_Hlk506101364"/>
      <w:r w:rsidRPr="00B94216">
        <w:rPr>
          <w:rFonts w:ascii="Times New Roman" w:eastAsia="Calibri" w:hAnsi="Times New Roman" w:cs="Times New Roman"/>
          <w:sz w:val="24"/>
          <w:szCs w:val="24"/>
          <w:lang w:val="fr-ML"/>
        </w:rPr>
        <w:fldChar w:fldCharType="begin"/>
      </w:r>
      <w:r w:rsidRPr="00B94216">
        <w:rPr>
          <w:rFonts w:ascii="Times New Roman" w:eastAsia="Calibri" w:hAnsi="Times New Roman" w:cs="Times New Roman"/>
          <w:sz w:val="24"/>
          <w:szCs w:val="24"/>
          <w:lang w:val="fr-ML"/>
        </w:rPr>
        <w:instrText xml:space="preserve"> HYPERLINK "http://s.mo.ibrahim.foundation/u/2017/11/21132849/2017-IIAG-Report-FR.pdf?_ga=2.95728857.459943282.1518337592-31904430.1518337592" </w:instrText>
      </w:r>
      <w:r w:rsidRPr="00B94216">
        <w:rPr>
          <w:rFonts w:ascii="Times New Roman" w:eastAsia="Calibri" w:hAnsi="Times New Roman" w:cs="Times New Roman"/>
          <w:sz w:val="24"/>
          <w:szCs w:val="24"/>
          <w:lang w:val="fr-ML"/>
        </w:rPr>
        <w:fldChar w:fldCharType="separate"/>
      </w:r>
      <w:r w:rsidRPr="00B94216">
        <w:rPr>
          <w:rFonts w:ascii="Times New Roman" w:eastAsia="Calibri" w:hAnsi="Times New Roman" w:cs="Times New Roman"/>
          <w:sz w:val="24"/>
          <w:szCs w:val="24"/>
          <w:lang w:val="fr-ML"/>
        </w:rPr>
        <w:t xml:space="preserve">Mo Ibrahim </w:t>
      </w:r>
      <w:bookmarkEnd w:id="10"/>
      <w:r w:rsidRPr="00B94216">
        <w:rPr>
          <w:rFonts w:ascii="Times New Roman" w:eastAsia="Calibri" w:hAnsi="Times New Roman" w:cs="Times New Roman"/>
          <w:sz w:val="24"/>
          <w:szCs w:val="24"/>
          <w:lang w:val="fr-ML"/>
        </w:rPr>
        <w:fldChar w:fldCharType="end"/>
      </w:r>
      <w:r w:rsidRPr="00B94216">
        <w:rPr>
          <w:rFonts w:ascii="Times New Roman" w:eastAsia="Calibri" w:hAnsi="Times New Roman" w:cs="Times New Roman"/>
          <w:sz w:val="24"/>
          <w:szCs w:val="24"/>
          <w:lang w:val="fr-ML"/>
        </w:rPr>
        <w:t xml:space="preserve"> relève une bonne situation d’ensemble du Mali depuis 2015. Cet Index est en effet passé du score de 50,6 en 2015 à 51,9 en 2016, dépassant ainsi la moyenne continentale de 50,8 pour l’année 2016. Toutefois la situation a connu une légère régression en 2017 au regard du score qui est passée à 51,6%. </w:t>
      </w:r>
    </w:p>
    <w:p w14:paraId="05CB3B74" w14:textId="77777777" w:rsidR="006E325E" w:rsidRDefault="00B94216" w:rsidP="006E325E">
      <w:pPr>
        <w:rPr>
          <w:rFonts w:ascii="Times New Roman" w:eastAsia="Calibri" w:hAnsi="Times New Roman" w:cs="Times New Roman"/>
          <w:sz w:val="24"/>
          <w:szCs w:val="24"/>
          <w:lang w:val="fr-ML"/>
        </w:rPr>
      </w:pPr>
      <w:r w:rsidRPr="00B94216">
        <w:rPr>
          <w:rFonts w:ascii="Times New Roman" w:eastAsia="Calibri" w:hAnsi="Times New Roman" w:cs="Times New Roman"/>
          <w:sz w:val="24"/>
          <w:szCs w:val="24"/>
          <w:lang w:val="fr-ML"/>
        </w:rPr>
        <w:t xml:space="preserve">Le </w:t>
      </w:r>
      <w:hyperlink r:id="rId12" w:history="1">
        <w:r w:rsidRPr="00B94216">
          <w:rPr>
            <w:rFonts w:ascii="Times New Roman" w:eastAsia="Calibri" w:hAnsi="Times New Roman" w:cs="Times New Roman"/>
            <w:sz w:val="24"/>
            <w:szCs w:val="24"/>
            <w:lang w:val="fr-ML"/>
          </w:rPr>
          <w:t>classement de 2017 de Transparency International</w:t>
        </w:r>
      </w:hyperlink>
      <w:r w:rsidRPr="00B94216">
        <w:rPr>
          <w:rFonts w:ascii="Times New Roman" w:eastAsia="Calibri" w:hAnsi="Times New Roman" w:cs="Times New Roman"/>
          <w:sz w:val="24"/>
          <w:szCs w:val="24"/>
          <w:lang w:val="fr-ML"/>
        </w:rPr>
        <w:t xml:space="preserve"> indique qu’en 2017, la lutte contre la corruption au Mali qui s’est détériorée depuis 2013 a continué de régresser. Le pays a cédé 21 places en un an, passant du 95ème rang en 2015 (avec un score de 35) au 116ème en 2016 (score 32), puis au 122ème rang en 2017 (score 31).</w:t>
      </w:r>
    </w:p>
    <w:p w14:paraId="1CCAE0E9" w14:textId="77777777" w:rsidR="006E325E" w:rsidRDefault="006E325E" w:rsidP="006E325E">
      <w:pPr>
        <w:rPr>
          <w:rFonts w:ascii="Times New Roman" w:eastAsia="Calibri" w:hAnsi="Times New Roman" w:cs="Times New Roman"/>
          <w:sz w:val="24"/>
          <w:szCs w:val="24"/>
          <w:lang w:val="fr-ML"/>
        </w:rPr>
      </w:pPr>
    </w:p>
    <w:p w14:paraId="10E521D3" w14:textId="71426FE0" w:rsidR="00B94216" w:rsidRPr="006E325E" w:rsidRDefault="00B94216" w:rsidP="006E325E">
      <w:pPr>
        <w:rPr>
          <w:rFonts w:ascii="Times New Roman" w:eastAsia="Calibri" w:hAnsi="Times New Roman" w:cs="Times New Roman"/>
          <w:sz w:val="24"/>
          <w:szCs w:val="24"/>
          <w:lang w:val="fr-ML"/>
        </w:rPr>
      </w:pPr>
      <w:r w:rsidRPr="00B94216">
        <w:rPr>
          <w:rFonts w:ascii="Times New Roman" w:hAnsi="Times New Roman" w:cs="Times New Roman"/>
          <w:sz w:val="24"/>
          <w:szCs w:val="24"/>
        </w:rPr>
        <w:t>Dans le cadre de l’amélioration des services judiciaires et l’accessibilité au droit et à la justice, le programme de réhabilitation et/ou de construction des infrastructures judiciaires a été poursuivi avec la réalisation d’infrastructures sur toute l’étendue du Territoire se traduisant par la reconstruction, la construction, la réhabilitation et l’équipement des Tribunaux de Grande Instance, de Palais de justice, de Pôles économiques et financiers, la réhabilitation et l’équipement des locaux des Pôles Judiciaires Spécialisés, de Brigades d’Investigation Spécialisées, de Bureaux d’Assistance Juridique et Judiciaire (BAJJ) dans les Tribunaux de Grande Instance, et tribunaux administratifs, des Régions de Kayes, Koulikoro, Ségou, Sikasso, Mopti, Tombouctou, Gao, Ménaka.</w:t>
      </w:r>
    </w:p>
    <w:p w14:paraId="088379A0" w14:textId="2AA8203C" w:rsidR="005A2674" w:rsidRPr="00944EE4" w:rsidRDefault="00880F37" w:rsidP="005A2674">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  </w:t>
      </w:r>
    </w:p>
    <w:p w14:paraId="6F3DE4EB" w14:textId="1A70B4FA" w:rsidR="005A2674" w:rsidRPr="00944EE4" w:rsidRDefault="00880F37" w:rsidP="005A2674">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La faiblesse des cap</w:t>
      </w:r>
      <w:r w:rsidR="00B94216">
        <w:rPr>
          <w:rFonts w:ascii="Times New Roman" w:hAnsi="Times New Roman" w:cs="Times New Roman"/>
          <w:sz w:val="24"/>
          <w:szCs w:val="24"/>
        </w:rPr>
        <w:t>acités de l’Assemblée Nationale</w:t>
      </w:r>
      <w:r w:rsidRPr="00944EE4">
        <w:rPr>
          <w:rFonts w:ascii="Times New Roman" w:hAnsi="Times New Roman" w:cs="Times New Roman"/>
          <w:sz w:val="24"/>
          <w:szCs w:val="24"/>
        </w:rPr>
        <w:t xml:space="preserve"> en tant que garante du pouvoir législatif </w:t>
      </w:r>
      <w:r w:rsidR="006E325E">
        <w:rPr>
          <w:rFonts w:ascii="Times New Roman" w:hAnsi="Times New Roman" w:cs="Times New Roman"/>
          <w:sz w:val="24"/>
          <w:szCs w:val="24"/>
        </w:rPr>
        <w:t xml:space="preserve">est cependant notoire et </w:t>
      </w:r>
      <w:r w:rsidRPr="00944EE4">
        <w:rPr>
          <w:rFonts w:ascii="Times New Roman" w:hAnsi="Times New Roman" w:cs="Times New Roman"/>
          <w:sz w:val="24"/>
          <w:szCs w:val="24"/>
        </w:rPr>
        <w:t xml:space="preserve">se manifeste, entre autres par un nombre insuffisant de lois initiées. </w:t>
      </w:r>
    </w:p>
    <w:p w14:paraId="3483F446" w14:textId="77777777" w:rsidR="005A2674" w:rsidRPr="00944EE4" w:rsidRDefault="005A2674" w:rsidP="005A2674">
      <w:pPr>
        <w:spacing w:line="276" w:lineRule="auto"/>
        <w:jc w:val="both"/>
        <w:rPr>
          <w:rFonts w:ascii="Times New Roman" w:hAnsi="Times New Roman" w:cs="Times New Roman"/>
          <w:sz w:val="24"/>
          <w:szCs w:val="24"/>
        </w:rPr>
      </w:pPr>
    </w:p>
    <w:p w14:paraId="5F137663" w14:textId="7FDCDC8C" w:rsidR="006E325E" w:rsidRPr="00B94216" w:rsidRDefault="00880F37" w:rsidP="006E325E">
      <w:pPr>
        <w:rPr>
          <w:rFonts w:ascii="Times New Roman" w:eastAsia="Calibri" w:hAnsi="Times New Roman" w:cs="Times New Roman"/>
          <w:sz w:val="24"/>
          <w:szCs w:val="24"/>
          <w:lang w:val="fr-ML"/>
        </w:rPr>
      </w:pPr>
      <w:r w:rsidRPr="00944EE4">
        <w:rPr>
          <w:rFonts w:ascii="Times New Roman" w:hAnsi="Times New Roman" w:cs="Times New Roman"/>
          <w:sz w:val="24"/>
          <w:szCs w:val="24"/>
        </w:rPr>
        <w:t xml:space="preserve">Les efforts entrepris par le Gouvernement pour impulser une réforme de la décentralisation sont en cours. </w:t>
      </w:r>
      <w:r w:rsidR="006E325E">
        <w:rPr>
          <w:rFonts w:ascii="Times New Roman" w:hAnsi="Times New Roman" w:cs="Times New Roman"/>
          <w:sz w:val="24"/>
          <w:szCs w:val="24"/>
        </w:rPr>
        <w:t>L</w:t>
      </w:r>
      <w:r w:rsidRPr="00944EE4">
        <w:rPr>
          <w:rFonts w:ascii="Times New Roman" w:hAnsi="Times New Roman" w:cs="Times New Roman"/>
          <w:sz w:val="24"/>
          <w:szCs w:val="24"/>
        </w:rPr>
        <w:t xml:space="preserve">es faiblesses observées sont </w:t>
      </w:r>
      <w:r w:rsidR="006E325E">
        <w:rPr>
          <w:rFonts w:ascii="Times New Roman" w:hAnsi="Times New Roman" w:cs="Times New Roman"/>
          <w:sz w:val="24"/>
          <w:szCs w:val="24"/>
        </w:rPr>
        <w:t>liées, de manière structurelle,</w:t>
      </w:r>
      <w:r w:rsidRPr="00944EE4">
        <w:rPr>
          <w:rFonts w:ascii="Times New Roman" w:hAnsi="Times New Roman" w:cs="Times New Roman"/>
          <w:sz w:val="24"/>
          <w:szCs w:val="24"/>
        </w:rPr>
        <w:t xml:space="preserve"> au manque de cohérence entre les planifications nationales et locales et une absence de mise à disposition adéquate des compétences et de moyens financiers aux Collectivités pour qu’elle</w:t>
      </w:r>
      <w:r w:rsidR="006E325E">
        <w:rPr>
          <w:rFonts w:ascii="Times New Roman" w:hAnsi="Times New Roman" w:cs="Times New Roman"/>
          <w:sz w:val="24"/>
          <w:szCs w:val="24"/>
        </w:rPr>
        <w:t>s accomplissent leurs missions.</w:t>
      </w:r>
      <w:r w:rsidRPr="00944EE4">
        <w:rPr>
          <w:rFonts w:ascii="Times New Roman" w:hAnsi="Times New Roman" w:cs="Times New Roman"/>
          <w:sz w:val="24"/>
          <w:szCs w:val="24"/>
        </w:rPr>
        <w:t xml:space="preserve"> Les Etats généraux de la Décentralisation organisés en 2013 ont recommandé de ramener les collectivités au </w:t>
      </w:r>
      <w:r w:rsidRPr="00944EE4">
        <w:rPr>
          <w:rFonts w:ascii="Times New Roman" w:hAnsi="Times New Roman" w:cs="Times New Roman"/>
          <w:sz w:val="24"/>
          <w:szCs w:val="24"/>
        </w:rPr>
        <w:lastRenderedPageBreak/>
        <w:t>centre du dé</w:t>
      </w:r>
      <w:r w:rsidR="006E325E">
        <w:rPr>
          <w:rFonts w:ascii="Times New Roman" w:hAnsi="Times New Roman" w:cs="Times New Roman"/>
          <w:sz w:val="24"/>
          <w:szCs w:val="24"/>
        </w:rPr>
        <w:t>veloppement et développer leurs</w:t>
      </w:r>
      <w:r w:rsidRPr="00944EE4">
        <w:rPr>
          <w:rFonts w:ascii="Times New Roman" w:hAnsi="Times New Roman" w:cs="Times New Roman"/>
          <w:sz w:val="24"/>
          <w:szCs w:val="24"/>
        </w:rPr>
        <w:t xml:space="preserve"> capacités à fournir des services de qualité aux citoyens. Le chantier de la réforme engagée permettra d’approfondir la décentralisation axée essentiellement sur la régionalisation.</w:t>
      </w:r>
      <w:r w:rsidR="006E325E">
        <w:rPr>
          <w:rFonts w:ascii="Times New Roman" w:hAnsi="Times New Roman" w:cs="Times New Roman"/>
          <w:sz w:val="24"/>
          <w:szCs w:val="24"/>
        </w:rPr>
        <w:t xml:space="preserve"> </w:t>
      </w:r>
      <w:r w:rsidR="006E325E">
        <w:rPr>
          <w:rFonts w:ascii="Times New Roman" w:eastAsia="Calibri" w:hAnsi="Times New Roman" w:cs="Times New Roman"/>
          <w:sz w:val="24"/>
          <w:szCs w:val="24"/>
          <w:lang w:val="fr-ML"/>
        </w:rPr>
        <w:t>L</w:t>
      </w:r>
      <w:r w:rsidR="006E325E" w:rsidRPr="00B94216">
        <w:rPr>
          <w:rFonts w:ascii="Times New Roman" w:eastAsia="Calibri" w:hAnsi="Times New Roman" w:cs="Times New Roman"/>
          <w:sz w:val="24"/>
          <w:szCs w:val="24"/>
          <w:lang w:val="fr-ML"/>
        </w:rPr>
        <w:t xml:space="preserve">’Etat a fourni un effort pour transférer davantage de ressources aux collectivités territoriale, atteignant 18,3% du budget de l’Etat en 2017 (contre 16,7% en 2016), même si l’objectif de 24.5% fixé pour 2017 n’a pas été atteint.  </w:t>
      </w:r>
    </w:p>
    <w:p w14:paraId="453EE04B" w14:textId="36710FF5" w:rsidR="005A2674" w:rsidRDefault="005A2674" w:rsidP="005A2674">
      <w:pPr>
        <w:spacing w:line="276" w:lineRule="auto"/>
        <w:jc w:val="both"/>
        <w:rPr>
          <w:rFonts w:ascii="Times New Roman" w:hAnsi="Times New Roman" w:cs="Times New Roman"/>
          <w:sz w:val="24"/>
          <w:szCs w:val="24"/>
          <w:lang w:val="fr-ML"/>
        </w:rPr>
      </w:pPr>
    </w:p>
    <w:p w14:paraId="30C95831" w14:textId="75C34A6E" w:rsidR="005A2674" w:rsidRDefault="00880F37" w:rsidP="004C33CA">
      <w:pPr>
        <w:pStyle w:val="NormalWeb"/>
        <w:numPr>
          <w:ilvl w:val="1"/>
          <w:numId w:val="50"/>
        </w:numPr>
        <w:spacing w:before="0" w:beforeAutospacing="0" w:after="0" w:afterAutospacing="0" w:line="276" w:lineRule="auto"/>
        <w:textAlignment w:val="baseline"/>
        <w:rPr>
          <w:rFonts w:eastAsiaTheme="minorEastAsia"/>
          <w:b/>
          <w:color w:val="1F497D" w:themeColor="text2"/>
          <w:kern w:val="24"/>
          <w:u w:val="single"/>
        </w:rPr>
      </w:pPr>
      <w:r w:rsidRPr="00944EE4">
        <w:rPr>
          <w:rFonts w:eastAsiaTheme="minorEastAsia"/>
          <w:b/>
          <w:color w:val="1F497D" w:themeColor="text2"/>
          <w:kern w:val="24"/>
          <w:u w:val="single"/>
        </w:rPr>
        <w:t>Contribution des Nations Unies</w:t>
      </w:r>
    </w:p>
    <w:p w14:paraId="65C6B212" w14:textId="77777777" w:rsidR="004C33CA" w:rsidRPr="00944EE4" w:rsidRDefault="004C33CA" w:rsidP="004C33CA">
      <w:pPr>
        <w:pStyle w:val="NormalWeb"/>
        <w:spacing w:before="0" w:beforeAutospacing="0" w:after="0" w:afterAutospacing="0" w:line="276" w:lineRule="auto"/>
        <w:ind w:left="360"/>
        <w:textAlignment w:val="baseline"/>
        <w:rPr>
          <w:rFonts w:eastAsiaTheme="minorEastAsia"/>
          <w:b/>
          <w:color w:val="1F497D" w:themeColor="text2"/>
          <w:kern w:val="24"/>
          <w:u w:val="single"/>
        </w:rPr>
      </w:pPr>
    </w:p>
    <w:p w14:paraId="0CCC6A62" w14:textId="5859EE00" w:rsidR="005A2674" w:rsidRPr="00944EE4" w:rsidRDefault="00880F37" w:rsidP="005A2674">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Les Nations Unies </w:t>
      </w:r>
      <w:r w:rsidR="006E325E">
        <w:rPr>
          <w:rFonts w:ascii="Times New Roman" w:hAnsi="Times New Roman" w:cs="Times New Roman"/>
          <w:sz w:val="24"/>
          <w:szCs w:val="24"/>
        </w:rPr>
        <w:t>continueront à</w:t>
      </w:r>
      <w:r w:rsidRPr="00944EE4">
        <w:rPr>
          <w:rFonts w:ascii="Times New Roman" w:hAnsi="Times New Roman" w:cs="Times New Roman"/>
          <w:sz w:val="24"/>
          <w:szCs w:val="24"/>
        </w:rPr>
        <w:t xml:space="preserve"> accompagner les efforts du Gouvernement et d’autres acteurs parties prenantes (collectivités décentralisées, organes déconcentrés de l’Etat, institutions nationales, société civile, secteur priv</w:t>
      </w:r>
      <w:r w:rsidR="006E325E">
        <w:rPr>
          <w:rFonts w:ascii="Times New Roman" w:hAnsi="Times New Roman" w:cs="Times New Roman"/>
          <w:sz w:val="24"/>
          <w:szCs w:val="24"/>
        </w:rPr>
        <w:t>é, etc.) dans la réalisation du</w:t>
      </w:r>
      <w:r w:rsidRPr="00944EE4">
        <w:rPr>
          <w:rFonts w:ascii="Times New Roman" w:hAnsi="Times New Roman" w:cs="Times New Roman"/>
          <w:sz w:val="24"/>
          <w:szCs w:val="24"/>
        </w:rPr>
        <w:t xml:space="preserve"> vaste chantier de réforme démocratique. </w:t>
      </w:r>
    </w:p>
    <w:p w14:paraId="1919E8C0" w14:textId="77777777" w:rsidR="005A2674" w:rsidRPr="00944EE4" w:rsidRDefault="005A2674" w:rsidP="005A2674">
      <w:pPr>
        <w:spacing w:line="276" w:lineRule="auto"/>
        <w:jc w:val="both"/>
        <w:rPr>
          <w:rFonts w:ascii="Times New Roman" w:hAnsi="Times New Roman" w:cs="Times New Roman"/>
          <w:sz w:val="24"/>
          <w:szCs w:val="24"/>
        </w:rPr>
      </w:pPr>
    </w:p>
    <w:p w14:paraId="1202DB9B" w14:textId="08E67146" w:rsidR="005A2674" w:rsidRPr="00944EE4" w:rsidRDefault="006E325E" w:rsidP="005A2674">
      <w:pPr>
        <w:spacing w:line="276" w:lineRule="auto"/>
        <w:jc w:val="both"/>
        <w:rPr>
          <w:rFonts w:ascii="Times New Roman" w:hAnsi="Times New Roman" w:cs="Times New Roman"/>
          <w:bCs/>
          <w:sz w:val="24"/>
          <w:szCs w:val="24"/>
        </w:rPr>
      </w:pPr>
      <w:r>
        <w:rPr>
          <w:rFonts w:ascii="Times New Roman" w:hAnsi="Times New Roman" w:cs="Times New Roman"/>
          <w:sz w:val="24"/>
          <w:szCs w:val="24"/>
        </w:rPr>
        <w:t>Conformement</w:t>
      </w:r>
      <w:r w:rsidR="00880F37" w:rsidRPr="00944EE4">
        <w:rPr>
          <w:rFonts w:ascii="Times New Roman" w:hAnsi="Times New Roman" w:cs="Times New Roman"/>
          <w:sz w:val="24"/>
          <w:szCs w:val="24"/>
        </w:rPr>
        <w:t xml:space="preserve"> aux priorités du Gouvernement en matière de bonne gouvernance, l’assistance des Nations Unies </w:t>
      </w:r>
      <w:r>
        <w:rPr>
          <w:rFonts w:ascii="Times New Roman" w:hAnsi="Times New Roman" w:cs="Times New Roman"/>
          <w:sz w:val="24"/>
          <w:szCs w:val="24"/>
        </w:rPr>
        <w:t>vise à atteindre l’E</w:t>
      </w:r>
      <w:r w:rsidR="00880F37" w:rsidRPr="00944EE4">
        <w:rPr>
          <w:rFonts w:ascii="Times New Roman" w:hAnsi="Times New Roman" w:cs="Times New Roman"/>
          <w:sz w:val="24"/>
          <w:szCs w:val="24"/>
        </w:rPr>
        <w:t xml:space="preserve">ffet suivant : </w:t>
      </w:r>
      <w:r w:rsidR="00880F37" w:rsidRPr="00944EE4">
        <w:rPr>
          <w:rFonts w:ascii="Times New Roman" w:hAnsi="Times New Roman" w:cs="Times New Roman"/>
          <w:b/>
          <w:sz w:val="24"/>
          <w:szCs w:val="24"/>
        </w:rPr>
        <w:t>« </w:t>
      </w:r>
      <w:r w:rsidR="00880F37" w:rsidRPr="00944EE4">
        <w:rPr>
          <w:rFonts w:ascii="Times New Roman" w:hAnsi="Times New Roman" w:cs="Times New Roman"/>
          <w:b/>
          <w:bCs/>
          <w:sz w:val="24"/>
          <w:szCs w:val="24"/>
        </w:rPr>
        <w:t>Les institutions étatiques, nationales et locales, exercent de manière plus efficace leurs missions de service public et les acteurs non étatiques participent et assurent le contrôle citoyen en conformité avec les principes de bonne gouvernance et d’Etat de droit »</w:t>
      </w:r>
      <w:r w:rsidR="00880F37" w:rsidRPr="00944EE4">
        <w:rPr>
          <w:rFonts w:ascii="Times New Roman" w:hAnsi="Times New Roman" w:cs="Times New Roman"/>
          <w:bCs/>
          <w:sz w:val="24"/>
          <w:szCs w:val="24"/>
        </w:rPr>
        <w:t xml:space="preserve"> </w:t>
      </w:r>
    </w:p>
    <w:p w14:paraId="12AF7239" w14:textId="77777777" w:rsidR="005A2674" w:rsidRPr="00944EE4" w:rsidRDefault="005A2674" w:rsidP="005A2674">
      <w:pPr>
        <w:spacing w:line="276" w:lineRule="auto"/>
        <w:jc w:val="both"/>
        <w:rPr>
          <w:rFonts w:ascii="Times New Roman" w:hAnsi="Times New Roman" w:cs="Times New Roman"/>
          <w:bCs/>
          <w:sz w:val="24"/>
          <w:szCs w:val="24"/>
        </w:rPr>
      </w:pPr>
    </w:p>
    <w:p w14:paraId="6FBDAEEC" w14:textId="2DDBC4CA" w:rsidR="005A2674" w:rsidRPr="00944EE4" w:rsidRDefault="00880F37" w:rsidP="005A2674">
      <w:pPr>
        <w:spacing w:line="276" w:lineRule="auto"/>
        <w:jc w:val="both"/>
        <w:rPr>
          <w:rFonts w:ascii="Times New Roman" w:hAnsi="Times New Roman" w:cs="Times New Roman"/>
          <w:b/>
          <w:bCs/>
          <w:sz w:val="24"/>
          <w:szCs w:val="24"/>
        </w:rPr>
      </w:pPr>
      <w:r w:rsidRPr="00944EE4">
        <w:rPr>
          <w:rFonts w:ascii="Times New Roman" w:hAnsi="Times New Roman" w:cs="Times New Roman"/>
          <w:bCs/>
          <w:sz w:val="24"/>
          <w:szCs w:val="24"/>
        </w:rPr>
        <w:t xml:space="preserve">Les initiatives que les Nations Unies </w:t>
      </w:r>
      <w:r w:rsidR="006E325E">
        <w:rPr>
          <w:rFonts w:ascii="Times New Roman" w:hAnsi="Times New Roman" w:cs="Times New Roman"/>
          <w:bCs/>
          <w:sz w:val="24"/>
          <w:szCs w:val="24"/>
        </w:rPr>
        <w:t>soutenues</w:t>
      </w:r>
      <w:r w:rsidRPr="00944EE4">
        <w:rPr>
          <w:rFonts w:ascii="Times New Roman" w:hAnsi="Times New Roman" w:cs="Times New Roman"/>
          <w:bCs/>
          <w:sz w:val="24"/>
          <w:szCs w:val="24"/>
        </w:rPr>
        <w:t xml:space="preserve"> à travers cet effet </w:t>
      </w:r>
      <w:r w:rsidR="006E325E">
        <w:rPr>
          <w:rFonts w:ascii="Times New Roman" w:hAnsi="Times New Roman" w:cs="Times New Roman"/>
          <w:bCs/>
          <w:sz w:val="24"/>
          <w:szCs w:val="24"/>
        </w:rPr>
        <w:t>contribuent a (i) améliorer l</w:t>
      </w:r>
      <w:r w:rsidRPr="00944EE4">
        <w:rPr>
          <w:rFonts w:ascii="Times New Roman" w:hAnsi="Times New Roman" w:cs="Times New Roman"/>
          <w:bCs/>
          <w:sz w:val="24"/>
          <w:szCs w:val="24"/>
        </w:rPr>
        <w:t>es capacités de l’Assemblée Nationale et des structures de contrôle des Finances publiques ; (ii) renforcer les capacités de l’Etat, des OGE et OSC en vue de l’amélioration de la crédibilité des processus électoraux et d’une plus grande participation, notamment des femmes et des jeunes ; (iii)</w:t>
      </w:r>
      <w:r w:rsidRPr="00944EE4">
        <w:rPr>
          <w:rFonts w:ascii="Times New Roman" w:eastAsia="Century Schoolbook" w:hAnsi="Times New Roman" w:cs="Times New Roman"/>
          <w:b/>
          <w:sz w:val="24"/>
          <w:szCs w:val="24"/>
        </w:rPr>
        <w:t xml:space="preserve"> </w:t>
      </w:r>
      <w:r w:rsidRPr="00944EE4">
        <w:rPr>
          <w:rFonts w:ascii="Times New Roman" w:hAnsi="Times New Roman" w:cs="Times New Roman"/>
          <w:b/>
          <w:bCs/>
          <w:sz w:val="24"/>
          <w:szCs w:val="24"/>
        </w:rPr>
        <w:t xml:space="preserve"> </w:t>
      </w:r>
      <w:r w:rsidRPr="00944EE4">
        <w:rPr>
          <w:rFonts w:ascii="Times New Roman" w:hAnsi="Times New Roman" w:cs="Times New Roman"/>
          <w:bCs/>
          <w:sz w:val="24"/>
          <w:szCs w:val="24"/>
        </w:rPr>
        <w:t>appuyer la réforme de la décentralisation et de la consolidation de</w:t>
      </w:r>
      <w:r w:rsidR="006E325E">
        <w:rPr>
          <w:rFonts w:ascii="Times New Roman" w:hAnsi="Times New Roman" w:cs="Times New Roman"/>
          <w:bCs/>
          <w:sz w:val="24"/>
          <w:szCs w:val="24"/>
        </w:rPr>
        <w:t xml:space="preserve"> la gouvernance locale ; (iv) </w:t>
      </w:r>
      <w:r w:rsidRPr="00944EE4">
        <w:rPr>
          <w:rFonts w:ascii="Times New Roman" w:hAnsi="Times New Roman" w:cs="Times New Roman"/>
          <w:bCs/>
          <w:sz w:val="24"/>
          <w:szCs w:val="24"/>
        </w:rPr>
        <w:t>accroitre les capacités des OSC et des médias pour un meil</w:t>
      </w:r>
      <w:r w:rsidR="006E325E">
        <w:rPr>
          <w:rFonts w:ascii="Times New Roman" w:hAnsi="Times New Roman" w:cs="Times New Roman"/>
          <w:bCs/>
          <w:sz w:val="24"/>
          <w:szCs w:val="24"/>
        </w:rPr>
        <w:t xml:space="preserve">leur contrôle citoyen; (v) </w:t>
      </w:r>
      <w:r w:rsidRPr="00944EE4">
        <w:rPr>
          <w:rFonts w:ascii="Times New Roman" w:hAnsi="Times New Roman" w:cs="Times New Roman"/>
          <w:bCs/>
          <w:sz w:val="24"/>
          <w:szCs w:val="24"/>
        </w:rPr>
        <w:t xml:space="preserve">renforcer le fonctionnement des Institutions judiciaires et pénitentiaires ; </w:t>
      </w:r>
      <w:r w:rsidR="006E325E">
        <w:rPr>
          <w:rFonts w:ascii="Times New Roman" w:hAnsi="Times New Roman" w:cs="Times New Roman"/>
          <w:bCs/>
          <w:sz w:val="24"/>
          <w:szCs w:val="24"/>
        </w:rPr>
        <w:t xml:space="preserve">et </w:t>
      </w:r>
      <w:r w:rsidRPr="00944EE4">
        <w:rPr>
          <w:rFonts w:ascii="Times New Roman" w:hAnsi="Times New Roman" w:cs="Times New Roman"/>
          <w:bCs/>
          <w:sz w:val="24"/>
          <w:szCs w:val="24"/>
        </w:rPr>
        <w:t xml:space="preserve">(vi) appuyer les mécanismes nationaux formels et informels de promotion et de protection des droits de l’Homme. </w:t>
      </w:r>
    </w:p>
    <w:p w14:paraId="5AEC991B" w14:textId="77777777" w:rsidR="005A2674" w:rsidRPr="00944EE4" w:rsidRDefault="005A2674" w:rsidP="005A2674">
      <w:pPr>
        <w:spacing w:line="276" w:lineRule="auto"/>
        <w:jc w:val="both"/>
        <w:rPr>
          <w:rFonts w:ascii="Times New Roman" w:hAnsi="Times New Roman" w:cs="Times New Roman"/>
          <w:bCs/>
          <w:sz w:val="24"/>
          <w:szCs w:val="24"/>
        </w:rPr>
      </w:pPr>
    </w:p>
    <w:p w14:paraId="41BA86F0" w14:textId="292D0D60" w:rsidR="005A2674" w:rsidRPr="00944EE4" w:rsidRDefault="00880F37" w:rsidP="005A2674">
      <w:pPr>
        <w:spacing w:line="276" w:lineRule="auto"/>
        <w:jc w:val="both"/>
        <w:rPr>
          <w:rFonts w:ascii="Times New Roman" w:hAnsi="Times New Roman" w:cs="Times New Roman"/>
          <w:bCs/>
          <w:sz w:val="24"/>
          <w:szCs w:val="24"/>
        </w:rPr>
      </w:pPr>
      <w:r w:rsidRPr="00944EE4">
        <w:rPr>
          <w:rFonts w:ascii="Times New Roman" w:hAnsi="Times New Roman" w:cs="Times New Roman"/>
          <w:bCs/>
          <w:sz w:val="24"/>
          <w:szCs w:val="24"/>
        </w:rPr>
        <w:t xml:space="preserve">Dans le cadre de la consolidation de l’Etat de droit et de la Démocratie au Mali, le Gouvernement, sur la base des enseignements tirés de la crise politico institutionnelle de 2012, </w:t>
      </w:r>
      <w:r w:rsidR="006E325E">
        <w:rPr>
          <w:rFonts w:ascii="Times New Roman" w:hAnsi="Times New Roman" w:cs="Times New Roman"/>
          <w:bCs/>
          <w:sz w:val="24"/>
          <w:szCs w:val="24"/>
        </w:rPr>
        <w:t>a entam</w:t>
      </w:r>
      <w:r w:rsidR="006E325E" w:rsidRPr="00944EE4">
        <w:rPr>
          <w:rFonts w:ascii="Times New Roman" w:hAnsi="Times New Roman" w:cs="Times New Roman"/>
          <w:bCs/>
          <w:sz w:val="24"/>
          <w:szCs w:val="24"/>
        </w:rPr>
        <w:t>é</w:t>
      </w:r>
      <w:r w:rsidRPr="00944EE4">
        <w:rPr>
          <w:rFonts w:ascii="Times New Roman" w:hAnsi="Times New Roman" w:cs="Times New Roman"/>
          <w:bCs/>
          <w:sz w:val="24"/>
          <w:szCs w:val="24"/>
        </w:rPr>
        <w:t xml:space="preserve"> une réforme en profondeur de la gouvernance publique.</w:t>
      </w:r>
    </w:p>
    <w:p w14:paraId="2BD76EC5" w14:textId="77777777" w:rsidR="005A2674" w:rsidRPr="00944EE4" w:rsidRDefault="005A2674" w:rsidP="005A2674">
      <w:pPr>
        <w:spacing w:line="276" w:lineRule="auto"/>
        <w:jc w:val="both"/>
        <w:rPr>
          <w:rFonts w:ascii="Times New Roman" w:hAnsi="Times New Roman" w:cs="Times New Roman"/>
          <w:sz w:val="24"/>
          <w:szCs w:val="24"/>
        </w:rPr>
      </w:pPr>
    </w:p>
    <w:p w14:paraId="02C13D48" w14:textId="09975767" w:rsidR="005A2674" w:rsidRPr="00944EE4" w:rsidRDefault="006E325E" w:rsidP="005A2674">
      <w:pPr>
        <w:spacing w:line="276" w:lineRule="auto"/>
        <w:jc w:val="both"/>
        <w:rPr>
          <w:rFonts w:ascii="Times New Roman" w:hAnsi="Times New Roman" w:cs="Times New Roman"/>
          <w:sz w:val="24"/>
          <w:szCs w:val="24"/>
        </w:rPr>
      </w:pPr>
      <w:r>
        <w:rPr>
          <w:rFonts w:ascii="Times New Roman" w:hAnsi="Times New Roman" w:cs="Times New Roman"/>
          <w:color w:val="222222"/>
          <w:sz w:val="24"/>
          <w:szCs w:val="24"/>
        </w:rPr>
        <w:t>L</w:t>
      </w:r>
      <w:r w:rsidR="00880F37" w:rsidRPr="00944EE4">
        <w:rPr>
          <w:rFonts w:ascii="Times New Roman" w:hAnsi="Times New Roman" w:cs="Times New Roman"/>
          <w:color w:val="222222"/>
          <w:sz w:val="24"/>
          <w:szCs w:val="24"/>
        </w:rPr>
        <w:t xml:space="preserve">es Nations Unies </w:t>
      </w:r>
      <w:r>
        <w:rPr>
          <w:rFonts w:ascii="Times New Roman" w:hAnsi="Times New Roman" w:cs="Times New Roman"/>
          <w:color w:val="222222"/>
          <w:sz w:val="24"/>
          <w:szCs w:val="24"/>
        </w:rPr>
        <w:t>continueront renforcer</w:t>
      </w:r>
      <w:r w:rsidR="00880F37" w:rsidRPr="00944EE4">
        <w:rPr>
          <w:rFonts w:ascii="Times New Roman" w:hAnsi="Times New Roman" w:cs="Times New Roman"/>
          <w:color w:val="222222"/>
          <w:sz w:val="24"/>
          <w:szCs w:val="24"/>
        </w:rPr>
        <w:t xml:space="preserve"> les systèmes et processus électoraux, contribu</w:t>
      </w:r>
      <w:r>
        <w:rPr>
          <w:rFonts w:ascii="Times New Roman" w:hAnsi="Times New Roman" w:cs="Times New Roman"/>
          <w:color w:val="222222"/>
          <w:sz w:val="24"/>
          <w:szCs w:val="24"/>
        </w:rPr>
        <w:t>a</w:t>
      </w:r>
      <w:r w:rsidR="00880F37" w:rsidRPr="00944EE4">
        <w:rPr>
          <w:rFonts w:ascii="Times New Roman" w:hAnsi="Times New Roman" w:cs="Times New Roman"/>
          <w:color w:val="222222"/>
          <w:sz w:val="24"/>
          <w:szCs w:val="24"/>
        </w:rPr>
        <w:t xml:space="preserve">nt à la consolidation de l’Etat de droit. </w:t>
      </w:r>
      <w:r w:rsidR="00880F37" w:rsidRPr="00944EE4">
        <w:rPr>
          <w:rFonts w:ascii="Times New Roman" w:hAnsi="Times New Roman" w:cs="Times New Roman"/>
          <w:sz w:val="24"/>
          <w:szCs w:val="24"/>
        </w:rPr>
        <w:t>La contribution des N</w:t>
      </w:r>
      <w:r>
        <w:rPr>
          <w:rFonts w:ascii="Times New Roman" w:hAnsi="Times New Roman" w:cs="Times New Roman"/>
          <w:sz w:val="24"/>
          <w:szCs w:val="24"/>
        </w:rPr>
        <w:t xml:space="preserve">ations Unies vise </w:t>
      </w:r>
      <w:r w:rsidR="00735057">
        <w:rPr>
          <w:rFonts w:ascii="Times New Roman" w:hAnsi="Times New Roman" w:cs="Times New Roman"/>
          <w:sz w:val="24"/>
          <w:szCs w:val="24"/>
        </w:rPr>
        <w:t>à</w:t>
      </w:r>
      <w:r>
        <w:rPr>
          <w:rFonts w:ascii="Times New Roman" w:hAnsi="Times New Roman" w:cs="Times New Roman"/>
          <w:sz w:val="24"/>
          <w:szCs w:val="24"/>
        </w:rPr>
        <w:t xml:space="preserve"> </w:t>
      </w:r>
      <w:r w:rsidR="00880F37" w:rsidRPr="00944EE4">
        <w:rPr>
          <w:rFonts w:ascii="Times New Roman" w:hAnsi="Times New Roman" w:cs="Times New Roman"/>
          <w:sz w:val="24"/>
          <w:szCs w:val="24"/>
        </w:rPr>
        <w:t>renforcer les capacités des Institutions de la République et des acteurs non étatiques afin qu’elles soient plus fortes et crédibles.</w:t>
      </w:r>
    </w:p>
    <w:p w14:paraId="4A58B219" w14:textId="77777777" w:rsidR="005A2674" w:rsidRPr="00944EE4" w:rsidRDefault="005A2674" w:rsidP="005A2674">
      <w:pPr>
        <w:spacing w:line="276" w:lineRule="auto"/>
        <w:jc w:val="both"/>
        <w:rPr>
          <w:rFonts w:ascii="Times New Roman" w:hAnsi="Times New Roman" w:cs="Times New Roman"/>
          <w:sz w:val="24"/>
          <w:szCs w:val="24"/>
        </w:rPr>
      </w:pPr>
    </w:p>
    <w:p w14:paraId="47B532BD" w14:textId="7F1C78B2" w:rsidR="005A2674" w:rsidRPr="00944EE4" w:rsidRDefault="00735057" w:rsidP="005A267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Il s’agit</w:t>
      </w:r>
      <w:r w:rsidR="00880F37" w:rsidRPr="00944EE4">
        <w:rPr>
          <w:rFonts w:ascii="Times New Roman" w:hAnsi="Times New Roman" w:cs="Times New Roman"/>
          <w:sz w:val="24"/>
          <w:szCs w:val="24"/>
        </w:rPr>
        <w:t xml:space="preserve"> aussi de donner un nouveau souffle à la décentralisation à travers le renforcement des capacités des acteurs pour qu’ils améliorent l’exercice de leur mission de service public, assurent davantage la redevabilité des institutions et renforcent leurs capacités de résilience aux crises et conflits. Les réformes </w:t>
      </w:r>
      <w:r>
        <w:rPr>
          <w:rFonts w:ascii="Times New Roman" w:hAnsi="Times New Roman" w:cs="Times New Roman"/>
          <w:sz w:val="24"/>
          <w:szCs w:val="24"/>
        </w:rPr>
        <w:t>en cours</w:t>
      </w:r>
      <w:r w:rsidR="00880F37" w:rsidRPr="00944EE4">
        <w:rPr>
          <w:rFonts w:ascii="Times New Roman" w:hAnsi="Times New Roman" w:cs="Times New Roman"/>
          <w:sz w:val="24"/>
          <w:szCs w:val="24"/>
        </w:rPr>
        <w:t xml:space="preserve"> visent à </w:t>
      </w:r>
      <w:r w:rsidR="00880F37" w:rsidRPr="00944EE4">
        <w:rPr>
          <w:rFonts w:ascii="Times New Roman" w:eastAsia="Times New Roman" w:hAnsi="Times New Roman" w:cs="Times New Roman"/>
          <w:sz w:val="24"/>
          <w:szCs w:val="24"/>
        </w:rPr>
        <w:t xml:space="preserve">approfondir la décentralisation en vue d’une régionalisation de la planification pour le développement et du renforcement des </w:t>
      </w:r>
      <w:r w:rsidR="00880F37" w:rsidRPr="00944EE4">
        <w:rPr>
          <w:rFonts w:ascii="Times New Roman" w:hAnsi="Times New Roman" w:cs="Times New Roman"/>
          <w:sz w:val="24"/>
          <w:szCs w:val="24"/>
        </w:rPr>
        <w:t xml:space="preserve">pouvoirs des collectivités territoriales. L’approfondissement de la décentralisation </w:t>
      </w:r>
      <w:r>
        <w:rPr>
          <w:rFonts w:ascii="Times New Roman" w:hAnsi="Times New Roman" w:cs="Times New Roman"/>
          <w:sz w:val="24"/>
          <w:szCs w:val="24"/>
        </w:rPr>
        <w:t>demeure</w:t>
      </w:r>
      <w:r w:rsidR="00880F37" w:rsidRPr="00944EE4">
        <w:rPr>
          <w:rFonts w:ascii="Times New Roman" w:hAnsi="Times New Roman" w:cs="Times New Roman"/>
          <w:sz w:val="24"/>
          <w:szCs w:val="24"/>
        </w:rPr>
        <w:t xml:space="preserve"> une option fondamentale dans la recherche</w:t>
      </w:r>
      <w:r>
        <w:rPr>
          <w:rFonts w:ascii="Times New Roman" w:hAnsi="Times New Roman" w:cs="Times New Roman"/>
          <w:sz w:val="24"/>
          <w:szCs w:val="24"/>
        </w:rPr>
        <w:t xml:space="preserve"> de l’unité nationale et de</w:t>
      </w:r>
      <w:r w:rsidR="00880F37" w:rsidRPr="00944EE4">
        <w:rPr>
          <w:rFonts w:ascii="Times New Roman" w:hAnsi="Times New Roman" w:cs="Times New Roman"/>
          <w:sz w:val="24"/>
          <w:szCs w:val="24"/>
        </w:rPr>
        <w:t xml:space="preserve"> l’intégrité du territoire, d’une meilleure gouvernance démocratique et d’un développement harmonieux du pays.</w:t>
      </w:r>
    </w:p>
    <w:p w14:paraId="0D685C59" w14:textId="77777777" w:rsidR="005A2674" w:rsidRPr="00944EE4" w:rsidRDefault="005A2674" w:rsidP="005A2674">
      <w:pPr>
        <w:spacing w:line="276" w:lineRule="auto"/>
        <w:jc w:val="both"/>
        <w:rPr>
          <w:rFonts w:ascii="Times New Roman" w:hAnsi="Times New Roman" w:cs="Times New Roman"/>
          <w:sz w:val="24"/>
          <w:szCs w:val="24"/>
        </w:rPr>
      </w:pPr>
    </w:p>
    <w:p w14:paraId="77AB7415" w14:textId="2952C8F3" w:rsidR="005A2674" w:rsidRPr="00944EE4" w:rsidRDefault="00880F37" w:rsidP="005A2674">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lastRenderedPageBreak/>
        <w:t xml:space="preserve">Tirant les enseignements de la crise, qui a révélé la fragilité de l'économie, les Nations Unies vont </w:t>
      </w:r>
      <w:r w:rsidR="00735057">
        <w:rPr>
          <w:rFonts w:ascii="Times New Roman" w:hAnsi="Times New Roman" w:cs="Times New Roman"/>
          <w:sz w:val="24"/>
          <w:szCs w:val="24"/>
        </w:rPr>
        <w:t xml:space="preserve">continuer </w:t>
      </w:r>
      <w:r w:rsidR="004C33CA">
        <w:rPr>
          <w:rFonts w:ascii="Times New Roman" w:hAnsi="Times New Roman" w:cs="Times New Roman"/>
          <w:sz w:val="24"/>
          <w:szCs w:val="24"/>
        </w:rPr>
        <w:t>à</w:t>
      </w:r>
      <w:r w:rsidR="00735057">
        <w:rPr>
          <w:rFonts w:ascii="Times New Roman" w:hAnsi="Times New Roman" w:cs="Times New Roman"/>
          <w:sz w:val="24"/>
          <w:szCs w:val="24"/>
        </w:rPr>
        <w:t xml:space="preserve"> </w:t>
      </w:r>
      <w:r w:rsidRPr="00944EE4">
        <w:rPr>
          <w:rFonts w:ascii="Times New Roman" w:hAnsi="Times New Roman" w:cs="Times New Roman"/>
          <w:sz w:val="24"/>
          <w:szCs w:val="24"/>
        </w:rPr>
        <w:t>renforcer les capacités nationales et locales de formulation, planification, mise en œuvre, suivi et évaluation des stratégies nationales et politiques publiques. Cela est essentiel pour enraciner solidement les bases d'une meilleure planification et gestion de la réduction durable de la pauvreté. A cet effet un soutien sera accordé notamment à la modernisation de l’état civil, aux services de statistiques nationales ainsi qu’aux institutions en charge de la formulation, la planification des politiques publiques</w:t>
      </w:r>
      <w:r w:rsidR="00735057">
        <w:rPr>
          <w:rFonts w:ascii="Times New Roman" w:hAnsi="Times New Roman" w:cs="Times New Roman"/>
          <w:sz w:val="24"/>
          <w:szCs w:val="24"/>
        </w:rPr>
        <w:t>.</w:t>
      </w:r>
      <w:r w:rsidRPr="00944EE4">
        <w:rPr>
          <w:rFonts w:ascii="Times New Roman" w:hAnsi="Times New Roman" w:cs="Times New Roman"/>
          <w:sz w:val="24"/>
          <w:szCs w:val="24"/>
        </w:rPr>
        <w:t> </w:t>
      </w:r>
    </w:p>
    <w:p w14:paraId="07913AD9" w14:textId="77777777" w:rsidR="005A2674" w:rsidRPr="00944EE4" w:rsidRDefault="005A2674" w:rsidP="005A2674">
      <w:pPr>
        <w:spacing w:line="276" w:lineRule="auto"/>
        <w:jc w:val="both"/>
        <w:rPr>
          <w:rFonts w:ascii="Times New Roman" w:hAnsi="Times New Roman" w:cs="Times New Roman"/>
          <w:sz w:val="24"/>
          <w:szCs w:val="24"/>
        </w:rPr>
      </w:pPr>
    </w:p>
    <w:p w14:paraId="698B5BFD" w14:textId="07C50E90" w:rsidR="005A2674" w:rsidRPr="00944EE4" w:rsidRDefault="00880F37" w:rsidP="005A2674">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Pour améliorer la qualité du contrôle parlementaire, </w:t>
      </w:r>
      <w:r w:rsidR="00735057">
        <w:rPr>
          <w:rFonts w:ascii="Times New Roman" w:hAnsi="Times New Roman" w:cs="Times New Roman"/>
          <w:sz w:val="24"/>
          <w:szCs w:val="24"/>
        </w:rPr>
        <w:t xml:space="preserve">le </w:t>
      </w:r>
      <w:r w:rsidRPr="00944EE4">
        <w:rPr>
          <w:rFonts w:ascii="Times New Roman" w:hAnsi="Times New Roman" w:cs="Times New Roman"/>
          <w:sz w:val="24"/>
          <w:szCs w:val="24"/>
        </w:rPr>
        <w:t xml:space="preserve">renforcer les capacités des organes de contrôle de l’Etat, notamment </w:t>
      </w:r>
      <w:r w:rsidR="00735057">
        <w:rPr>
          <w:rFonts w:ascii="Times New Roman" w:hAnsi="Times New Roman" w:cs="Times New Roman"/>
          <w:sz w:val="24"/>
          <w:szCs w:val="24"/>
        </w:rPr>
        <w:t xml:space="preserve">de </w:t>
      </w:r>
      <w:r w:rsidRPr="00944EE4">
        <w:rPr>
          <w:rFonts w:ascii="Times New Roman" w:hAnsi="Times New Roman" w:cs="Times New Roman"/>
          <w:sz w:val="24"/>
          <w:szCs w:val="24"/>
        </w:rPr>
        <w:t>la Sectio</w:t>
      </w:r>
      <w:r w:rsidR="00BE74C1">
        <w:rPr>
          <w:rFonts w:ascii="Times New Roman" w:hAnsi="Times New Roman" w:cs="Times New Roman"/>
          <w:sz w:val="24"/>
          <w:szCs w:val="24"/>
        </w:rPr>
        <w:t>n des Comptes de la Cour Suprême</w:t>
      </w:r>
      <w:r w:rsidR="00735057">
        <w:rPr>
          <w:rFonts w:ascii="Times New Roman" w:hAnsi="Times New Roman" w:cs="Times New Roman"/>
          <w:sz w:val="24"/>
          <w:szCs w:val="24"/>
        </w:rPr>
        <w:t>, sera poursuivi</w:t>
      </w:r>
      <w:r w:rsidRPr="00944EE4">
        <w:rPr>
          <w:rFonts w:ascii="Times New Roman" w:hAnsi="Times New Roman" w:cs="Times New Roman"/>
          <w:sz w:val="24"/>
          <w:szCs w:val="24"/>
        </w:rPr>
        <w:t xml:space="preserve">. Les parlementaires </w:t>
      </w:r>
      <w:r w:rsidR="00966231">
        <w:rPr>
          <w:rFonts w:ascii="Times New Roman" w:hAnsi="Times New Roman" w:cs="Times New Roman"/>
          <w:sz w:val="24"/>
          <w:szCs w:val="24"/>
        </w:rPr>
        <w:t xml:space="preserve">continueront à </w:t>
      </w:r>
      <w:r w:rsidRPr="00944EE4">
        <w:rPr>
          <w:rFonts w:ascii="Times New Roman" w:hAnsi="Times New Roman" w:cs="Times New Roman"/>
          <w:sz w:val="24"/>
          <w:szCs w:val="24"/>
        </w:rPr>
        <w:t xml:space="preserve">bénéficier d’un renforcement des capacités spécifiques sur les techniques d’élaboration des propositions de lois, d’analyse des projets de lois et des textes règlementaires y afférents. </w:t>
      </w:r>
    </w:p>
    <w:p w14:paraId="2254EBDA" w14:textId="77777777" w:rsidR="005A2674" w:rsidRPr="00944EE4" w:rsidRDefault="005A2674" w:rsidP="005A2674">
      <w:pPr>
        <w:spacing w:line="276" w:lineRule="auto"/>
        <w:jc w:val="both"/>
        <w:rPr>
          <w:rFonts w:ascii="Times New Roman" w:hAnsi="Times New Roman" w:cs="Times New Roman"/>
          <w:sz w:val="24"/>
          <w:szCs w:val="24"/>
        </w:rPr>
      </w:pPr>
    </w:p>
    <w:p w14:paraId="2EE8D619" w14:textId="24401454" w:rsidR="005A2674" w:rsidRPr="00944EE4" w:rsidRDefault="00880F37" w:rsidP="005A2674">
      <w:pPr>
        <w:spacing w:line="276" w:lineRule="auto"/>
        <w:jc w:val="both"/>
        <w:rPr>
          <w:rFonts w:ascii="Times New Roman" w:hAnsi="Times New Roman" w:cs="Times New Roman"/>
          <w:color w:val="222222"/>
          <w:sz w:val="24"/>
          <w:szCs w:val="24"/>
        </w:rPr>
      </w:pPr>
      <w:r w:rsidRPr="00944EE4">
        <w:rPr>
          <w:rFonts w:ascii="Times New Roman" w:hAnsi="Times New Roman" w:cs="Times New Roman"/>
          <w:color w:val="222222"/>
          <w:sz w:val="24"/>
          <w:szCs w:val="24"/>
        </w:rPr>
        <w:t xml:space="preserve">Les Nations Unies </w:t>
      </w:r>
      <w:r w:rsidR="00BE74C1">
        <w:rPr>
          <w:rFonts w:ascii="Times New Roman" w:hAnsi="Times New Roman" w:cs="Times New Roman"/>
          <w:color w:val="222222"/>
          <w:sz w:val="24"/>
          <w:szCs w:val="24"/>
        </w:rPr>
        <w:t xml:space="preserve">continueront à </w:t>
      </w:r>
      <w:r w:rsidRPr="00944EE4">
        <w:rPr>
          <w:rFonts w:ascii="Times New Roman" w:hAnsi="Times New Roman" w:cs="Times New Roman"/>
          <w:color w:val="222222"/>
          <w:sz w:val="24"/>
          <w:szCs w:val="24"/>
        </w:rPr>
        <w:t>accompagner les efforts du Gouvernement tendant au renforcement de l’Etat de droit, à travers l’appui technique et financier aux initiatives permettant d’améliorer le fonctionnement des institutions judiciaires et pénitentiaires et des organes de lutte contre l’impunité. Dans ce cadre, l’appui à l’adoption et à la mise en œuvre d’une nouvelle stratégie de réforme des secteurs judiciaire et pénitentiaire incluant un volet relatif au renforcement de la redevabilité et de la</w:t>
      </w:r>
      <w:r w:rsidR="00BE74C1">
        <w:rPr>
          <w:rFonts w:ascii="Times New Roman" w:hAnsi="Times New Roman" w:cs="Times New Roman"/>
          <w:color w:val="222222"/>
          <w:sz w:val="24"/>
          <w:szCs w:val="24"/>
        </w:rPr>
        <w:t xml:space="preserve"> lutte contre la corruption continuera a etre</w:t>
      </w:r>
      <w:r w:rsidRPr="00944EE4">
        <w:rPr>
          <w:rFonts w:ascii="Times New Roman" w:hAnsi="Times New Roman" w:cs="Times New Roman"/>
          <w:color w:val="222222"/>
          <w:sz w:val="24"/>
          <w:szCs w:val="24"/>
        </w:rPr>
        <w:t xml:space="preserve"> une priorité stratégique. </w:t>
      </w:r>
    </w:p>
    <w:p w14:paraId="356A56FF" w14:textId="77777777" w:rsidR="005A2674" w:rsidRPr="00944EE4" w:rsidRDefault="005A2674" w:rsidP="005A2674">
      <w:pPr>
        <w:spacing w:line="276" w:lineRule="auto"/>
        <w:jc w:val="both"/>
        <w:rPr>
          <w:rFonts w:ascii="Times New Roman" w:hAnsi="Times New Roman" w:cs="Times New Roman"/>
          <w:color w:val="222222"/>
          <w:sz w:val="24"/>
          <w:szCs w:val="24"/>
        </w:rPr>
      </w:pPr>
    </w:p>
    <w:p w14:paraId="4B984D47" w14:textId="1B0E60C9" w:rsidR="005A2674" w:rsidRPr="00C01E94" w:rsidRDefault="00BE74C1" w:rsidP="00C01E94">
      <w:pPr>
        <w:jc w:val="both"/>
        <w:rPr>
          <w:rStyle w:val="hps"/>
          <w:rFonts w:ascii="Times New Roman" w:hAnsi="Times New Roman" w:cs="Times New Roman"/>
          <w:bCs/>
          <w:sz w:val="24"/>
          <w:szCs w:val="24"/>
          <w:highlight w:val="yellow"/>
        </w:rPr>
      </w:pPr>
      <w:r>
        <w:rPr>
          <w:rFonts w:ascii="Times New Roman" w:hAnsi="Times New Roman" w:cs="Times New Roman"/>
          <w:color w:val="222222"/>
          <w:sz w:val="24"/>
          <w:szCs w:val="24"/>
        </w:rPr>
        <w:t>La poursuite du</w:t>
      </w:r>
      <w:r w:rsidR="00880F37" w:rsidRPr="00944EE4">
        <w:rPr>
          <w:rFonts w:ascii="Times New Roman" w:hAnsi="Times New Roman" w:cs="Times New Roman"/>
          <w:color w:val="222222"/>
          <w:sz w:val="24"/>
          <w:szCs w:val="24"/>
        </w:rPr>
        <w:t xml:space="preserve"> renforcement de la coopération avec</w:t>
      </w:r>
      <w:r>
        <w:rPr>
          <w:rFonts w:ascii="Times New Roman" w:hAnsi="Times New Roman" w:cs="Times New Roman"/>
          <w:color w:val="222222"/>
          <w:sz w:val="24"/>
          <w:szCs w:val="24"/>
        </w:rPr>
        <w:t xml:space="preserve"> les mécanismes internationaux </w:t>
      </w:r>
      <w:r w:rsidR="00880F37" w:rsidRPr="00944EE4">
        <w:rPr>
          <w:rFonts w:ascii="Times New Roman" w:hAnsi="Times New Roman" w:cs="Times New Roman"/>
          <w:color w:val="222222"/>
          <w:sz w:val="24"/>
          <w:szCs w:val="24"/>
        </w:rPr>
        <w:t>des droits de l’homme est aussi essentiel</w:t>
      </w:r>
      <w:r>
        <w:rPr>
          <w:rFonts w:ascii="Times New Roman" w:hAnsi="Times New Roman" w:cs="Times New Roman"/>
          <w:color w:val="222222"/>
          <w:sz w:val="24"/>
          <w:szCs w:val="24"/>
        </w:rPr>
        <w:t>le</w:t>
      </w:r>
      <w:r w:rsidR="00880F37" w:rsidRPr="00944EE4">
        <w:rPr>
          <w:rFonts w:ascii="Times New Roman" w:hAnsi="Times New Roman" w:cs="Times New Roman"/>
          <w:color w:val="222222"/>
          <w:sz w:val="24"/>
          <w:szCs w:val="24"/>
        </w:rPr>
        <w:t xml:space="preserve"> afin de s’assurer que le Mali b</w:t>
      </w:r>
      <w:r>
        <w:rPr>
          <w:rFonts w:ascii="Times New Roman" w:hAnsi="Times New Roman" w:cs="Times New Roman"/>
          <w:color w:val="222222"/>
          <w:sz w:val="24"/>
          <w:szCs w:val="24"/>
        </w:rPr>
        <w:t xml:space="preserve">énéficie d’un appui conséquent </w:t>
      </w:r>
      <w:r w:rsidR="00880F37" w:rsidRPr="00944EE4">
        <w:rPr>
          <w:rFonts w:ascii="Times New Roman" w:hAnsi="Times New Roman" w:cs="Times New Roman"/>
          <w:color w:val="222222"/>
          <w:sz w:val="24"/>
          <w:szCs w:val="24"/>
        </w:rPr>
        <w:t xml:space="preserve">pour sortir de la crise de manière inclusive.  </w:t>
      </w:r>
      <w:r w:rsidR="00880F37" w:rsidRPr="00944EE4">
        <w:rPr>
          <w:rFonts w:ascii="Times New Roman" w:hAnsi="Times New Roman" w:cs="Times New Roman"/>
          <w:sz w:val="24"/>
          <w:szCs w:val="24"/>
        </w:rPr>
        <w:t xml:space="preserve">Ainsi, l’assistance technique sera étendue aux institutions nationales et à la société civile, afin de mettre en œuvre les </w:t>
      </w:r>
      <w:r w:rsidR="00880F37" w:rsidRPr="00944EE4">
        <w:rPr>
          <w:rStyle w:val="hps"/>
          <w:rFonts w:ascii="Times New Roman" w:hAnsi="Times New Roman" w:cs="Times New Roman"/>
          <w:color w:val="222222"/>
          <w:sz w:val="24"/>
          <w:szCs w:val="24"/>
        </w:rPr>
        <w:t>engagements pris pour le respect des droits de l'homme, y inclus les droits des femmes, des adolescents et des jeunes</w:t>
      </w:r>
      <w:r w:rsidR="00C01E94">
        <w:rPr>
          <w:rStyle w:val="hps"/>
          <w:rFonts w:ascii="Times New Roman" w:hAnsi="Times New Roman" w:cs="Times New Roman"/>
          <w:color w:val="222222"/>
          <w:sz w:val="24"/>
          <w:szCs w:val="24"/>
        </w:rPr>
        <w:t xml:space="preserve">, et </w:t>
      </w:r>
      <w:r w:rsidR="00C01E94" w:rsidRPr="00C01E94">
        <w:rPr>
          <w:rFonts w:ascii="Times New Roman" w:hAnsi="Times New Roman" w:cs="Times New Roman"/>
          <w:bCs/>
          <w:sz w:val="24"/>
          <w:szCs w:val="24"/>
        </w:rPr>
        <w:t>en soutien à des actions de contrôle citoyen de l’action publique.</w:t>
      </w:r>
    </w:p>
    <w:p w14:paraId="2CD97210" w14:textId="77777777" w:rsidR="005A2674" w:rsidRPr="00944EE4" w:rsidRDefault="005A2674" w:rsidP="005A2674">
      <w:pPr>
        <w:spacing w:line="276" w:lineRule="auto"/>
        <w:jc w:val="both"/>
        <w:rPr>
          <w:rFonts w:ascii="Times New Roman" w:hAnsi="Times New Roman" w:cs="Times New Roman"/>
          <w:color w:val="222222"/>
          <w:sz w:val="24"/>
          <w:szCs w:val="24"/>
        </w:rPr>
      </w:pPr>
    </w:p>
    <w:p w14:paraId="2CF99E6A" w14:textId="337452A2" w:rsidR="005A2674" w:rsidRPr="00944EE4" w:rsidRDefault="00880F37" w:rsidP="005A2674">
      <w:pPr>
        <w:spacing w:line="276" w:lineRule="auto"/>
        <w:jc w:val="both"/>
        <w:rPr>
          <w:rFonts w:ascii="Times New Roman" w:hAnsi="Times New Roman" w:cs="Times New Roman"/>
          <w:color w:val="222222"/>
          <w:sz w:val="24"/>
          <w:szCs w:val="24"/>
        </w:rPr>
      </w:pPr>
      <w:r w:rsidRPr="00944EE4">
        <w:rPr>
          <w:rFonts w:ascii="Times New Roman" w:hAnsi="Times New Roman" w:cs="Times New Roman"/>
          <w:color w:val="222222"/>
          <w:sz w:val="24"/>
          <w:szCs w:val="24"/>
        </w:rPr>
        <w:t xml:space="preserve">Les Nations Unies </w:t>
      </w:r>
      <w:r w:rsidR="00BE74C1">
        <w:rPr>
          <w:rFonts w:ascii="Times New Roman" w:hAnsi="Times New Roman" w:cs="Times New Roman"/>
          <w:color w:val="222222"/>
          <w:sz w:val="24"/>
          <w:szCs w:val="24"/>
        </w:rPr>
        <w:t xml:space="preserve">continueront à </w:t>
      </w:r>
      <w:r w:rsidRPr="00944EE4">
        <w:rPr>
          <w:rFonts w:ascii="Times New Roman" w:hAnsi="Times New Roman" w:cs="Times New Roman"/>
          <w:color w:val="222222"/>
          <w:sz w:val="24"/>
          <w:szCs w:val="24"/>
        </w:rPr>
        <w:t>accorder une attention particulière à l’amélioration de la représentativité politique des femmes et à la promotion de la p</w:t>
      </w:r>
      <w:r w:rsidR="00BE74C1">
        <w:rPr>
          <w:rFonts w:ascii="Times New Roman" w:hAnsi="Times New Roman" w:cs="Times New Roman"/>
          <w:color w:val="222222"/>
          <w:sz w:val="24"/>
          <w:szCs w:val="24"/>
        </w:rPr>
        <w:t>articipation citoyenne, y compris d</w:t>
      </w:r>
      <w:r w:rsidRPr="00944EE4">
        <w:rPr>
          <w:rFonts w:ascii="Times New Roman" w:hAnsi="Times New Roman" w:cs="Times New Roman"/>
          <w:color w:val="222222"/>
          <w:sz w:val="24"/>
          <w:szCs w:val="24"/>
        </w:rPr>
        <w:t>es jeunes, à travers le renforcement des capacités des organisations de la société civile et des communautés de base. Les actions pour remédier à cette sous-représentation des femmes se</w:t>
      </w:r>
      <w:r w:rsidR="00BE74C1">
        <w:rPr>
          <w:rFonts w:ascii="Times New Roman" w:hAnsi="Times New Roman" w:cs="Times New Roman"/>
          <w:color w:val="222222"/>
          <w:sz w:val="24"/>
          <w:szCs w:val="24"/>
        </w:rPr>
        <w:t xml:space="preserve"> consacrent</w:t>
      </w:r>
      <w:r w:rsidRPr="00944EE4">
        <w:rPr>
          <w:rFonts w:ascii="Times New Roman" w:hAnsi="Times New Roman" w:cs="Times New Roman"/>
          <w:color w:val="222222"/>
          <w:sz w:val="24"/>
          <w:szCs w:val="24"/>
        </w:rPr>
        <w:t xml:space="preserve"> au niveau (i) institutionnel pour rendre sensible les organes de gestion des élections, appuyer et accompagner la décentralisation au Mali et  influencer les processus de réformes (en cours et à venir)  pour l’intégration de mesures spéciales favorisant la participation des femmes à la vie politique dans les textes (Loi sur le quota/parité, Loi électorale, Constitution, Charte des partis politiques, etc.) ;  (ii) politique, pour une meilleure prise en compte du genre au sein des partis politiques tout en favorisant la participation des jeunes (hommes et femmes) aux activités politiques pour assurer la relève;  (iii) communautaire, à travers le renforcement des capacités des femmes candidates et élues afin qu’elles soient mieux outillées dans l’exercice de leurs mandats.</w:t>
      </w:r>
    </w:p>
    <w:p w14:paraId="11F1DEB0" w14:textId="77777777" w:rsidR="001F26B5" w:rsidRPr="00944EE4" w:rsidRDefault="001F26B5" w:rsidP="001F26B5">
      <w:pPr>
        <w:rPr>
          <w:rFonts w:ascii="Times New Roman" w:hAnsi="Times New Roman" w:cs="Times New Roman"/>
          <w:bCs/>
          <w:sz w:val="24"/>
          <w:szCs w:val="24"/>
          <w:highlight w:val="yellow"/>
        </w:rPr>
      </w:pPr>
    </w:p>
    <w:p w14:paraId="23A84481" w14:textId="77777777" w:rsidR="00102785" w:rsidRDefault="00102785" w:rsidP="005A2674">
      <w:pPr>
        <w:pStyle w:val="NormalWeb"/>
        <w:spacing w:before="0" w:beforeAutospacing="0" w:after="0" w:afterAutospacing="0" w:line="276" w:lineRule="auto"/>
        <w:textAlignment w:val="baseline"/>
        <w:rPr>
          <w:rFonts w:eastAsiaTheme="minorEastAsia"/>
          <w:b/>
          <w:color w:val="1F497D" w:themeColor="text2"/>
          <w:kern w:val="24"/>
          <w:u w:val="single"/>
        </w:rPr>
      </w:pPr>
    </w:p>
    <w:p w14:paraId="0B1C4E70" w14:textId="77777777" w:rsidR="00102785" w:rsidRDefault="00102785" w:rsidP="005A2674">
      <w:pPr>
        <w:pStyle w:val="NormalWeb"/>
        <w:spacing w:before="0" w:beforeAutospacing="0" w:after="0" w:afterAutospacing="0" w:line="276" w:lineRule="auto"/>
        <w:textAlignment w:val="baseline"/>
        <w:rPr>
          <w:rFonts w:eastAsiaTheme="minorEastAsia"/>
          <w:b/>
          <w:color w:val="1F497D" w:themeColor="text2"/>
          <w:kern w:val="24"/>
          <w:u w:val="single"/>
        </w:rPr>
      </w:pPr>
    </w:p>
    <w:p w14:paraId="0D654912" w14:textId="77777777" w:rsidR="00102785" w:rsidRDefault="00102785" w:rsidP="005A2674">
      <w:pPr>
        <w:pStyle w:val="NormalWeb"/>
        <w:spacing w:before="0" w:beforeAutospacing="0" w:after="0" w:afterAutospacing="0" w:line="276" w:lineRule="auto"/>
        <w:textAlignment w:val="baseline"/>
        <w:rPr>
          <w:rFonts w:eastAsiaTheme="minorEastAsia"/>
          <w:b/>
          <w:color w:val="1F497D" w:themeColor="text2"/>
          <w:kern w:val="24"/>
          <w:u w:val="single"/>
        </w:rPr>
      </w:pPr>
    </w:p>
    <w:p w14:paraId="06F8C255" w14:textId="3FF0A135" w:rsidR="005A2674" w:rsidRPr="00944EE4" w:rsidRDefault="00880F37" w:rsidP="005A2674">
      <w:pPr>
        <w:pStyle w:val="NormalWeb"/>
        <w:spacing w:before="0" w:beforeAutospacing="0" w:after="0" w:afterAutospacing="0" w:line="276" w:lineRule="auto"/>
        <w:textAlignment w:val="baseline"/>
        <w:rPr>
          <w:rFonts w:eastAsiaTheme="minorEastAsia"/>
          <w:b/>
          <w:color w:val="1F497D" w:themeColor="text2"/>
          <w:kern w:val="24"/>
          <w:u w:val="single"/>
        </w:rPr>
      </w:pPr>
      <w:r w:rsidRPr="00944EE4">
        <w:rPr>
          <w:rFonts w:eastAsiaTheme="minorEastAsia"/>
          <w:b/>
          <w:color w:val="1F497D" w:themeColor="text2"/>
          <w:kern w:val="24"/>
          <w:u w:val="single"/>
        </w:rPr>
        <w:lastRenderedPageBreak/>
        <w:t>2.3 Partenariats et stratégies</w:t>
      </w:r>
    </w:p>
    <w:p w14:paraId="1043F9CB" w14:textId="77777777" w:rsidR="005A2674" w:rsidRPr="00944EE4" w:rsidRDefault="005A2674" w:rsidP="005A2674">
      <w:pPr>
        <w:pStyle w:val="NormalWeb"/>
        <w:spacing w:before="0" w:beforeAutospacing="0" w:after="0" w:afterAutospacing="0" w:line="276" w:lineRule="auto"/>
        <w:textAlignment w:val="baseline"/>
        <w:rPr>
          <w:b/>
          <w:u w:val="single"/>
        </w:rPr>
      </w:pPr>
    </w:p>
    <w:p w14:paraId="1AD29C18" w14:textId="6E91A802" w:rsidR="005A2674" w:rsidRPr="00944EE4" w:rsidRDefault="00880F37" w:rsidP="005A2674">
      <w:pPr>
        <w:spacing w:line="276" w:lineRule="auto"/>
        <w:jc w:val="both"/>
        <w:rPr>
          <w:rFonts w:ascii="Times New Roman" w:eastAsia="Times New Roman" w:hAnsi="Times New Roman" w:cs="Times New Roman"/>
          <w:sz w:val="24"/>
          <w:szCs w:val="24"/>
        </w:rPr>
      </w:pPr>
      <w:r w:rsidRPr="00944EE4">
        <w:rPr>
          <w:rFonts w:ascii="Times New Roman" w:eastAsia="Times New Roman" w:hAnsi="Times New Roman" w:cs="Times New Roman"/>
          <w:sz w:val="24"/>
          <w:szCs w:val="24"/>
        </w:rPr>
        <w:t xml:space="preserve">La mise en œuvre de l’UNDAF+ se </w:t>
      </w:r>
      <w:r w:rsidR="002A59D0">
        <w:rPr>
          <w:rFonts w:ascii="Times New Roman" w:eastAsia="Times New Roman" w:hAnsi="Times New Roman" w:cs="Times New Roman"/>
          <w:sz w:val="24"/>
          <w:szCs w:val="24"/>
        </w:rPr>
        <w:t>poursuivra</w:t>
      </w:r>
      <w:r w:rsidRPr="00944EE4">
        <w:rPr>
          <w:rFonts w:ascii="Times New Roman" w:eastAsia="Times New Roman" w:hAnsi="Times New Roman" w:cs="Times New Roman"/>
          <w:sz w:val="24"/>
          <w:szCs w:val="24"/>
        </w:rPr>
        <w:t xml:space="preserve"> dans un cadre partenarial entre les Nations Unies et le Gouvernement, élargi aux partenaires non traditionnels, aux collectivités territoriales, aux Institutions démocratiques, au secteur privé et à la soci</w:t>
      </w:r>
      <w:r w:rsidR="002A59D0">
        <w:rPr>
          <w:rFonts w:ascii="Times New Roman" w:eastAsia="Times New Roman" w:hAnsi="Times New Roman" w:cs="Times New Roman"/>
          <w:sz w:val="24"/>
          <w:szCs w:val="24"/>
        </w:rPr>
        <w:t>été civile. L</w:t>
      </w:r>
      <w:r w:rsidRPr="00944EE4">
        <w:rPr>
          <w:rFonts w:ascii="Times New Roman" w:eastAsia="Times New Roman" w:hAnsi="Times New Roman" w:cs="Times New Roman"/>
          <w:sz w:val="24"/>
          <w:szCs w:val="24"/>
        </w:rPr>
        <w:t xml:space="preserve">es liens de collaboration </w:t>
      </w:r>
      <w:r w:rsidR="002A59D0">
        <w:rPr>
          <w:rFonts w:ascii="Times New Roman" w:eastAsia="Times New Roman" w:hAnsi="Times New Roman" w:cs="Times New Roman"/>
          <w:sz w:val="24"/>
          <w:szCs w:val="24"/>
        </w:rPr>
        <w:t>établis avec l</w:t>
      </w:r>
      <w:r w:rsidRPr="00944EE4">
        <w:rPr>
          <w:rFonts w:ascii="Times New Roman" w:eastAsia="Times New Roman" w:hAnsi="Times New Roman" w:cs="Times New Roman"/>
          <w:sz w:val="24"/>
          <w:szCs w:val="24"/>
        </w:rPr>
        <w:t xml:space="preserve">es organisations régionales (CEDEAO, Union Africaine) autour de la stratégie intégrée des Nations Unies pour le Sahel, </w:t>
      </w:r>
      <w:r w:rsidR="002A59D0">
        <w:rPr>
          <w:rFonts w:ascii="Times New Roman" w:eastAsia="Times New Roman" w:hAnsi="Times New Roman" w:cs="Times New Roman"/>
          <w:sz w:val="24"/>
          <w:szCs w:val="24"/>
        </w:rPr>
        <w:t xml:space="preserve">seront poursuivis, </w:t>
      </w:r>
      <w:r w:rsidRPr="00944EE4">
        <w:rPr>
          <w:rFonts w:ascii="Times New Roman" w:eastAsia="Times New Roman" w:hAnsi="Times New Roman" w:cs="Times New Roman"/>
          <w:sz w:val="24"/>
          <w:szCs w:val="24"/>
        </w:rPr>
        <w:t xml:space="preserve">dans le domaine de la gouvernance et plus spécifiquement sur la mise en œuvre de </w:t>
      </w:r>
      <w:r w:rsidRPr="00944EE4">
        <w:rPr>
          <w:rFonts w:ascii="Times New Roman" w:hAnsi="Times New Roman" w:cs="Times New Roman"/>
          <w:sz w:val="24"/>
          <w:szCs w:val="24"/>
        </w:rPr>
        <w:t xml:space="preserve">la Charte Africaine de la Démocratie, des élections et de la bonne gouvernance, </w:t>
      </w:r>
      <w:r w:rsidR="002A59D0">
        <w:rPr>
          <w:rFonts w:ascii="Times New Roman" w:eastAsia="Times New Roman" w:hAnsi="Times New Roman" w:cs="Times New Roman"/>
          <w:sz w:val="24"/>
          <w:szCs w:val="24"/>
        </w:rPr>
        <w:t>qui so</w:t>
      </w:r>
      <w:r w:rsidRPr="00944EE4">
        <w:rPr>
          <w:rFonts w:ascii="Times New Roman" w:eastAsia="Times New Roman" w:hAnsi="Times New Roman" w:cs="Times New Roman"/>
          <w:sz w:val="24"/>
          <w:szCs w:val="24"/>
        </w:rPr>
        <w:t>nt autant d’opportunités de développement de partenariats Sud-Sud.</w:t>
      </w:r>
    </w:p>
    <w:p w14:paraId="1CBAF2CD" w14:textId="77777777" w:rsidR="005A2674" w:rsidRPr="00944EE4" w:rsidRDefault="005A2674" w:rsidP="005A2674">
      <w:pPr>
        <w:spacing w:line="276" w:lineRule="auto"/>
        <w:jc w:val="both"/>
        <w:rPr>
          <w:rFonts w:ascii="Times New Roman" w:eastAsia="Times New Roman" w:hAnsi="Times New Roman" w:cs="Times New Roman"/>
          <w:sz w:val="24"/>
          <w:szCs w:val="24"/>
        </w:rPr>
      </w:pPr>
    </w:p>
    <w:p w14:paraId="4B017126" w14:textId="3A9E3A00" w:rsidR="005A2674" w:rsidRPr="00944EE4" w:rsidRDefault="002A59D0" w:rsidP="005A2674">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stratégie consiste</w:t>
      </w:r>
      <w:r w:rsidR="00880F37" w:rsidRPr="00944EE4">
        <w:rPr>
          <w:rFonts w:ascii="Times New Roman" w:eastAsia="Times New Roman" w:hAnsi="Times New Roman" w:cs="Times New Roman"/>
          <w:sz w:val="24"/>
          <w:szCs w:val="24"/>
        </w:rPr>
        <w:t xml:space="preserve"> à se positionner sur des secteurs où les Nations Unies disposent des avantages comparatifs réels. C’est pourquoi, </w:t>
      </w:r>
      <w:r>
        <w:rPr>
          <w:rFonts w:ascii="Times New Roman" w:eastAsia="Times New Roman" w:hAnsi="Times New Roman" w:cs="Times New Roman"/>
          <w:sz w:val="24"/>
          <w:szCs w:val="24"/>
        </w:rPr>
        <w:t>l’</w:t>
      </w:r>
      <w:r w:rsidR="00880F37" w:rsidRPr="00944EE4">
        <w:rPr>
          <w:rFonts w:ascii="Times New Roman" w:eastAsia="Times New Roman" w:hAnsi="Times New Roman" w:cs="Times New Roman"/>
          <w:sz w:val="24"/>
          <w:szCs w:val="24"/>
        </w:rPr>
        <w:t>appui</w:t>
      </w:r>
      <w:r>
        <w:rPr>
          <w:rFonts w:ascii="Times New Roman" w:eastAsia="Times New Roman" w:hAnsi="Times New Roman" w:cs="Times New Roman"/>
          <w:sz w:val="24"/>
          <w:szCs w:val="24"/>
        </w:rPr>
        <w:t xml:space="preserve"> aux</w:t>
      </w:r>
      <w:r w:rsidR="00880F37" w:rsidRPr="00944EE4">
        <w:rPr>
          <w:rFonts w:ascii="Times New Roman" w:eastAsia="Times New Roman" w:hAnsi="Times New Roman" w:cs="Times New Roman"/>
          <w:sz w:val="24"/>
          <w:szCs w:val="24"/>
        </w:rPr>
        <w:t xml:space="preserve"> politiques de réformes institutionnelles, le développement des capacités des Institutions, des acteurs non étatiques </w:t>
      </w:r>
      <w:r>
        <w:rPr>
          <w:rFonts w:ascii="Times New Roman" w:eastAsia="Times New Roman" w:hAnsi="Times New Roman" w:cs="Times New Roman"/>
          <w:sz w:val="24"/>
          <w:szCs w:val="24"/>
        </w:rPr>
        <w:t>et de structures décentralisées se poursuivront</w:t>
      </w:r>
      <w:r w:rsidR="00880F37" w:rsidRPr="00944EE4">
        <w:rPr>
          <w:rFonts w:ascii="Times New Roman" w:eastAsia="Times New Roman" w:hAnsi="Times New Roman" w:cs="Times New Roman"/>
          <w:sz w:val="24"/>
          <w:szCs w:val="24"/>
        </w:rPr>
        <w:t xml:space="preserve"> pour un transfert effectif des compétences et des ressources en vue de délivrer des services locaux avec efficacité, transparence et participation citoyenne, et contribuer au </w:t>
      </w:r>
      <w:r w:rsidR="00880F37" w:rsidRPr="00944EE4">
        <w:rPr>
          <w:rStyle w:val="hps"/>
          <w:rFonts w:ascii="Times New Roman" w:hAnsi="Times New Roman" w:cs="Times New Roman"/>
          <w:color w:val="222222"/>
          <w:sz w:val="24"/>
          <w:szCs w:val="24"/>
        </w:rPr>
        <w:t xml:space="preserve">progrès dans la jouissance des droits de l’homme. </w:t>
      </w:r>
      <w:r w:rsidR="00880F37" w:rsidRPr="00944EE4">
        <w:rPr>
          <w:rFonts w:ascii="Times New Roman" w:eastAsia="Times New Roman" w:hAnsi="Times New Roman" w:cs="Times New Roman"/>
          <w:sz w:val="24"/>
          <w:szCs w:val="24"/>
        </w:rPr>
        <w:t xml:space="preserve">La politique de régionalisation à travers le contrat-plan « Etat-collectivités » </w:t>
      </w:r>
      <w:r w:rsidR="004F0485">
        <w:rPr>
          <w:rFonts w:ascii="Times New Roman" w:eastAsia="Times New Roman" w:hAnsi="Times New Roman" w:cs="Times New Roman"/>
          <w:sz w:val="24"/>
          <w:szCs w:val="24"/>
        </w:rPr>
        <w:t>continuera à servir de reference pour une planification plus</w:t>
      </w:r>
      <w:r w:rsidR="00880F37" w:rsidRPr="00944EE4">
        <w:rPr>
          <w:rFonts w:ascii="Times New Roman" w:eastAsia="Times New Roman" w:hAnsi="Times New Roman" w:cs="Times New Roman"/>
          <w:sz w:val="24"/>
          <w:szCs w:val="24"/>
        </w:rPr>
        <w:t xml:space="preserve"> adaptée au développement à la base.</w:t>
      </w:r>
    </w:p>
    <w:p w14:paraId="115E8E02" w14:textId="77777777" w:rsidR="005A2674" w:rsidRPr="00944EE4" w:rsidRDefault="005A2674" w:rsidP="005A2674">
      <w:pPr>
        <w:spacing w:line="276" w:lineRule="auto"/>
        <w:rPr>
          <w:rFonts w:ascii="Times New Roman" w:eastAsia="Times New Roman" w:hAnsi="Times New Roman" w:cs="Times New Roman"/>
          <w:sz w:val="24"/>
          <w:szCs w:val="24"/>
        </w:rPr>
      </w:pPr>
    </w:p>
    <w:p w14:paraId="673F89A6" w14:textId="77777777" w:rsidR="00FE45C6" w:rsidRDefault="00880F37" w:rsidP="00870B34">
      <w:pPr>
        <w:spacing w:line="276" w:lineRule="auto"/>
        <w:jc w:val="both"/>
        <w:rPr>
          <w:rFonts w:ascii="Times New Roman" w:eastAsia="Times New Roman" w:hAnsi="Times New Roman" w:cs="Times New Roman"/>
          <w:sz w:val="24"/>
          <w:szCs w:val="24"/>
        </w:rPr>
      </w:pPr>
      <w:r w:rsidRPr="00944EE4">
        <w:rPr>
          <w:rFonts w:ascii="Times New Roman" w:eastAsia="Times New Roman" w:hAnsi="Times New Roman" w:cs="Times New Roman"/>
          <w:sz w:val="24"/>
          <w:szCs w:val="24"/>
        </w:rPr>
        <w:t xml:space="preserve">En outre, les Nations Unies </w:t>
      </w:r>
      <w:r w:rsidR="004F0485">
        <w:rPr>
          <w:rFonts w:ascii="Times New Roman" w:eastAsia="Times New Roman" w:hAnsi="Times New Roman" w:cs="Times New Roman"/>
          <w:sz w:val="24"/>
          <w:szCs w:val="24"/>
        </w:rPr>
        <w:t xml:space="preserve">continueront </w:t>
      </w:r>
      <w:r w:rsidR="00FE45C6">
        <w:rPr>
          <w:rFonts w:ascii="Times New Roman" w:eastAsia="Times New Roman" w:hAnsi="Times New Roman" w:cs="Times New Roman"/>
          <w:sz w:val="24"/>
          <w:szCs w:val="24"/>
        </w:rPr>
        <w:t>à</w:t>
      </w:r>
      <w:r w:rsidR="004F0485">
        <w:rPr>
          <w:rFonts w:ascii="Times New Roman" w:eastAsia="Times New Roman" w:hAnsi="Times New Roman" w:cs="Times New Roman"/>
          <w:sz w:val="24"/>
          <w:szCs w:val="24"/>
        </w:rPr>
        <w:t xml:space="preserve"> </w:t>
      </w:r>
      <w:r w:rsidRPr="00944EE4">
        <w:rPr>
          <w:rFonts w:ascii="Times New Roman" w:eastAsia="Times New Roman" w:hAnsi="Times New Roman" w:cs="Times New Roman"/>
          <w:sz w:val="24"/>
          <w:szCs w:val="24"/>
        </w:rPr>
        <w:t>contribuer aux efforts de plaidoyer en vue de la prom</w:t>
      </w:r>
      <w:r w:rsidR="004F0485">
        <w:rPr>
          <w:rFonts w:ascii="Times New Roman" w:eastAsia="Times New Roman" w:hAnsi="Times New Roman" w:cs="Times New Roman"/>
          <w:sz w:val="24"/>
          <w:szCs w:val="24"/>
        </w:rPr>
        <w:t>otion des droits de l’Homme, de</w:t>
      </w:r>
      <w:r w:rsidRPr="00944EE4">
        <w:rPr>
          <w:rFonts w:ascii="Times New Roman" w:eastAsia="Times New Roman" w:hAnsi="Times New Roman" w:cs="Times New Roman"/>
          <w:sz w:val="24"/>
          <w:szCs w:val="24"/>
        </w:rPr>
        <w:t xml:space="preserve"> l’équité et égalité du genre et un meilleur respect des normes de déontologie et d’éthique dans les services publics. </w:t>
      </w:r>
    </w:p>
    <w:p w14:paraId="5939A5B3" w14:textId="77777777" w:rsidR="00FE45C6" w:rsidRDefault="00FE45C6" w:rsidP="00870B34">
      <w:pPr>
        <w:spacing w:line="276" w:lineRule="auto"/>
        <w:jc w:val="both"/>
        <w:rPr>
          <w:rFonts w:ascii="Times New Roman" w:eastAsia="Times New Roman" w:hAnsi="Times New Roman" w:cs="Times New Roman"/>
          <w:sz w:val="24"/>
          <w:szCs w:val="24"/>
        </w:rPr>
      </w:pPr>
    </w:p>
    <w:p w14:paraId="40D87AF3" w14:textId="10EDD80C" w:rsidR="00870B34" w:rsidRPr="00944EE4" w:rsidRDefault="00870B34" w:rsidP="00870B34">
      <w:pPr>
        <w:spacing w:line="276" w:lineRule="auto"/>
        <w:jc w:val="both"/>
        <w:rPr>
          <w:rFonts w:ascii="Times New Roman" w:hAnsi="Times New Roman" w:cs="Times New Roman"/>
          <w:sz w:val="24"/>
          <w:szCs w:val="24"/>
        </w:rPr>
      </w:pPr>
    </w:p>
    <w:tbl>
      <w:tblPr>
        <w:tblpPr w:leftFromText="141" w:rightFromText="141" w:vertAnchor="text" w:horzAnchor="margin" w:tblpY="117"/>
        <w:tblW w:w="9856" w:type="dxa"/>
        <w:tblBorders>
          <w:top w:val="single" w:sz="24" w:space="0" w:color="1F497D" w:themeColor="text2"/>
          <w:bottom w:val="single" w:sz="24" w:space="0" w:color="1F497D" w:themeColor="text2"/>
        </w:tblBorders>
        <w:shd w:val="clear" w:color="auto" w:fill="DBE5F1" w:themeFill="accent1" w:themeFillTint="33"/>
        <w:tblLook w:val="04A0" w:firstRow="1" w:lastRow="0" w:firstColumn="1" w:lastColumn="0" w:noHBand="0" w:noVBand="1"/>
      </w:tblPr>
      <w:tblGrid>
        <w:gridCol w:w="9856"/>
      </w:tblGrid>
      <w:tr w:rsidR="00870B34" w:rsidRPr="00944EE4" w14:paraId="0FE4B9E2" w14:textId="77777777" w:rsidTr="003A1F13">
        <w:trPr>
          <w:trHeight w:val="607"/>
        </w:trPr>
        <w:tc>
          <w:tcPr>
            <w:tcW w:w="9856" w:type="dxa"/>
            <w:shd w:val="clear" w:color="auto" w:fill="DBE5F1" w:themeFill="accent1" w:themeFillTint="33"/>
          </w:tcPr>
          <w:p w14:paraId="4BF1A21B" w14:textId="77777777" w:rsidR="00870B34" w:rsidRPr="00944EE4" w:rsidRDefault="00880F37" w:rsidP="003A1F13">
            <w:pPr>
              <w:pStyle w:val="Titre2"/>
              <w:rPr>
                <w:rFonts w:ascii="Times New Roman" w:hAnsi="Times New Roman" w:cs="Times New Roman"/>
                <w:sz w:val="24"/>
                <w:szCs w:val="24"/>
              </w:rPr>
            </w:pPr>
            <w:bookmarkStart w:id="11" w:name="_Toc509228610"/>
            <w:r w:rsidRPr="00944EE4">
              <w:rPr>
                <w:rFonts w:ascii="Times New Roman" w:hAnsi="Times New Roman" w:cs="Times New Roman"/>
                <w:sz w:val="24"/>
                <w:szCs w:val="24"/>
              </w:rPr>
              <w:t>Axe 3 : Accès aux Services Sociaux de Base</w:t>
            </w:r>
            <w:bookmarkEnd w:id="11"/>
          </w:p>
        </w:tc>
      </w:tr>
    </w:tbl>
    <w:p w14:paraId="54BBBEEF" w14:textId="77777777" w:rsidR="00870B34" w:rsidRPr="00944EE4" w:rsidRDefault="00870B34" w:rsidP="00870B34">
      <w:pPr>
        <w:spacing w:line="276" w:lineRule="auto"/>
        <w:rPr>
          <w:rFonts w:ascii="Times New Roman" w:hAnsi="Times New Roman" w:cs="Times New Roman"/>
          <w:sz w:val="24"/>
          <w:szCs w:val="24"/>
        </w:rPr>
      </w:pPr>
    </w:p>
    <w:p w14:paraId="4198BAA1" w14:textId="02AC315C" w:rsidR="00870B34" w:rsidRPr="00944EE4" w:rsidRDefault="00880F37" w:rsidP="00870B34">
      <w:pPr>
        <w:pStyle w:val="Commentaire"/>
        <w:spacing w:line="276" w:lineRule="auto"/>
        <w:jc w:val="both"/>
        <w:rPr>
          <w:sz w:val="24"/>
          <w:szCs w:val="24"/>
        </w:rPr>
      </w:pPr>
      <w:r w:rsidRPr="00944EE4">
        <w:rPr>
          <w:sz w:val="24"/>
          <w:szCs w:val="24"/>
        </w:rPr>
        <w:t xml:space="preserve">L’axe 3 de l’UNDAF + </w:t>
      </w:r>
      <w:r w:rsidRPr="00944EE4">
        <w:rPr>
          <w:b/>
          <w:i/>
          <w:color w:val="1F497D" w:themeColor="text2"/>
          <w:sz w:val="24"/>
          <w:szCs w:val="24"/>
          <w:u w:val="single"/>
        </w:rPr>
        <w:t>Accès aux Services sociaux de base de qualité</w:t>
      </w:r>
      <w:r w:rsidRPr="00944EE4">
        <w:rPr>
          <w:sz w:val="24"/>
          <w:szCs w:val="24"/>
        </w:rPr>
        <w:t xml:space="preserve"> est en adéquation avec l’axe 4 du Programme d’Actions du Gouvernement relatif à la </w:t>
      </w:r>
      <w:r w:rsidRPr="00944EE4">
        <w:rPr>
          <w:b/>
          <w:i/>
          <w:sz w:val="24"/>
          <w:szCs w:val="24"/>
        </w:rPr>
        <w:t>reconstruction de l’école malienne</w:t>
      </w:r>
      <w:r w:rsidR="00FE45C6">
        <w:rPr>
          <w:sz w:val="24"/>
          <w:szCs w:val="24"/>
        </w:rPr>
        <w:t xml:space="preserve"> et avec l’axe 6, de</w:t>
      </w:r>
      <w:r w:rsidRPr="00944EE4">
        <w:rPr>
          <w:sz w:val="24"/>
          <w:szCs w:val="24"/>
        </w:rPr>
        <w:t xml:space="preserve"> </w:t>
      </w:r>
      <w:r w:rsidRPr="00944EE4">
        <w:rPr>
          <w:b/>
          <w:bCs/>
          <w:i/>
          <w:sz w:val="24"/>
          <w:szCs w:val="24"/>
        </w:rPr>
        <w:t xml:space="preserve">mise en œuvre d’une politique active de développement social. </w:t>
      </w:r>
      <w:r w:rsidRPr="00944EE4">
        <w:rPr>
          <w:bCs/>
          <w:sz w:val="24"/>
          <w:szCs w:val="24"/>
        </w:rPr>
        <w:t>Il est</w:t>
      </w:r>
      <w:r w:rsidRPr="00944EE4">
        <w:rPr>
          <w:b/>
          <w:bCs/>
          <w:i/>
          <w:sz w:val="24"/>
          <w:szCs w:val="24"/>
        </w:rPr>
        <w:t xml:space="preserve"> </w:t>
      </w:r>
      <w:r w:rsidRPr="00944EE4">
        <w:rPr>
          <w:noProof/>
          <w:sz w:val="24"/>
          <w:szCs w:val="24"/>
        </w:rPr>
        <w:t xml:space="preserve">aussi en adequation avec </w:t>
      </w:r>
      <w:r w:rsidR="000E05B6">
        <w:rPr>
          <w:noProof/>
          <w:sz w:val="24"/>
          <w:szCs w:val="24"/>
        </w:rPr>
        <w:t xml:space="preserve">l’Axe Strategique 2 du CREDD et </w:t>
      </w:r>
      <w:r w:rsidRPr="00944EE4">
        <w:rPr>
          <w:noProof/>
          <w:sz w:val="24"/>
          <w:szCs w:val="24"/>
        </w:rPr>
        <w:t>le pilier 3 de la Stratégie intégrée des Nations Unies pour le Sahel visant à renforcer la résilience à long terme des communautés et des systèmes.</w:t>
      </w:r>
    </w:p>
    <w:p w14:paraId="2B98F6C4" w14:textId="77777777" w:rsidR="000E05B6" w:rsidRPr="00944EE4" w:rsidRDefault="000E05B6" w:rsidP="00870B34">
      <w:pPr>
        <w:spacing w:line="276" w:lineRule="auto"/>
        <w:rPr>
          <w:rFonts w:ascii="Times New Roman" w:hAnsi="Times New Roman" w:cs="Times New Roman"/>
          <w:i/>
          <w:sz w:val="24"/>
          <w:szCs w:val="24"/>
        </w:rPr>
      </w:pPr>
    </w:p>
    <w:p w14:paraId="6817638E" w14:textId="7C9989A2" w:rsidR="000E05B6" w:rsidRPr="000E05B6" w:rsidRDefault="000E05B6" w:rsidP="000E05B6">
      <w:pPr>
        <w:spacing w:line="276" w:lineRule="auto"/>
        <w:jc w:val="both"/>
        <w:rPr>
          <w:rFonts w:ascii="Times New Roman" w:hAnsi="Times New Roman" w:cs="Times New Roman"/>
          <w:b/>
          <w:color w:val="365F91" w:themeColor="accent1" w:themeShade="BF"/>
          <w:sz w:val="24"/>
          <w:szCs w:val="24"/>
          <w:u w:val="single"/>
        </w:rPr>
      </w:pPr>
      <w:r>
        <w:rPr>
          <w:rFonts w:ascii="Times New Roman" w:hAnsi="Times New Roman" w:cs="Times New Roman"/>
          <w:b/>
          <w:color w:val="365F91" w:themeColor="accent1" w:themeShade="BF"/>
          <w:sz w:val="24"/>
          <w:szCs w:val="24"/>
          <w:u w:val="single"/>
        </w:rPr>
        <w:t xml:space="preserve">3.1 </w:t>
      </w:r>
      <w:r w:rsidRPr="000E05B6">
        <w:rPr>
          <w:rFonts w:ascii="Times New Roman" w:hAnsi="Times New Roman" w:cs="Times New Roman"/>
          <w:b/>
          <w:color w:val="365F91" w:themeColor="accent1" w:themeShade="BF"/>
          <w:sz w:val="24"/>
          <w:szCs w:val="24"/>
          <w:u w:val="single"/>
        </w:rPr>
        <w:t>Analyse de situation a mi-parcours de l’UNDAF+</w:t>
      </w:r>
    </w:p>
    <w:p w14:paraId="32F129E4" w14:textId="77777777" w:rsidR="00870B34" w:rsidRPr="00944EE4" w:rsidRDefault="00870B34" w:rsidP="00870B34">
      <w:pPr>
        <w:pStyle w:val="Paragraphedeliste"/>
        <w:spacing w:line="276" w:lineRule="auto"/>
        <w:ind w:left="0"/>
        <w:rPr>
          <w:rFonts w:ascii="Times New Roman" w:hAnsi="Times New Roman" w:cs="Times New Roman"/>
          <w:sz w:val="24"/>
          <w:szCs w:val="24"/>
        </w:rPr>
      </w:pPr>
    </w:p>
    <w:p w14:paraId="68E0D3A3" w14:textId="77777777" w:rsidR="00870B34" w:rsidRPr="00944EE4" w:rsidRDefault="00880F37" w:rsidP="00870B34">
      <w:pPr>
        <w:spacing w:line="276" w:lineRule="auto"/>
        <w:jc w:val="both"/>
        <w:rPr>
          <w:rFonts w:ascii="Times New Roman" w:hAnsi="Times New Roman" w:cs="Times New Roman"/>
          <w:bCs/>
          <w:sz w:val="24"/>
          <w:szCs w:val="24"/>
        </w:rPr>
      </w:pPr>
      <w:r w:rsidRPr="00944EE4">
        <w:rPr>
          <w:rFonts w:ascii="Times New Roman" w:hAnsi="Times New Roman" w:cs="Times New Roman"/>
          <w:bCs/>
          <w:sz w:val="24"/>
          <w:szCs w:val="24"/>
        </w:rPr>
        <w:t xml:space="preserve">Depuis 2012, la crise multidimensionnelle que traverse le pays a eu des conséquences négatives sur le bien-être des populations. La qualité des services est généralement faible ; ces services sont inégalement répartis entre les régions ainsi que le milieu de résidence (urbain vs rural). De même, le recouvrement de coûts et la persistance des barrières financières et culturelles limitent significativement l’accès et l’utilisation des services disponibles. A l’exception de 20% de la </w:t>
      </w:r>
      <w:r w:rsidRPr="00944EE4">
        <w:rPr>
          <w:rFonts w:ascii="Times New Roman" w:hAnsi="Times New Roman" w:cs="Times New Roman"/>
          <w:bCs/>
          <w:sz w:val="24"/>
          <w:szCs w:val="24"/>
        </w:rPr>
        <w:lastRenderedPageBreak/>
        <w:t>population la plus riche, toutes les autres catégories de population accusent un écart de couverture de services de sante estimé à plus de 60%</w:t>
      </w:r>
      <w:r w:rsidRPr="00944EE4">
        <w:rPr>
          <w:rStyle w:val="Appelnotedebasdep"/>
          <w:rFonts w:ascii="Times New Roman" w:hAnsi="Times New Roman" w:cs="Times New Roman"/>
          <w:bCs/>
          <w:sz w:val="24"/>
          <w:szCs w:val="24"/>
        </w:rPr>
        <w:footnoteReference w:id="2"/>
      </w:r>
      <w:r w:rsidRPr="00944EE4">
        <w:rPr>
          <w:rFonts w:ascii="Times New Roman" w:hAnsi="Times New Roman" w:cs="Times New Roman"/>
          <w:bCs/>
          <w:sz w:val="24"/>
          <w:szCs w:val="24"/>
        </w:rPr>
        <w:t xml:space="preserve">.  </w:t>
      </w:r>
    </w:p>
    <w:p w14:paraId="103822FD" w14:textId="77777777" w:rsidR="000E05B6" w:rsidRDefault="000E05B6" w:rsidP="00870B34">
      <w:pPr>
        <w:spacing w:line="276" w:lineRule="auto"/>
        <w:jc w:val="both"/>
        <w:rPr>
          <w:rFonts w:ascii="Times New Roman" w:hAnsi="Times New Roman" w:cs="Times New Roman"/>
          <w:bCs/>
          <w:sz w:val="24"/>
          <w:szCs w:val="24"/>
        </w:rPr>
      </w:pPr>
    </w:p>
    <w:p w14:paraId="4A4CC940" w14:textId="77777777" w:rsidR="000E05B6" w:rsidRDefault="000E05B6" w:rsidP="000E05B6">
      <w:pPr>
        <w:spacing w:after="120" w:line="276" w:lineRule="auto"/>
        <w:jc w:val="both"/>
        <w:rPr>
          <w:rFonts w:ascii="Times New Roman" w:hAnsi="Times New Roman" w:cs="Times New Roman"/>
          <w:bCs/>
          <w:sz w:val="24"/>
          <w:szCs w:val="24"/>
        </w:rPr>
      </w:pPr>
      <w:r>
        <w:rPr>
          <w:rFonts w:ascii="Times New Roman" w:hAnsi="Times New Roman" w:cs="Times New Roman"/>
          <w:bCs/>
          <w:sz w:val="24"/>
          <w:szCs w:val="24"/>
        </w:rPr>
        <w:t xml:space="preserve">Malgre l’amelioration de certains indicateurs sociaux, notamment dans l’eduction, </w:t>
      </w:r>
      <w:r w:rsidR="00880F37" w:rsidRPr="00944EE4">
        <w:rPr>
          <w:rFonts w:ascii="Times New Roman" w:hAnsi="Times New Roman" w:cs="Times New Roman"/>
          <w:sz w:val="24"/>
          <w:szCs w:val="24"/>
        </w:rPr>
        <w:t xml:space="preserve">on estime </w:t>
      </w:r>
      <w:r>
        <w:rPr>
          <w:rFonts w:ascii="Times New Roman" w:hAnsi="Times New Roman" w:cs="Times New Roman"/>
          <w:sz w:val="24"/>
          <w:szCs w:val="24"/>
        </w:rPr>
        <w:t xml:space="preserve">toujours </w:t>
      </w:r>
      <w:r w:rsidR="00880F37" w:rsidRPr="00944EE4">
        <w:rPr>
          <w:rFonts w:ascii="Times New Roman" w:hAnsi="Times New Roman" w:cs="Times New Roman"/>
          <w:sz w:val="24"/>
          <w:szCs w:val="24"/>
        </w:rPr>
        <w:t>à 1,2 millions le nombre d’enfants non-scolarisés ou déscolarisés. Les raisons sont liées à des barrières financières et culturelles</w:t>
      </w:r>
      <w:r>
        <w:rPr>
          <w:rFonts w:ascii="Times New Roman" w:hAnsi="Times New Roman" w:cs="Times New Roman"/>
          <w:sz w:val="24"/>
          <w:szCs w:val="24"/>
        </w:rPr>
        <w:t xml:space="preserve"> mais aussi a l’insecurite, </w:t>
      </w:r>
      <w:r w:rsidR="00880F37" w:rsidRPr="00944EE4">
        <w:rPr>
          <w:rFonts w:ascii="Times New Roman" w:hAnsi="Times New Roman" w:cs="Times New Roman"/>
          <w:sz w:val="24"/>
          <w:szCs w:val="24"/>
        </w:rPr>
        <w:t>dont les conséquences se traduisent par des disparités d’accès, une faible qualité des apprentissages et un faible taux d’achèvement du cycle primaire</w:t>
      </w:r>
      <w:r w:rsidR="00880F37" w:rsidRPr="00944EE4">
        <w:rPr>
          <w:rFonts w:ascii="Times New Roman" w:hAnsi="Times New Roman" w:cs="Times New Roman"/>
          <w:bCs/>
          <w:sz w:val="24"/>
          <w:szCs w:val="24"/>
        </w:rPr>
        <w:t xml:space="preserve">. </w:t>
      </w:r>
    </w:p>
    <w:p w14:paraId="1BB9E2E1" w14:textId="5C5BCA03" w:rsidR="00B75B89" w:rsidRPr="00842A91" w:rsidRDefault="00B75B89" w:rsidP="00B75B89">
      <w:pPr>
        <w:spacing w:after="120" w:line="276" w:lineRule="auto"/>
        <w:jc w:val="both"/>
        <w:rPr>
          <w:rFonts w:ascii="Times New Roman" w:hAnsi="Times New Roman" w:cs="Times New Roman"/>
          <w:sz w:val="24"/>
          <w:szCs w:val="24"/>
        </w:rPr>
      </w:pPr>
      <w:r w:rsidRPr="00842A91">
        <w:rPr>
          <w:rFonts w:ascii="Times New Roman" w:hAnsi="Times New Roman" w:cs="Times New Roman"/>
          <w:sz w:val="24"/>
          <w:szCs w:val="24"/>
        </w:rPr>
        <w:t xml:space="preserve">Le Taux brut de scolarisation (TBS) au premier cycle de l’enseignement fondamental a enregistré une progression, passant de 69,6% en 2016 à 72,1% en 2017. Le Taux Brut d’Admission au premier cycle (TBA) montre également une avancée considérable en 2017, soit 68,7% contre 62,7% en 2016. Le Ratio élèves-maître au primaire est stationnaire entre 2016 et 2017 avec 39 élèves par maître. L’indice de parité fille/garçon en 2017 (0,84) est inférieur à celui de l’année 2016 (0,86) et n’a pas atteint la valeur cible de 2017 (0,87).  </w:t>
      </w:r>
    </w:p>
    <w:p w14:paraId="45419759" w14:textId="77777777" w:rsidR="00B75B89" w:rsidRPr="00842A91" w:rsidRDefault="00B75B89" w:rsidP="00B75B89">
      <w:pPr>
        <w:suppressAutoHyphens/>
        <w:spacing w:after="120" w:line="276" w:lineRule="auto"/>
        <w:jc w:val="both"/>
        <w:rPr>
          <w:rFonts w:ascii="Times New Roman" w:eastAsia="Times New Roman" w:hAnsi="Times New Roman" w:cs="Times New Roman"/>
          <w:sz w:val="24"/>
          <w:szCs w:val="24"/>
          <w:lang w:eastAsia="fr-FR"/>
        </w:rPr>
      </w:pPr>
      <w:r w:rsidRPr="00842A91">
        <w:rPr>
          <w:rFonts w:ascii="Times New Roman" w:hAnsi="Times New Roman" w:cs="Times New Roman"/>
          <w:sz w:val="24"/>
          <w:szCs w:val="24"/>
        </w:rPr>
        <w:t>En matière de santé,</w:t>
      </w:r>
      <w:r w:rsidRPr="00842A91">
        <w:rPr>
          <w:rFonts w:ascii="Times New Roman" w:eastAsia="Calibri" w:hAnsi="Times New Roman" w:cs="Times New Roman"/>
          <w:sz w:val="24"/>
          <w:szCs w:val="24"/>
          <w:lang w:val="fr-ML"/>
        </w:rPr>
        <w:t xml:space="preserve"> l</w:t>
      </w:r>
      <w:r w:rsidRPr="00842A91">
        <w:rPr>
          <w:rFonts w:ascii="Times New Roman" w:hAnsi="Times New Roman" w:cs="Times New Roman"/>
          <w:sz w:val="24"/>
          <w:szCs w:val="24"/>
        </w:rPr>
        <w:t>e taux d’accouchements assistés par du personnel qualifié est passé de 30,31% en 2016 à 32,08% en 2017. Le nombre de CSCOM fonctionnels a augmenté avec cependant un nombre de CSCOMs médicalisés resté stationnaire (32,03%). La prévalence contraceptive est restée stationnaire entre 2016 et 2017 avec respectivement 21% et 20,01%. Le Taux de couverture en Penta 3 a baissé à 89% en 2017 contre 94% en 2016. Le t</w:t>
      </w:r>
      <w:r w:rsidRPr="00842A91">
        <w:rPr>
          <w:rFonts w:ascii="Times New Roman" w:eastAsia="Times New Roman" w:hAnsi="Times New Roman" w:cs="Times New Roman"/>
          <w:sz w:val="24"/>
          <w:szCs w:val="24"/>
          <w:lang w:eastAsia="fr-FR"/>
        </w:rPr>
        <w:t>aux de prévalence du VIH/Sida parmi la population âgée de 15 à 49 ans est établi à 1,1% en 2017.</w:t>
      </w:r>
    </w:p>
    <w:p w14:paraId="5E772885" w14:textId="0058015C" w:rsidR="00B75B89" w:rsidRPr="00842A91" w:rsidRDefault="00B75B89" w:rsidP="00B75B89">
      <w:pPr>
        <w:suppressAutoHyphens/>
        <w:spacing w:after="120" w:line="276" w:lineRule="auto"/>
        <w:jc w:val="both"/>
        <w:rPr>
          <w:rFonts w:ascii="Times New Roman" w:hAnsi="Times New Roman" w:cs="Times New Roman"/>
          <w:sz w:val="24"/>
          <w:szCs w:val="24"/>
        </w:rPr>
      </w:pPr>
      <w:r w:rsidRPr="00842A91">
        <w:rPr>
          <w:rFonts w:ascii="Times New Roman" w:hAnsi="Times New Roman" w:cs="Times New Roman"/>
          <w:sz w:val="24"/>
          <w:szCs w:val="24"/>
        </w:rPr>
        <w:t>Dans le domaine de l’accès à l’eau potable,</w:t>
      </w:r>
      <w:r w:rsidRPr="00842A91">
        <w:rPr>
          <w:rFonts w:ascii="Times New Roman" w:eastAsia="Calibri" w:hAnsi="Times New Roman" w:cs="Times New Roman"/>
          <w:sz w:val="24"/>
          <w:szCs w:val="24"/>
          <w:lang w:val="fr-ML"/>
        </w:rPr>
        <w:t xml:space="preserve"> il est noté en 2017 au niveau national une croissance de 1,1% soit un taux de 68% contre 66,9% en 2016. L’évolution du taux d’accès au service d’eau potable de base de 2016 à 2017 a connu une stagnation pour le milieu rural (65,3%) et une croissance de 4,1 points pour le milieu urbain et semi urbain (70,6% à 74,4%).</w:t>
      </w:r>
    </w:p>
    <w:p w14:paraId="2B5CF596" w14:textId="551C6988" w:rsidR="00870B34" w:rsidRPr="00944EE4" w:rsidRDefault="00880F37" w:rsidP="00870B34">
      <w:pPr>
        <w:tabs>
          <w:tab w:val="num" w:pos="540"/>
        </w:tabs>
        <w:spacing w:line="276" w:lineRule="auto"/>
        <w:jc w:val="both"/>
        <w:rPr>
          <w:rFonts w:ascii="Times New Roman" w:hAnsi="Times New Roman" w:cs="Times New Roman"/>
          <w:bCs/>
          <w:sz w:val="24"/>
          <w:szCs w:val="24"/>
        </w:rPr>
      </w:pPr>
      <w:r w:rsidRPr="00842A91">
        <w:rPr>
          <w:rFonts w:ascii="Times New Roman" w:hAnsi="Times New Roman" w:cs="Times New Roman"/>
          <w:bCs/>
          <w:sz w:val="24"/>
          <w:szCs w:val="24"/>
        </w:rPr>
        <w:t>Les normes sociales perpétuent certaines violences basées s</w:t>
      </w:r>
      <w:r w:rsidR="00AC04C9">
        <w:rPr>
          <w:rFonts w:ascii="Times New Roman" w:hAnsi="Times New Roman" w:cs="Times New Roman"/>
          <w:bCs/>
          <w:sz w:val="24"/>
          <w:szCs w:val="24"/>
        </w:rPr>
        <w:t>ur le genre (VBG) ainsi que des pratiques obsolètes,</w:t>
      </w:r>
      <w:r w:rsidRPr="00842A91">
        <w:rPr>
          <w:rFonts w:ascii="Times New Roman" w:hAnsi="Times New Roman" w:cs="Times New Roman"/>
          <w:bCs/>
          <w:sz w:val="24"/>
          <w:szCs w:val="24"/>
        </w:rPr>
        <w:t xml:space="preserve"> qui portent atte</w:t>
      </w:r>
      <w:r w:rsidR="00AD3C9A">
        <w:rPr>
          <w:rFonts w:ascii="Times New Roman" w:hAnsi="Times New Roman" w:cs="Times New Roman"/>
          <w:bCs/>
          <w:sz w:val="24"/>
          <w:szCs w:val="24"/>
        </w:rPr>
        <w:t>inte</w:t>
      </w:r>
      <w:r w:rsidRPr="00842A91">
        <w:rPr>
          <w:rFonts w:ascii="Times New Roman" w:hAnsi="Times New Roman" w:cs="Times New Roman"/>
          <w:bCs/>
          <w:sz w:val="24"/>
          <w:szCs w:val="24"/>
        </w:rPr>
        <w:t xml:space="preserve"> aux droits des femmes et des enfants/adolescentes. L’excision touche neuf femmes sur dix. Le </w:t>
      </w:r>
      <w:r w:rsidRPr="00842A91">
        <w:rPr>
          <w:rFonts w:ascii="Times New Roman" w:hAnsi="Times New Roman" w:cs="Times New Roman"/>
          <w:sz w:val="24"/>
          <w:szCs w:val="24"/>
        </w:rPr>
        <w:t xml:space="preserve">mariage précoce </w:t>
      </w:r>
      <w:r w:rsidRPr="00842A91">
        <w:rPr>
          <w:rFonts w:ascii="Times New Roman" w:hAnsi="Times New Roman" w:cs="Times New Roman"/>
          <w:bCs/>
          <w:sz w:val="24"/>
          <w:szCs w:val="24"/>
        </w:rPr>
        <w:t xml:space="preserve">est largement pratiqué et même autorisé dans le nouveau Code de la famille, en contradiction avec les engagements du Mali vis-à-vis des traités internationaux qu’il a signés dans ce domaine. En effet 15% des filles sont mariées avant 15 ans et 61 % avant 18 </w:t>
      </w:r>
      <w:r w:rsidR="00AC04C9">
        <w:rPr>
          <w:rFonts w:ascii="Times New Roman" w:hAnsi="Times New Roman" w:cs="Times New Roman"/>
          <w:bCs/>
          <w:sz w:val="24"/>
          <w:szCs w:val="24"/>
        </w:rPr>
        <w:t>ans. Les</w:t>
      </w:r>
      <w:r w:rsidRPr="00944EE4">
        <w:rPr>
          <w:rFonts w:ascii="Times New Roman" w:hAnsi="Times New Roman" w:cs="Times New Roman"/>
          <w:bCs/>
          <w:sz w:val="24"/>
          <w:szCs w:val="24"/>
        </w:rPr>
        <w:t xml:space="preserve"> adolescentes constituent 18 % de l’ensemble des femmes en âge de procréer et contribuent pour 14 % à la fécondité totale des femmes. 33 % des adolescentes ont déjà eu au moins un enfant. </w:t>
      </w:r>
    </w:p>
    <w:p w14:paraId="2846429A" w14:textId="77777777" w:rsidR="00870B34" w:rsidRPr="00944EE4" w:rsidRDefault="00880F37" w:rsidP="00870B34">
      <w:pPr>
        <w:tabs>
          <w:tab w:val="num" w:pos="540"/>
        </w:tabs>
        <w:spacing w:line="276" w:lineRule="auto"/>
        <w:jc w:val="both"/>
        <w:rPr>
          <w:rFonts w:ascii="Times New Roman" w:hAnsi="Times New Roman" w:cs="Times New Roman"/>
          <w:bCs/>
          <w:sz w:val="24"/>
          <w:szCs w:val="24"/>
        </w:rPr>
      </w:pPr>
      <w:r w:rsidRPr="00944EE4">
        <w:rPr>
          <w:rFonts w:ascii="Times New Roman" w:hAnsi="Times New Roman" w:cs="Times New Roman"/>
          <w:bCs/>
          <w:sz w:val="24"/>
          <w:szCs w:val="24"/>
        </w:rPr>
        <w:t xml:space="preserve"> </w:t>
      </w:r>
    </w:p>
    <w:p w14:paraId="2222D9D8" w14:textId="66348A8F" w:rsidR="006E7C97" w:rsidRDefault="006E7C97" w:rsidP="006E7C97">
      <w:pPr>
        <w:jc w:val="both"/>
        <w:rPr>
          <w:rFonts w:ascii="Times New Roman" w:hAnsi="Times New Roman" w:cs="Times New Roman"/>
          <w:bCs/>
          <w:sz w:val="24"/>
          <w:szCs w:val="24"/>
        </w:rPr>
      </w:pPr>
      <w:r w:rsidRPr="00AD3C9A">
        <w:rPr>
          <w:rFonts w:ascii="Times New Roman" w:hAnsi="Times New Roman" w:cs="Times New Roman"/>
          <w:bCs/>
          <w:sz w:val="24"/>
          <w:szCs w:val="24"/>
        </w:rPr>
        <w:t xml:space="preserve">A mi-parcours du cycle du programme, au-delà des diagnostics initiaux formulés, l’accès aux services sociaux d’éducation et de santé de base restent des défis importants. </w:t>
      </w:r>
    </w:p>
    <w:p w14:paraId="08B46B5E" w14:textId="0193A435" w:rsidR="00AD3C9A" w:rsidRDefault="00AD3C9A" w:rsidP="006E7C97">
      <w:pPr>
        <w:jc w:val="both"/>
        <w:rPr>
          <w:rFonts w:ascii="Times New Roman" w:hAnsi="Times New Roman" w:cs="Times New Roman"/>
          <w:bCs/>
          <w:sz w:val="24"/>
          <w:szCs w:val="24"/>
        </w:rPr>
      </w:pPr>
    </w:p>
    <w:p w14:paraId="2E0C0A16" w14:textId="135FD233" w:rsidR="00870B34" w:rsidRPr="00944EE4" w:rsidRDefault="00880F37" w:rsidP="0038737F">
      <w:pPr>
        <w:rPr>
          <w:rFonts w:ascii="Times New Roman" w:hAnsi="Times New Roman" w:cs="Times New Roman"/>
          <w:sz w:val="24"/>
          <w:szCs w:val="24"/>
        </w:rPr>
      </w:pPr>
      <w:r w:rsidRPr="00944EE4">
        <w:rPr>
          <w:rFonts w:ascii="Times New Roman" w:hAnsi="Times New Roman" w:cs="Times New Roman"/>
          <w:sz w:val="24"/>
          <w:szCs w:val="24"/>
        </w:rPr>
        <w:t xml:space="preserve"> </w:t>
      </w:r>
    </w:p>
    <w:p w14:paraId="1EEBC6EF" w14:textId="50E2FDF5" w:rsidR="00870B34" w:rsidRPr="00944EE4" w:rsidRDefault="00880F37" w:rsidP="00A701F5">
      <w:pPr>
        <w:pStyle w:val="Paragraphedeliste"/>
        <w:numPr>
          <w:ilvl w:val="1"/>
          <w:numId w:val="2"/>
        </w:numPr>
        <w:spacing w:line="276" w:lineRule="auto"/>
        <w:ind w:left="284" w:hanging="284"/>
        <w:rPr>
          <w:rFonts w:ascii="Times New Roman" w:hAnsi="Times New Roman" w:cs="Times New Roman"/>
          <w:b/>
          <w:color w:val="365F91" w:themeColor="accent1" w:themeShade="BF"/>
          <w:sz w:val="24"/>
          <w:szCs w:val="24"/>
          <w:u w:val="single"/>
        </w:rPr>
      </w:pPr>
      <w:r w:rsidRPr="00944EE4">
        <w:rPr>
          <w:rFonts w:ascii="Times New Roman" w:hAnsi="Times New Roman" w:cs="Times New Roman"/>
          <w:b/>
          <w:color w:val="365F91" w:themeColor="accent1" w:themeShade="BF"/>
          <w:sz w:val="24"/>
          <w:szCs w:val="24"/>
          <w:u w:val="single"/>
        </w:rPr>
        <w:t>Contribution des Nations Unies</w:t>
      </w:r>
    </w:p>
    <w:p w14:paraId="563B899A" w14:textId="77777777" w:rsidR="00870B34" w:rsidRPr="00944EE4" w:rsidRDefault="00870B34" w:rsidP="00870B34">
      <w:pPr>
        <w:pStyle w:val="Paragraphedeliste"/>
        <w:spacing w:line="276" w:lineRule="auto"/>
        <w:ind w:left="0"/>
        <w:rPr>
          <w:rFonts w:ascii="Times New Roman" w:hAnsi="Times New Roman" w:cs="Times New Roman"/>
          <w:sz w:val="24"/>
          <w:szCs w:val="24"/>
        </w:rPr>
      </w:pPr>
    </w:p>
    <w:p w14:paraId="451ABD6D" w14:textId="468FC11B" w:rsidR="00870B34" w:rsidRPr="00944EE4" w:rsidRDefault="00AD3C9A" w:rsidP="00870B34">
      <w:pPr>
        <w:spacing w:line="276" w:lineRule="auto"/>
        <w:jc w:val="both"/>
        <w:rPr>
          <w:rFonts w:ascii="Times New Roman" w:hAnsi="Times New Roman" w:cs="Times New Roman"/>
          <w:bCs/>
          <w:sz w:val="24"/>
          <w:szCs w:val="24"/>
        </w:rPr>
      </w:pPr>
      <w:r>
        <w:rPr>
          <w:rFonts w:ascii="Times New Roman" w:hAnsi="Times New Roman" w:cs="Times New Roman"/>
          <w:sz w:val="24"/>
          <w:szCs w:val="24"/>
        </w:rPr>
        <w:t>A</w:t>
      </w:r>
      <w:r w:rsidR="00880F37" w:rsidRPr="00944EE4">
        <w:rPr>
          <w:rFonts w:ascii="Times New Roman" w:hAnsi="Times New Roman" w:cs="Times New Roman"/>
          <w:sz w:val="24"/>
          <w:szCs w:val="24"/>
        </w:rPr>
        <w:t xml:space="preserve">u regard des progrès observés mais aussi des défis et priorités nationales exprimés notamment dans les documents stratégiques (Cadre Stratégique pour la Croissance et la Réduction de la Pauvreté </w:t>
      </w:r>
      <w:r w:rsidR="00880F37" w:rsidRPr="00944EE4">
        <w:rPr>
          <w:rFonts w:ascii="Times New Roman" w:hAnsi="Times New Roman" w:cs="Times New Roman"/>
          <w:sz w:val="24"/>
          <w:szCs w:val="24"/>
        </w:rPr>
        <w:lastRenderedPageBreak/>
        <w:t>(CSCRP 2012-2017)  ; Plan d’Action du Gouvernement (PAG 2014-2018)</w:t>
      </w:r>
      <w:r>
        <w:rPr>
          <w:rFonts w:ascii="Times New Roman" w:hAnsi="Times New Roman" w:cs="Times New Roman"/>
          <w:sz w:val="24"/>
          <w:szCs w:val="24"/>
        </w:rPr>
        <w:t> ; CREDD 2016-2018</w:t>
      </w:r>
      <w:r w:rsidR="00880F37" w:rsidRPr="00944EE4">
        <w:rPr>
          <w:rFonts w:ascii="Times New Roman" w:hAnsi="Times New Roman" w:cs="Times New Roman"/>
          <w:sz w:val="24"/>
          <w:szCs w:val="24"/>
        </w:rPr>
        <w:t xml:space="preserve">) que les Nations Unies contribueront à </w:t>
      </w:r>
      <w:r w:rsidR="00880F37" w:rsidRPr="00944EE4">
        <w:rPr>
          <w:rFonts w:ascii="Times New Roman" w:hAnsi="Times New Roman" w:cs="Times New Roman"/>
          <w:bCs/>
          <w:sz w:val="24"/>
          <w:szCs w:val="24"/>
        </w:rPr>
        <w:t xml:space="preserve">l’effet suivant : </w:t>
      </w:r>
      <w:r w:rsidR="00880F37" w:rsidRPr="00944EE4">
        <w:rPr>
          <w:rFonts w:ascii="Times New Roman" w:hAnsi="Times New Roman" w:cs="Times New Roman"/>
          <w:b/>
          <w:bCs/>
          <w:sz w:val="24"/>
          <w:szCs w:val="24"/>
        </w:rPr>
        <w:t>« </w:t>
      </w:r>
      <w:r w:rsidR="00880F37" w:rsidRPr="00944EE4">
        <w:rPr>
          <w:rFonts w:ascii="Times New Roman" w:hAnsi="Times New Roman" w:cs="Times New Roman"/>
          <w:b/>
          <w:bCs/>
          <w:iCs/>
          <w:sz w:val="24"/>
          <w:szCs w:val="24"/>
        </w:rPr>
        <w:t>D’ici 2019, les populations, en particulier les plus vulnérables et celles affectées par les crises, ont un accès accru et équitable et utilisent des Services Sociaux de Base de qualité »</w:t>
      </w:r>
      <w:r w:rsidR="00880F37" w:rsidRPr="00944EE4">
        <w:rPr>
          <w:rFonts w:ascii="Times New Roman" w:hAnsi="Times New Roman" w:cs="Times New Roman"/>
          <w:bCs/>
          <w:iCs/>
          <w:sz w:val="24"/>
          <w:szCs w:val="24"/>
        </w:rPr>
        <w:t xml:space="preserve">. </w:t>
      </w:r>
      <w:r w:rsidR="00880F37" w:rsidRPr="00944EE4">
        <w:rPr>
          <w:rFonts w:ascii="Times New Roman" w:hAnsi="Times New Roman" w:cs="Times New Roman"/>
          <w:bCs/>
          <w:sz w:val="24"/>
          <w:szCs w:val="24"/>
        </w:rPr>
        <w:t>Les initiatives que les Nations Unies vont soutenir à travers cet effet permettront : (i) d’accroitre l’accès à  un paquet intégré de soins de qualité, y compris les informations et services de santé reproductive et de planification familiale  (ii) d’accroître l’accès aux services de prévention du VIH/SIDA  et de prise en charge des PVVIH;  (iii) d’accroitre l’accès et la qualité de l’éducation ; (iv) de prévenir et traiter la malnutrition des enfants et des femmes ; (v) de consolider le cadre de protection et de prise en charge adéquate des groupes vulnérables contre les violences, abus et exploitation (vi) de réformer le cadre politique et juridique de protection sociale afin que les groupes vulnérables bénéficient de services de protection sociale adéqua</w:t>
      </w:r>
      <w:r>
        <w:rPr>
          <w:rFonts w:ascii="Times New Roman" w:hAnsi="Times New Roman" w:cs="Times New Roman"/>
          <w:bCs/>
          <w:sz w:val="24"/>
          <w:szCs w:val="24"/>
        </w:rPr>
        <w:t>ts. Toutes ces initiatives so</w:t>
      </w:r>
      <w:r w:rsidR="00880F37" w:rsidRPr="00944EE4">
        <w:rPr>
          <w:rFonts w:ascii="Times New Roman" w:hAnsi="Times New Roman" w:cs="Times New Roman"/>
          <w:bCs/>
          <w:sz w:val="24"/>
          <w:szCs w:val="24"/>
        </w:rPr>
        <w:t xml:space="preserve">nt déclinées en produits réalisables et mesurables à l’horizon 2019 (réf. </w:t>
      </w:r>
      <w:r>
        <w:rPr>
          <w:rFonts w:ascii="Times New Roman" w:hAnsi="Times New Roman" w:cs="Times New Roman"/>
          <w:bCs/>
          <w:sz w:val="24"/>
          <w:szCs w:val="24"/>
        </w:rPr>
        <w:t>Cadre des résultats</w:t>
      </w:r>
      <w:r w:rsidR="00880F37" w:rsidRPr="00944EE4">
        <w:rPr>
          <w:rFonts w:ascii="Times New Roman" w:hAnsi="Times New Roman" w:cs="Times New Roman"/>
          <w:bCs/>
          <w:sz w:val="24"/>
          <w:szCs w:val="24"/>
        </w:rPr>
        <w:t xml:space="preserve">). </w:t>
      </w:r>
    </w:p>
    <w:p w14:paraId="2DE1C854" w14:textId="77777777" w:rsidR="00870B34" w:rsidRPr="00944EE4" w:rsidRDefault="00870B34" w:rsidP="00870B34">
      <w:pPr>
        <w:spacing w:line="276" w:lineRule="auto"/>
        <w:jc w:val="both"/>
        <w:rPr>
          <w:rFonts w:ascii="Times New Roman" w:hAnsi="Times New Roman" w:cs="Times New Roman"/>
          <w:bCs/>
          <w:sz w:val="24"/>
          <w:szCs w:val="24"/>
        </w:rPr>
      </w:pPr>
    </w:p>
    <w:p w14:paraId="49CF0E2A" w14:textId="756F155A" w:rsidR="00870B34" w:rsidRPr="00944EE4" w:rsidRDefault="00880F37" w:rsidP="00870B34">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La </w:t>
      </w:r>
      <w:r w:rsidR="00AD3C9A">
        <w:rPr>
          <w:rFonts w:ascii="Times New Roman" w:hAnsi="Times New Roman" w:cs="Times New Roman"/>
          <w:sz w:val="24"/>
          <w:szCs w:val="24"/>
        </w:rPr>
        <w:t xml:space="preserve">poursuite de l’amelioration de la </w:t>
      </w:r>
      <w:r w:rsidRPr="00944EE4">
        <w:rPr>
          <w:rFonts w:ascii="Times New Roman" w:hAnsi="Times New Roman" w:cs="Times New Roman"/>
          <w:sz w:val="24"/>
          <w:szCs w:val="24"/>
        </w:rPr>
        <w:t xml:space="preserve">qualité des soins dans les établissements de santé, y compris la PTME et la prise en charge des enfants séropositifs, </w:t>
      </w:r>
      <w:r w:rsidR="00AD3C9A">
        <w:rPr>
          <w:rFonts w:ascii="Times New Roman" w:hAnsi="Times New Roman" w:cs="Times New Roman"/>
          <w:sz w:val="24"/>
          <w:szCs w:val="24"/>
        </w:rPr>
        <w:t>se fera</w:t>
      </w:r>
      <w:r w:rsidRPr="00944EE4">
        <w:rPr>
          <w:rFonts w:ascii="Times New Roman" w:hAnsi="Times New Roman" w:cs="Times New Roman"/>
          <w:sz w:val="24"/>
          <w:szCs w:val="24"/>
        </w:rPr>
        <w:t xml:space="preserve"> à travers le renforcement des capacités techniques et la fourniture d'équipements de soins maternels et infantiles aux services de santé et aux sites communautaires, avec un accent particulier sur les régions du Nord affectées par le conflit. La réhabilitation des CSCOM et CSREF endommagés lors des évènements sera soutenue. Pour le VIH/SIDA, les anciens sites de prise en char</w:t>
      </w:r>
      <w:r w:rsidR="00AD3C9A">
        <w:rPr>
          <w:rFonts w:ascii="Times New Roman" w:hAnsi="Times New Roman" w:cs="Times New Roman"/>
          <w:sz w:val="24"/>
          <w:szCs w:val="24"/>
        </w:rPr>
        <w:t>ge continueront a etre réhabilités</w:t>
      </w:r>
      <w:r w:rsidRPr="00944EE4">
        <w:rPr>
          <w:rFonts w:ascii="Times New Roman" w:hAnsi="Times New Roman" w:cs="Times New Roman"/>
          <w:sz w:val="24"/>
          <w:szCs w:val="24"/>
        </w:rPr>
        <w:t xml:space="preserve"> et de nouveaux sites seront mis en place</w:t>
      </w:r>
      <w:r w:rsidR="00AD3C9A">
        <w:rPr>
          <w:rFonts w:ascii="Times New Roman" w:hAnsi="Times New Roman" w:cs="Times New Roman"/>
          <w:sz w:val="24"/>
          <w:szCs w:val="24"/>
        </w:rPr>
        <w:t xml:space="preserve"> </w:t>
      </w:r>
      <w:r w:rsidRPr="00944EE4">
        <w:rPr>
          <w:rFonts w:ascii="Times New Roman" w:hAnsi="Times New Roman" w:cs="Times New Roman"/>
          <w:sz w:val="24"/>
          <w:szCs w:val="24"/>
        </w:rPr>
        <w:t xml:space="preserve">; une étude sur la prévalence du VIH sera lancée dans les régions de Gao, Tombouctou et Kidal. </w:t>
      </w:r>
    </w:p>
    <w:p w14:paraId="275F3E52" w14:textId="77777777" w:rsidR="0038737F" w:rsidRPr="00944EE4" w:rsidRDefault="0038737F" w:rsidP="00870B34">
      <w:pPr>
        <w:spacing w:line="276" w:lineRule="auto"/>
        <w:jc w:val="both"/>
        <w:rPr>
          <w:rFonts w:ascii="Times New Roman" w:hAnsi="Times New Roman" w:cs="Times New Roman"/>
          <w:sz w:val="24"/>
          <w:szCs w:val="24"/>
        </w:rPr>
      </w:pPr>
    </w:p>
    <w:p w14:paraId="0BE69A32" w14:textId="4304C7F6" w:rsidR="0038737F" w:rsidRPr="00944EE4" w:rsidRDefault="0038737F" w:rsidP="0038737F">
      <w:pPr>
        <w:jc w:val="both"/>
        <w:rPr>
          <w:rFonts w:ascii="Times New Roman" w:hAnsi="Times New Roman" w:cs="Times New Roman"/>
          <w:sz w:val="24"/>
          <w:szCs w:val="24"/>
        </w:rPr>
      </w:pPr>
      <w:r w:rsidRPr="00477469">
        <w:rPr>
          <w:rFonts w:ascii="Times New Roman" w:hAnsi="Times New Roman" w:cs="Times New Roman"/>
          <w:bCs/>
          <w:sz w:val="24"/>
          <w:szCs w:val="24"/>
        </w:rPr>
        <w:t xml:space="preserve">Dans le cadre de la transition de l’humanitaire vers le développement, le programme </w:t>
      </w:r>
      <w:r w:rsidR="00477469">
        <w:rPr>
          <w:rFonts w:ascii="Times New Roman" w:hAnsi="Times New Roman" w:cs="Times New Roman"/>
          <w:bCs/>
          <w:sz w:val="24"/>
          <w:szCs w:val="24"/>
        </w:rPr>
        <w:t>favorisera l’accompagnement d</w:t>
      </w:r>
      <w:r w:rsidRPr="00477469">
        <w:rPr>
          <w:rFonts w:ascii="Times New Roman" w:hAnsi="Times New Roman" w:cs="Times New Roman"/>
          <w:bCs/>
          <w:sz w:val="24"/>
          <w:szCs w:val="24"/>
        </w:rPr>
        <w:t xml:space="preserve">es dynamiques d’ancrage institutionnel local et communautaire de l’offre de services de santé. </w:t>
      </w:r>
    </w:p>
    <w:p w14:paraId="28B631CE" w14:textId="77777777" w:rsidR="0038737F" w:rsidRPr="00944EE4" w:rsidRDefault="0038737F" w:rsidP="00870B34">
      <w:pPr>
        <w:spacing w:line="276" w:lineRule="auto"/>
        <w:jc w:val="both"/>
        <w:rPr>
          <w:rFonts w:ascii="Times New Roman" w:hAnsi="Times New Roman" w:cs="Times New Roman"/>
          <w:sz w:val="24"/>
          <w:szCs w:val="24"/>
        </w:rPr>
      </w:pPr>
    </w:p>
    <w:p w14:paraId="70A163CE" w14:textId="289E7E3C" w:rsidR="00870B34" w:rsidRPr="00944EE4" w:rsidRDefault="00477469" w:rsidP="00870B34">
      <w:pPr>
        <w:spacing w:line="276" w:lineRule="auto"/>
        <w:jc w:val="both"/>
        <w:rPr>
          <w:rFonts w:ascii="Times New Roman" w:hAnsi="Times New Roman" w:cs="Times New Roman"/>
          <w:bCs/>
          <w:sz w:val="24"/>
          <w:szCs w:val="24"/>
        </w:rPr>
      </w:pPr>
      <w:r>
        <w:rPr>
          <w:rFonts w:ascii="Times New Roman" w:hAnsi="Times New Roman" w:cs="Times New Roman"/>
          <w:sz w:val="24"/>
          <w:szCs w:val="24"/>
        </w:rPr>
        <w:t>Les Nations U</w:t>
      </w:r>
      <w:r w:rsidR="00BA733B">
        <w:rPr>
          <w:rFonts w:ascii="Times New Roman" w:hAnsi="Times New Roman" w:cs="Times New Roman"/>
          <w:sz w:val="24"/>
          <w:szCs w:val="24"/>
        </w:rPr>
        <w:t xml:space="preserve">nies continueront à soutenir </w:t>
      </w:r>
      <w:r w:rsidR="00880F37" w:rsidRPr="00944EE4">
        <w:rPr>
          <w:rFonts w:ascii="Times New Roman" w:hAnsi="Times New Roman" w:cs="Times New Roman"/>
          <w:sz w:val="24"/>
          <w:szCs w:val="24"/>
        </w:rPr>
        <w:t>les efforts et les init</w:t>
      </w:r>
      <w:r w:rsidR="00BA733B">
        <w:rPr>
          <w:rFonts w:ascii="Times New Roman" w:hAnsi="Times New Roman" w:cs="Times New Roman"/>
          <w:sz w:val="24"/>
          <w:szCs w:val="24"/>
        </w:rPr>
        <w:t>iatives du Gouvernement du Mali</w:t>
      </w:r>
      <w:r w:rsidR="00880F37" w:rsidRPr="00944EE4">
        <w:rPr>
          <w:rFonts w:ascii="Times New Roman" w:hAnsi="Times New Roman" w:cs="Times New Roman"/>
          <w:sz w:val="24"/>
          <w:szCs w:val="24"/>
        </w:rPr>
        <w:t xml:space="preserve"> et de ses partenaires afin d’arriver à une meilleure maitrise de la croissance démographique</w:t>
      </w:r>
      <w:r w:rsidR="00BA733B">
        <w:rPr>
          <w:rFonts w:ascii="Times New Roman" w:hAnsi="Times New Roman" w:cs="Times New Roman"/>
          <w:sz w:val="24"/>
          <w:szCs w:val="24"/>
        </w:rPr>
        <w:t>. Le</w:t>
      </w:r>
      <w:r w:rsidR="00E341E3">
        <w:rPr>
          <w:rFonts w:ascii="Times New Roman" w:hAnsi="Times New Roman" w:cs="Times New Roman"/>
          <w:sz w:val="24"/>
          <w:szCs w:val="24"/>
        </w:rPr>
        <w:t xml:space="preserve"> </w:t>
      </w:r>
      <w:r w:rsidR="00BA733B">
        <w:rPr>
          <w:rFonts w:ascii="Times New Roman" w:hAnsi="Times New Roman" w:cs="Times New Roman"/>
          <w:sz w:val="24"/>
          <w:szCs w:val="24"/>
        </w:rPr>
        <w:t>soutien</w:t>
      </w:r>
      <w:r w:rsidR="00E341E3">
        <w:rPr>
          <w:rFonts w:ascii="Times New Roman" w:hAnsi="Times New Roman" w:cs="Times New Roman"/>
          <w:sz w:val="24"/>
          <w:szCs w:val="24"/>
        </w:rPr>
        <w:t xml:space="preserve"> aux</w:t>
      </w:r>
      <w:r w:rsidR="00880F37" w:rsidRPr="00944EE4">
        <w:rPr>
          <w:rFonts w:ascii="Times New Roman" w:hAnsi="Times New Roman" w:cs="Times New Roman"/>
          <w:sz w:val="24"/>
          <w:szCs w:val="24"/>
        </w:rPr>
        <w:t xml:space="preserve"> services de santé de la reproduction, y compris la planification familiale</w:t>
      </w:r>
      <w:r w:rsidR="00102785">
        <w:rPr>
          <w:rFonts w:ascii="Times New Roman" w:hAnsi="Times New Roman" w:cs="Times New Roman"/>
          <w:sz w:val="24"/>
          <w:szCs w:val="24"/>
        </w:rPr>
        <w:t>,</w:t>
      </w:r>
      <w:r w:rsidR="00E341E3">
        <w:rPr>
          <w:rFonts w:ascii="Times New Roman" w:hAnsi="Times New Roman" w:cs="Times New Roman"/>
          <w:sz w:val="24"/>
          <w:szCs w:val="24"/>
        </w:rPr>
        <w:t xml:space="preserve"> sera poursuivi, ainsi que l</w:t>
      </w:r>
      <w:r w:rsidR="00880F37" w:rsidRPr="00944EE4">
        <w:rPr>
          <w:rFonts w:ascii="Times New Roman" w:hAnsi="Times New Roman" w:cs="Times New Roman"/>
          <w:sz w:val="24"/>
          <w:szCs w:val="24"/>
        </w:rPr>
        <w:t xml:space="preserve">’accès des adolescents </w:t>
      </w:r>
      <w:r w:rsidR="00102785">
        <w:rPr>
          <w:rFonts w:ascii="Times New Roman" w:hAnsi="Times New Roman" w:cs="Times New Roman"/>
          <w:sz w:val="24"/>
          <w:szCs w:val="24"/>
        </w:rPr>
        <w:t xml:space="preserve">et adolescentes à ces services et </w:t>
      </w:r>
      <w:r w:rsidR="00102785" w:rsidRPr="00944EE4">
        <w:rPr>
          <w:rFonts w:ascii="Times New Roman" w:hAnsi="Times New Roman" w:cs="Times New Roman"/>
          <w:sz w:val="24"/>
          <w:szCs w:val="24"/>
        </w:rPr>
        <w:t>à</w:t>
      </w:r>
      <w:r w:rsidR="007D2B47">
        <w:rPr>
          <w:rFonts w:ascii="Times New Roman" w:hAnsi="Times New Roman" w:cs="Times New Roman"/>
          <w:sz w:val="24"/>
          <w:szCs w:val="24"/>
        </w:rPr>
        <w:t xml:space="preserve"> </w:t>
      </w:r>
      <w:r w:rsidR="00880F37" w:rsidRPr="00944EE4">
        <w:rPr>
          <w:rFonts w:ascii="Times New Roman" w:hAnsi="Times New Roman" w:cs="Times New Roman"/>
          <w:sz w:val="24"/>
          <w:szCs w:val="24"/>
        </w:rPr>
        <w:t>l’information</w:t>
      </w:r>
      <w:r w:rsidR="007D2B47">
        <w:rPr>
          <w:rFonts w:ascii="Times New Roman" w:hAnsi="Times New Roman" w:cs="Times New Roman"/>
          <w:sz w:val="24"/>
          <w:szCs w:val="24"/>
        </w:rPr>
        <w:t xml:space="preserve">. </w:t>
      </w:r>
    </w:p>
    <w:p w14:paraId="7A7EC9F9" w14:textId="77777777" w:rsidR="00870B34" w:rsidRPr="00944EE4" w:rsidRDefault="00870B34" w:rsidP="00870B34">
      <w:pPr>
        <w:spacing w:line="276" w:lineRule="auto"/>
        <w:jc w:val="both"/>
        <w:rPr>
          <w:rFonts w:ascii="Times New Roman" w:hAnsi="Times New Roman" w:cs="Times New Roman"/>
          <w:sz w:val="24"/>
          <w:szCs w:val="24"/>
        </w:rPr>
      </w:pPr>
    </w:p>
    <w:p w14:paraId="6D174446" w14:textId="1AB84C37" w:rsidR="00870B34" w:rsidRPr="00944EE4" w:rsidRDefault="00880F37" w:rsidP="00870B34">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En matière de nutrition, le renforcement de la prise en charge de la maln</w:t>
      </w:r>
      <w:r w:rsidR="007D2B47">
        <w:rPr>
          <w:rFonts w:ascii="Times New Roman" w:hAnsi="Times New Roman" w:cs="Times New Roman"/>
          <w:sz w:val="24"/>
          <w:szCs w:val="24"/>
        </w:rPr>
        <w:t xml:space="preserve">utrition aiguë modérée et </w:t>
      </w:r>
      <w:r w:rsidRPr="00944EE4">
        <w:rPr>
          <w:rFonts w:ascii="Times New Roman" w:hAnsi="Times New Roman" w:cs="Times New Roman"/>
          <w:sz w:val="24"/>
          <w:szCs w:val="24"/>
        </w:rPr>
        <w:t>sévère   restera une priorité ainsi que la prévention de la malnutrition chronique y compris les carences en micronutriments. Au niveau communautaire, la contri</w:t>
      </w:r>
      <w:r w:rsidR="007D2B47">
        <w:rPr>
          <w:rFonts w:ascii="Times New Roman" w:hAnsi="Times New Roman" w:cs="Times New Roman"/>
          <w:sz w:val="24"/>
          <w:szCs w:val="24"/>
        </w:rPr>
        <w:t xml:space="preserve">bution des Nations Unies vise </w:t>
      </w:r>
      <w:r w:rsidRPr="00944EE4">
        <w:rPr>
          <w:rFonts w:ascii="Times New Roman" w:hAnsi="Times New Roman" w:cs="Times New Roman"/>
          <w:sz w:val="24"/>
          <w:szCs w:val="24"/>
        </w:rPr>
        <w:t>l’augmentation de la couverture de la PCIMA à trave</w:t>
      </w:r>
      <w:r w:rsidR="007D2B47">
        <w:rPr>
          <w:rFonts w:ascii="Times New Roman" w:hAnsi="Times New Roman" w:cs="Times New Roman"/>
          <w:sz w:val="24"/>
          <w:szCs w:val="24"/>
        </w:rPr>
        <w:t>rs le renforcement du dépistage</w:t>
      </w:r>
      <w:r w:rsidRPr="00944EE4">
        <w:rPr>
          <w:rFonts w:ascii="Times New Roman" w:hAnsi="Times New Roman" w:cs="Times New Roman"/>
          <w:sz w:val="24"/>
          <w:szCs w:val="24"/>
        </w:rPr>
        <w:t xml:space="preserve"> de la malnutrition aiguë. S’agissant de la prévention de la malnutrition chronique, les efforts </w:t>
      </w:r>
      <w:r w:rsidR="007D2B47">
        <w:rPr>
          <w:rFonts w:ascii="Times New Roman" w:hAnsi="Times New Roman" w:cs="Times New Roman"/>
          <w:sz w:val="24"/>
          <w:szCs w:val="24"/>
        </w:rPr>
        <w:t xml:space="preserve">contineuront </w:t>
      </w:r>
      <w:r w:rsidR="000304E2">
        <w:rPr>
          <w:rFonts w:ascii="Times New Roman" w:hAnsi="Times New Roman" w:cs="Times New Roman"/>
          <w:sz w:val="24"/>
          <w:szCs w:val="24"/>
        </w:rPr>
        <w:t>à</w:t>
      </w:r>
      <w:r w:rsidR="007D2B47">
        <w:rPr>
          <w:rFonts w:ascii="Times New Roman" w:hAnsi="Times New Roman" w:cs="Times New Roman"/>
          <w:sz w:val="24"/>
          <w:szCs w:val="24"/>
        </w:rPr>
        <w:t xml:space="preserve"> </w:t>
      </w:r>
      <w:r w:rsidRPr="00944EE4">
        <w:rPr>
          <w:rFonts w:ascii="Times New Roman" w:hAnsi="Times New Roman" w:cs="Times New Roman"/>
          <w:sz w:val="24"/>
          <w:szCs w:val="24"/>
        </w:rPr>
        <w:t>porter sur la sensibilisation et la promotion de meilleures pratiques d’alimentation du jeune enfant et de la femme.</w:t>
      </w:r>
    </w:p>
    <w:p w14:paraId="30A32425" w14:textId="77777777" w:rsidR="00870B34" w:rsidRPr="00944EE4" w:rsidRDefault="00870B34" w:rsidP="00870B34">
      <w:pPr>
        <w:spacing w:line="276" w:lineRule="auto"/>
        <w:jc w:val="both"/>
        <w:rPr>
          <w:rFonts w:ascii="Times New Roman" w:hAnsi="Times New Roman" w:cs="Times New Roman"/>
          <w:sz w:val="24"/>
          <w:szCs w:val="24"/>
        </w:rPr>
      </w:pPr>
    </w:p>
    <w:p w14:paraId="7DAE7CE0" w14:textId="30E4D612" w:rsidR="00870B34" w:rsidRPr="00944EE4" w:rsidRDefault="00880F37" w:rsidP="00870B34">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Les interventions en matière de l’éducation </w:t>
      </w:r>
      <w:r w:rsidR="00B032BF">
        <w:rPr>
          <w:rFonts w:ascii="Times New Roman" w:hAnsi="Times New Roman" w:cs="Times New Roman"/>
          <w:sz w:val="24"/>
          <w:szCs w:val="24"/>
        </w:rPr>
        <w:t xml:space="preserve">continueront </w:t>
      </w:r>
      <w:r w:rsidR="00160746">
        <w:rPr>
          <w:rFonts w:ascii="Times New Roman" w:hAnsi="Times New Roman" w:cs="Times New Roman"/>
          <w:sz w:val="24"/>
          <w:szCs w:val="24"/>
        </w:rPr>
        <w:t>à</w:t>
      </w:r>
      <w:r w:rsidR="00B032BF">
        <w:rPr>
          <w:rFonts w:ascii="Times New Roman" w:hAnsi="Times New Roman" w:cs="Times New Roman"/>
          <w:sz w:val="24"/>
          <w:szCs w:val="24"/>
        </w:rPr>
        <w:t xml:space="preserve"> </w:t>
      </w:r>
      <w:r w:rsidRPr="00944EE4">
        <w:rPr>
          <w:rFonts w:ascii="Times New Roman" w:hAnsi="Times New Roman" w:cs="Times New Roman"/>
          <w:sz w:val="24"/>
          <w:szCs w:val="24"/>
        </w:rPr>
        <w:t>mettr</w:t>
      </w:r>
      <w:r w:rsidR="00B032BF">
        <w:rPr>
          <w:rFonts w:ascii="Times New Roman" w:hAnsi="Times New Roman" w:cs="Times New Roman"/>
          <w:sz w:val="24"/>
          <w:szCs w:val="24"/>
        </w:rPr>
        <w:t>e</w:t>
      </w:r>
      <w:r w:rsidRPr="00944EE4">
        <w:rPr>
          <w:rFonts w:ascii="Times New Roman" w:hAnsi="Times New Roman" w:cs="Times New Roman"/>
          <w:sz w:val="24"/>
          <w:szCs w:val="24"/>
        </w:rPr>
        <w:t xml:space="preserve"> l’em</w:t>
      </w:r>
      <w:r w:rsidR="000304E2">
        <w:rPr>
          <w:rFonts w:ascii="Times New Roman" w:hAnsi="Times New Roman" w:cs="Times New Roman"/>
          <w:sz w:val="24"/>
          <w:szCs w:val="24"/>
        </w:rPr>
        <w:t>phase sur l’école fondamentale (6 à 15 ans) et notamment sur la levée des barrières</w:t>
      </w:r>
      <w:r w:rsidRPr="00944EE4">
        <w:rPr>
          <w:rFonts w:ascii="Times New Roman" w:hAnsi="Times New Roman" w:cs="Times New Roman"/>
          <w:sz w:val="24"/>
          <w:szCs w:val="24"/>
        </w:rPr>
        <w:t xml:space="preserve"> liées aux disparités d’accès, le maintien à l’école et la qualité de l’enseignement afin de favoriser une meilleure transition entre le préscolaire, le </w:t>
      </w:r>
      <w:r w:rsidRPr="00944EE4">
        <w:rPr>
          <w:rFonts w:ascii="Times New Roman" w:hAnsi="Times New Roman" w:cs="Times New Roman"/>
          <w:sz w:val="24"/>
          <w:szCs w:val="24"/>
        </w:rPr>
        <w:lastRenderedPageBreak/>
        <w:t>prima</w:t>
      </w:r>
      <w:r w:rsidR="000327C5">
        <w:rPr>
          <w:rFonts w:ascii="Times New Roman" w:hAnsi="Times New Roman" w:cs="Times New Roman"/>
          <w:sz w:val="24"/>
          <w:szCs w:val="24"/>
        </w:rPr>
        <w:t>ire et le secondaire. Il s’agit</w:t>
      </w:r>
      <w:r w:rsidRPr="00944EE4">
        <w:rPr>
          <w:rFonts w:ascii="Times New Roman" w:hAnsi="Times New Roman" w:cs="Times New Roman"/>
          <w:sz w:val="24"/>
          <w:szCs w:val="24"/>
        </w:rPr>
        <w:t xml:space="preserve"> </w:t>
      </w:r>
      <w:r w:rsidR="00160746">
        <w:rPr>
          <w:rFonts w:ascii="Times New Roman" w:hAnsi="Times New Roman" w:cs="Times New Roman"/>
          <w:sz w:val="24"/>
          <w:szCs w:val="24"/>
        </w:rPr>
        <w:t>surtout</w:t>
      </w:r>
      <w:r w:rsidRPr="00944EE4">
        <w:rPr>
          <w:rFonts w:ascii="Times New Roman" w:hAnsi="Times New Roman" w:cs="Times New Roman"/>
          <w:sz w:val="24"/>
          <w:szCs w:val="24"/>
        </w:rPr>
        <w:t xml:space="preserve"> de soutenir la scolarisation des filles et des enfants exclus du système éducatif notamment dans les zones les plus défavorisées</w:t>
      </w:r>
      <w:r w:rsidR="000327C5">
        <w:rPr>
          <w:rFonts w:ascii="Times New Roman" w:hAnsi="Times New Roman" w:cs="Times New Roman"/>
          <w:sz w:val="24"/>
          <w:szCs w:val="24"/>
        </w:rPr>
        <w:t>,</w:t>
      </w:r>
      <w:r w:rsidRPr="00944EE4">
        <w:rPr>
          <w:rFonts w:ascii="Times New Roman" w:hAnsi="Times New Roman" w:cs="Times New Roman"/>
          <w:sz w:val="24"/>
          <w:szCs w:val="24"/>
        </w:rPr>
        <w:t xml:space="preserve"> particulièrement à Mopti et Sikasso et dans les régions du Nord. </w:t>
      </w:r>
      <w:r w:rsidR="00160746">
        <w:rPr>
          <w:rFonts w:ascii="Times New Roman" w:hAnsi="Times New Roman" w:cs="Times New Roman"/>
          <w:sz w:val="24"/>
          <w:szCs w:val="24"/>
        </w:rPr>
        <w:t>L</w:t>
      </w:r>
      <w:r w:rsidRPr="00944EE4">
        <w:rPr>
          <w:rFonts w:ascii="Times New Roman" w:hAnsi="Times New Roman" w:cs="Times New Roman"/>
          <w:sz w:val="24"/>
          <w:szCs w:val="24"/>
        </w:rPr>
        <w:t xml:space="preserve">es Nations Unies </w:t>
      </w:r>
      <w:r w:rsidR="00160746">
        <w:rPr>
          <w:rFonts w:ascii="Times New Roman" w:hAnsi="Times New Roman" w:cs="Times New Roman"/>
          <w:sz w:val="24"/>
          <w:szCs w:val="24"/>
        </w:rPr>
        <w:t xml:space="preserve">continueront à </w:t>
      </w:r>
      <w:r w:rsidRPr="00944EE4">
        <w:rPr>
          <w:rFonts w:ascii="Times New Roman" w:hAnsi="Times New Roman" w:cs="Times New Roman"/>
          <w:sz w:val="24"/>
          <w:szCs w:val="24"/>
        </w:rPr>
        <w:t>sout</w:t>
      </w:r>
      <w:r w:rsidR="00160746">
        <w:rPr>
          <w:rFonts w:ascii="Times New Roman" w:hAnsi="Times New Roman" w:cs="Times New Roman"/>
          <w:sz w:val="24"/>
          <w:szCs w:val="24"/>
        </w:rPr>
        <w:t>en</w:t>
      </w:r>
      <w:r w:rsidRPr="00944EE4">
        <w:rPr>
          <w:rFonts w:ascii="Times New Roman" w:hAnsi="Times New Roman" w:cs="Times New Roman"/>
          <w:sz w:val="24"/>
          <w:szCs w:val="24"/>
        </w:rPr>
        <w:t>i</w:t>
      </w:r>
      <w:r w:rsidR="00160746">
        <w:rPr>
          <w:rFonts w:ascii="Times New Roman" w:hAnsi="Times New Roman" w:cs="Times New Roman"/>
          <w:sz w:val="24"/>
          <w:szCs w:val="24"/>
        </w:rPr>
        <w:t xml:space="preserve">r </w:t>
      </w:r>
      <w:r w:rsidRPr="00944EE4">
        <w:rPr>
          <w:rFonts w:ascii="Times New Roman" w:hAnsi="Times New Roman" w:cs="Times New Roman"/>
          <w:sz w:val="24"/>
          <w:szCs w:val="24"/>
        </w:rPr>
        <w:t>les initiatives d’éducation non formelle afin de donner de nouvelles chances aux enfants exclus du système éducatif et d’augmenter leurs compétences de vie courante notamment à travers l’éducation à la vie, l’éducation à la citoyenneté, et les format</w:t>
      </w:r>
      <w:r w:rsidR="00160746">
        <w:rPr>
          <w:rFonts w:ascii="Times New Roman" w:hAnsi="Times New Roman" w:cs="Times New Roman"/>
          <w:sz w:val="24"/>
          <w:szCs w:val="24"/>
        </w:rPr>
        <w:t>ions professionnelles. L</w:t>
      </w:r>
      <w:r w:rsidRPr="00944EE4">
        <w:rPr>
          <w:rFonts w:ascii="Times New Roman" w:hAnsi="Times New Roman" w:cs="Times New Roman"/>
          <w:sz w:val="24"/>
          <w:szCs w:val="24"/>
        </w:rPr>
        <w:t>’</w:t>
      </w:r>
      <w:r w:rsidR="00160746">
        <w:rPr>
          <w:rFonts w:ascii="Times New Roman" w:hAnsi="Times New Roman" w:cs="Times New Roman"/>
          <w:sz w:val="24"/>
          <w:szCs w:val="24"/>
        </w:rPr>
        <w:t>appui à l’</w:t>
      </w:r>
      <w:r w:rsidRPr="00944EE4">
        <w:rPr>
          <w:rFonts w:ascii="Times New Roman" w:hAnsi="Times New Roman" w:cs="Times New Roman"/>
          <w:sz w:val="24"/>
          <w:szCs w:val="24"/>
        </w:rPr>
        <w:t xml:space="preserve">école </w:t>
      </w:r>
      <w:r w:rsidR="00160746">
        <w:rPr>
          <w:rFonts w:ascii="Times New Roman" w:hAnsi="Times New Roman" w:cs="Times New Roman"/>
          <w:sz w:val="24"/>
          <w:szCs w:val="24"/>
        </w:rPr>
        <w:t>comme</w:t>
      </w:r>
      <w:r w:rsidRPr="00944EE4">
        <w:rPr>
          <w:rFonts w:ascii="Times New Roman" w:hAnsi="Times New Roman" w:cs="Times New Roman"/>
          <w:sz w:val="24"/>
          <w:szCs w:val="24"/>
        </w:rPr>
        <w:t xml:space="preserve"> cadre pour la promotion du dialogue intercommunautaire, de la cohésion sociale notamment à travers l’éducation à la culture de la paix</w:t>
      </w:r>
      <w:r w:rsidR="00160746">
        <w:rPr>
          <w:rFonts w:ascii="Times New Roman" w:hAnsi="Times New Roman" w:cs="Times New Roman"/>
          <w:sz w:val="24"/>
          <w:szCs w:val="24"/>
        </w:rPr>
        <w:t xml:space="preserve"> sera poursuivi</w:t>
      </w:r>
      <w:r w:rsidRPr="00944EE4">
        <w:rPr>
          <w:rFonts w:ascii="Times New Roman" w:hAnsi="Times New Roman" w:cs="Times New Roman"/>
          <w:sz w:val="24"/>
          <w:szCs w:val="24"/>
        </w:rPr>
        <w:t xml:space="preserve">. L’appui </w:t>
      </w:r>
      <w:r w:rsidR="00160746">
        <w:rPr>
          <w:rFonts w:ascii="Times New Roman" w:hAnsi="Times New Roman" w:cs="Times New Roman"/>
          <w:sz w:val="24"/>
          <w:szCs w:val="24"/>
        </w:rPr>
        <w:t xml:space="preserve">continu </w:t>
      </w:r>
      <w:r w:rsidRPr="00944EE4">
        <w:rPr>
          <w:rFonts w:ascii="Times New Roman" w:hAnsi="Times New Roman" w:cs="Times New Roman"/>
          <w:sz w:val="24"/>
          <w:szCs w:val="24"/>
        </w:rPr>
        <w:t>aux cantines scolaires permettra de renforcer l’accès et la rétention des enfants à l’école.  </w:t>
      </w:r>
    </w:p>
    <w:p w14:paraId="29F98A9F" w14:textId="77777777" w:rsidR="0038737F" w:rsidRPr="00944EE4" w:rsidRDefault="0038737F" w:rsidP="00870B34">
      <w:pPr>
        <w:spacing w:line="276" w:lineRule="auto"/>
        <w:jc w:val="both"/>
        <w:rPr>
          <w:rFonts w:ascii="Times New Roman" w:hAnsi="Times New Roman" w:cs="Times New Roman"/>
          <w:sz w:val="24"/>
          <w:szCs w:val="24"/>
        </w:rPr>
      </w:pPr>
    </w:p>
    <w:p w14:paraId="6547C94E" w14:textId="7A7A92E0" w:rsidR="0038737F" w:rsidRPr="00944EE4" w:rsidRDefault="00160746" w:rsidP="0038737F">
      <w:pPr>
        <w:jc w:val="both"/>
        <w:rPr>
          <w:rFonts w:ascii="Times New Roman" w:hAnsi="Times New Roman" w:cs="Times New Roman"/>
          <w:sz w:val="24"/>
          <w:szCs w:val="24"/>
        </w:rPr>
      </w:pPr>
      <w:r>
        <w:rPr>
          <w:rFonts w:ascii="Times New Roman" w:hAnsi="Times New Roman" w:cs="Times New Roman"/>
          <w:bCs/>
          <w:sz w:val="24"/>
          <w:szCs w:val="24"/>
        </w:rPr>
        <w:t xml:space="preserve">Sur le </w:t>
      </w:r>
      <w:r w:rsidR="0038737F" w:rsidRPr="00160746">
        <w:rPr>
          <w:rFonts w:ascii="Times New Roman" w:hAnsi="Times New Roman" w:cs="Times New Roman"/>
          <w:bCs/>
          <w:sz w:val="24"/>
          <w:szCs w:val="24"/>
        </w:rPr>
        <w:t xml:space="preserve">plan plus stratégique, </w:t>
      </w:r>
      <w:r w:rsidR="00A97C10">
        <w:rPr>
          <w:rFonts w:ascii="Times New Roman" w:hAnsi="Times New Roman" w:cs="Times New Roman"/>
          <w:bCs/>
          <w:sz w:val="24"/>
          <w:szCs w:val="24"/>
        </w:rPr>
        <w:t>l’</w:t>
      </w:r>
      <w:r w:rsidR="0038737F" w:rsidRPr="00160746">
        <w:rPr>
          <w:rFonts w:ascii="Times New Roman" w:hAnsi="Times New Roman" w:cs="Times New Roman"/>
          <w:bCs/>
          <w:sz w:val="24"/>
          <w:szCs w:val="24"/>
        </w:rPr>
        <w:t xml:space="preserve">appui au développement des ressources techniques de gestion du secteur, en complément à </w:t>
      </w:r>
      <w:r w:rsidR="00A97C10">
        <w:rPr>
          <w:rFonts w:ascii="Times New Roman" w:hAnsi="Times New Roman" w:cs="Times New Roman"/>
          <w:bCs/>
          <w:sz w:val="24"/>
          <w:szCs w:val="24"/>
        </w:rPr>
        <w:t>l’action humanitaire de terrain</w:t>
      </w:r>
      <w:r w:rsidR="0038737F" w:rsidRPr="00160746">
        <w:rPr>
          <w:rFonts w:ascii="Times New Roman" w:hAnsi="Times New Roman" w:cs="Times New Roman"/>
          <w:bCs/>
          <w:sz w:val="24"/>
          <w:szCs w:val="24"/>
        </w:rPr>
        <w:t xml:space="preserve"> et dans le cadre de la transition de l’humanitaire vers le développement</w:t>
      </w:r>
      <w:r w:rsidR="00A97C10">
        <w:rPr>
          <w:rFonts w:ascii="Times New Roman" w:hAnsi="Times New Roman" w:cs="Times New Roman"/>
          <w:bCs/>
          <w:sz w:val="24"/>
          <w:szCs w:val="24"/>
        </w:rPr>
        <w:t>, sera soutenu.</w:t>
      </w:r>
    </w:p>
    <w:p w14:paraId="0E02A37C" w14:textId="77777777" w:rsidR="0038737F" w:rsidRPr="00944EE4" w:rsidRDefault="0038737F" w:rsidP="00870B34">
      <w:pPr>
        <w:spacing w:line="276" w:lineRule="auto"/>
        <w:jc w:val="both"/>
        <w:rPr>
          <w:rFonts w:ascii="Times New Roman" w:hAnsi="Times New Roman" w:cs="Times New Roman"/>
          <w:sz w:val="24"/>
          <w:szCs w:val="24"/>
        </w:rPr>
      </w:pPr>
    </w:p>
    <w:p w14:paraId="16467FFA" w14:textId="69B4A4C6" w:rsidR="00870B34" w:rsidRPr="00944EE4" w:rsidRDefault="00880F37" w:rsidP="00870B34">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Dans le cadre de la prise en charge des victimes/survivantes des</w:t>
      </w:r>
      <w:r w:rsidR="00A97C10">
        <w:rPr>
          <w:rFonts w:ascii="Times New Roman" w:hAnsi="Times New Roman" w:cs="Times New Roman"/>
          <w:sz w:val="24"/>
          <w:szCs w:val="24"/>
        </w:rPr>
        <w:t xml:space="preserve"> violences basées sur le genre,</w:t>
      </w:r>
      <w:r w:rsidRPr="00944EE4">
        <w:rPr>
          <w:rFonts w:ascii="Times New Roman" w:hAnsi="Times New Roman" w:cs="Times New Roman"/>
          <w:sz w:val="24"/>
          <w:szCs w:val="24"/>
        </w:rPr>
        <w:t xml:space="preserve"> les interventions </w:t>
      </w:r>
      <w:r w:rsidR="00F8454E">
        <w:rPr>
          <w:rFonts w:ascii="Times New Roman" w:hAnsi="Times New Roman" w:cs="Times New Roman"/>
          <w:sz w:val="24"/>
          <w:szCs w:val="24"/>
        </w:rPr>
        <w:t xml:space="preserve">continueront a etre </w:t>
      </w:r>
      <w:r w:rsidRPr="00944EE4">
        <w:rPr>
          <w:rFonts w:ascii="Times New Roman" w:hAnsi="Times New Roman" w:cs="Times New Roman"/>
          <w:sz w:val="24"/>
          <w:szCs w:val="24"/>
        </w:rPr>
        <w:t xml:space="preserve">axées sur la prévention et la prise en charge holistique (clinique, légale, psycho-sociale et sécuritaire). La prévention des mutilations génitales féminines </w:t>
      </w:r>
      <w:r w:rsidR="00F8454E">
        <w:rPr>
          <w:rFonts w:ascii="Times New Roman" w:hAnsi="Times New Roman" w:cs="Times New Roman"/>
          <w:sz w:val="24"/>
          <w:szCs w:val="24"/>
        </w:rPr>
        <w:t xml:space="preserve">contineura a etre </w:t>
      </w:r>
      <w:r w:rsidRPr="00944EE4">
        <w:rPr>
          <w:rFonts w:ascii="Times New Roman" w:hAnsi="Times New Roman" w:cs="Times New Roman"/>
          <w:sz w:val="24"/>
          <w:szCs w:val="24"/>
        </w:rPr>
        <w:t>renforcée par des mesures multisectorielles au niveau de la communauté, des services (accompagnement médical, psycho-social…) et dans le cadre des politiques et de la législation. Dans le cadre du « </w:t>
      </w:r>
      <w:r w:rsidRPr="00944EE4">
        <w:rPr>
          <w:rFonts w:ascii="Times New Roman" w:hAnsi="Times New Roman" w:cs="Times New Roman"/>
          <w:i/>
          <w:sz w:val="24"/>
          <w:szCs w:val="24"/>
        </w:rPr>
        <w:t>gender mainstreaming</w:t>
      </w:r>
      <w:r w:rsidRPr="00944EE4">
        <w:rPr>
          <w:rFonts w:ascii="Times New Roman" w:hAnsi="Times New Roman" w:cs="Times New Roman"/>
          <w:sz w:val="24"/>
          <w:szCs w:val="24"/>
        </w:rPr>
        <w:t> », la réduction du mariage</w:t>
      </w:r>
      <w:r w:rsidR="00F8454E">
        <w:rPr>
          <w:rFonts w:ascii="Times New Roman" w:hAnsi="Times New Roman" w:cs="Times New Roman"/>
          <w:sz w:val="24"/>
          <w:szCs w:val="24"/>
        </w:rPr>
        <w:t xml:space="preserve"> précoce sera soutenue par des </w:t>
      </w:r>
      <w:r w:rsidRPr="00944EE4">
        <w:rPr>
          <w:rFonts w:ascii="Times New Roman" w:hAnsi="Times New Roman" w:cs="Times New Roman"/>
          <w:sz w:val="24"/>
          <w:szCs w:val="24"/>
        </w:rPr>
        <w:t xml:space="preserve">stratégies multisectorielles et multipartenaires comme la scolarisation et le maintien des filles à l’école et le plaidoyer auprès des autorités administratives et religieuses. </w:t>
      </w:r>
    </w:p>
    <w:p w14:paraId="29A84894" w14:textId="77777777" w:rsidR="00870B34" w:rsidRPr="00944EE4" w:rsidRDefault="00870B34" w:rsidP="00870B34">
      <w:pPr>
        <w:spacing w:line="276" w:lineRule="auto"/>
        <w:jc w:val="both"/>
        <w:rPr>
          <w:rFonts w:ascii="Times New Roman" w:hAnsi="Times New Roman" w:cs="Times New Roman"/>
          <w:sz w:val="24"/>
          <w:szCs w:val="24"/>
        </w:rPr>
      </w:pPr>
    </w:p>
    <w:p w14:paraId="37F5166E" w14:textId="113BDF8B" w:rsidR="00870B34" w:rsidRPr="00944EE4" w:rsidRDefault="00F8454E" w:rsidP="00870B34">
      <w:pPr>
        <w:spacing w:line="276" w:lineRule="auto"/>
        <w:jc w:val="both"/>
        <w:rPr>
          <w:rFonts w:ascii="Times New Roman" w:hAnsi="Times New Roman" w:cs="Times New Roman"/>
          <w:bCs/>
          <w:sz w:val="24"/>
          <w:szCs w:val="24"/>
        </w:rPr>
      </w:pPr>
      <w:r>
        <w:rPr>
          <w:rFonts w:ascii="Times New Roman" w:hAnsi="Times New Roman" w:cs="Times New Roman"/>
          <w:sz w:val="24"/>
          <w:szCs w:val="24"/>
        </w:rPr>
        <w:t>La reformulation</w:t>
      </w:r>
      <w:r w:rsidR="00880F37" w:rsidRPr="00944EE4">
        <w:rPr>
          <w:rFonts w:ascii="Times New Roman" w:hAnsi="Times New Roman" w:cs="Times New Roman"/>
          <w:sz w:val="24"/>
          <w:szCs w:val="24"/>
        </w:rPr>
        <w:t xml:space="preserve"> du cadre </w:t>
      </w:r>
      <w:r w:rsidR="00880F37" w:rsidRPr="00944EE4">
        <w:rPr>
          <w:rFonts w:ascii="Times New Roman" w:hAnsi="Times New Roman" w:cs="Times New Roman"/>
          <w:bCs/>
          <w:sz w:val="24"/>
          <w:szCs w:val="24"/>
        </w:rPr>
        <w:t xml:space="preserve">politique et juridique de protection sociale </w:t>
      </w:r>
      <w:r>
        <w:rPr>
          <w:rFonts w:ascii="Times New Roman" w:hAnsi="Times New Roman" w:cs="Times New Roman"/>
          <w:bCs/>
          <w:sz w:val="24"/>
          <w:szCs w:val="24"/>
        </w:rPr>
        <w:t>continuera a etre</w:t>
      </w:r>
      <w:r w:rsidR="00880F37" w:rsidRPr="00944EE4">
        <w:rPr>
          <w:rFonts w:ascii="Times New Roman" w:hAnsi="Times New Roman" w:cs="Times New Roman"/>
          <w:bCs/>
          <w:sz w:val="24"/>
          <w:szCs w:val="24"/>
        </w:rPr>
        <w:t xml:space="preserve"> soutenue</w:t>
      </w:r>
      <w:r>
        <w:rPr>
          <w:rFonts w:ascii="Times New Roman" w:hAnsi="Times New Roman" w:cs="Times New Roman"/>
          <w:bCs/>
          <w:sz w:val="24"/>
          <w:szCs w:val="24"/>
        </w:rPr>
        <w:t>,</w:t>
      </w:r>
      <w:r w:rsidR="00880F37" w:rsidRPr="00944EE4">
        <w:rPr>
          <w:rFonts w:ascii="Times New Roman" w:hAnsi="Times New Roman" w:cs="Times New Roman"/>
          <w:bCs/>
          <w:sz w:val="24"/>
          <w:szCs w:val="24"/>
        </w:rPr>
        <w:t xml:space="preserve"> ainsi que l’accès aux services de protection tels que les mutuelles de santé. </w:t>
      </w:r>
    </w:p>
    <w:p w14:paraId="506A4A6F" w14:textId="77777777" w:rsidR="00870B34" w:rsidRPr="00944EE4" w:rsidRDefault="00870B34" w:rsidP="00870B34">
      <w:pPr>
        <w:pStyle w:val="Paragraphedeliste"/>
        <w:spacing w:line="276" w:lineRule="auto"/>
        <w:ind w:left="0"/>
        <w:rPr>
          <w:rFonts w:ascii="Times New Roman" w:hAnsi="Times New Roman" w:cs="Times New Roman"/>
          <w:sz w:val="24"/>
          <w:szCs w:val="24"/>
        </w:rPr>
      </w:pPr>
    </w:p>
    <w:p w14:paraId="18B66150" w14:textId="77777777" w:rsidR="00870B34" w:rsidRPr="00944EE4" w:rsidRDefault="00880F37" w:rsidP="00A701F5">
      <w:pPr>
        <w:pStyle w:val="Paragraphedeliste"/>
        <w:numPr>
          <w:ilvl w:val="1"/>
          <w:numId w:val="2"/>
        </w:numPr>
        <w:spacing w:line="276" w:lineRule="auto"/>
        <w:ind w:left="284" w:hanging="284"/>
        <w:rPr>
          <w:rFonts w:ascii="Times New Roman" w:hAnsi="Times New Roman" w:cs="Times New Roman"/>
          <w:b/>
          <w:color w:val="1F497D" w:themeColor="text2"/>
          <w:sz w:val="24"/>
          <w:szCs w:val="24"/>
          <w:u w:val="single"/>
        </w:rPr>
      </w:pPr>
      <w:r w:rsidRPr="00944EE4">
        <w:rPr>
          <w:rFonts w:ascii="Times New Roman" w:hAnsi="Times New Roman" w:cs="Times New Roman"/>
          <w:b/>
          <w:color w:val="1F497D" w:themeColor="text2"/>
          <w:sz w:val="24"/>
          <w:szCs w:val="24"/>
          <w:u w:val="single"/>
        </w:rPr>
        <w:t xml:space="preserve"> Partenariats et Stratégies</w:t>
      </w:r>
    </w:p>
    <w:p w14:paraId="27BFFD80" w14:textId="77777777" w:rsidR="00870B34" w:rsidRPr="00944EE4" w:rsidRDefault="00870B34" w:rsidP="00870B34">
      <w:pPr>
        <w:tabs>
          <w:tab w:val="num" w:pos="540"/>
        </w:tabs>
        <w:spacing w:line="276" w:lineRule="auto"/>
        <w:jc w:val="both"/>
        <w:rPr>
          <w:rFonts w:ascii="Times New Roman" w:hAnsi="Times New Roman" w:cs="Times New Roman"/>
          <w:bCs/>
          <w:sz w:val="24"/>
          <w:szCs w:val="24"/>
        </w:rPr>
      </w:pPr>
    </w:p>
    <w:p w14:paraId="0B6CDD43" w14:textId="2EEB948A" w:rsidR="00870B34" w:rsidRPr="00944EE4" w:rsidRDefault="00880F37" w:rsidP="00870B34">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Les Nations Unies </w:t>
      </w:r>
      <w:r w:rsidR="00C811C7">
        <w:rPr>
          <w:rFonts w:ascii="Times New Roman" w:hAnsi="Times New Roman" w:cs="Times New Roman"/>
          <w:sz w:val="24"/>
          <w:szCs w:val="24"/>
        </w:rPr>
        <w:t xml:space="preserve">continueront à </w:t>
      </w:r>
      <w:r w:rsidRPr="00944EE4">
        <w:rPr>
          <w:rFonts w:ascii="Times New Roman" w:hAnsi="Times New Roman" w:cs="Times New Roman"/>
          <w:sz w:val="24"/>
          <w:szCs w:val="24"/>
        </w:rPr>
        <w:t xml:space="preserve">accompagner les efforts du Gouvernement, avec la participation des autres acteurs parties prenantes (collectivités décentralisées, organes déconcentrés de l’Etat, institutions nationales, société civile, secteur privé, etc.) à la réalisation des objectifs liés à l’accès accru des populations aux services sociaux de base de qualité, avec une attention particulière sur les groupes les plus défavorisés et la réduction des inégalités régionales et de genre. </w:t>
      </w:r>
      <w:r w:rsidRPr="00944EE4">
        <w:rPr>
          <w:rFonts w:ascii="Times New Roman" w:eastAsia="Times New Roman" w:hAnsi="Times New Roman" w:cs="Times New Roman"/>
          <w:sz w:val="24"/>
          <w:szCs w:val="24"/>
        </w:rPr>
        <w:t>Les collectivités décent</w:t>
      </w:r>
      <w:r w:rsidR="00C811C7">
        <w:rPr>
          <w:rFonts w:ascii="Times New Roman" w:eastAsia="Times New Roman" w:hAnsi="Times New Roman" w:cs="Times New Roman"/>
          <w:sz w:val="24"/>
          <w:szCs w:val="24"/>
        </w:rPr>
        <w:t xml:space="preserve">ralisées </w:t>
      </w:r>
      <w:r w:rsidR="00576A31">
        <w:rPr>
          <w:rFonts w:ascii="Times New Roman" w:eastAsia="Times New Roman" w:hAnsi="Times New Roman" w:cs="Times New Roman"/>
          <w:sz w:val="24"/>
          <w:szCs w:val="24"/>
        </w:rPr>
        <w:t xml:space="preserve">continueront a etre appuyees pour </w:t>
      </w:r>
      <w:r w:rsidR="00C811C7">
        <w:rPr>
          <w:rFonts w:ascii="Times New Roman" w:eastAsia="Times New Roman" w:hAnsi="Times New Roman" w:cs="Times New Roman"/>
          <w:sz w:val="24"/>
          <w:szCs w:val="24"/>
        </w:rPr>
        <w:t>assumer</w:t>
      </w:r>
      <w:r w:rsidR="00576A31">
        <w:rPr>
          <w:rFonts w:ascii="Times New Roman" w:eastAsia="Times New Roman" w:hAnsi="Times New Roman" w:cs="Times New Roman"/>
          <w:sz w:val="24"/>
          <w:szCs w:val="24"/>
        </w:rPr>
        <w:t>,</w:t>
      </w:r>
      <w:r w:rsidR="00C811C7">
        <w:rPr>
          <w:rFonts w:ascii="Times New Roman" w:eastAsia="Times New Roman" w:hAnsi="Times New Roman" w:cs="Times New Roman"/>
          <w:sz w:val="24"/>
          <w:szCs w:val="24"/>
        </w:rPr>
        <w:t xml:space="preserve"> entre autre</w:t>
      </w:r>
      <w:r w:rsidR="00576A31">
        <w:rPr>
          <w:rFonts w:ascii="Times New Roman" w:eastAsia="Times New Roman" w:hAnsi="Times New Roman" w:cs="Times New Roman"/>
          <w:sz w:val="24"/>
          <w:szCs w:val="24"/>
        </w:rPr>
        <w:t>s,</w:t>
      </w:r>
      <w:r w:rsidRPr="00944EE4">
        <w:rPr>
          <w:rFonts w:ascii="Times New Roman" w:eastAsia="Times New Roman" w:hAnsi="Times New Roman" w:cs="Times New Roman"/>
          <w:sz w:val="24"/>
          <w:szCs w:val="24"/>
        </w:rPr>
        <w:t xml:space="preserve"> le développement des services soci</w:t>
      </w:r>
      <w:r w:rsidR="00576A31">
        <w:rPr>
          <w:rFonts w:ascii="Times New Roman" w:eastAsia="Times New Roman" w:hAnsi="Times New Roman" w:cs="Times New Roman"/>
          <w:sz w:val="24"/>
          <w:szCs w:val="24"/>
        </w:rPr>
        <w:t>aux de base dans leur localité. L</w:t>
      </w:r>
      <w:r w:rsidRPr="00944EE4">
        <w:rPr>
          <w:rFonts w:ascii="Times New Roman" w:eastAsia="Times New Roman" w:hAnsi="Times New Roman" w:cs="Times New Roman"/>
          <w:sz w:val="24"/>
          <w:szCs w:val="24"/>
        </w:rPr>
        <w:t xml:space="preserve">a société civile </w:t>
      </w:r>
      <w:r w:rsidR="00576A31">
        <w:rPr>
          <w:rFonts w:ascii="Times New Roman" w:eastAsia="Times New Roman" w:hAnsi="Times New Roman" w:cs="Times New Roman"/>
          <w:sz w:val="24"/>
          <w:szCs w:val="24"/>
        </w:rPr>
        <w:t xml:space="preserve">continuera a etre appuyee pour </w:t>
      </w:r>
      <w:r w:rsidRPr="00944EE4">
        <w:rPr>
          <w:rFonts w:ascii="Times New Roman" w:eastAsia="Times New Roman" w:hAnsi="Times New Roman" w:cs="Times New Roman"/>
          <w:sz w:val="24"/>
          <w:szCs w:val="24"/>
        </w:rPr>
        <w:t>assur la mobilisation et la par</w:t>
      </w:r>
      <w:r w:rsidR="00576A31">
        <w:rPr>
          <w:rFonts w:ascii="Times New Roman" w:eastAsia="Times New Roman" w:hAnsi="Times New Roman" w:cs="Times New Roman"/>
          <w:sz w:val="24"/>
          <w:szCs w:val="24"/>
        </w:rPr>
        <w:t>ticipation des populations pour</w:t>
      </w:r>
      <w:r w:rsidRPr="00944EE4">
        <w:rPr>
          <w:rFonts w:ascii="Times New Roman" w:eastAsia="Times New Roman" w:hAnsi="Times New Roman" w:cs="Times New Roman"/>
          <w:sz w:val="24"/>
          <w:szCs w:val="24"/>
        </w:rPr>
        <w:t xml:space="preserve"> la pris</w:t>
      </w:r>
      <w:r w:rsidR="00576A31">
        <w:rPr>
          <w:rFonts w:ascii="Times New Roman" w:eastAsia="Times New Roman" w:hAnsi="Times New Roman" w:cs="Times New Roman"/>
          <w:sz w:val="24"/>
          <w:szCs w:val="24"/>
        </w:rPr>
        <w:t>e en compte de leurs</w:t>
      </w:r>
      <w:r w:rsidRPr="00944EE4">
        <w:rPr>
          <w:rFonts w:ascii="Times New Roman" w:eastAsia="Times New Roman" w:hAnsi="Times New Roman" w:cs="Times New Roman"/>
          <w:sz w:val="24"/>
          <w:szCs w:val="24"/>
        </w:rPr>
        <w:t xml:space="preserve"> besoins et droits en matière de services sociaux de base. Les organisati</w:t>
      </w:r>
      <w:r w:rsidR="00576A31">
        <w:rPr>
          <w:rFonts w:ascii="Times New Roman" w:eastAsia="Times New Roman" w:hAnsi="Times New Roman" w:cs="Times New Roman"/>
          <w:sz w:val="24"/>
          <w:szCs w:val="24"/>
        </w:rPr>
        <w:t>ons à base communautaire et le secteur privé</w:t>
      </w:r>
      <w:r w:rsidRPr="00944EE4">
        <w:rPr>
          <w:rFonts w:ascii="Times New Roman" w:eastAsia="Times New Roman" w:hAnsi="Times New Roman" w:cs="Times New Roman"/>
          <w:sz w:val="24"/>
          <w:szCs w:val="24"/>
        </w:rPr>
        <w:t xml:space="preserve"> </w:t>
      </w:r>
      <w:r w:rsidR="00576A31">
        <w:rPr>
          <w:rFonts w:ascii="Times New Roman" w:eastAsia="Times New Roman" w:hAnsi="Times New Roman" w:cs="Times New Roman"/>
          <w:sz w:val="24"/>
          <w:szCs w:val="24"/>
        </w:rPr>
        <w:t xml:space="preserve">seront mis à contribution pour </w:t>
      </w:r>
      <w:r w:rsidRPr="00944EE4">
        <w:rPr>
          <w:rFonts w:ascii="Times New Roman" w:eastAsia="Times New Roman" w:hAnsi="Times New Roman" w:cs="Times New Roman"/>
          <w:sz w:val="24"/>
          <w:szCs w:val="24"/>
        </w:rPr>
        <w:t>l’offre des services sociaux de base</w:t>
      </w:r>
      <w:r w:rsidR="00576A31">
        <w:rPr>
          <w:rFonts w:ascii="Times New Roman" w:eastAsia="Times New Roman" w:hAnsi="Times New Roman" w:cs="Times New Roman"/>
          <w:sz w:val="24"/>
          <w:szCs w:val="24"/>
        </w:rPr>
        <w:t xml:space="preserve"> dans les domaines de la santé,</w:t>
      </w:r>
      <w:r w:rsidRPr="00944EE4">
        <w:rPr>
          <w:rFonts w:ascii="Times New Roman" w:eastAsia="Times New Roman" w:hAnsi="Times New Roman" w:cs="Times New Roman"/>
          <w:sz w:val="24"/>
          <w:szCs w:val="24"/>
        </w:rPr>
        <w:t xml:space="preserve"> de l’éducation et de l’eau </w:t>
      </w:r>
      <w:r w:rsidR="00576A31">
        <w:rPr>
          <w:rFonts w:ascii="Times New Roman" w:eastAsia="Times New Roman" w:hAnsi="Times New Roman" w:cs="Times New Roman"/>
          <w:sz w:val="24"/>
          <w:szCs w:val="24"/>
        </w:rPr>
        <w:t xml:space="preserve">et </w:t>
      </w:r>
      <w:r w:rsidRPr="00944EE4">
        <w:rPr>
          <w:rFonts w:ascii="Times New Roman" w:eastAsia="Times New Roman" w:hAnsi="Times New Roman" w:cs="Times New Roman"/>
          <w:sz w:val="24"/>
          <w:szCs w:val="24"/>
        </w:rPr>
        <w:t>assainissement, et aussi en faveur de la mobilisation des ressources.</w:t>
      </w:r>
      <w:r w:rsidRPr="00944EE4">
        <w:rPr>
          <w:rFonts w:ascii="Times New Roman" w:hAnsi="Times New Roman" w:cs="Times New Roman"/>
          <w:sz w:val="24"/>
          <w:szCs w:val="24"/>
        </w:rPr>
        <w:t xml:space="preserve"> L</w:t>
      </w:r>
      <w:r w:rsidR="00576A31">
        <w:rPr>
          <w:rFonts w:ascii="Times New Roman" w:hAnsi="Times New Roman" w:cs="Times New Roman"/>
          <w:sz w:val="24"/>
          <w:szCs w:val="24"/>
        </w:rPr>
        <w:t>’appui aux</w:t>
      </w:r>
      <w:r w:rsidRPr="00944EE4">
        <w:rPr>
          <w:rFonts w:ascii="Times New Roman" w:hAnsi="Times New Roman" w:cs="Times New Roman"/>
          <w:sz w:val="24"/>
          <w:szCs w:val="24"/>
        </w:rPr>
        <w:t xml:space="preserve"> communautés </w:t>
      </w:r>
      <w:r w:rsidR="00576A31">
        <w:rPr>
          <w:rFonts w:ascii="Times New Roman" w:hAnsi="Times New Roman" w:cs="Times New Roman"/>
          <w:sz w:val="24"/>
          <w:szCs w:val="24"/>
        </w:rPr>
        <w:t xml:space="preserve">continuera a etre </w:t>
      </w:r>
      <w:r w:rsidRPr="00944EE4">
        <w:rPr>
          <w:rFonts w:ascii="Times New Roman" w:hAnsi="Times New Roman" w:cs="Times New Roman"/>
          <w:sz w:val="24"/>
          <w:szCs w:val="24"/>
        </w:rPr>
        <w:t xml:space="preserve">renforcé pour faire valoir leurs droits et exiger plus de redevabilité/accountability des obligataires de services. </w:t>
      </w:r>
    </w:p>
    <w:p w14:paraId="6A710AEF" w14:textId="77777777" w:rsidR="00870B34" w:rsidRPr="00944EE4" w:rsidRDefault="00870B34" w:rsidP="00870B34">
      <w:pPr>
        <w:spacing w:line="276" w:lineRule="auto"/>
        <w:jc w:val="both"/>
        <w:rPr>
          <w:rFonts w:ascii="Times New Roman" w:hAnsi="Times New Roman" w:cs="Times New Roman"/>
          <w:sz w:val="24"/>
          <w:szCs w:val="24"/>
        </w:rPr>
      </w:pPr>
    </w:p>
    <w:p w14:paraId="0DBD6A7D" w14:textId="3E751606" w:rsidR="00870B34" w:rsidRPr="00944EE4" w:rsidRDefault="00880F37" w:rsidP="00870B34">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lastRenderedPageBreak/>
        <w:t>Les principales stratégies utilisées seront le plaidoyer, l’appui conseil, le renforcement des capacités institutionnelles, techniques et opérat</w:t>
      </w:r>
      <w:r w:rsidR="00576A31">
        <w:rPr>
          <w:rFonts w:ascii="Times New Roman" w:hAnsi="Times New Roman" w:cs="Times New Roman"/>
          <w:sz w:val="24"/>
          <w:szCs w:val="24"/>
        </w:rPr>
        <w:t>ionnelles, la capitalisation et</w:t>
      </w:r>
      <w:r w:rsidRPr="00944EE4">
        <w:rPr>
          <w:rFonts w:ascii="Times New Roman" w:hAnsi="Times New Roman" w:cs="Times New Roman"/>
          <w:sz w:val="24"/>
          <w:szCs w:val="24"/>
        </w:rPr>
        <w:t xml:space="preserve"> la diffusion des connaissances.</w:t>
      </w:r>
    </w:p>
    <w:p w14:paraId="0105D947" w14:textId="25852DFB" w:rsidR="00576A31" w:rsidRDefault="00576A31" w:rsidP="00870B34">
      <w:pPr>
        <w:rPr>
          <w:rFonts w:ascii="Times New Roman" w:hAnsi="Times New Roman" w:cs="Times New Roman"/>
          <w:b/>
          <w:color w:val="17365D" w:themeColor="text2" w:themeShade="BF"/>
          <w:sz w:val="24"/>
          <w:szCs w:val="24"/>
          <w:u w:val="single"/>
        </w:rPr>
      </w:pPr>
    </w:p>
    <w:p w14:paraId="4BBA8FE9" w14:textId="77777777" w:rsidR="00BB067A" w:rsidRDefault="00BB067A" w:rsidP="00870B34">
      <w:pPr>
        <w:rPr>
          <w:rFonts w:ascii="Times New Roman" w:hAnsi="Times New Roman" w:cs="Times New Roman"/>
          <w:b/>
          <w:color w:val="17365D" w:themeColor="text2" w:themeShade="BF"/>
          <w:sz w:val="24"/>
          <w:szCs w:val="24"/>
          <w:u w:val="single"/>
        </w:rPr>
      </w:pPr>
    </w:p>
    <w:p w14:paraId="0ADB46D9" w14:textId="77777777" w:rsidR="00576A31" w:rsidRPr="00576A31" w:rsidRDefault="00576A31" w:rsidP="00870B34">
      <w:pPr>
        <w:rPr>
          <w:rFonts w:ascii="Times New Roman" w:hAnsi="Times New Roman" w:cs="Times New Roman"/>
          <w:b/>
          <w:color w:val="17365D" w:themeColor="text2" w:themeShade="BF"/>
          <w:sz w:val="24"/>
          <w:szCs w:val="24"/>
          <w:u w:val="single"/>
        </w:rPr>
      </w:pPr>
    </w:p>
    <w:tbl>
      <w:tblPr>
        <w:tblpPr w:leftFromText="141" w:rightFromText="141" w:vertAnchor="text" w:horzAnchor="margin" w:tblpY="117"/>
        <w:tblW w:w="9856" w:type="dxa"/>
        <w:tblBorders>
          <w:top w:val="single" w:sz="24" w:space="0" w:color="1F497D" w:themeColor="text2"/>
          <w:bottom w:val="single" w:sz="24" w:space="0" w:color="1F497D" w:themeColor="text2"/>
        </w:tblBorders>
        <w:shd w:val="clear" w:color="auto" w:fill="DBE5F1" w:themeFill="accent1" w:themeFillTint="33"/>
        <w:tblLook w:val="04A0" w:firstRow="1" w:lastRow="0" w:firstColumn="1" w:lastColumn="0" w:noHBand="0" w:noVBand="1"/>
      </w:tblPr>
      <w:tblGrid>
        <w:gridCol w:w="9856"/>
      </w:tblGrid>
      <w:tr w:rsidR="00870B34" w:rsidRPr="00944EE4" w14:paraId="2A072059" w14:textId="77777777" w:rsidTr="003A1F13">
        <w:trPr>
          <w:trHeight w:val="607"/>
        </w:trPr>
        <w:tc>
          <w:tcPr>
            <w:tcW w:w="9856" w:type="dxa"/>
            <w:shd w:val="clear" w:color="auto" w:fill="DBE5F1" w:themeFill="accent1" w:themeFillTint="33"/>
          </w:tcPr>
          <w:p w14:paraId="47873B9F" w14:textId="77777777" w:rsidR="00870B34" w:rsidRPr="00944EE4" w:rsidRDefault="00880F37" w:rsidP="003A1F13">
            <w:pPr>
              <w:pStyle w:val="Titre2"/>
              <w:rPr>
                <w:rFonts w:ascii="Times New Roman" w:hAnsi="Times New Roman" w:cs="Times New Roman"/>
                <w:sz w:val="24"/>
                <w:szCs w:val="24"/>
              </w:rPr>
            </w:pPr>
            <w:bookmarkStart w:id="12" w:name="_Toc509228611"/>
            <w:r w:rsidRPr="00944EE4">
              <w:rPr>
                <w:rFonts w:ascii="Times New Roman" w:hAnsi="Times New Roman" w:cs="Times New Roman"/>
                <w:sz w:val="24"/>
                <w:szCs w:val="24"/>
              </w:rPr>
              <w:t>Axe 4 : Croissance inclusive et Développement Durable</w:t>
            </w:r>
            <w:bookmarkEnd w:id="12"/>
          </w:p>
        </w:tc>
      </w:tr>
    </w:tbl>
    <w:p w14:paraId="6E70CB26" w14:textId="77777777" w:rsidR="00870B34" w:rsidRPr="00944EE4" w:rsidRDefault="00870B34" w:rsidP="00870B34">
      <w:pPr>
        <w:spacing w:line="276" w:lineRule="auto"/>
        <w:rPr>
          <w:rFonts w:ascii="Times New Roman" w:hAnsi="Times New Roman" w:cs="Times New Roman"/>
          <w:sz w:val="24"/>
          <w:szCs w:val="24"/>
        </w:rPr>
      </w:pPr>
    </w:p>
    <w:p w14:paraId="782E6251" w14:textId="1FBEE5A4" w:rsidR="003E15E3" w:rsidRPr="00944EE4" w:rsidRDefault="00880F37" w:rsidP="003E15E3">
      <w:pPr>
        <w:pStyle w:val="Commentaire"/>
        <w:spacing w:line="276" w:lineRule="auto"/>
        <w:jc w:val="both"/>
        <w:rPr>
          <w:sz w:val="24"/>
          <w:szCs w:val="24"/>
        </w:rPr>
      </w:pPr>
      <w:r w:rsidRPr="00944EE4">
        <w:rPr>
          <w:sz w:val="24"/>
          <w:szCs w:val="24"/>
        </w:rPr>
        <w:t xml:space="preserve">Le dernier axe de l’UNDAF+ 2015-2019 </w:t>
      </w:r>
      <w:r w:rsidRPr="00944EE4">
        <w:rPr>
          <w:b/>
          <w:i/>
          <w:color w:val="1F497D" w:themeColor="text2"/>
          <w:sz w:val="24"/>
          <w:szCs w:val="24"/>
          <w:u w:val="single"/>
        </w:rPr>
        <w:t>Croissance inclusive et développement durable</w:t>
      </w:r>
      <w:r w:rsidRPr="00944EE4">
        <w:rPr>
          <w:color w:val="1F497D" w:themeColor="text2"/>
          <w:sz w:val="24"/>
          <w:szCs w:val="24"/>
        </w:rPr>
        <w:t xml:space="preserve"> </w:t>
      </w:r>
      <w:r w:rsidRPr="00944EE4">
        <w:rPr>
          <w:sz w:val="24"/>
          <w:szCs w:val="24"/>
        </w:rPr>
        <w:t>est aligné sur le 5</w:t>
      </w:r>
      <w:r w:rsidRPr="00944EE4">
        <w:rPr>
          <w:sz w:val="24"/>
          <w:szCs w:val="24"/>
          <w:vertAlign w:val="superscript"/>
        </w:rPr>
        <w:t>ème</w:t>
      </w:r>
      <w:r w:rsidRPr="00944EE4">
        <w:rPr>
          <w:sz w:val="24"/>
          <w:szCs w:val="24"/>
        </w:rPr>
        <w:t xml:space="preserve"> axe du Programme d’Actions du Gouvernement consacré à la </w:t>
      </w:r>
      <w:r w:rsidRPr="00944EE4">
        <w:rPr>
          <w:b/>
          <w:i/>
          <w:sz w:val="24"/>
          <w:szCs w:val="24"/>
        </w:rPr>
        <w:t>construction d’une économie émergente</w:t>
      </w:r>
      <w:r w:rsidRPr="00944EE4">
        <w:rPr>
          <w:sz w:val="24"/>
          <w:szCs w:val="24"/>
        </w:rPr>
        <w:t xml:space="preserve">.   </w:t>
      </w:r>
      <w:r w:rsidRPr="00944EE4">
        <w:rPr>
          <w:bCs/>
          <w:sz w:val="24"/>
          <w:szCs w:val="24"/>
        </w:rPr>
        <w:t>Il est</w:t>
      </w:r>
      <w:r w:rsidRPr="00944EE4">
        <w:rPr>
          <w:b/>
          <w:bCs/>
          <w:i/>
          <w:sz w:val="24"/>
          <w:szCs w:val="24"/>
        </w:rPr>
        <w:t xml:space="preserve"> </w:t>
      </w:r>
      <w:r w:rsidRPr="00944EE4">
        <w:rPr>
          <w:noProof/>
          <w:sz w:val="24"/>
          <w:szCs w:val="24"/>
        </w:rPr>
        <w:t xml:space="preserve">aussi en adequation avec </w:t>
      </w:r>
      <w:r w:rsidR="00576A31">
        <w:rPr>
          <w:noProof/>
          <w:sz w:val="24"/>
          <w:szCs w:val="24"/>
        </w:rPr>
        <w:t xml:space="preserve">l’Axe Strategique 1 du CREDD et </w:t>
      </w:r>
      <w:r w:rsidRPr="00944EE4">
        <w:rPr>
          <w:noProof/>
          <w:sz w:val="24"/>
          <w:szCs w:val="24"/>
        </w:rPr>
        <w:t>le pilier 3 de la Stratégie intégrée des Nations Unies pour le Sahel visant à renforcer la résilience à long terme des communautés et des systèmes.</w:t>
      </w:r>
    </w:p>
    <w:p w14:paraId="267EC4D3" w14:textId="77777777" w:rsidR="00870B34" w:rsidRPr="00944EE4" w:rsidRDefault="00870B34" w:rsidP="00870B34">
      <w:pPr>
        <w:spacing w:line="276" w:lineRule="auto"/>
        <w:rPr>
          <w:rFonts w:ascii="Times New Roman" w:hAnsi="Times New Roman" w:cs="Times New Roman"/>
          <w:sz w:val="24"/>
          <w:szCs w:val="24"/>
        </w:rPr>
      </w:pPr>
    </w:p>
    <w:p w14:paraId="59000463" w14:textId="1EBD6769" w:rsidR="00576A31" w:rsidRPr="000E05B6" w:rsidRDefault="00576A31" w:rsidP="00576A31">
      <w:pPr>
        <w:spacing w:line="276" w:lineRule="auto"/>
        <w:jc w:val="both"/>
        <w:rPr>
          <w:rFonts w:ascii="Times New Roman" w:hAnsi="Times New Roman" w:cs="Times New Roman"/>
          <w:b/>
          <w:color w:val="365F91" w:themeColor="accent1" w:themeShade="BF"/>
          <w:sz w:val="24"/>
          <w:szCs w:val="24"/>
          <w:u w:val="single"/>
        </w:rPr>
      </w:pPr>
      <w:r>
        <w:rPr>
          <w:rFonts w:ascii="Times New Roman" w:hAnsi="Times New Roman" w:cs="Times New Roman"/>
          <w:b/>
          <w:color w:val="365F91" w:themeColor="accent1" w:themeShade="BF"/>
          <w:sz w:val="24"/>
          <w:szCs w:val="24"/>
          <w:u w:val="single"/>
        </w:rPr>
        <w:t xml:space="preserve">4.1 </w:t>
      </w:r>
      <w:r w:rsidRPr="000E05B6">
        <w:rPr>
          <w:rFonts w:ascii="Times New Roman" w:hAnsi="Times New Roman" w:cs="Times New Roman"/>
          <w:b/>
          <w:color w:val="365F91" w:themeColor="accent1" w:themeShade="BF"/>
          <w:sz w:val="24"/>
          <w:szCs w:val="24"/>
          <w:u w:val="single"/>
        </w:rPr>
        <w:t>Analyse de situation a mi-parcours de l’UNDAF+</w:t>
      </w:r>
    </w:p>
    <w:p w14:paraId="1BE0E2A9" w14:textId="77777777" w:rsidR="00870B34" w:rsidRPr="00D84FCD" w:rsidRDefault="00870B34" w:rsidP="00870B34">
      <w:pPr>
        <w:tabs>
          <w:tab w:val="left" w:pos="7938"/>
        </w:tabs>
        <w:jc w:val="both"/>
        <w:rPr>
          <w:rStyle w:val="hps"/>
          <w:rFonts w:ascii="Times New Roman" w:hAnsi="Times New Roman" w:cs="Times New Roman"/>
          <w:color w:val="222222"/>
          <w:sz w:val="24"/>
          <w:szCs w:val="24"/>
        </w:rPr>
      </w:pPr>
    </w:p>
    <w:p w14:paraId="535698DF" w14:textId="77777777" w:rsidR="00FE44E0" w:rsidRDefault="00F147F2" w:rsidP="00FE44E0">
      <w:pPr>
        <w:tabs>
          <w:tab w:val="left" w:pos="7938"/>
        </w:tabs>
        <w:spacing w:line="276" w:lineRule="auto"/>
        <w:jc w:val="both"/>
        <w:rPr>
          <w:rFonts w:ascii="Times New Roman" w:hAnsi="Times New Roman" w:cs="Times New Roman"/>
          <w:iCs/>
          <w:color w:val="222222"/>
          <w:sz w:val="24"/>
          <w:szCs w:val="24"/>
        </w:rPr>
      </w:pPr>
      <w:r w:rsidRPr="00D84FCD">
        <w:rPr>
          <w:rFonts w:ascii="Times New Roman" w:eastAsia="Malgun Gothic" w:hAnsi="Times New Roman" w:cs="Times New Roman"/>
          <w:sz w:val="24"/>
          <w:szCs w:val="24"/>
        </w:rPr>
        <w:t>Le taux d’insécurité alimentaire pour l’ensemble du pays s’est lé</w:t>
      </w:r>
      <w:r w:rsidR="000B391B" w:rsidRPr="00D84FCD">
        <w:rPr>
          <w:rFonts w:ascii="Times New Roman" w:eastAsia="Malgun Gothic" w:hAnsi="Times New Roman" w:cs="Times New Roman"/>
          <w:sz w:val="24"/>
          <w:szCs w:val="24"/>
        </w:rPr>
        <w:t>gèrement amélioré, passant de 24</w:t>
      </w:r>
      <w:r w:rsidRPr="00D84FCD">
        <w:rPr>
          <w:rFonts w:ascii="Times New Roman" w:eastAsia="Malgun Gothic" w:hAnsi="Times New Roman" w:cs="Times New Roman"/>
          <w:sz w:val="24"/>
          <w:szCs w:val="24"/>
        </w:rPr>
        <w:t xml:space="preserve">% </w:t>
      </w:r>
      <w:r w:rsidR="000B391B" w:rsidRPr="00D84FCD">
        <w:rPr>
          <w:rFonts w:ascii="Times New Roman" w:eastAsia="Malgun Gothic" w:hAnsi="Times New Roman" w:cs="Times New Roman"/>
          <w:sz w:val="24"/>
          <w:szCs w:val="24"/>
        </w:rPr>
        <w:t xml:space="preserve">au debut du programme </w:t>
      </w:r>
      <w:r w:rsidRPr="00D84FCD">
        <w:rPr>
          <w:rFonts w:ascii="Times New Roman" w:eastAsia="Malgun Gothic" w:hAnsi="Times New Roman" w:cs="Times New Roman"/>
          <w:sz w:val="24"/>
          <w:szCs w:val="24"/>
        </w:rPr>
        <w:t>à 20% en 2017. La cible à l’horizon 2019 est de 14%.</w:t>
      </w:r>
      <w:r w:rsidR="00D84FCD">
        <w:rPr>
          <w:rFonts w:ascii="Times New Roman" w:eastAsia="Malgun Gothic" w:hAnsi="Times New Roman" w:cs="Times New Roman"/>
          <w:sz w:val="24"/>
          <w:szCs w:val="24"/>
        </w:rPr>
        <w:t xml:space="preserve"> </w:t>
      </w:r>
      <w:r w:rsidR="00D84FCD" w:rsidRPr="00944EE4">
        <w:rPr>
          <w:rFonts w:ascii="Times New Roman" w:hAnsi="Times New Roman" w:cs="Times New Roman"/>
          <w:iCs/>
          <w:color w:val="222222"/>
          <w:sz w:val="24"/>
          <w:szCs w:val="24"/>
        </w:rPr>
        <w:t>L'insécurité alimentaire chronique touche environ un quart des ménages ruraux, principalement dans le nord et la bande sahélienne</w:t>
      </w:r>
      <w:r w:rsidR="00D84FCD" w:rsidRPr="00944EE4">
        <w:rPr>
          <w:rFonts w:ascii="Times New Roman" w:hAnsi="Times New Roman" w:cs="Times New Roman"/>
          <w:b/>
          <w:bCs/>
          <w:iCs/>
          <w:color w:val="222222"/>
          <w:sz w:val="24"/>
          <w:szCs w:val="24"/>
          <w:vertAlign w:val="superscript"/>
        </w:rPr>
        <w:t xml:space="preserve"> [1]</w:t>
      </w:r>
      <w:r w:rsidR="00D84FCD" w:rsidRPr="00944EE4">
        <w:rPr>
          <w:rFonts w:ascii="Times New Roman" w:hAnsi="Times New Roman" w:cs="Times New Roman"/>
          <w:iCs/>
          <w:color w:val="222222"/>
          <w:sz w:val="24"/>
          <w:szCs w:val="24"/>
        </w:rPr>
        <w:t xml:space="preserve">. Elle est principalement liée à la pauvreté </w:t>
      </w:r>
      <w:r w:rsidR="00D84FCD" w:rsidRPr="00944EE4">
        <w:rPr>
          <w:rFonts w:ascii="Times New Roman" w:hAnsi="Times New Roman" w:cs="Times New Roman"/>
          <w:bCs/>
          <w:iCs/>
          <w:color w:val="222222"/>
          <w:sz w:val="24"/>
          <w:szCs w:val="24"/>
        </w:rPr>
        <w:t xml:space="preserve">mais aussi aux déplacements forcés, </w:t>
      </w:r>
      <w:r w:rsidR="00D84FCD" w:rsidRPr="00944EE4">
        <w:rPr>
          <w:rFonts w:ascii="Times New Roman" w:hAnsi="Times New Roman" w:cs="Times New Roman"/>
          <w:iCs/>
          <w:color w:val="222222"/>
          <w:sz w:val="24"/>
          <w:szCs w:val="24"/>
        </w:rPr>
        <w:t>à la vulnérabilité des moyens de subsistance et à l’érosion de la résilience des ménages face aux aléas climatiques et aux nombreux chocs r</w:t>
      </w:r>
      <w:r w:rsidR="00D84FCD">
        <w:rPr>
          <w:rFonts w:ascii="Times New Roman" w:hAnsi="Times New Roman" w:cs="Times New Roman"/>
          <w:iCs/>
          <w:color w:val="222222"/>
          <w:sz w:val="24"/>
          <w:szCs w:val="24"/>
        </w:rPr>
        <w:t>écurrents subis au cours de ces</w:t>
      </w:r>
      <w:r w:rsidR="00D84FCD" w:rsidRPr="00944EE4">
        <w:rPr>
          <w:rFonts w:ascii="Times New Roman" w:hAnsi="Times New Roman" w:cs="Times New Roman"/>
          <w:iCs/>
          <w:color w:val="222222"/>
          <w:sz w:val="24"/>
          <w:szCs w:val="24"/>
        </w:rPr>
        <w:t xml:space="preserve"> dernières années</w:t>
      </w:r>
      <w:r w:rsidR="00D84FCD" w:rsidRPr="00944EE4">
        <w:rPr>
          <w:rFonts w:ascii="Times New Roman" w:hAnsi="Times New Roman" w:cs="Times New Roman"/>
          <w:b/>
          <w:bCs/>
          <w:iCs/>
          <w:color w:val="222222"/>
          <w:sz w:val="24"/>
          <w:szCs w:val="24"/>
          <w:vertAlign w:val="superscript"/>
        </w:rPr>
        <w:t>[2]</w:t>
      </w:r>
      <w:r w:rsidR="00D84FCD" w:rsidRPr="00944EE4">
        <w:rPr>
          <w:rFonts w:ascii="Times New Roman" w:hAnsi="Times New Roman" w:cs="Times New Roman"/>
          <w:iCs/>
          <w:color w:val="222222"/>
          <w:sz w:val="24"/>
          <w:szCs w:val="24"/>
        </w:rPr>
        <w:t>.</w:t>
      </w:r>
      <w:r w:rsidR="00D84FCD">
        <w:rPr>
          <w:rFonts w:ascii="Times New Roman" w:hAnsi="Times New Roman" w:cs="Times New Roman"/>
          <w:iCs/>
          <w:color w:val="222222"/>
          <w:sz w:val="24"/>
          <w:szCs w:val="24"/>
        </w:rPr>
        <w:t xml:space="preserve"> </w:t>
      </w:r>
      <w:r w:rsidR="00D84FCD" w:rsidRPr="00944EE4">
        <w:rPr>
          <w:rFonts w:ascii="Times New Roman" w:hAnsi="Times New Roman" w:cs="Times New Roman"/>
          <w:iCs/>
          <w:color w:val="222222"/>
          <w:sz w:val="24"/>
          <w:szCs w:val="24"/>
        </w:rPr>
        <w:t>La reconstruction et le renforcement des moyens de subsistance et la résilience des ménages vulnérables s’avèrent indispensables pour stabiliser/améliorer les niv</w:t>
      </w:r>
      <w:r w:rsidR="00FE44E0">
        <w:rPr>
          <w:rFonts w:ascii="Times New Roman" w:hAnsi="Times New Roman" w:cs="Times New Roman"/>
          <w:iCs/>
          <w:color w:val="222222"/>
          <w:sz w:val="24"/>
          <w:szCs w:val="24"/>
        </w:rPr>
        <w:t xml:space="preserve">eaux d'insécurité alimentaire. </w:t>
      </w:r>
    </w:p>
    <w:p w14:paraId="7FE3A242" w14:textId="77777777" w:rsidR="00FE44E0" w:rsidRDefault="00FE44E0" w:rsidP="00FE44E0">
      <w:pPr>
        <w:tabs>
          <w:tab w:val="left" w:pos="7938"/>
        </w:tabs>
        <w:spacing w:line="276" w:lineRule="auto"/>
        <w:jc w:val="both"/>
        <w:rPr>
          <w:rFonts w:ascii="Times New Roman" w:hAnsi="Times New Roman" w:cs="Times New Roman"/>
          <w:iCs/>
          <w:color w:val="222222"/>
          <w:sz w:val="24"/>
          <w:szCs w:val="24"/>
        </w:rPr>
      </w:pPr>
    </w:p>
    <w:p w14:paraId="684F18EE" w14:textId="30CE92D4" w:rsidR="00F147F2" w:rsidRPr="00FE44E0" w:rsidRDefault="00F147F2" w:rsidP="00FE44E0">
      <w:pPr>
        <w:tabs>
          <w:tab w:val="left" w:pos="7938"/>
        </w:tabs>
        <w:spacing w:line="276" w:lineRule="auto"/>
        <w:jc w:val="both"/>
        <w:rPr>
          <w:rFonts w:ascii="Times New Roman" w:hAnsi="Times New Roman" w:cs="Times New Roman"/>
          <w:iCs/>
          <w:color w:val="222222"/>
          <w:sz w:val="24"/>
          <w:szCs w:val="24"/>
        </w:rPr>
      </w:pPr>
      <w:r w:rsidRPr="00D84FCD">
        <w:rPr>
          <w:rFonts w:ascii="Times New Roman" w:eastAsia="Malgun Gothic" w:hAnsi="Times New Roman" w:cs="Times New Roman"/>
          <w:sz w:val="24"/>
          <w:szCs w:val="24"/>
        </w:rPr>
        <w:t xml:space="preserve">Le taux de pauvreté </w:t>
      </w:r>
      <w:r w:rsidR="005040F7" w:rsidRPr="00D84FCD">
        <w:rPr>
          <w:rFonts w:ascii="Times New Roman" w:eastAsia="Malgun Gothic" w:hAnsi="Times New Roman" w:cs="Times New Roman"/>
          <w:sz w:val="24"/>
          <w:szCs w:val="24"/>
        </w:rPr>
        <w:t xml:space="preserve">n’a pas beaucoup évolué </w:t>
      </w:r>
      <w:r w:rsidRPr="00D84FCD">
        <w:rPr>
          <w:rFonts w:ascii="Times New Roman" w:eastAsia="Malgun Gothic" w:hAnsi="Times New Roman" w:cs="Times New Roman"/>
          <w:sz w:val="24"/>
          <w:szCs w:val="24"/>
        </w:rPr>
        <w:t>(46,8% en 2017</w:t>
      </w:r>
      <w:r w:rsidR="005040F7" w:rsidRPr="00D84FCD">
        <w:rPr>
          <w:rFonts w:ascii="Times New Roman" w:eastAsia="Malgun Gothic" w:hAnsi="Times New Roman" w:cs="Times New Roman"/>
          <w:sz w:val="24"/>
          <w:szCs w:val="24"/>
        </w:rPr>
        <w:t xml:space="preserve"> contre 47,10% au debut du programme</w:t>
      </w:r>
      <w:r w:rsidRPr="00D84FCD">
        <w:rPr>
          <w:rFonts w:ascii="Times New Roman" w:eastAsia="Malgun Gothic" w:hAnsi="Times New Roman" w:cs="Times New Roman"/>
          <w:sz w:val="24"/>
          <w:szCs w:val="24"/>
        </w:rPr>
        <w:t xml:space="preserve">) pour une cible de 21% en 2019. </w:t>
      </w:r>
    </w:p>
    <w:p w14:paraId="3D7C4EBC" w14:textId="1AE55CB0" w:rsidR="00F147F2" w:rsidRPr="00D84FCD" w:rsidRDefault="00F147F2" w:rsidP="00F147F2">
      <w:pPr>
        <w:spacing w:after="120"/>
        <w:jc w:val="both"/>
        <w:rPr>
          <w:rFonts w:ascii="Times New Roman" w:hAnsi="Times New Roman" w:cs="Times New Roman"/>
          <w:sz w:val="24"/>
          <w:szCs w:val="24"/>
        </w:rPr>
      </w:pPr>
      <w:r w:rsidRPr="00D84FCD">
        <w:rPr>
          <w:rFonts w:ascii="Times New Roman" w:hAnsi="Times New Roman" w:cs="Times New Roman"/>
          <w:sz w:val="24"/>
          <w:szCs w:val="24"/>
        </w:rPr>
        <w:t xml:space="preserve">Sur le plan économique, le </w:t>
      </w:r>
      <w:hyperlink r:id="rId13" w:history="1">
        <w:r w:rsidRPr="00D84FCD">
          <w:rPr>
            <w:rStyle w:val="Lienhypertexte"/>
            <w:rFonts w:ascii="Times New Roman" w:hAnsi="Times New Roman" w:cs="Times New Roman"/>
            <w:sz w:val="24"/>
            <w:szCs w:val="24"/>
          </w:rPr>
          <w:t>rapport</w:t>
        </w:r>
        <w:r w:rsidR="00102785" w:rsidRPr="00D84FCD">
          <w:rPr>
            <w:rStyle w:val="Lienhypertexte"/>
            <w:rFonts w:ascii="Times New Roman" w:hAnsi="Times New Roman" w:cs="Times New Roman"/>
            <w:sz w:val="24"/>
            <w:szCs w:val="24"/>
          </w:rPr>
          <w:t xml:space="preserve"> « Doing</w:t>
        </w:r>
        <w:r w:rsidRPr="00D84FCD">
          <w:rPr>
            <w:rStyle w:val="Lienhypertexte"/>
            <w:rFonts w:ascii="Times New Roman" w:hAnsi="Times New Roman" w:cs="Times New Roman"/>
            <w:sz w:val="24"/>
            <w:szCs w:val="24"/>
          </w:rPr>
          <w:t xml:space="preserve"> Business 2017</w:t>
        </w:r>
        <w:r w:rsidR="00102785">
          <w:rPr>
            <w:rStyle w:val="Lienhypertexte"/>
            <w:rFonts w:ascii="Times New Roman" w:hAnsi="Times New Roman" w:cs="Times New Roman"/>
            <w:sz w:val="24"/>
            <w:szCs w:val="24"/>
          </w:rPr>
          <w:t xml:space="preserve"> </w:t>
        </w:r>
        <w:r w:rsidRPr="00D84FCD">
          <w:rPr>
            <w:rStyle w:val="Lienhypertexte"/>
            <w:rFonts w:ascii="Times New Roman" w:hAnsi="Times New Roman" w:cs="Times New Roman"/>
            <w:sz w:val="24"/>
            <w:szCs w:val="24"/>
          </w:rPr>
          <w:t>»</w:t>
        </w:r>
      </w:hyperlink>
      <w:r w:rsidRPr="00D84FCD">
        <w:rPr>
          <w:rFonts w:ascii="Times New Roman" w:hAnsi="Times New Roman" w:cs="Times New Roman"/>
          <w:sz w:val="24"/>
          <w:szCs w:val="24"/>
        </w:rPr>
        <w:t xml:space="preserve"> de la Ba</w:t>
      </w:r>
      <w:r w:rsidR="0016412B" w:rsidRPr="00D84FCD">
        <w:rPr>
          <w:rFonts w:ascii="Times New Roman" w:hAnsi="Times New Roman" w:cs="Times New Roman"/>
          <w:sz w:val="24"/>
          <w:szCs w:val="24"/>
        </w:rPr>
        <w:t>nque Mondiale constate un recul. L</w:t>
      </w:r>
      <w:r w:rsidRPr="00D84FCD">
        <w:rPr>
          <w:rFonts w:ascii="Times New Roman" w:hAnsi="Times New Roman" w:cs="Times New Roman"/>
          <w:sz w:val="24"/>
          <w:szCs w:val="24"/>
        </w:rPr>
        <w:t>e Mali se retrouve à la 143</w:t>
      </w:r>
      <w:r w:rsidRPr="00D84FCD">
        <w:rPr>
          <w:rFonts w:ascii="Times New Roman" w:hAnsi="Times New Roman" w:cs="Times New Roman"/>
          <w:sz w:val="24"/>
          <w:szCs w:val="24"/>
          <w:vertAlign w:val="superscript"/>
        </w:rPr>
        <w:t>ème</w:t>
      </w:r>
      <w:r w:rsidRPr="00D84FCD">
        <w:rPr>
          <w:rFonts w:ascii="Times New Roman" w:hAnsi="Times New Roman" w:cs="Times New Roman"/>
          <w:sz w:val="24"/>
          <w:szCs w:val="24"/>
        </w:rPr>
        <w:t xml:space="preserve"> position en 2017 (avec un score de 52.92) et n’occupe que la 22</w:t>
      </w:r>
      <w:r w:rsidRPr="00D84FCD">
        <w:rPr>
          <w:rFonts w:ascii="Times New Roman" w:hAnsi="Times New Roman" w:cs="Times New Roman"/>
          <w:sz w:val="24"/>
          <w:szCs w:val="24"/>
          <w:vertAlign w:val="superscript"/>
        </w:rPr>
        <w:t>ème</w:t>
      </w:r>
      <w:r w:rsidRPr="00D84FCD">
        <w:rPr>
          <w:rFonts w:ascii="Times New Roman" w:hAnsi="Times New Roman" w:cs="Times New Roman"/>
          <w:sz w:val="24"/>
          <w:szCs w:val="24"/>
        </w:rPr>
        <w:t xml:space="preserve"> place en Afrique. </w:t>
      </w:r>
    </w:p>
    <w:p w14:paraId="1EC57066" w14:textId="7B1B706A" w:rsidR="0016412B" w:rsidRPr="00D84FCD" w:rsidRDefault="00D84FCD" w:rsidP="00F147F2">
      <w:pPr>
        <w:spacing w:after="120"/>
        <w:jc w:val="both"/>
        <w:rPr>
          <w:rFonts w:ascii="Times New Roman" w:hAnsi="Times New Roman" w:cs="Times New Roman"/>
          <w:sz w:val="24"/>
          <w:szCs w:val="24"/>
        </w:rPr>
      </w:pPr>
      <w:r>
        <w:rPr>
          <w:rFonts w:ascii="Times New Roman" w:hAnsi="Times New Roman" w:cs="Times New Roman"/>
          <w:sz w:val="24"/>
          <w:szCs w:val="24"/>
        </w:rPr>
        <w:t>L</w:t>
      </w:r>
      <w:r w:rsidR="0016412B" w:rsidRPr="00D84FCD">
        <w:rPr>
          <w:rFonts w:ascii="Times New Roman" w:hAnsi="Times New Roman" w:cs="Times New Roman"/>
          <w:sz w:val="24"/>
          <w:szCs w:val="24"/>
        </w:rPr>
        <w:t>’économie a connu une evolution en dents de scie, avec une croissance du PIB passant de 2,7% en 2011 à 0,0% en 2012, pour remonter a 6% en 2015 avant de redescendre a 5,8% en 2016 et 5,3% en 2017 (pour un objectif de 5,6% inscrit dans le CSCRP 2012-2017). La succession de mauvaises campagnes agricoles a contribué à fragiliser la reprise economique. L’augmentation de la désertification au Nord comme au sud, sont parmi les facteurs qui entravent l’atteinte d’une croissance durable</w:t>
      </w:r>
      <w:r w:rsidR="00795599">
        <w:rPr>
          <w:rFonts w:ascii="Times New Roman" w:hAnsi="Times New Roman" w:cs="Times New Roman"/>
          <w:sz w:val="24"/>
          <w:szCs w:val="24"/>
        </w:rPr>
        <w:t>.</w:t>
      </w:r>
    </w:p>
    <w:p w14:paraId="2D0DECED" w14:textId="236C45B2" w:rsidR="00870B34" w:rsidRPr="00944EE4" w:rsidRDefault="00880F37" w:rsidP="00870B34">
      <w:pPr>
        <w:tabs>
          <w:tab w:val="center" w:pos="9072"/>
        </w:tabs>
        <w:spacing w:line="276" w:lineRule="auto"/>
        <w:jc w:val="both"/>
        <w:rPr>
          <w:rFonts w:ascii="Times New Roman" w:eastAsia="Times New Roman" w:hAnsi="Times New Roman" w:cs="Times New Roman"/>
          <w:sz w:val="24"/>
          <w:szCs w:val="24"/>
        </w:rPr>
      </w:pPr>
      <w:r w:rsidRPr="00944EE4">
        <w:rPr>
          <w:rFonts w:ascii="Times New Roman" w:eastAsia="Times New Roman" w:hAnsi="Times New Roman" w:cs="Times New Roman"/>
          <w:sz w:val="24"/>
          <w:szCs w:val="24"/>
        </w:rPr>
        <w:t xml:space="preserve">S’agissant des questions environnementales, le conflit a accentué les difficultés existantes, notamment sur les problématiques d’accès à l’eau potable et à l’assainissement particulièrement dans le nord, ainsi qu’une augmentation de la dépendance au charbon de bois avec les personnes déplacées accélérant ainsi la déforestation. </w:t>
      </w:r>
    </w:p>
    <w:p w14:paraId="0A4705DC" w14:textId="77777777" w:rsidR="00870B34" w:rsidRPr="00944EE4" w:rsidRDefault="00870B34" w:rsidP="00870B34">
      <w:pPr>
        <w:tabs>
          <w:tab w:val="center" w:pos="9072"/>
        </w:tabs>
        <w:spacing w:line="276" w:lineRule="auto"/>
        <w:jc w:val="both"/>
        <w:rPr>
          <w:rFonts w:ascii="Times New Roman" w:eastAsia="Times New Roman" w:hAnsi="Times New Roman" w:cs="Times New Roman"/>
          <w:sz w:val="24"/>
          <w:szCs w:val="24"/>
        </w:rPr>
      </w:pPr>
    </w:p>
    <w:p w14:paraId="61B88084" w14:textId="143A0BB9" w:rsidR="00870B34" w:rsidRPr="00944EE4" w:rsidRDefault="00880F37" w:rsidP="00870B34">
      <w:pPr>
        <w:tabs>
          <w:tab w:val="center" w:pos="9072"/>
        </w:tabs>
        <w:spacing w:line="276" w:lineRule="auto"/>
        <w:jc w:val="both"/>
        <w:rPr>
          <w:rFonts w:ascii="Times New Roman" w:hAnsi="Times New Roman" w:cs="Times New Roman"/>
          <w:sz w:val="24"/>
          <w:szCs w:val="24"/>
        </w:rPr>
      </w:pPr>
      <w:r w:rsidRPr="00944EE4">
        <w:rPr>
          <w:rFonts w:ascii="Times New Roman" w:eastAsia="Times New Roman" w:hAnsi="Times New Roman" w:cs="Times New Roman"/>
          <w:sz w:val="24"/>
          <w:szCs w:val="24"/>
        </w:rPr>
        <w:t>On note tous les ans une avancée du désert caractérisée pa</w:t>
      </w:r>
      <w:r w:rsidR="00795599">
        <w:rPr>
          <w:rFonts w:ascii="Times New Roman" w:eastAsia="Times New Roman" w:hAnsi="Times New Roman" w:cs="Times New Roman"/>
          <w:sz w:val="24"/>
          <w:szCs w:val="24"/>
        </w:rPr>
        <w:t>r une baisse des isohyètes nord</w:t>
      </w:r>
      <w:r w:rsidRPr="00944EE4">
        <w:rPr>
          <w:rFonts w:ascii="Times New Roman" w:eastAsia="Times New Roman" w:hAnsi="Times New Roman" w:cs="Times New Roman"/>
          <w:sz w:val="24"/>
          <w:szCs w:val="24"/>
        </w:rPr>
        <w:t xml:space="preserve"> vers le sud de 200 km durant les 20 dernières années (source : seconde communication nationale), une fréquence </w:t>
      </w:r>
      <w:r w:rsidRPr="00944EE4">
        <w:rPr>
          <w:rFonts w:ascii="Times New Roman" w:eastAsia="Times New Roman" w:hAnsi="Times New Roman" w:cs="Times New Roman"/>
          <w:sz w:val="24"/>
          <w:szCs w:val="24"/>
        </w:rPr>
        <w:lastRenderedPageBreak/>
        <w:t xml:space="preserve">plus élevée des catastrophes naturelles comme les inondations, les sècheresses, les invasions acridiennes, les épidémies et épizooties ainsi qu’une diminution d’environ 20% de la pluviométrie moyenne annuelle comparée à celle de la décennie précédente du fait des changements climatiques. </w:t>
      </w:r>
    </w:p>
    <w:p w14:paraId="7E273F9C" w14:textId="77777777" w:rsidR="00870B34" w:rsidRPr="00944EE4" w:rsidRDefault="00870B34" w:rsidP="00870B34">
      <w:pPr>
        <w:tabs>
          <w:tab w:val="center" w:pos="9072"/>
        </w:tabs>
        <w:spacing w:line="276" w:lineRule="auto"/>
        <w:jc w:val="both"/>
        <w:rPr>
          <w:rFonts w:ascii="Times New Roman" w:eastAsia="Times New Roman" w:hAnsi="Times New Roman" w:cs="Times New Roman"/>
          <w:sz w:val="24"/>
          <w:szCs w:val="24"/>
        </w:rPr>
      </w:pPr>
    </w:p>
    <w:p w14:paraId="42C046F2" w14:textId="6FA02743" w:rsidR="00870B34" w:rsidRPr="00944EE4" w:rsidRDefault="00880F37" w:rsidP="00870B34">
      <w:pPr>
        <w:tabs>
          <w:tab w:val="center" w:pos="9072"/>
        </w:tabs>
        <w:spacing w:line="276" w:lineRule="auto"/>
        <w:jc w:val="both"/>
        <w:rPr>
          <w:rFonts w:ascii="Times New Roman" w:hAnsi="Times New Roman" w:cs="Times New Roman"/>
          <w:sz w:val="24"/>
          <w:szCs w:val="24"/>
        </w:rPr>
      </w:pPr>
      <w:r w:rsidRPr="00944EE4">
        <w:rPr>
          <w:rFonts w:ascii="Times New Roman" w:eastAsia="Times New Roman" w:hAnsi="Times New Roman" w:cs="Times New Roman"/>
          <w:sz w:val="24"/>
          <w:szCs w:val="24"/>
        </w:rPr>
        <w:t xml:space="preserve">Cette situation a un impact négatif sur les ressources naturelles à partir desquelles au moins 70% des populations les plus vulnérables, particulièrement les jeunes, les femmes et les plus pauvres tirent leurs moyens de subsistance. </w:t>
      </w:r>
    </w:p>
    <w:p w14:paraId="765D56B3" w14:textId="669805E4" w:rsidR="00870B34" w:rsidRPr="00944EE4" w:rsidRDefault="00880F37" w:rsidP="00870B34">
      <w:pPr>
        <w:tabs>
          <w:tab w:val="center" w:pos="9072"/>
        </w:tabs>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Des initiatives régionales pour renforcer la résilience dans la région du Sahel sont en place notamment l'initiative de partenariat multipartite pour la résilience dans le Sahel AGIR (</w:t>
      </w:r>
      <w:r w:rsidRPr="00944EE4">
        <w:rPr>
          <w:rFonts w:ascii="Times New Roman" w:hAnsi="Times New Roman" w:cs="Times New Roman"/>
          <w:i/>
          <w:iCs/>
          <w:sz w:val="24"/>
          <w:szCs w:val="24"/>
        </w:rPr>
        <w:t>Alliance Globale pour l'initiative Résilience Sahel</w:t>
      </w:r>
      <w:r w:rsidRPr="00944EE4">
        <w:rPr>
          <w:rFonts w:ascii="Times New Roman" w:hAnsi="Times New Roman" w:cs="Times New Roman"/>
          <w:sz w:val="24"/>
          <w:szCs w:val="24"/>
        </w:rPr>
        <w:t>), conçu comme un effort concerté pour adresser la crise alimentaire et nutritionnelle au Sahel. L’</w:t>
      </w:r>
      <w:r w:rsidR="00795599">
        <w:rPr>
          <w:rFonts w:ascii="Times New Roman" w:hAnsi="Times New Roman" w:cs="Times New Roman"/>
          <w:sz w:val="24"/>
          <w:szCs w:val="24"/>
        </w:rPr>
        <w:t>objectif principal est</w:t>
      </w:r>
      <w:r w:rsidRPr="00944EE4">
        <w:rPr>
          <w:rFonts w:ascii="Times New Roman" w:hAnsi="Times New Roman" w:cs="Times New Roman"/>
          <w:sz w:val="24"/>
          <w:szCs w:val="24"/>
        </w:rPr>
        <w:t xml:space="preserve"> de minimiser l'ampleur des crises similaires, à l'avenir par une approche globale combinant la protection sociale, les secteurs sociaux, nutrition, sécurité alimentaire, marchés, pastoralisme et gestion des ressources naturelles, changement de climat/RRC. </w:t>
      </w:r>
    </w:p>
    <w:p w14:paraId="75D4028A" w14:textId="77777777" w:rsidR="00870B34" w:rsidRPr="00944EE4" w:rsidRDefault="00870B34" w:rsidP="00870B34">
      <w:pPr>
        <w:tabs>
          <w:tab w:val="center" w:pos="9072"/>
        </w:tabs>
        <w:spacing w:line="276" w:lineRule="auto"/>
        <w:jc w:val="both"/>
        <w:rPr>
          <w:rFonts w:ascii="Times New Roman" w:hAnsi="Times New Roman" w:cs="Times New Roman"/>
          <w:sz w:val="24"/>
          <w:szCs w:val="24"/>
        </w:rPr>
      </w:pPr>
    </w:p>
    <w:p w14:paraId="61726F87" w14:textId="37D9CD1B" w:rsidR="00870B34" w:rsidRPr="00944EE4" w:rsidRDefault="00795599" w:rsidP="00870B34">
      <w:pPr>
        <w:tabs>
          <w:tab w:val="center" w:pos="9072"/>
        </w:tabs>
        <w:spacing w:line="276" w:lineRule="auto"/>
        <w:jc w:val="both"/>
        <w:rPr>
          <w:rFonts w:ascii="Times New Roman" w:hAnsi="Times New Roman" w:cs="Times New Roman"/>
          <w:sz w:val="24"/>
          <w:szCs w:val="24"/>
        </w:rPr>
      </w:pPr>
      <w:r>
        <w:rPr>
          <w:rFonts w:ascii="Times New Roman" w:hAnsi="Times New Roman" w:cs="Times New Roman"/>
          <w:sz w:val="24"/>
          <w:szCs w:val="24"/>
        </w:rPr>
        <w:t>Enfin</w:t>
      </w:r>
      <w:r w:rsidR="00880F37" w:rsidRPr="00944EE4">
        <w:rPr>
          <w:rFonts w:ascii="Times New Roman" w:hAnsi="Times New Roman" w:cs="Times New Roman"/>
          <w:sz w:val="24"/>
          <w:szCs w:val="24"/>
        </w:rPr>
        <w:t xml:space="preserve"> la gestion des déchets reste problématique. Les infrastructures de stockage manquent, il n’existe pas de dépôts de transit autorisés sauf dans quelques grandes villes et la majorité des ordures pré-collectées finissent dans des dépôts anarchiques ou dans les cours d’eau, créant de nombreux risques sur la santé des populations et renforçant la pollution locale.</w:t>
      </w:r>
    </w:p>
    <w:p w14:paraId="7E2D7092" w14:textId="77777777" w:rsidR="00870B34" w:rsidRPr="00944EE4" w:rsidRDefault="00870B34" w:rsidP="00870B34">
      <w:pPr>
        <w:spacing w:line="276" w:lineRule="auto"/>
        <w:rPr>
          <w:rFonts w:ascii="Times New Roman" w:hAnsi="Times New Roman" w:cs="Times New Roman"/>
          <w:sz w:val="24"/>
          <w:szCs w:val="24"/>
        </w:rPr>
      </w:pPr>
    </w:p>
    <w:p w14:paraId="4E871664" w14:textId="77777777" w:rsidR="00870B34" w:rsidRPr="00944EE4" w:rsidRDefault="00880F37" w:rsidP="00A701F5">
      <w:pPr>
        <w:pStyle w:val="Paragraphedeliste"/>
        <w:numPr>
          <w:ilvl w:val="0"/>
          <w:numId w:val="4"/>
        </w:numPr>
        <w:spacing w:line="276" w:lineRule="auto"/>
        <w:rPr>
          <w:rFonts w:ascii="Times New Roman" w:hAnsi="Times New Roman" w:cs="Times New Roman"/>
          <w:b/>
          <w:color w:val="365F91" w:themeColor="accent1" w:themeShade="BF"/>
          <w:sz w:val="24"/>
          <w:szCs w:val="24"/>
          <w:u w:val="single"/>
        </w:rPr>
      </w:pPr>
      <w:r w:rsidRPr="00944EE4">
        <w:rPr>
          <w:rFonts w:ascii="Times New Roman" w:hAnsi="Times New Roman" w:cs="Times New Roman"/>
          <w:b/>
          <w:color w:val="365F91" w:themeColor="accent1" w:themeShade="BF"/>
          <w:sz w:val="24"/>
          <w:szCs w:val="24"/>
          <w:u w:val="single"/>
        </w:rPr>
        <w:t>Contribution des Nations Unies</w:t>
      </w:r>
    </w:p>
    <w:p w14:paraId="2F72CFBF" w14:textId="77777777" w:rsidR="00870B34" w:rsidRPr="00944EE4" w:rsidRDefault="00870B34" w:rsidP="00870B34">
      <w:pPr>
        <w:autoSpaceDE w:val="0"/>
        <w:autoSpaceDN w:val="0"/>
        <w:adjustRightInd w:val="0"/>
        <w:spacing w:line="276" w:lineRule="auto"/>
        <w:jc w:val="both"/>
        <w:rPr>
          <w:rFonts w:ascii="Times New Roman" w:eastAsia="Times New Roman" w:hAnsi="Times New Roman" w:cs="Times New Roman"/>
          <w:sz w:val="24"/>
          <w:szCs w:val="24"/>
        </w:rPr>
      </w:pPr>
    </w:p>
    <w:p w14:paraId="6298AEEC" w14:textId="287CF8C1" w:rsidR="00870B34" w:rsidRPr="00944EE4" w:rsidRDefault="00880F37" w:rsidP="00870B34">
      <w:pPr>
        <w:spacing w:line="276" w:lineRule="auto"/>
        <w:jc w:val="both"/>
        <w:rPr>
          <w:rFonts w:ascii="Times New Roman" w:hAnsi="Times New Roman" w:cs="Times New Roman"/>
          <w:b/>
          <w:i/>
          <w:sz w:val="24"/>
          <w:szCs w:val="24"/>
        </w:rPr>
      </w:pPr>
      <w:r w:rsidRPr="00944EE4">
        <w:rPr>
          <w:rFonts w:ascii="Times New Roman" w:hAnsi="Times New Roman" w:cs="Times New Roman"/>
          <w:sz w:val="24"/>
          <w:szCs w:val="24"/>
        </w:rPr>
        <w:t xml:space="preserve">Dans ce contexte, </w:t>
      </w:r>
      <w:r w:rsidRPr="00944EE4">
        <w:rPr>
          <w:rFonts w:ascii="Times New Roman" w:hAnsi="Times New Roman" w:cs="Times New Roman"/>
          <w:bCs/>
          <w:sz w:val="24"/>
          <w:szCs w:val="24"/>
        </w:rPr>
        <w:t xml:space="preserve">les Nations Unies </w:t>
      </w:r>
      <w:r w:rsidR="00FE44E0">
        <w:rPr>
          <w:rFonts w:ascii="Times New Roman" w:hAnsi="Times New Roman" w:cs="Times New Roman"/>
          <w:bCs/>
          <w:sz w:val="24"/>
          <w:szCs w:val="24"/>
        </w:rPr>
        <w:t xml:space="preserve">continueront à </w:t>
      </w:r>
      <w:r w:rsidRPr="00944EE4">
        <w:rPr>
          <w:rFonts w:ascii="Times New Roman" w:hAnsi="Times New Roman" w:cs="Times New Roman"/>
          <w:bCs/>
          <w:sz w:val="24"/>
          <w:szCs w:val="24"/>
        </w:rPr>
        <w:t xml:space="preserve">contribuer aux efforts des </w:t>
      </w:r>
      <w:r w:rsidRPr="00944EE4">
        <w:rPr>
          <w:rFonts w:ascii="Times New Roman" w:hAnsi="Times New Roman" w:cs="Times New Roman"/>
          <w:sz w:val="24"/>
          <w:szCs w:val="24"/>
        </w:rPr>
        <w:t>autorités maliennes dans leur quête d’une croissance économique inclusive à travers l’effet suivant : « </w:t>
      </w:r>
      <w:r w:rsidRPr="00944EE4">
        <w:rPr>
          <w:rFonts w:ascii="Times New Roman" w:hAnsi="Times New Roman" w:cs="Times New Roman"/>
          <w:b/>
          <w:sz w:val="24"/>
          <w:szCs w:val="24"/>
        </w:rPr>
        <w:t>Les populations défavorisées particulièrement les femmes et les jeunes, bénéficient de capacités et d’opportunités productives accrues, dans un environnement sain et durable, favorable à la réduction de la pauvreté ».</w:t>
      </w:r>
    </w:p>
    <w:p w14:paraId="167B7A17" w14:textId="77777777" w:rsidR="00870B34" w:rsidRPr="00944EE4" w:rsidRDefault="00870B34" w:rsidP="00870B34">
      <w:pPr>
        <w:spacing w:line="276" w:lineRule="auto"/>
        <w:jc w:val="both"/>
        <w:rPr>
          <w:rFonts w:ascii="Times New Roman" w:hAnsi="Times New Roman" w:cs="Times New Roman"/>
          <w:sz w:val="24"/>
          <w:szCs w:val="24"/>
        </w:rPr>
      </w:pPr>
    </w:p>
    <w:p w14:paraId="1A077C7B" w14:textId="6FEDE6F4" w:rsidR="00870B34" w:rsidRPr="00944EE4" w:rsidRDefault="00880F37" w:rsidP="00870B34">
      <w:pPr>
        <w:spacing w:line="276" w:lineRule="auto"/>
        <w:jc w:val="both"/>
        <w:rPr>
          <w:rFonts w:ascii="Times New Roman" w:hAnsi="Times New Roman" w:cs="Times New Roman"/>
          <w:sz w:val="24"/>
          <w:szCs w:val="24"/>
        </w:rPr>
      </w:pPr>
      <w:r w:rsidRPr="00944EE4">
        <w:rPr>
          <w:rFonts w:ascii="Times New Roman" w:hAnsi="Times New Roman" w:cs="Times New Roman"/>
          <w:bCs/>
          <w:sz w:val="24"/>
          <w:szCs w:val="24"/>
        </w:rPr>
        <w:t>Les initiatives que les Nations Unies sout</w:t>
      </w:r>
      <w:r w:rsidR="00FE44E0">
        <w:rPr>
          <w:rFonts w:ascii="Times New Roman" w:hAnsi="Times New Roman" w:cs="Times New Roman"/>
          <w:bCs/>
          <w:sz w:val="24"/>
          <w:szCs w:val="24"/>
        </w:rPr>
        <w:t xml:space="preserve">iennent </w:t>
      </w:r>
      <w:r w:rsidRPr="00944EE4">
        <w:rPr>
          <w:rFonts w:ascii="Times New Roman" w:hAnsi="Times New Roman" w:cs="Times New Roman"/>
          <w:bCs/>
          <w:sz w:val="24"/>
          <w:szCs w:val="24"/>
        </w:rPr>
        <w:t xml:space="preserve">à travers cet effet </w:t>
      </w:r>
      <w:r w:rsidR="00FE44E0">
        <w:rPr>
          <w:rFonts w:ascii="Times New Roman" w:hAnsi="Times New Roman" w:cs="Times New Roman"/>
          <w:bCs/>
          <w:sz w:val="24"/>
          <w:szCs w:val="24"/>
        </w:rPr>
        <w:t xml:space="preserve">visent à </w:t>
      </w:r>
      <w:r w:rsidRPr="00944EE4">
        <w:rPr>
          <w:rFonts w:ascii="Times New Roman" w:hAnsi="Times New Roman" w:cs="Times New Roman"/>
          <w:bCs/>
          <w:sz w:val="24"/>
          <w:szCs w:val="24"/>
        </w:rPr>
        <w:t xml:space="preserve">: </w:t>
      </w:r>
      <w:r w:rsidRPr="00944EE4">
        <w:rPr>
          <w:rFonts w:ascii="Times New Roman" w:hAnsi="Times New Roman" w:cs="Times New Roman"/>
          <w:sz w:val="24"/>
          <w:szCs w:val="24"/>
        </w:rPr>
        <w:t>(i) mettre à disposition des populations défavorisées des moyens et activités génératrices de revenus pour améliorer la sécurité alimen</w:t>
      </w:r>
      <w:r w:rsidR="00E1066F">
        <w:rPr>
          <w:rFonts w:ascii="Times New Roman" w:hAnsi="Times New Roman" w:cs="Times New Roman"/>
          <w:sz w:val="24"/>
          <w:szCs w:val="24"/>
        </w:rPr>
        <w:t xml:space="preserve">taire et nutritionnelle. (ii) </w:t>
      </w:r>
      <w:r w:rsidRPr="00944EE4">
        <w:rPr>
          <w:rFonts w:ascii="Times New Roman" w:hAnsi="Times New Roman" w:cs="Times New Roman"/>
          <w:sz w:val="24"/>
          <w:szCs w:val="24"/>
        </w:rPr>
        <w:t>améliorer les capacités productives et commerciales de l’Etat et du secteur privé  pour impulser une croiss</w:t>
      </w:r>
      <w:r w:rsidR="00E1066F">
        <w:rPr>
          <w:rFonts w:ascii="Times New Roman" w:hAnsi="Times New Roman" w:cs="Times New Roman"/>
          <w:sz w:val="24"/>
          <w:szCs w:val="24"/>
        </w:rPr>
        <w:t xml:space="preserve">ance verte et inclusive (iii) </w:t>
      </w:r>
      <w:r w:rsidRPr="00944EE4">
        <w:rPr>
          <w:rFonts w:ascii="Times New Roman" w:hAnsi="Times New Roman" w:cs="Times New Roman"/>
          <w:sz w:val="24"/>
          <w:szCs w:val="24"/>
        </w:rPr>
        <w:t>accroitre la création d’emplois et d’entreprenariat féminin pour une meilleure insertion socio-économique d</w:t>
      </w:r>
      <w:r w:rsidR="00E1066F">
        <w:rPr>
          <w:rFonts w:ascii="Times New Roman" w:hAnsi="Times New Roman" w:cs="Times New Roman"/>
          <w:sz w:val="24"/>
          <w:szCs w:val="24"/>
        </w:rPr>
        <w:t xml:space="preserve">es jeunes et des femmes (iv) </w:t>
      </w:r>
      <w:r w:rsidRPr="00944EE4">
        <w:rPr>
          <w:rFonts w:ascii="Times New Roman" w:hAnsi="Times New Roman" w:cs="Times New Roman"/>
          <w:sz w:val="24"/>
          <w:szCs w:val="24"/>
        </w:rPr>
        <w:t>permettre aux populations de bénéficier d’un meilleur  accès durable à l’eau et u</w:t>
      </w:r>
      <w:r w:rsidR="00E1066F">
        <w:rPr>
          <w:rFonts w:ascii="Times New Roman" w:hAnsi="Times New Roman" w:cs="Times New Roman"/>
          <w:sz w:val="24"/>
          <w:szCs w:val="24"/>
        </w:rPr>
        <w:t xml:space="preserve">n assainissement adéquat (v) </w:t>
      </w:r>
      <w:r w:rsidRPr="00944EE4">
        <w:rPr>
          <w:rFonts w:ascii="Times New Roman" w:hAnsi="Times New Roman" w:cs="Times New Roman"/>
          <w:sz w:val="24"/>
          <w:szCs w:val="24"/>
        </w:rPr>
        <w:t>renforcer la résilience des populations face aux changements climatiques grâce à des mesures d’adaptation aux changements climatiques et de réduction des</w:t>
      </w:r>
      <w:r w:rsidR="00E1066F">
        <w:rPr>
          <w:rFonts w:ascii="Times New Roman" w:hAnsi="Times New Roman" w:cs="Times New Roman"/>
          <w:sz w:val="24"/>
          <w:szCs w:val="24"/>
        </w:rPr>
        <w:t xml:space="preserve"> risques de catastrophes (vi) </w:t>
      </w:r>
      <w:r w:rsidRPr="00944EE4">
        <w:rPr>
          <w:rFonts w:ascii="Times New Roman" w:hAnsi="Times New Roman" w:cs="Times New Roman"/>
          <w:sz w:val="24"/>
          <w:szCs w:val="24"/>
        </w:rPr>
        <w:t>appuyer les populations et les autres acteurs affectés par la désertification et la déforestation afin de bénéficier de capacités accrues pour gérer de manière durable les ressources naturelles et protéger la biodiversité et les écosystèmes.</w:t>
      </w:r>
    </w:p>
    <w:p w14:paraId="2C3F3009" w14:textId="77777777" w:rsidR="00870B34" w:rsidRPr="00944EE4" w:rsidRDefault="00870B34" w:rsidP="00870B34">
      <w:pPr>
        <w:spacing w:line="276" w:lineRule="auto"/>
        <w:jc w:val="both"/>
        <w:rPr>
          <w:rFonts w:ascii="Times New Roman" w:hAnsi="Times New Roman" w:cs="Times New Roman"/>
          <w:sz w:val="24"/>
          <w:szCs w:val="24"/>
        </w:rPr>
      </w:pPr>
    </w:p>
    <w:p w14:paraId="0F228956" w14:textId="5FD438A5" w:rsidR="00870B34" w:rsidRPr="00944EE4" w:rsidRDefault="00880F37" w:rsidP="00870B34">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La contr</w:t>
      </w:r>
      <w:r w:rsidR="00E1066F">
        <w:rPr>
          <w:rFonts w:ascii="Times New Roman" w:hAnsi="Times New Roman" w:cs="Times New Roman"/>
          <w:sz w:val="24"/>
          <w:szCs w:val="24"/>
        </w:rPr>
        <w:t>ibution des Nations Unies vise</w:t>
      </w:r>
      <w:r w:rsidRPr="00944EE4">
        <w:rPr>
          <w:rFonts w:ascii="Times New Roman" w:hAnsi="Times New Roman" w:cs="Times New Roman"/>
          <w:sz w:val="24"/>
          <w:szCs w:val="24"/>
        </w:rPr>
        <w:t xml:space="preserve"> à appuyer le Gouvernement, les populations et les autres acteurs publics et privés, en vue d’améliorer la sécurité alimentaire et nutritionnelle et de favoriser l’insertion socio-économique des jeunes et des femmes. </w:t>
      </w:r>
    </w:p>
    <w:p w14:paraId="3AFB6755" w14:textId="77777777" w:rsidR="00870B34" w:rsidRPr="00944EE4" w:rsidRDefault="00870B34" w:rsidP="00870B34">
      <w:pPr>
        <w:spacing w:line="276" w:lineRule="auto"/>
        <w:jc w:val="both"/>
        <w:rPr>
          <w:rFonts w:ascii="Times New Roman" w:hAnsi="Times New Roman" w:cs="Times New Roman"/>
          <w:sz w:val="24"/>
          <w:szCs w:val="24"/>
        </w:rPr>
      </w:pPr>
    </w:p>
    <w:p w14:paraId="59B7FF78" w14:textId="4B36EBE9" w:rsidR="00870B34" w:rsidRPr="00944EE4" w:rsidRDefault="00E1066F" w:rsidP="00870B34">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Il s’agit</w:t>
      </w:r>
      <w:r w:rsidR="00880F37" w:rsidRPr="00944EE4">
        <w:rPr>
          <w:rFonts w:ascii="Times New Roman" w:hAnsi="Times New Roman" w:cs="Times New Roman"/>
          <w:sz w:val="24"/>
          <w:szCs w:val="24"/>
        </w:rPr>
        <w:t xml:space="preserve"> notamment de renforcer les compétences nationales en gestion du développement, d’améliorer les capacités</w:t>
      </w:r>
      <w:r>
        <w:rPr>
          <w:rFonts w:ascii="Times New Roman" w:hAnsi="Times New Roman" w:cs="Times New Roman"/>
          <w:sz w:val="24"/>
          <w:szCs w:val="24"/>
        </w:rPr>
        <w:t xml:space="preserve"> productives par la création de</w:t>
      </w:r>
      <w:r w:rsidR="00880F37" w:rsidRPr="00944EE4">
        <w:rPr>
          <w:rFonts w:ascii="Times New Roman" w:hAnsi="Times New Roman" w:cs="Times New Roman"/>
          <w:sz w:val="24"/>
          <w:szCs w:val="24"/>
        </w:rPr>
        <w:t xml:space="preserve"> valeur ajoutée dans l'ensemble de l'économie, de renforcer le dialogue public-privé en vue d’impulser les réformes favorables à l’environnement des affaires et de promouvoir les activités génératrices de revenus pour les populations défavorisées ainsi que leur accès à un secteur financier inclusif.</w:t>
      </w:r>
    </w:p>
    <w:p w14:paraId="02D08566" w14:textId="77777777" w:rsidR="00870B34" w:rsidRPr="00944EE4" w:rsidRDefault="00870B34" w:rsidP="00870B34">
      <w:pPr>
        <w:spacing w:line="276" w:lineRule="auto"/>
        <w:jc w:val="both"/>
        <w:rPr>
          <w:rFonts w:ascii="Times New Roman" w:hAnsi="Times New Roman" w:cs="Times New Roman"/>
          <w:sz w:val="24"/>
          <w:szCs w:val="24"/>
        </w:rPr>
      </w:pPr>
    </w:p>
    <w:p w14:paraId="149A55A0" w14:textId="54C6192F" w:rsidR="00870B34" w:rsidRPr="00944EE4" w:rsidRDefault="00880F37" w:rsidP="00870B34">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En outre, l’appui à l’amélioration de l’efficacité des politiques d’emploi pour résoudre le chômage des jeunes et la promotion </w:t>
      </w:r>
      <w:r w:rsidR="00E1066F">
        <w:rPr>
          <w:rFonts w:ascii="Times New Roman" w:hAnsi="Times New Roman" w:cs="Times New Roman"/>
          <w:sz w:val="24"/>
          <w:szCs w:val="24"/>
        </w:rPr>
        <w:t>de l’entreprenariat féminin continueront</w:t>
      </w:r>
      <w:r w:rsidRPr="00944EE4">
        <w:rPr>
          <w:rFonts w:ascii="Times New Roman" w:hAnsi="Times New Roman" w:cs="Times New Roman"/>
          <w:sz w:val="24"/>
          <w:szCs w:val="24"/>
        </w:rPr>
        <w:t xml:space="preserve"> aussi </w:t>
      </w:r>
      <w:r w:rsidR="00E1066F">
        <w:rPr>
          <w:rFonts w:ascii="Times New Roman" w:hAnsi="Times New Roman" w:cs="Times New Roman"/>
          <w:sz w:val="24"/>
          <w:szCs w:val="24"/>
        </w:rPr>
        <w:t xml:space="preserve">a etre </w:t>
      </w:r>
      <w:r w:rsidRPr="00944EE4">
        <w:rPr>
          <w:rFonts w:ascii="Times New Roman" w:hAnsi="Times New Roman" w:cs="Times New Roman"/>
          <w:sz w:val="24"/>
          <w:szCs w:val="24"/>
        </w:rPr>
        <w:t>des priorités, notamment la nouvelle Politique Nationale de l’Emploi validée par le comité intersectoriel de suivi de la déclaration de Ouagadougou.</w:t>
      </w:r>
    </w:p>
    <w:p w14:paraId="7FD39E1C" w14:textId="77777777" w:rsidR="00870B34" w:rsidRPr="00944EE4" w:rsidRDefault="00870B34" w:rsidP="00870B34">
      <w:pPr>
        <w:spacing w:line="276" w:lineRule="auto"/>
        <w:jc w:val="both"/>
        <w:rPr>
          <w:rFonts w:ascii="Times New Roman" w:hAnsi="Times New Roman" w:cs="Times New Roman"/>
          <w:sz w:val="24"/>
          <w:szCs w:val="24"/>
        </w:rPr>
      </w:pPr>
    </w:p>
    <w:p w14:paraId="746597D9" w14:textId="14409FEB" w:rsidR="00870B34" w:rsidRPr="00944EE4" w:rsidRDefault="00880F37" w:rsidP="00870B34">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Par ailleurs, dans le domaine de l’environnement, la contr</w:t>
      </w:r>
      <w:r w:rsidR="00E1066F">
        <w:rPr>
          <w:rFonts w:ascii="Times New Roman" w:hAnsi="Times New Roman" w:cs="Times New Roman"/>
          <w:sz w:val="24"/>
          <w:szCs w:val="24"/>
        </w:rPr>
        <w:t>ibution des Nations Unies vise</w:t>
      </w:r>
      <w:r w:rsidRPr="00944EE4">
        <w:rPr>
          <w:rFonts w:ascii="Times New Roman" w:hAnsi="Times New Roman" w:cs="Times New Roman"/>
          <w:sz w:val="24"/>
          <w:szCs w:val="24"/>
        </w:rPr>
        <w:t xml:space="preserve"> l’amélioration du cadre de vie à travers un accès durable à l’eau et à un assainissement adéquat, le renforcement de la résilience des populations face aux changements climatiques par l’utilisation accrue des énergies renouvelables et des mesures de réduction des risques de catastrophes, l’actualisation de la politique nationale d’assainissement en lien avec les objectifs de</w:t>
      </w:r>
      <w:r w:rsidR="00E1066F">
        <w:rPr>
          <w:rFonts w:ascii="Times New Roman" w:hAnsi="Times New Roman" w:cs="Times New Roman"/>
          <w:sz w:val="24"/>
          <w:szCs w:val="24"/>
        </w:rPr>
        <w:t xml:space="preserve"> la décentralisation. Il s’agit</w:t>
      </w:r>
      <w:r w:rsidRPr="00944EE4">
        <w:rPr>
          <w:rFonts w:ascii="Times New Roman" w:hAnsi="Times New Roman" w:cs="Times New Roman"/>
          <w:sz w:val="24"/>
          <w:szCs w:val="24"/>
        </w:rPr>
        <w:t xml:space="preserve"> aussi de renforcer les capacités des populations pour une gestion dur</w:t>
      </w:r>
      <w:r w:rsidR="00E1066F">
        <w:rPr>
          <w:rFonts w:ascii="Times New Roman" w:hAnsi="Times New Roman" w:cs="Times New Roman"/>
          <w:sz w:val="24"/>
          <w:szCs w:val="24"/>
        </w:rPr>
        <w:t>able des ressources naturelles,</w:t>
      </w:r>
      <w:r w:rsidRPr="00944EE4">
        <w:rPr>
          <w:rFonts w:ascii="Times New Roman" w:hAnsi="Times New Roman" w:cs="Times New Roman"/>
          <w:sz w:val="24"/>
          <w:szCs w:val="24"/>
        </w:rPr>
        <w:t xml:space="preserve"> la protection de la b</w:t>
      </w:r>
      <w:r w:rsidR="00E1066F">
        <w:rPr>
          <w:rFonts w:ascii="Times New Roman" w:hAnsi="Times New Roman" w:cs="Times New Roman"/>
          <w:sz w:val="24"/>
          <w:szCs w:val="24"/>
        </w:rPr>
        <w:t>iodiversité et des écosystèmes,</w:t>
      </w:r>
      <w:r w:rsidRPr="00944EE4">
        <w:rPr>
          <w:rFonts w:ascii="Times New Roman" w:hAnsi="Times New Roman" w:cs="Times New Roman"/>
          <w:sz w:val="24"/>
          <w:szCs w:val="24"/>
        </w:rPr>
        <w:t xml:space="preserve"> l’améliorati</w:t>
      </w:r>
      <w:r w:rsidR="00E1066F">
        <w:rPr>
          <w:rFonts w:ascii="Times New Roman" w:hAnsi="Times New Roman" w:cs="Times New Roman"/>
          <w:sz w:val="24"/>
          <w:szCs w:val="24"/>
        </w:rPr>
        <w:t>on de l’efficacité énergétique,</w:t>
      </w:r>
      <w:r w:rsidRPr="00944EE4">
        <w:rPr>
          <w:rFonts w:ascii="Times New Roman" w:hAnsi="Times New Roman" w:cs="Times New Roman"/>
          <w:sz w:val="24"/>
          <w:szCs w:val="24"/>
        </w:rPr>
        <w:t xml:space="preserve"> la gestion et la valorisation des déchets. Le systèm</w:t>
      </w:r>
      <w:r w:rsidR="00E1066F">
        <w:rPr>
          <w:rFonts w:ascii="Times New Roman" w:hAnsi="Times New Roman" w:cs="Times New Roman"/>
          <w:sz w:val="24"/>
          <w:szCs w:val="24"/>
        </w:rPr>
        <w:t>e des Nations Unies accompagne</w:t>
      </w:r>
      <w:r w:rsidRPr="00944EE4">
        <w:rPr>
          <w:rFonts w:ascii="Times New Roman" w:hAnsi="Times New Roman" w:cs="Times New Roman"/>
          <w:sz w:val="24"/>
          <w:szCs w:val="24"/>
        </w:rPr>
        <w:t xml:space="preserve"> la mise à jour du rapport d’évaluation des capacités en RRC et le développement d’un plan d’action. </w:t>
      </w:r>
    </w:p>
    <w:p w14:paraId="787F4D73" w14:textId="77777777" w:rsidR="00870B34" w:rsidRPr="00944EE4" w:rsidRDefault="00870B34" w:rsidP="00870B34">
      <w:pPr>
        <w:spacing w:line="276" w:lineRule="auto"/>
        <w:rPr>
          <w:rFonts w:ascii="Times New Roman" w:hAnsi="Times New Roman" w:cs="Times New Roman"/>
          <w:sz w:val="24"/>
          <w:szCs w:val="24"/>
        </w:rPr>
      </w:pPr>
    </w:p>
    <w:p w14:paraId="46CB2B17" w14:textId="073CF363" w:rsidR="00870B34" w:rsidRPr="00944EE4" w:rsidRDefault="003E5DA5" w:rsidP="00870B34">
      <w:pPr>
        <w:spacing w:line="276" w:lineRule="auto"/>
        <w:rPr>
          <w:rFonts w:ascii="Times New Roman" w:hAnsi="Times New Roman" w:cs="Times New Roman"/>
          <w:sz w:val="24"/>
          <w:szCs w:val="24"/>
        </w:rPr>
      </w:pPr>
      <w:r>
        <w:rPr>
          <w:rFonts w:ascii="Times New Roman" w:hAnsi="Times New Roman" w:cs="Times New Roman"/>
          <w:sz w:val="24"/>
          <w:szCs w:val="24"/>
        </w:rPr>
        <w:t>Il apporte</w:t>
      </w:r>
      <w:r w:rsidR="00880F37" w:rsidRPr="00944EE4">
        <w:rPr>
          <w:rFonts w:ascii="Times New Roman" w:hAnsi="Times New Roman" w:cs="Times New Roman"/>
          <w:sz w:val="24"/>
          <w:szCs w:val="24"/>
        </w:rPr>
        <w:t xml:space="preserve"> également son appui dans la mise en œuvre de l’initiative de formulation des priorités </w:t>
      </w:r>
      <w:r>
        <w:rPr>
          <w:rFonts w:ascii="Times New Roman" w:hAnsi="Times New Roman" w:cs="Times New Roman"/>
          <w:sz w:val="24"/>
          <w:szCs w:val="24"/>
        </w:rPr>
        <w:t xml:space="preserve">de </w:t>
      </w:r>
      <w:r w:rsidR="00880F37" w:rsidRPr="00944EE4">
        <w:rPr>
          <w:rFonts w:ascii="Times New Roman" w:hAnsi="Times New Roman" w:cs="Times New Roman"/>
          <w:sz w:val="24"/>
          <w:szCs w:val="24"/>
        </w:rPr>
        <w:t>résilience pays dans le cadre de l’Alliance Globale pour la Résilience au Sahel et en Afrique de l’Ouest</w:t>
      </w:r>
      <w:r>
        <w:rPr>
          <w:rFonts w:ascii="Times New Roman" w:hAnsi="Times New Roman" w:cs="Times New Roman"/>
          <w:sz w:val="24"/>
          <w:szCs w:val="24"/>
        </w:rPr>
        <w:t>,</w:t>
      </w:r>
      <w:r w:rsidR="00880F37" w:rsidRPr="00944EE4">
        <w:rPr>
          <w:rFonts w:ascii="Times New Roman" w:hAnsi="Times New Roman" w:cs="Times New Roman"/>
          <w:sz w:val="24"/>
          <w:szCs w:val="24"/>
        </w:rPr>
        <w:t xml:space="preserve"> en synergie avec La stratégie intégrée de l'ONU pour le Sahel.</w:t>
      </w:r>
    </w:p>
    <w:p w14:paraId="7B40E400" w14:textId="77777777" w:rsidR="00870B34" w:rsidRPr="00944EE4" w:rsidRDefault="00870B34" w:rsidP="00870B34">
      <w:pPr>
        <w:spacing w:line="276" w:lineRule="auto"/>
        <w:rPr>
          <w:rFonts w:ascii="Times New Roman" w:hAnsi="Times New Roman" w:cs="Times New Roman"/>
          <w:sz w:val="24"/>
          <w:szCs w:val="24"/>
        </w:rPr>
      </w:pPr>
    </w:p>
    <w:p w14:paraId="0377BB41" w14:textId="7BF9F421" w:rsidR="00130A90" w:rsidRPr="00944EE4" w:rsidRDefault="003E5DA5" w:rsidP="00134F2D">
      <w:pPr>
        <w:jc w:val="both"/>
        <w:rPr>
          <w:rFonts w:ascii="Times New Roman" w:hAnsi="Times New Roman" w:cs="Times New Roman"/>
          <w:bCs/>
          <w:sz w:val="24"/>
          <w:szCs w:val="24"/>
        </w:rPr>
      </w:pPr>
      <w:r w:rsidRPr="003E5DA5">
        <w:rPr>
          <w:rFonts w:ascii="Times New Roman" w:hAnsi="Times New Roman" w:cs="Times New Roman"/>
          <w:bCs/>
          <w:sz w:val="24"/>
          <w:szCs w:val="24"/>
        </w:rPr>
        <w:t xml:space="preserve">En outre, davantage </w:t>
      </w:r>
      <w:r w:rsidR="00130A90" w:rsidRPr="003E5DA5">
        <w:rPr>
          <w:rFonts w:ascii="Times New Roman" w:hAnsi="Times New Roman" w:cs="Times New Roman"/>
          <w:bCs/>
          <w:sz w:val="24"/>
          <w:szCs w:val="24"/>
        </w:rPr>
        <w:t>d’effort</w:t>
      </w:r>
      <w:r w:rsidRPr="003E5DA5">
        <w:rPr>
          <w:rFonts w:ascii="Times New Roman" w:hAnsi="Times New Roman" w:cs="Times New Roman"/>
          <w:bCs/>
          <w:sz w:val="24"/>
          <w:szCs w:val="24"/>
        </w:rPr>
        <w:t>s seront fournis</w:t>
      </w:r>
      <w:r w:rsidR="00130A90" w:rsidRPr="003E5DA5">
        <w:rPr>
          <w:rFonts w:ascii="Times New Roman" w:hAnsi="Times New Roman" w:cs="Times New Roman"/>
          <w:bCs/>
          <w:sz w:val="24"/>
          <w:szCs w:val="24"/>
        </w:rPr>
        <w:t xml:space="preserve"> </w:t>
      </w:r>
      <w:r w:rsidRPr="003E5DA5">
        <w:rPr>
          <w:rFonts w:ascii="Times New Roman" w:hAnsi="Times New Roman" w:cs="Times New Roman"/>
          <w:bCs/>
          <w:sz w:val="24"/>
          <w:szCs w:val="24"/>
        </w:rPr>
        <w:t>pour</w:t>
      </w:r>
      <w:r w:rsidR="00130A90" w:rsidRPr="003E5DA5">
        <w:rPr>
          <w:rFonts w:ascii="Times New Roman" w:hAnsi="Times New Roman" w:cs="Times New Roman"/>
          <w:bCs/>
          <w:sz w:val="24"/>
          <w:szCs w:val="24"/>
        </w:rPr>
        <w:t xml:space="preserve"> aider le pays à améliorer son attractivité pour les investisseurs étrangers</w:t>
      </w:r>
      <w:r w:rsidR="00CE7197" w:rsidRPr="003E5DA5">
        <w:rPr>
          <w:rFonts w:ascii="Times New Roman" w:hAnsi="Times New Roman" w:cs="Times New Roman"/>
          <w:bCs/>
          <w:sz w:val="24"/>
          <w:szCs w:val="24"/>
        </w:rPr>
        <w:t xml:space="preserve">. L’appui à </w:t>
      </w:r>
      <w:r w:rsidR="00130A90" w:rsidRPr="003E5DA5">
        <w:rPr>
          <w:rFonts w:ascii="Times New Roman" w:hAnsi="Times New Roman" w:cs="Times New Roman"/>
          <w:bCs/>
          <w:sz w:val="24"/>
          <w:szCs w:val="24"/>
        </w:rPr>
        <w:t xml:space="preserve">la restauration des capacités de l’Etat en matière de gestion des finances publiques et de transparence des processus budgétaires, doivent se renforcer, avec comme objectif à moins terme </w:t>
      </w:r>
      <w:r w:rsidR="00CE7197" w:rsidRPr="003E5DA5">
        <w:rPr>
          <w:rFonts w:ascii="Times New Roman" w:hAnsi="Times New Roman" w:cs="Times New Roman"/>
          <w:bCs/>
          <w:sz w:val="24"/>
          <w:szCs w:val="24"/>
        </w:rPr>
        <w:t>d’aider le Mali à retrouver une certaine attractivité en matière d’appui budgéta</w:t>
      </w:r>
      <w:r w:rsidR="005B6E84">
        <w:rPr>
          <w:rFonts w:ascii="Times New Roman" w:hAnsi="Times New Roman" w:cs="Times New Roman"/>
          <w:bCs/>
          <w:sz w:val="24"/>
          <w:szCs w:val="24"/>
        </w:rPr>
        <w:t>ire</w:t>
      </w:r>
      <w:r w:rsidR="00CE7197" w:rsidRPr="003E5DA5">
        <w:rPr>
          <w:rFonts w:ascii="Times New Roman" w:hAnsi="Times New Roman" w:cs="Times New Roman"/>
          <w:bCs/>
          <w:sz w:val="24"/>
          <w:szCs w:val="24"/>
        </w:rPr>
        <w:t xml:space="preserve">. Enfin, </w:t>
      </w:r>
      <w:r w:rsidR="00130A90" w:rsidRPr="003E5DA5">
        <w:rPr>
          <w:rFonts w:ascii="Times New Roman" w:hAnsi="Times New Roman" w:cs="Times New Roman"/>
          <w:bCs/>
          <w:sz w:val="24"/>
          <w:szCs w:val="24"/>
        </w:rPr>
        <w:t xml:space="preserve">dans le cadre de la transition de l’humanitaire vers le développement, le </w:t>
      </w:r>
      <w:r w:rsidR="005B6E84">
        <w:rPr>
          <w:rFonts w:ascii="Times New Roman" w:hAnsi="Times New Roman" w:cs="Times New Roman"/>
          <w:bCs/>
          <w:sz w:val="24"/>
          <w:szCs w:val="24"/>
        </w:rPr>
        <w:t xml:space="preserve">SNU renforcera son appui pour </w:t>
      </w:r>
      <w:r w:rsidR="00130A90" w:rsidRPr="003E5DA5">
        <w:rPr>
          <w:rFonts w:ascii="Times New Roman" w:hAnsi="Times New Roman" w:cs="Times New Roman"/>
          <w:bCs/>
          <w:sz w:val="24"/>
          <w:szCs w:val="24"/>
        </w:rPr>
        <w:t>aider le pays à initier des réformes pour favoriser les liaisons entre le système éducatif et l’appareil national de production</w:t>
      </w:r>
      <w:r w:rsidR="00CE7197" w:rsidRPr="003E5DA5">
        <w:rPr>
          <w:rFonts w:ascii="Times New Roman" w:hAnsi="Times New Roman" w:cs="Times New Roman"/>
          <w:bCs/>
          <w:sz w:val="24"/>
          <w:szCs w:val="24"/>
        </w:rPr>
        <w:t xml:space="preserve">. En rapport avec les Odjectifs de développement, les stratégies de lutte contre la pauvreté </w:t>
      </w:r>
      <w:r w:rsidR="005B6E84">
        <w:rPr>
          <w:rFonts w:ascii="Times New Roman" w:hAnsi="Times New Roman" w:cs="Times New Roman"/>
          <w:bCs/>
          <w:sz w:val="24"/>
          <w:szCs w:val="24"/>
        </w:rPr>
        <w:t xml:space="preserve">et </w:t>
      </w:r>
      <w:r w:rsidR="00CE7197" w:rsidRPr="003E5DA5">
        <w:rPr>
          <w:rFonts w:ascii="Times New Roman" w:hAnsi="Times New Roman" w:cs="Times New Roman"/>
          <w:bCs/>
          <w:sz w:val="24"/>
          <w:szCs w:val="24"/>
        </w:rPr>
        <w:t xml:space="preserve">l’appui à la promotion de la paix </w:t>
      </w:r>
      <w:r w:rsidR="005B6E84">
        <w:rPr>
          <w:rFonts w:ascii="Times New Roman" w:hAnsi="Times New Roman" w:cs="Times New Roman"/>
          <w:bCs/>
          <w:sz w:val="24"/>
          <w:szCs w:val="24"/>
        </w:rPr>
        <w:t>(</w:t>
      </w:r>
      <w:r w:rsidR="00CE7197" w:rsidRPr="003E5DA5">
        <w:rPr>
          <w:rFonts w:ascii="Times New Roman" w:hAnsi="Times New Roman" w:cs="Times New Roman"/>
          <w:bCs/>
          <w:sz w:val="24"/>
          <w:szCs w:val="24"/>
        </w:rPr>
        <w:t>que le pays a fait passer de la 16</w:t>
      </w:r>
      <w:r w:rsidR="00CE7197" w:rsidRPr="003E5DA5">
        <w:rPr>
          <w:rFonts w:ascii="Times New Roman" w:hAnsi="Times New Roman" w:cs="Times New Roman"/>
          <w:bCs/>
          <w:sz w:val="24"/>
          <w:szCs w:val="24"/>
          <w:vertAlign w:val="superscript"/>
        </w:rPr>
        <w:t>ème</w:t>
      </w:r>
      <w:r w:rsidR="00CE7197" w:rsidRPr="003E5DA5">
        <w:rPr>
          <w:rFonts w:ascii="Times New Roman" w:hAnsi="Times New Roman" w:cs="Times New Roman"/>
          <w:bCs/>
          <w:sz w:val="24"/>
          <w:szCs w:val="24"/>
        </w:rPr>
        <w:t xml:space="preserve"> à la 3</w:t>
      </w:r>
      <w:r w:rsidR="00134F2D" w:rsidRPr="003E5DA5">
        <w:rPr>
          <w:rFonts w:ascii="Times New Roman" w:hAnsi="Times New Roman" w:cs="Times New Roman"/>
          <w:bCs/>
          <w:sz w:val="24"/>
          <w:szCs w:val="24"/>
          <w:vertAlign w:val="superscript"/>
        </w:rPr>
        <w:t>ème</w:t>
      </w:r>
      <w:r w:rsidR="00134F2D" w:rsidRPr="003E5DA5">
        <w:rPr>
          <w:rFonts w:ascii="Times New Roman" w:hAnsi="Times New Roman" w:cs="Times New Roman"/>
          <w:bCs/>
          <w:sz w:val="24"/>
          <w:szCs w:val="24"/>
        </w:rPr>
        <w:t xml:space="preserve"> place dans son appropriation de l’architecture des ODD</w:t>
      </w:r>
      <w:r w:rsidR="005B6E84">
        <w:rPr>
          <w:rFonts w:ascii="Times New Roman" w:hAnsi="Times New Roman" w:cs="Times New Roman"/>
          <w:bCs/>
          <w:sz w:val="24"/>
          <w:szCs w:val="24"/>
        </w:rPr>
        <w:t>) continueront a etre des priorites</w:t>
      </w:r>
      <w:r w:rsidR="00134F2D" w:rsidRPr="003E5DA5">
        <w:rPr>
          <w:rFonts w:ascii="Times New Roman" w:hAnsi="Times New Roman" w:cs="Times New Roman"/>
          <w:bCs/>
          <w:sz w:val="24"/>
          <w:szCs w:val="24"/>
        </w:rPr>
        <w:t>.</w:t>
      </w:r>
    </w:p>
    <w:p w14:paraId="23576BC8" w14:textId="77777777" w:rsidR="00134F2D" w:rsidRPr="00944EE4" w:rsidRDefault="00134F2D" w:rsidP="00134F2D">
      <w:pPr>
        <w:jc w:val="both"/>
        <w:rPr>
          <w:rFonts w:ascii="Times New Roman" w:hAnsi="Times New Roman" w:cs="Times New Roman"/>
          <w:sz w:val="24"/>
          <w:szCs w:val="24"/>
        </w:rPr>
      </w:pPr>
    </w:p>
    <w:p w14:paraId="6BCE8FDA" w14:textId="77777777" w:rsidR="00870B34" w:rsidRPr="00944EE4" w:rsidRDefault="00880F37" w:rsidP="00A701F5">
      <w:pPr>
        <w:pStyle w:val="Paragraphedeliste"/>
        <w:numPr>
          <w:ilvl w:val="0"/>
          <w:numId w:val="4"/>
        </w:numPr>
        <w:spacing w:line="276" w:lineRule="auto"/>
        <w:rPr>
          <w:rFonts w:ascii="Times New Roman" w:hAnsi="Times New Roman" w:cs="Times New Roman"/>
          <w:b/>
          <w:color w:val="365F91" w:themeColor="accent1" w:themeShade="BF"/>
          <w:sz w:val="24"/>
          <w:szCs w:val="24"/>
          <w:u w:val="single"/>
        </w:rPr>
      </w:pPr>
      <w:r w:rsidRPr="00944EE4">
        <w:rPr>
          <w:rFonts w:ascii="Times New Roman" w:hAnsi="Times New Roman" w:cs="Times New Roman"/>
          <w:b/>
          <w:color w:val="365F91" w:themeColor="accent1" w:themeShade="BF"/>
          <w:sz w:val="24"/>
          <w:szCs w:val="24"/>
          <w:u w:val="single"/>
        </w:rPr>
        <w:t>Partenariats et Stratégies</w:t>
      </w:r>
    </w:p>
    <w:p w14:paraId="6E7180E0" w14:textId="77777777" w:rsidR="00870B34" w:rsidRPr="00944EE4" w:rsidRDefault="00870B34" w:rsidP="00870B34">
      <w:pPr>
        <w:tabs>
          <w:tab w:val="left" w:pos="708"/>
          <w:tab w:val="left" w:pos="1416"/>
          <w:tab w:val="left" w:pos="2124"/>
          <w:tab w:val="left" w:pos="2832"/>
          <w:tab w:val="left" w:pos="3640"/>
        </w:tabs>
        <w:autoSpaceDE w:val="0"/>
        <w:autoSpaceDN w:val="0"/>
        <w:adjustRightInd w:val="0"/>
        <w:spacing w:line="276" w:lineRule="auto"/>
        <w:jc w:val="both"/>
        <w:rPr>
          <w:rFonts w:ascii="Times New Roman" w:eastAsia="Times New Roman" w:hAnsi="Times New Roman" w:cs="Times New Roman"/>
          <w:b/>
          <w:i/>
          <w:sz w:val="24"/>
          <w:szCs w:val="24"/>
        </w:rPr>
      </w:pPr>
    </w:p>
    <w:p w14:paraId="1369F3C2" w14:textId="28436439" w:rsidR="00870B34" w:rsidRPr="00944EE4" w:rsidRDefault="00880F37" w:rsidP="00870B34">
      <w:pPr>
        <w:tabs>
          <w:tab w:val="left" w:pos="708"/>
          <w:tab w:val="left" w:pos="1416"/>
          <w:tab w:val="left" w:pos="2124"/>
          <w:tab w:val="left" w:pos="2832"/>
          <w:tab w:val="left" w:pos="3640"/>
        </w:tabs>
        <w:autoSpaceDE w:val="0"/>
        <w:autoSpaceDN w:val="0"/>
        <w:adjustRightInd w:val="0"/>
        <w:spacing w:line="276" w:lineRule="auto"/>
        <w:jc w:val="both"/>
        <w:rPr>
          <w:rFonts w:ascii="Times New Roman" w:eastAsia="Times New Roman" w:hAnsi="Times New Roman" w:cs="Times New Roman"/>
          <w:sz w:val="24"/>
          <w:szCs w:val="24"/>
        </w:rPr>
      </w:pPr>
      <w:r w:rsidRPr="00944EE4">
        <w:rPr>
          <w:rFonts w:ascii="Times New Roman" w:eastAsia="Times New Roman" w:hAnsi="Times New Roman" w:cs="Times New Roman"/>
          <w:sz w:val="24"/>
          <w:szCs w:val="24"/>
        </w:rPr>
        <w:t xml:space="preserve">Pour une mise en œuvre efficace de tous ces appuis, les Nations Unies </w:t>
      </w:r>
      <w:r w:rsidR="005B6E84">
        <w:rPr>
          <w:rFonts w:ascii="Times New Roman" w:eastAsia="Times New Roman" w:hAnsi="Times New Roman" w:cs="Times New Roman"/>
          <w:sz w:val="24"/>
          <w:szCs w:val="24"/>
        </w:rPr>
        <w:t xml:space="preserve">poursuivront la diverstification des </w:t>
      </w:r>
      <w:r w:rsidRPr="00944EE4">
        <w:rPr>
          <w:rFonts w:ascii="Times New Roman" w:eastAsia="Times New Roman" w:hAnsi="Times New Roman" w:cs="Times New Roman"/>
          <w:sz w:val="24"/>
          <w:szCs w:val="24"/>
        </w:rPr>
        <w:t xml:space="preserve">partenariats avec les PTFs y compris les institutions </w:t>
      </w:r>
      <w:r w:rsidR="005B6E84">
        <w:rPr>
          <w:rFonts w:ascii="Times New Roman" w:eastAsia="Times New Roman" w:hAnsi="Times New Roman" w:cs="Times New Roman"/>
          <w:sz w:val="24"/>
          <w:szCs w:val="24"/>
        </w:rPr>
        <w:t>de Bretton Woods principalement</w:t>
      </w:r>
      <w:r w:rsidRPr="00944EE4">
        <w:rPr>
          <w:rFonts w:ascii="Times New Roman" w:eastAsia="Times New Roman" w:hAnsi="Times New Roman" w:cs="Times New Roman"/>
          <w:sz w:val="24"/>
          <w:szCs w:val="24"/>
        </w:rPr>
        <w:t xml:space="preserve"> dans les domaines clés de l’économie et de l’environnement </w:t>
      </w:r>
      <w:r w:rsidR="005B6E84">
        <w:rPr>
          <w:rFonts w:ascii="Times New Roman" w:eastAsia="Times New Roman" w:hAnsi="Times New Roman" w:cs="Times New Roman"/>
          <w:sz w:val="24"/>
          <w:szCs w:val="24"/>
        </w:rPr>
        <w:t>énumérés ci-dessus. L</w:t>
      </w:r>
      <w:r w:rsidRPr="00944EE4">
        <w:rPr>
          <w:rFonts w:ascii="Times New Roman" w:eastAsia="Times New Roman" w:hAnsi="Times New Roman" w:cs="Times New Roman"/>
          <w:sz w:val="24"/>
          <w:szCs w:val="24"/>
        </w:rPr>
        <w:t xml:space="preserve">es efforts </w:t>
      </w:r>
      <w:r w:rsidR="005B6E84">
        <w:rPr>
          <w:rFonts w:ascii="Times New Roman" w:eastAsia="Times New Roman" w:hAnsi="Times New Roman" w:cs="Times New Roman"/>
          <w:sz w:val="24"/>
          <w:szCs w:val="24"/>
        </w:rPr>
        <w:t xml:space="preserve">seront aussi poursuivis </w:t>
      </w:r>
      <w:r w:rsidRPr="00944EE4">
        <w:rPr>
          <w:rFonts w:ascii="Times New Roman" w:eastAsia="Times New Roman" w:hAnsi="Times New Roman" w:cs="Times New Roman"/>
          <w:sz w:val="24"/>
          <w:szCs w:val="24"/>
        </w:rPr>
        <w:t>pour favoriser la coopération sud-sud, notamment celle avec les pays émergents y compris les BRICS, avec un accent p</w:t>
      </w:r>
      <w:r w:rsidR="005B6E84">
        <w:rPr>
          <w:rFonts w:ascii="Times New Roman" w:eastAsia="Times New Roman" w:hAnsi="Times New Roman" w:cs="Times New Roman"/>
          <w:sz w:val="24"/>
          <w:szCs w:val="24"/>
        </w:rPr>
        <w:t>articulier sur la collaboration</w:t>
      </w:r>
      <w:r w:rsidRPr="00944EE4">
        <w:rPr>
          <w:rFonts w:ascii="Times New Roman" w:eastAsia="Times New Roman" w:hAnsi="Times New Roman" w:cs="Times New Roman"/>
          <w:sz w:val="24"/>
          <w:szCs w:val="24"/>
        </w:rPr>
        <w:t xml:space="preserve"> avec les institutions africaines (UA, NEPAD, UEMOA, CEMAC, CEDEAO) pour l’harmonisation et la mise à niveau des politiques, </w:t>
      </w:r>
      <w:r w:rsidRPr="00944EE4">
        <w:rPr>
          <w:rFonts w:ascii="Times New Roman" w:eastAsia="Times New Roman" w:hAnsi="Times New Roman" w:cs="Times New Roman"/>
          <w:sz w:val="24"/>
          <w:szCs w:val="24"/>
        </w:rPr>
        <w:lastRenderedPageBreak/>
        <w:t>ainsi que l’accès à des espaces commerciaux plus vastes. Dans le cadre de l’appui au respect des accords et conventions internationaux, les institutions internationales compétentes dans le domaine de l’environnement et</w:t>
      </w:r>
      <w:r w:rsidR="005B6E84">
        <w:rPr>
          <w:rFonts w:ascii="Times New Roman" w:eastAsia="Times New Roman" w:hAnsi="Times New Roman" w:cs="Times New Roman"/>
          <w:sz w:val="24"/>
          <w:szCs w:val="24"/>
        </w:rPr>
        <w:t xml:space="preserve"> des changements climatiques s</w:t>
      </w:r>
      <w:r w:rsidRPr="00944EE4">
        <w:rPr>
          <w:rFonts w:ascii="Times New Roman" w:eastAsia="Times New Roman" w:hAnsi="Times New Roman" w:cs="Times New Roman"/>
          <w:sz w:val="24"/>
          <w:szCs w:val="24"/>
        </w:rPr>
        <w:t xml:space="preserve">ont aussi des partenaires privilégiés. </w:t>
      </w:r>
    </w:p>
    <w:p w14:paraId="62B91FFB" w14:textId="77777777" w:rsidR="00870B34" w:rsidRPr="00944EE4" w:rsidRDefault="00870B34" w:rsidP="00870B34">
      <w:pPr>
        <w:tabs>
          <w:tab w:val="left" w:pos="708"/>
          <w:tab w:val="left" w:pos="1416"/>
          <w:tab w:val="left" w:pos="2124"/>
          <w:tab w:val="left" w:pos="2832"/>
          <w:tab w:val="left" w:pos="3640"/>
        </w:tabs>
        <w:autoSpaceDE w:val="0"/>
        <w:autoSpaceDN w:val="0"/>
        <w:adjustRightInd w:val="0"/>
        <w:spacing w:line="276" w:lineRule="auto"/>
        <w:jc w:val="both"/>
        <w:rPr>
          <w:rFonts w:ascii="Times New Roman" w:eastAsia="Times New Roman" w:hAnsi="Times New Roman" w:cs="Times New Roman"/>
          <w:sz w:val="24"/>
          <w:szCs w:val="24"/>
        </w:rPr>
      </w:pPr>
    </w:p>
    <w:p w14:paraId="730CDD76" w14:textId="35603126" w:rsidR="00870B34" w:rsidRPr="00944EE4" w:rsidRDefault="00880F37" w:rsidP="00870B34">
      <w:pPr>
        <w:tabs>
          <w:tab w:val="left" w:pos="708"/>
          <w:tab w:val="left" w:pos="1416"/>
          <w:tab w:val="left" w:pos="2124"/>
          <w:tab w:val="left" w:pos="2832"/>
          <w:tab w:val="left" w:pos="3640"/>
        </w:tabs>
        <w:autoSpaceDE w:val="0"/>
        <w:autoSpaceDN w:val="0"/>
        <w:adjustRightInd w:val="0"/>
        <w:spacing w:line="276" w:lineRule="auto"/>
        <w:jc w:val="both"/>
        <w:rPr>
          <w:rFonts w:ascii="Times New Roman" w:eastAsia="Times New Roman" w:hAnsi="Times New Roman" w:cs="Times New Roman"/>
          <w:sz w:val="24"/>
          <w:szCs w:val="24"/>
        </w:rPr>
      </w:pPr>
      <w:r w:rsidRPr="00944EE4">
        <w:rPr>
          <w:rFonts w:ascii="Times New Roman" w:eastAsia="Times New Roman" w:hAnsi="Times New Roman" w:cs="Times New Roman"/>
          <w:sz w:val="24"/>
          <w:szCs w:val="24"/>
        </w:rPr>
        <w:t xml:space="preserve">Les Nations Unies </w:t>
      </w:r>
      <w:r w:rsidR="005B6E84">
        <w:rPr>
          <w:rFonts w:ascii="Times New Roman" w:eastAsia="Times New Roman" w:hAnsi="Times New Roman" w:cs="Times New Roman"/>
          <w:sz w:val="24"/>
          <w:szCs w:val="24"/>
        </w:rPr>
        <w:t xml:space="preserve">continueront a </w:t>
      </w:r>
      <w:r w:rsidRPr="00944EE4">
        <w:rPr>
          <w:rFonts w:ascii="Times New Roman" w:eastAsia="Times New Roman" w:hAnsi="Times New Roman" w:cs="Times New Roman"/>
          <w:sz w:val="24"/>
          <w:szCs w:val="24"/>
        </w:rPr>
        <w:t xml:space="preserve">accompagner le Gouvernement dans l’appropriation et la mise en œuvre des objectifs de développement durable (ODD) et dont la teneur correspond déjà à de nombreuses actions de l’UNDAF+. </w:t>
      </w:r>
    </w:p>
    <w:p w14:paraId="4F98ECAE" w14:textId="77777777" w:rsidR="00870B34" w:rsidRPr="00944EE4" w:rsidRDefault="00870B34" w:rsidP="00870B34">
      <w:pPr>
        <w:tabs>
          <w:tab w:val="left" w:pos="708"/>
          <w:tab w:val="left" w:pos="1416"/>
          <w:tab w:val="left" w:pos="2124"/>
          <w:tab w:val="left" w:pos="2832"/>
          <w:tab w:val="left" w:pos="3640"/>
        </w:tabs>
        <w:autoSpaceDE w:val="0"/>
        <w:autoSpaceDN w:val="0"/>
        <w:adjustRightInd w:val="0"/>
        <w:spacing w:line="276" w:lineRule="auto"/>
        <w:jc w:val="both"/>
        <w:rPr>
          <w:rFonts w:ascii="Times New Roman" w:eastAsia="Times New Roman" w:hAnsi="Times New Roman" w:cs="Times New Roman"/>
          <w:sz w:val="24"/>
          <w:szCs w:val="24"/>
        </w:rPr>
      </w:pPr>
    </w:p>
    <w:p w14:paraId="38BCAFF2" w14:textId="77777777" w:rsidR="00870B34" w:rsidRPr="00944EE4" w:rsidRDefault="00880F37" w:rsidP="00870B34">
      <w:pPr>
        <w:tabs>
          <w:tab w:val="left" w:pos="708"/>
          <w:tab w:val="left" w:pos="1416"/>
          <w:tab w:val="left" w:pos="2124"/>
          <w:tab w:val="left" w:pos="2832"/>
          <w:tab w:val="left" w:pos="3640"/>
        </w:tabs>
        <w:autoSpaceDE w:val="0"/>
        <w:autoSpaceDN w:val="0"/>
        <w:adjustRightInd w:val="0"/>
        <w:spacing w:line="276" w:lineRule="auto"/>
        <w:jc w:val="both"/>
        <w:rPr>
          <w:rFonts w:ascii="Times New Roman" w:eastAsia="Times New Roman" w:hAnsi="Times New Roman" w:cs="Times New Roman"/>
          <w:sz w:val="24"/>
          <w:szCs w:val="24"/>
        </w:rPr>
      </w:pPr>
      <w:r w:rsidRPr="00944EE4">
        <w:rPr>
          <w:rFonts w:ascii="Times New Roman" w:eastAsia="Times New Roman" w:hAnsi="Times New Roman" w:cs="Times New Roman"/>
          <w:sz w:val="24"/>
          <w:szCs w:val="24"/>
        </w:rPr>
        <w:t>La création du Fonds Climat au Mali est un outil essentiel pour mobiliser des financements visant à atteindre l’objectif du Mali pour une économie verte et résiliente.</w:t>
      </w:r>
    </w:p>
    <w:p w14:paraId="39B69D7F" w14:textId="77777777" w:rsidR="00870B34" w:rsidRPr="00944EE4" w:rsidRDefault="00870B34" w:rsidP="00870B34">
      <w:pPr>
        <w:tabs>
          <w:tab w:val="left" w:pos="708"/>
          <w:tab w:val="left" w:pos="1416"/>
          <w:tab w:val="left" w:pos="2124"/>
          <w:tab w:val="left" w:pos="2832"/>
          <w:tab w:val="left" w:pos="3640"/>
        </w:tabs>
        <w:autoSpaceDE w:val="0"/>
        <w:autoSpaceDN w:val="0"/>
        <w:adjustRightInd w:val="0"/>
        <w:spacing w:line="276" w:lineRule="auto"/>
        <w:jc w:val="both"/>
        <w:rPr>
          <w:rFonts w:ascii="Times New Roman" w:eastAsia="Times New Roman" w:hAnsi="Times New Roman" w:cs="Times New Roman"/>
          <w:sz w:val="24"/>
          <w:szCs w:val="24"/>
        </w:rPr>
      </w:pPr>
    </w:p>
    <w:p w14:paraId="2DC4EF06" w14:textId="3962DAD5" w:rsidR="00870B34" w:rsidRPr="00944EE4" w:rsidRDefault="00880F37" w:rsidP="00870B34">
      <w:pPr>
        <w:tabs>
          <w:tab w:val="left" w:pos="708"/>
          <w:tab w:val="left" w:pos="1416"/>
          <w:tab w:val="left" w:pos="2124"/>
          <w:tab w:val="left" w:pos="2832"/>
          <w:tab w:val="left" w:pos="3640"/>
        </w:tabs>
        <w:autoSpaceDE w:val="0"/>
        <w:autoSpaceDN w:val="0"/>
        <w:adjustRightInd w:val="0"/>
        <w:spacing w:line="276" w:lineRule="auto"/>
        <w:jc w:val="both"/>
        <w:rPr>
          <w:rFonts w:ascii="Times New Roman" w:eastAsia="Times New Roman" w:hAnsi="Times New Roman" w:cs="Times New Roman"/>
          <w:sz w:val="24"/>
          <w:szCs w:val="24"/>
        </w:rPr>
      </w:pPr>
      <w:r w:rsidRPr="00944EE4">
        <w:rPr>
          <w:rFonts w:ascii="Times New Roman" w:eastAsia="Times New Roman" w:hAnsi="Times New Roman" w:cs="Times New Roman"/>
          <w:sz w:val="24"/>
          <w:szCs w:val="24"/>
        </w:rPr>
        <w:t xml:space="preserve">Les Nations Unies </w:t>
      </w:r>
      <w:r w:rsidR="005B6E84">
        <w:rPr>
          <w:rFonts w:ascii="Times New Roman" w:eastAsia="Times New Roman" w:hAnsi="Times New Roman" w:cs="Times New Roman"/>
          <w:sz w:val="24"/>
          <w:szCs w:val="24"/>
        </w:rPr>
        <w:t xml:space="preserve">continueront aussi </w:t>
      </w:r>
      <w:r w:rsidR="00170DB3">
        <w:rPr>
          <w:rFonts w:ascii="Times New Roman" w:eastAsia="Times New Roman" w:hAnsi="Times New Roman" w:cs="Times New Roman"/>
          <w:sz w:val="24"/>
          <w:szCs w:val="24"/>
        </w:rPr>
        <w:t>à</w:t>
      </w:r>
      <w:r w:rsidR="005B6E84">
        <w:rPr>
          <w:rFonts w:ascii="Times New Roman" w:eastAsia="Times New Roman" w:hAnsi="Times New Roman" w:cs="Times New Roman"/>
          <w:sz w:val="24"/>
          <w:szCs w:val="24"/>
        </w:rPr>
        <w:t xml:space="preserve"> </w:t>
      </w:r>
      <w:r w:rsidRPr="00944EE4">
        <w:rPr>
          <w:rFonts w:ascii="Times New Roman" w:eastAsia="Times New Roman" w:hAnsi="Times New Roman" w:cs="Times New Roman"/>
          <w:sz w:val="24"/>
          <w:szCs w:val="24"/>
        </w:rPr>
        <w:t>sout</w:t>
      </w:r>
      <w:r w:rsidR="005B6E84">
        <w:rPr>
          <w:rFonts w:ascii="Times New Roman" w:eastAsia="Times New Roman" w:hAnsi="Times New Roman" w:cs="Times New Roman"/>
          <w:sz w:val="24"/>
          <w:szCs w:val="24"/>
        </w:rPr>
        <w:t>enir</w:t>
      </w:r>
      <w:r w:rsidRPr="00944EE4">
        <w:rPr>
          <w:rFonts w:ascii="Times New Roman" w:eastAsia="Times New Roman" w:hAnsi="Times New Roman" w:cs="Times New Roman"/>
          <w:sz w:val="24"/>
          <w:szCs w:val="24"/>
        </w:rPr>
        <w:t xml:space="preserve"> le Gouvernement du Mali dans la mise en œuvre de ses engagements pris dans le cadre de l’initiative assainissement et eau pour tous.</w:t>
      </w:r>
    </w:p>
    <w:p w14:paraId="77128381" w14:textId="33EDDA9F" w:rsidR="00870B34" w:rsidRPr="00944EE4" w:rsidRDefault="00870B34">
      <w:pPr>
        <w:rPr>
          <w:rFonts w:ascii="Times New Roman" w:hAnsi="Times New Roman" w:cs="Times New Roman"/>
          <w:b/>
          <w:color w:val="17365D" w:themeColor="text2" w:themeShade="BF"/>
          <w:sz w:val="24"/>
          <w:szCs w:val="24"/>
          <w:u w:val="single"/>
        </w:rPr>
      </w:pPr>
    </w:p>
    <w:p w14:paraId="1C4BF343" w14:textId="77777777" w:rsidR="007C6BB8" w:rsidRPr="00944EE4" w:rsidRDefault="00880F37" w:rsidP="008B72F6">
      <w:pPr>
        <w:pStyle w:val="Titre1"/>
        <w:rPr>
          <w:rFonts w:ascii="Times New Roman" w:hAnsi="Times New Roman" w:cs="Times New Roman"/>
          <w:sz w:val="24"/>
          <w:szCs w:val="24"/>
        </w:rPr>
      </w:pPr>
      <w:bookmarkStart w:id="13" w:name="_Toc509228612"/>
      <w:r w:rsidRPr="00944EE4">
        <w:rPr>
          <w:rFonts w:ascii="Times New Roman" w:hAnsi="Times New Roman" w:cs="Times New Roman"/>
          <w:sz w:val="24"/>
          <w:szCs w:val="24"/>
          <w:u w:val="single"/>
        </w:rPr>
        <w:t>PARTIE III</w:t>
      </w:r>
      <w:r w:rsidRPr="00944EE4">
        <w:rPr>
          <w:rFonts w:ascii="Times New Roman" w:hAnsi="Times New Roman" w:cs="Times New Roman"/>
          <w:sz w:val="24"/>
          <w:szCs w:val="24"/>
        </w:rPr>
        <w:t> : INITIATIVES NE FIGURANT PAS DANS LES MATRICES DE RESULTATS UNDAF+</w:t>
      </w:r>
      <w:bookmarkEnd w:id="13"/>
      <w:r w:rsidRPr="00944EE4">
        <w:rPr>
          <w:rFonts w:ascii="Times New Roman" w:hAnsi="Times New Roman" w:cs="Times New Roman"/>
          <w:sz w:val="24"/>
          <w:szCs w:val="24"/>
        </w:rPr>
        <w:t xml:space="preserve"> </w:t>
      </w:r>
    </w:p>
    <w:p w14:paraId="28C00D82" w14:textId="77777777" w:rsidR="007C6BB8" w:rsidRPr="00944EE4" w:rsidRDefault="007C6BB8" w:rsidP="007C6BB8">
      <w:pPr>
        <w:autoSpaceDE w:val="0"/>
        <w:autoSpaceDN w:val="0"/>
        <w:adjustRightInd w:val="0"/>
        <w:rPr>
          <w:rFonts w:ascii="Times New Roman" w:hAnsi="Times New Roman" w:cs="Times New Roman"/>
          <w:b/>
          <w:sz w:val="24"/>
          <w:szCs w:val="24"/>
        </w:rPr>
      </w:pPr>
    </w:p>
    <w:p w14:paraId="6AD30898" w14:textId="59CA40C7" w:rsidR="001C526D" w:rsidRPr="00944EE4" w:rsidRDefault="00880F37" w:rsidP="00BC6FF2">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Les interventions des Nations Unies </w:t>
      </w:r>
      <w:r w:rsidR="00D949B3">
        <w:rPr>
          <w:rFonts w:ascii="Times New Roman" w:hAnsi="Times New Roman" w:cs="Times New Roman"/>
          <w:sz w:val="24"/>
          <w:szCs w:val="24"/>
        </w:rPr>
        <w:t>en addition au UNDAF</w:t>
      </w:r>
      <w:r w:rsidRPr="00944EE4">
        <w:rPr>
          <w:rFonts w:ascii="Times New Roman" w:hAnsi="Times New Roman" w:cs="Times New Roman"/>
          <w:sz w:val="24"/>
          <w:szCs w:val="24"/>
        </w:rPr>
        <w:t xml:space="preserve">+ 2015-2019 sont de trois ordres. </w:t>
      </w:r>
    </w:p>
    <w:p w14:paraId="3CFD9D4A" w14:textId="77777777" w:rsidR="001C526D" w:rsidRPr="00944EE4" w:rsidRDefault="001C526D" w:rsidP="00BC6FF2">
      <w:pPr>
        <w:spacing w:line="276" w:lineRule="auto"/>
        <w:jc w:val="both"/>
        <w:rPr>
          <w:rFonts w:ascii="Times New Roman" w:hAnsi="Times New Roman" w:cs="Times New Roman"/>
          <w:sz w:val="24"/>
          <w:szCs w:val="24"/>
        </w:rPr>
      </w:pPr>
    </w:p>
    <w:p w14:paraId="6887F347" w14:textId="070EF410" w:rsidR="004C003F" w:rsidRPr="00944EE4" w:rsidRDefault="00880F37" w:rsidP="004C003F">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Premièrement, des actions qui n’entrent pas dans le cadre de la promotion du développement, en particulier les actions humanitaires articulées dans le Plan de réponse stratégique décrivant les mesures et actions nécessaires pour une meilleure préparation à l’urgence et aboutir ainsi à une réponse humanitaire, prompte, coordonnée et efficace en faveur des populations affectées. </w:t>
      </w:r>
    </w:p>
    <w:p w14:paraId="2E54A188" w14:textId="77777777" w:rsidR="001C526D" w:rsidRPr="00944EE4" w:rsidRDefault="001C526D" w:rsidP="00BC6FF2">
      <w:pPr>
        <w:spacing w:line="276" w:lineRule="auto"/>
        <w:jc w:val="both"/>
        <w:rPr>
          <w:rFonts w:ascii="Times New Roman" w:hAnsi="Times New Roman" w:cs="Times New Roman"/>
          <w:sz w:val="24"/>
          <w:szCs w:val="24"/>
        </w:rPr>
      </w:pPr>
    </w:p>
    <w:p w14:paraId="7FC5B2C6" w14:textId="77777777" w:rsidR="001C526D" w:rsidRPr="00944EE4" w:rsidRDefault="00880F37" w:rsidP="00BC6FF2">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Deuxièmement, les actions liées à la fonction militaire de la MINUSMA, et pour lesquelles les objectifs et la portée ne sont pas en adéquation avec un cadre de développement classique.</w:t>
      </w:r>
    </w:p>
    <w:p w14:paraId="5E6843FF" w14:textId="77777777" w:rsidR="007C6BB8" w:rsidRPr="00944EE4" w:rsidRDefault="007C6BB8" w:rsidP="00BC6FF2">
      <w:pPr>
        <w:autoSpaceDE w:val="0"/>
        <w:autoSpaceDN w:val="0"/>
        <w:adjustRightInd w:val="0"/>
        <w:spacing w:line="276" w:lineRule="auto"/>
        <w:jc w:val="both"/>
        <w:rPr>
          <w:rFonts w:ascii="Times New Roman" w:hAnsi="Times New Roman" w:cs="Times New Roman"/>
          <w:sz w:val="24"/>
          <w:szCs w:val="24"/>
        </w:rPr>
      </w:pPr>
    </w:p>
    <w:p w14:paraId="61058765" w14:textId="77777777" w:rsidR="00DB4067" w:rsidRPr="00944EE4" w:rsidRDefault="00880F37" w:rsidP="00BC6FF2">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Troisièmement, des domaines de développement émergents qui pourraient être définis par les autorités nationales et auxquelles les Nations Unies pourraient répondre en fonction de la disponibilité de certains fonds d’affectation spéciale.</w:t>
      </w:r>
    </w:p>
    <w:p w14:paraId="2C280DE7" w14:textId="77777777" w:rsidR="00DB4067" w:rsidRPr="00944EE4" w:rsidRDefault="00DB4067" w:rsidP="007C6BB8">
      <w:pPr>
        <w:autoSpaceDE w:val="0"/>
        <w:autoSpaceDN w:val="0"/>
        <w:adjustRightInd w:val="0"/>
        <w:rPr>
          <w:rFonts w:ascii="Times New Roman" w:hAnsi="Times New Roman" w:cs="Times New Roman"/>
          <w:sz w:val="24"/>
          <w:szCs w:val="24"/>
        </w:rPr>
      </w:pPr>
    </w:p>
    <w:p w14:paraId="72AB075C" w14:textId="593232F5" w:rsidR="007C6BB8" w:rsidRPr="00944EE4" w:rsidRDefault="00880F37" w:rsidP="008B72F6">
      <w:pPr>
        <w:pStyle w:val="Titre1"/>
        <w:rPr>
          <w:rFonts w:ascii="Times New Roman" w:hAnsi="Times New Roman" w:cs="Times New Roman"/>
          <w:sz w:val="24"/>
          <w:szCs w:val="24"/>
        </w:rPr>
      </w:pPr>
      <w:bookmarkStart w:id="14" w:name="_Toc509228613"/>
      <w:r w:rsidRPr="00944EE4">
        <w:rPr>
          <w:rFonts w:ascii="Times New Roman" w:hAnsi="Times New Roman" w:cs="Times New Roman"/>
          <w:sz w:val="24"/>
          <w:szCs w:val="24"/>
          <w:u w:val="single"/>
        </w:rPr>
        <w:t>PARTIE IV</w:t>
      </w:r>
      <w:r w:rsidRPr="00944EE4">
        <w:rPr>
          <w:rFonts w:ascii="Times New Roman" w:hAnsi="Times New Roman" w:cs="Times New Roman"/>
          <w:sz w:val="24"/>
          <w:szCs w:val="24"/>
        </w:rPr>
        <w:t> : MISE EN ŒUVRE</w:t>
      </w:r>
      <w:bookmarkEnd w:id="14"/>
    </w:p>
    <w:p w14:paraId="7071AF2A" w14:textId="77777777" w:rsidR="001C526D" w:rsidRPr="00944EE4" w:rsidRDefault="001C526D" w:rsidP="007C6BB8">
      <w:pPr>
        <w:autoSpaceDE w:val="0"/>
        <w:autoSpaceDN w:val="0"/>
        <w:adjustRightInd w:val="0"/>
        <w:rPr>
          <w:rFonts w:ascii="Times New Roman" w:hAnsi="Times New Roman" w:cs="Times New Roman"/>
          <w:sz w:val="24"/>
          <w:szCs w:val="24"/>
        </w:rPr>
      </w:pPr>
    </w:p>
    <w:p w14:paraId="5459E4D4" w14:textId="7A48CD95" w:rsidR="001C526D" w:rsidRPr="00944EE4" w:rsidRDefault="00880F37" w:rsidP="001C526D">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Les quatre axes de coopération retenus offrent aux Nations Unies, sous le leadership du Coordonnateur Résident, l’occasion d’opérationnaliser leur volonté « d’être Unies dans l’action » Pour faciliter la réalisation des effets escomptés du Plan Cadre à travers le développement des différents produits</w:t>
      </w:r>
      <w:r w:rsidR="00222405">
        <w:rPr>
          <w:rFonts w:ascii="Times New Roman" w:hAnsi="Times New Roman" w:cs="Times New Roman"/>
          <w:sz w:val="24"/>
          <w:szCs w:val="24"/>
        </w:rPr>
        <w:t>.</w:t>
      </w:r>
      <w:r w:rsidRPr="00944EE4">
        <w:rPr>
          <w:rFonts w:ascii="Times New Roman" w:hAnsi="Times New Roman" w:cs="Times New Roman"/>
          <w:sz w:val="24"/>
          <w:szCs w:val="24"/>
        </w:rPr>
        <w:t xml:space="preserve"> </w:t>
      </w:r>
    </w:p>
    <w:p w14:paraId="17AC7B8D" w14:textId="77777777" w:rsidR="001C526D" w:rsidRPr="00944EE4" w:rsidRDefault="001C526D" w:rsidP="001C526D">
      <w:pPr>
        <w:spacing w:line="276" w:lineRule="auto"/>
        <w:jc w:val="both"/>
        <w:rPr>
          <w:rFonts w:ascii="Times New Roman" w:hAnsi="Times New Roman" w:cs="Times New Roman"/>
          <w:sz w:val="24"/>
          <w:szCs w:val="24"/>
        </w:rPr>
      </w:pPr>
    </w:p>
    <w:p w14:paraId="4F0C7E3A" w14:textId="17404B67" w:rsidR="00093339" w:rsidRPr="00944EE4" w:rsidRDefault="00880F37" w:rsidP="00093339">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Le Gouvernement du Mali et les Nations Unies ont convenu de mettre en place </w:t>
      </w:r>
      <w:r w:rsidRPr="00944EE4">
        <w:rPr>
          <w:rFonts w:ascii="Times New Roman" w:hAnsi="Times New Roman" w:cs="Times New Roman"/>
          <w:iCs/>
          <w:sz w:val="24"/>
          <w:szCs w:val="24"/>
        </w:rPr>
        <w:t xml:space="preserve">un Comité de pilotage </w:t>
      </w:r>
      <w:r w:rsidRPr="00944EE4">
        <w:rPr>
          <w:rFonts w:ascii="Times New Roman" w:hAnsi="Times New Roman" w:cs="Times New Roman"/>
          <w:bCs/>
          <w:sz w:val="24"/>
          <w:szCs w:val="24"/>
        </w:rPr>
        <w:t>(CP)</w:t>
      </w:r>
      <w:r w:rsidRPr="00944EE4">
        <w:rPr>
          <w:rFonts w:ascii="Times New Roman" w:hAnsi="Times New Roman" w:cs="Times New Roman"/>
          <w:b/>
          <w:bCs/>
          <w:sz w:val="24"/>
          <w:szCs w:val="24"/>
        </w:rPr>
        <w:t xml:space="preserve"> </w:t>
      </w:r>
      <w:r w:rsidRPr="00944EE4">
        <w:rPr>
          <w:rFonts w:ascii="Times New Roman" w:hAnsi="Times New Roman" w:cs="Times New Roman"/>
          <w:sz w:val="24"/>
          <w:szCs w:val="24"/>
        </w:rPr>
        <w:t xml:space="preserve">au niveau central, co-présidé par le Représentant du Gouvernement malien (Ministère des Affaires Etrangères, de l’Intégration Africaine et de la Coopération Internationale) et le </w:t>
      </w:r>
      <w:r w:rsidRPr="00944EE4">
        <w:rPr>
          <w:rFonts w:ascii="Times New Roman" w:hAnsi="Times New Roman" w:cs="Times New Roman"/>
          <w:sz w:val="24"/>
          <w:szCs w:val="24"/>
        </w:rPr>
        <w:lastRenderedPageBreak/>
        <w:t xml:space="preserve">Coordonnateur Résident des activités opérationnelles du Système des Nations Unies au Mali. </w:t>
      </w:r>
      <w:r w:rsidR="00222405">
        <w:rPr>
          <w:rFonts w:ascii="Times New Roman" w:hAnsi="Times New Roman" w:cs="Times New Roman"/>
          <w:sz w:val="24"/>
          <w:szCs w:val="24"/>
        </w:rPr>
        <w:t>Ce Comité de pilotage regroupe</w:t>
      </w:r>
      <w:r w:rsidRPr="00944EE4">
        <w:rPr>
          <w:rFonts w:ascii="Times New Roman" w:hAnsi="Times New Roman" w:cs="Times New Roman"/>
          <w:sz w:val="24"/>
          <w:szCs w:val="24"/>
        </w:rPr>
        <w:t xml:space="preserve"> des représentants des départements ministériels, des organisations nationales, incluant la société civile, des représentants des administrations régionales, et des agences </w:t>
      </w:r>
      <w:r w:rsidR="00222405">
        <w:rPr>
          <w:rFonts w:ascii="Times New Roman" w:hAnsi="Times New Roman" w:cs="Times New Roman"/>
          <w:sz w:val="24"/>
          <w:szCs w:val="24"/>
        </w:rPr>
        <w:t>des Nations Unies. Il se réunit</w:t>
      </w:r>
      <w:r w:rsidRPr="00944EE4">
        <w:rPr>
          <w:rFonts w:ascii="Times New Roman" w:hAnsi="Times New Roman" w:cs="Times New Roman"/>
          <w:sz w:val="24"/>
          <w:szCs w:val="24"/>
        </w:rPr>
        <w:t xml:space="preserve"> une fois par an pour valider les progrès réalisés et prendre connaissance des contraintes et opportunités et donner des orientations pour garantir une meilleure réalisation des résultats de l’UNDAF+. Si la situation le requiert, il pourra se réunir de manière ad hoc. Il s’appuiera sur quatre groupes de travail (GT) qui seront formés sur la base des quatre axes stratégiques retenus.</w:t>
      </w:r>
      <w:r w:rsidRPr="00944EE4">
        <w:rPr>
          <w:rFonts w:ascii="Times New Roman" w:eastAsia="Times New Roman" w:hAnsi="Times New Roman" w:cs="Times New Roman"/>
          <w:sz w:val="24"/>
          <w:szCs w:val="24"/>
          <w:lang w:eastAsia="fr-FR"/>
        </w:rPr>
        <w:t xml:space="preserve"> </w:t>
      </w:r>
    </w:p>
    <w:p w14:paraId="2D536524" w14:textId="77777777" w:rsidR="001C526D" w:rsidRPr="00944EE4" w:rsidRDefault="001C526D" w:rsidP="001C526D">
      <w:pPr>
        <w:spacing w:line="276" w:lineRule="auto"/>
        <w:jc w:val="both"/>
        <w:rPr>
          <w:rFonts w:ascii="Times New Roman" w:hAnsi="Times New Roman" w:cs="Times New Roman"/>
          <w:sz w:val="24"/>
          <w:szCs w:val="24"/>
        </w:rPr>
      </w:pPr>
    </w:p>
    <w:p w14:paraId="735BE965" w14:textId="2C484DF5" w:rsidR="001C526D" w:rsidRPr="00944EE4" w:rsidRDefault="00880F37" w:rsidP="001C526D">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Le présent Plan Cadre </w:t>
      </w:r>
      <w:r w:rsidR="00222405">
        <w:rPr>
          <w:rFonts w:ascii="Times New Roman" w:hAnsi="Times New Roman" w:cs="Times New Roman"/>
          <w:sz w:val="24"/>
          <w:szCs w:val="24"/>
        </w:rPr>
        <w:t>du UNDAF est</w:t>
      </w:r>
      <w:r w:rsidRPr="00944EE4">
        <w:rPr>
          <w:rFonts w:ascii="Times New Roman" w:hAnsi="Times New Roman" w:cs="Times New Roman"/>
          <w:sz w:val="24"/>
          <w:szCs w:val="24"/>
        </w:rPr>
        <w:t xml:space="preserve"> aussi l’occasion pour les Nations Unies au Mali de mettre en pratique les principes de la Déclaration de Paris et du Partenariat de Busan à travers notamment : l’alignement de ses interventions sur les priorités nationales, l’utilisation des systèmes nationaux de suivi - évaluation ainsi que l’Approche Harmonisée de Transferts des Ressources (HACT) aux partenaires nationaux en charge de l’exécution des Programmes.</w:t>
      </w:r>
    </w:p>
    <w:p w14:paraId="2815C74C" w14:textId="77777777" w:rsidR="001C526D" w:rsidRPr="00944EE4" w:rsidRDefault="001C526D" w:rsidP="007C6BB8">
      <w:pPr>
        <w:autoSpaceDE w:val="0"/>
        <w:autoSpaceDN w:val="0"/>
        <w:adjustRightInd w:val="0"/>
        <w:rPr>
          <w:rFonts w:ascii="Times New Roman" w:hAnsi="Times New Roman" w:cs="Times New Roman"/>
          <w:sz w:val="24"/>
          <w:szCs w:val="24"/>
        </w:rPr>
      </w:pPr>
    </w:p>
    <w:p w14:paraId="668B6EF9" w14:textId="2E042886" w:rsidR="007C6BB8" w:rsidRDefault="00880F37" w:rsidP="007C6BB8">
      <w:pPr>
        <w:autoSpaceDE w:val="0"/>
        <w:autoSpaceDN w:val="0"/>
        <w:adjustRightInd w:val="0"/>
        <w:rPr>
          <w:rFonts w:ascii="Times New Roman" w:hAnsi="Times New Roman" w:cs="Times New Roman"/>
          <w:i/>
          <w:color w:val="1F497D" w:themeColor="text2"/>
          <w:sz w:val="24"/>
          <w:szCs w:val="24"/>
          <w:u w:val="single"/>
        </w:rPr>
      </w:pPr>
      <w:r w:rsidRPr="00944EE4">
        <w:rPr>
          <w:rFonts w:ascii="Times New Roman" w:hAnsi="Times New Roman" w:cs="Times New Roman"/>
          <w:i/>
          <w:color w:val="1F497D" w:themeColor="text2"/>
          <w:sz w:val="24"/>
          <w:szCs w:val="24"/>
          <w:u w:val="single"/>
        </w:rPr>
        <w:t>Partenariat</w:t>
      </w:r>
    </w:p>
    <w:p w14:paraId="70935CAA" w14:textId="77777777" w:rsidR="00102785" w:rsidRPr="00944EE4" w:rsidRDefault="00102785" w:rsidP="007C6BB8">
      <w:pPr>
        <w:autoSpaceDE w:val="0"/>
        <w:autoSpaceDN w:val="0"/>
        <w:adjustRightInd w:val="0"/>
        <w:rPr>
          <w:rFonts w:ascii="Times New Roman" w:hAnsi="Times New Roman" w:cs="Times New Roman"/>
          <w:i/>
          <w:color w:val="1F497D" w:themeColor="text2"/>
          <w:sz w:val="24"/>
          <w:szCs w:val="24"/>
          <w:u w:val="single"/>
        </w:rPr>
      </w:pPr>
    </w:p>
    <w:p w14:paraId="7467F357" w14:textId="67F4904D" w:rsidR="001C526D" w:rsidRPr="00944EE4" w:rsidRDefault="00222405" w:rsidP="001C526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Le </w:t>
      </w:r>
      <w:r w:rsidR="00880F37" w:rsidRPr="00944EE4">
        <w:rPr>
          <w:rFonts w:ascii="Times New Roman" w:hAnsi="Times New Roman" w:cs="Times New Roman"/>
          <w:sz w:val="24"/>
          <w:szCs w:val="24"/>
        </w:rPr>
        <w:t>partenariat</w:t>
      </w:r>
      <w:r>
        <w:rPr>
          <w:rFonts w:ascii="Times New Roman" w:hAnsi="Times New Roman" w:cs="Times New Roman"/>
          <w:sz w:val="24"/>
          <w:szCs w:val="24"/>
        </w:rPr>
        <w:t xml:space="preserve"> pour l</w:t>
      </w:r>
      <w:r w:rsidRPr="00944EE4">
        <w:rPr>
          <w:rFonts w:ascii="Times New Roman" w:hAnsi="Times New Roman" w:cs="Times New Roman"/>
          <w:sz w:val="24"/>
          <w:szCs w:val="24"/>
        </w:rPr>
        <w:t xml:space="preserve">a mise en œuvre de l’UNDAF+ </w:t>
      </w:r>
      <w:r>
        <w:rPr>
          <w:rFonts w:ascii="Times New Roman" w:hAnsi="Times New Roman" w:cs="Times New Roman"/>
          <w:sz w:val="24"/>
          <w:szCs w:val="24"/>
        </w:rPr>
        <w:t>est plac</w:t>
      </w:r>
      <w:r w:rsidR="001D2077" w:rsidRPr="00944EE4">
        <w:rPr>
          <w:rFonts w:ascii="Times New Roman" w:hAnsi="Times New Roman" w:cs="Times New Roman"/>
          <w:sz w:val="24"/>
          <w:szCs w:val="24"/>
        </w:rPr>
        <w:t>é</w:t>
      </w:r>
      <w:r w:rsidR="00880F37" w:rsidRPr="00944EE4">
        <w:rPr>
          <w:rFonts w:ascii="Times New Roman" w:hAnsi="Times New Roman" w:cs="Times New Roman"/>
          <w:sz w:val="24"/>
          <w:szCs w:val="24"/>
        </w:rPr>
        <w:t xml:space="preserve"> sous</w:t>
      </w:r>
      <w:r w:rsidR="001D2077">
        <w:rPr>
          <w:rFonts w:ascii="Times New Roman" w:hAnsi="Times New Roman" w:cs="Times New Roman"/>
          <w:sz w:val="24"/>
          <w:szCs w:val="24"/>
        </w:rPr>
        <w:t xml:space="preserve"> le leadership du Gouvernement, de maniere à assurer </w:t>
      </w:r>
      <w:r w:rsidR="00880F37" w:rsidRPr="00944EE4">
        <w:rPr>
          <w:rFonts w:ascii="Times New Roman" w:hAnsi="Times New Roman" w:cs="Times New Roman"/>
          <w:sz w:val="24"/>
          <w:szCs w:val="24"/>
        </w:rPr>
        <w:t>la cohérence des actions menées par les Nations Unies avec les défis et les priorités nationales. Il s’agi</w:t>
      </w:r>
      <w:r w:rsidR="001D2077">
        <w:rPr>
          <w:rFonts w:ascii="Times New Roman" w:hAnsi="Times New Roman" w:cs="Times New Roman"/>
          <w:sz w:val="24"/>
          <w:szCs w:val="24"/>
        </w:rPr>
        <w:t>t</w:t>
      </w:r>
      <w:r w:rsidR="00880F37" w:rsidRPr="00944EE4">
        <w:rPr>
          <w:rFonts w:ascii="Times New Roman" w:hAnsi="Times New Roman" w:cs="Times New Roman"/>
          <w:sz w:val="24"/>
          <w:szCs w:val="24"/>
        </w:rPr>
        <w:t xml:space="preserve"> aussi de s’assurer de la coopération avec les </w:t>
      </w:r>
      <w:r w:rsidR="001D2077">
        <w:rPr>
          <w:rFonts w:ascii="Times New Roman" w:hAnsi="Times New Roman" w:cs="Times New Roman"/>
          <w:sz w:val="24"/>
          <w:szCs w:val="24"/>
        </w:rPr>
        <w:t xml:space="preserve">autres </w:t>
      </w:r>
      <w:r w:rsidR="00880F37" w:rsidRPr="00944EE4">
        <w:rPr>
          <w:rFonts w:ascii="Times New Roman" w:hAnsi="Times New Roman" w:cs="Times New Roman"/>
          <w:sz w:val="24"/>
          <w:szCs w:val="24"/>
        </w:rPr>
        <w:t>partenaires au développement pour une meilleure articulation entre l’UNDAF+ et leurs cadres stratégiques d’assistance au Mali, en particulier la Stratégie Commune d’Assistance Pays (SCAP). Enfin, il convient de garder à l’esprit l’appui que les Nations Unies devront apporter au Mali dans la mise en œuvre de ses engagements internationaux, notamment ceux prévus dans l’agenda Post 2015.</w:t>
      </w:r>
    </w:p>
    <w:p w14:paraId="52EF38E8" w14:textId="77777777" w:rsidR="001C526D" w:rsidRPr="00944EE4" w:rsidRDefault="001C526D" w:rsidP="001C526D">
      <w:pPr>
        <w:spacing w:line="276" w:lineRule="auto"/>
        <w:jc w:val="both"/>
        <w:rPr>
          <w:rFonts w:ascii="Times New Roman" w:hAnsi="Times New Roman" w:cs="Times New Roman"/>
          <w:sz w:val="24"/>
          <w:szCs w:val="24"/>
        </w:rPr>
      </w:pPr>
    </w:p>
    <w:p w14:paraId="1E8096F7" w14:textId="4D206665" w:rsidR="00134F2D" w:rsidRPr="001D2077" w:rsidRDefault="00134F2D" w:rsidP="00134F2D">
      <w:pPr>
        <w:jc w:val="both"/>
        <w:rPr>
          <w:rFonts w:ascii="Times New Roman" w:hAnsi="Times New Roman" w:cs="Times New Roman"/>
          <w:bCs/>
          <w:sz w:val="24"/>
          <w:szCs w:val="24"/>
        </w:rPr>
      </w:pPr>
      <w:r w:rsidRPr="001D2077">
        <w:rPr>
          <w:rFonts w:ascii="Times New Roman" w:hAnsi="Times New Roman" w:cs="Times New Roman"/>
          <w:bCs/>
          <w:sz w:val="24"/>
          <w:szCs w:val="24"/>
        </w:rPr>
        <w:t>Les évolutions attendues dans le mandat et les stratégies de la MINUSMA lai</w:t>
      </w:r>
      <w:r w:rsidR="001D2077">
        <w:rPr>
          <w:rFonts w:ascii="Times New Roman" w:hAnsi="Times New Roman" w:cs="Times New Roman"/>
          <w:bCs/>
          <w:sz w:val="24"/>
          <w:szCs w:val="24"/>
        </w:rPr>
        <w:t>ss</w:t>
      </w:r>
      <w:r w:rsidRPr="001D2077">
        <w:rPr>
          <w:rFonts w:ascii="Times New Roman" w:hAnsi="Times New Roman" w:cs="Times New Roman"/>
          <w:bCs/>
          <w:sz w:val="24"/>
          <w:szCs w:val="24"/>
        </w:rPr>
        <w:t xml:space="preserve">ent entrevoir </w:t>
      </w:r>
      <w:r w:rsidR="0020407B" w:rsidRPr="001D2077">
        <w:rPr>
          <w:rFonts w:ascii="Times New Roman" w:hAnsi="Times New Roman" w:cs="Times New Roman"/>
          <w:bCs/>
          <w:sz w:val="24"/>
          <w:szCs w:val="24"/>
        </w:rPr>
        <w:t>des interfaces plus amples entre elle et les entités de développemen</w:t>
      </w:r>
      <w:r w:rsidR="001D2077">
        <w:rPr>
          <w:rFonts w:ascii="Times New Roman" w:hAnsi="Times New Roman" w:cs="Times New Roman"/>
          <w:bCs/>
          <w:sz w:val="24"/>
          <w:szCs w:val="24"/>
        </w:rPr>
        <w:t>t</w:t>
      </w:r>
      <w:r w:rsidR="0020407B" w:rsidRPr="001D2077">
        <w:rPr>
          <w:rFonts w:ascii="Times New Roman" w:hAnsi="Times New Roman" w:cs="Times New Roman"/>
          <w:bCs/>
          <w:sz w:val="24"/>
          <w:szCs w:val="24"/>
        </w:rPr>
        <w:t xml:space="preserve">. Des engagements conjoints forts Mission/Agences </w:t>
      </w:r>
      <w:r w:rsidRPr="001D2077">
        <w:rPr>
          <w:rFonts w:ascii="Times New Roman" w:hAnsi="Times New Roman" w:cs="Times New Roman"/>
          <w:bCs/>
          <w:sz w:val="24"/>
          <w:szCs w:val="24"/>
        </w:rPr>
        <w:t xml:space="preserve">  seront de mise dans l’appui aux réformes et autres processus institutionnels comme le cycle électoral à venir. Là aussi la Mission continuerait à garder le leadership sur le dialogue politique et la levée des blocages sur les conditions préalables qui existent toujours lorsqu’on veut reformer, d’une part, la mobilisation de ressources, d’autre part ; les Agences, Fonds et Programmes, pour leur part, se positionneraient davantage dans le développement de capacités institutionnelles au niveau national et local, la Mission continuant aussi à les assister dans la gestion des contraintes sécuritaires sur le terrain.</w:t>
      </w:r>
    </w:p>
    <w:p w14:paraId="462C31FC" w14:textId="77777777" w:rsidR="00134F2D" w:rsidRPr="001D2077" w:rsidRDefault="00134F2D" w:rsidP="00134F2D">
      <w:pPr>
        <w:rPr>
          <w:rFonts w:ascii="Times New Roman" w:hAnsi="Times New Roman" w:cs="Times New Roman"/>
          <w:bCs/>
          <w:sz w:val="24"/>
          <w:szCs w:val="24"/>
        </w:rPr>
      </w:pPr>
    </w:p>
    <w:p w14:paraId="2886697D" w14:textId="4A9A3BC8" w:rsidR="00134F2D" w:rsidRPr="001D2077" w:rsidRDefault="0020407B" w:rsidP="00134F2D">
      <w:pPr>
        <w:jc w:val="both"/>
        <w:rPr>
          <w:rFonts w:ascii="Times New Roman" w:hAnsi="Times New Roman" w:cs="Times New Roman"/>
          <w:bCs/>
          <w:sz w:val="24"/>
          <w:szCs w:val="24"/>
        </w:rPr>
      </w:pPr>
      <w:r w:rsidRPr="001D2077">
        <w:rPr>
          <w:rFonts w:ascii="Times New Roman" w:hAnsi="Times New Roman" w:cs="Times New Roman"/>
          <w:bCs/>
          <w:sz w:val="24"/>
          <w:szCs w:val="24"/>
        </w:rPr>
        <w:t xml:space="preserve">Dans le déploiement des </w:t>
      </w:r>
      <w:r w:rsidR="00134F2D" w:rsidRPr="001D2077">
        <w:rPr>
          <w:rFonts w:ascii="Times New Roman" w:hAnsi="Times New Roman" w:cs="Times New Roman"/>
          <w:bCs/>
          <w:sz w:val="24"/>
          <w:szCs w:val="24"/>
        </w:rPr>
        <w:t>Services sociaux de base</w:t>
      </w:r>
      <w:r w:rsidRPr="001D2077">
        <w:rPr>
          <w:rFonts w:ascii="Times New Roman" w:hAnsi="Times New Roman" w:cs="Times New Roman"/>
          <w:bCs/>
          <w:sz w:val="24"/>
          <w:szCs w:val="24"/>
        </w:rPr>
        <w:t xml:space="preserve"> aussi, en </w:t>
      </w:r>
      <w:r w:rsidR="00134F2D" w:rsidRPr="001D2077">
        <w:rPr>
          <w:rFonts w:ascii="Times New Roman" w:hAnsi="Times New Roman" w:cs="Times New Roman"/>
          <w:bCs/>
          <w:sz w:val="24"/>
          <w:szCs w:val="24"/>
        </w:rPr>
        <w:t>perspective d’</w:t>
      </w:r>
      <w:r w:rsidRPr="001D2077">
        <w:rPr>
          <w:rFonts w:ascii="Times New Roman" w:hAnsi="Times New Roman" w:cs="Times New Roman"/>
          <w:bCs/>
          <w:sz w:val="24"/>
          <w:szCs w:val="24"/>
        </w:rPr>
        <w:t xml:space="preserve">une </w:t>
      </w:r>
      <w:r w:rsidR="00134F2D" w:rsidRPr="001D2077">
        <w:rPr>
          <w:rFonts w:ascii="Times New Roman" w:hAnsi="Times New Roman" w:cs="Times New Roman"/>
          <w:bCs/>
          <w:sz w:val="24"/>
          <w:szCs w:val="24"/>
        </w:rPr>
        <w:t xml:space="preserve">évolution du positionnement </w:t>
      </w:r>
      <w:r w:rsidR="001D2077">
        <w:rPr>
          <w:rFonts w:ascii="Times New Roman" w:hAnsi="Times New Roman" w:cs="Times New Roman"/>
          <w:bCs/>
          <w:sz w:val="24"/>
          <w:szCs w:val="24"/>
        </w:rPr>
        <w:t>de la Mission, celle-ci pourra</w:t>
      </w:r>
      <w:r w:rsidR="00134F2D" w:rsidRPr="001D2077">
        <w:rPr>
          <w:rFonts w:ascii="Times New Roman" w:hAnsi="Times New Roman" w:cs="Times New Roman"/>
          <w:bCs/>
          <w:sz w:val="24"/>
          <w:szCs w:val="24"/>
        </w:rPr>
        <w:t xml:space="preserve"> travailler en interventions conjointes avec les agences techniques, dans un partage de rôles lui conférant les aspects politiques et sécuritaires, et aux Agences, Fonds et Programmes, la programmation et la gestion opérationnelle des actions à la base (l’idée est de ne pas laisser un vide se créer à la faveur d’un retrait même progressif de la Mission). Les services sociaux de base sont un cadre approprié de mise en œuvre de la transition programmatique humanitaire-développement. Pour le Nord, et dans des secteurs clés comme la santé, la nutrition, l’éducation, la sécurité alimentaire, la Commission de réhabilitation des zones post-conflit</w:t>
      </w:r>
      <w:r w:rsidR="00134F2D" w:rsidRPr="001D2077">
        <w:rPr>
          <w:rFonts w:ascii="Times New Roman" w:hAnsi="Times New Roman" w:cs="Times New Roman"/>
          <w:bCs/>
          <w:i/>
          <w:sz w:val="24"/>
          <w:szCs w:val="24"/>
        </w:rPr>
        <w:t xml:space="preserve"> </w:t>
      </w:r>
      <w:r w:rsidR="001D2077">
        <w:rPr>
          <w:rFonts w:ascii="Times New Roman" w:hAnsi="Times New Roman" w:cs="Times New Roman"/>
          <w:bCs/>
          <w:sz w:val="24"/>
          <w:szCs w:val="24"/>
        </w:rPr>
        <w:t>(CRZPC)</w:t>
      </w:r>
      <w:r w:rsidR="00134F2D" w:rsidRPr="001D2077">
        <w:rPr>
          <w:rFonts w:ascii="Times New Roman" w:hAnsi="Times New Roman" w:cs="Times New Roman"/>
          <w:bCs/>
          <w:sz w:val="24"/>
          <w:szCs w:val="24"/>
        </w:rPr>
        <w:t xml:space="preserve"> déroule déjà une feuille de route dans ce sens en mettant ensemble acteurs humanitaires et de développement dans cette partie du territoire.</w:t>
      </w:r>
    </w:p>
    <w:p w14:paraId="4789AB30" w14:textId="749B3B09" w:rsidR="00BC6FF2" w:rsidRDefault="00BC6FF2" w:rsidP="007C6BB8">
      <w:pPr>
        <w:autoSpaceDE w:val="0"/>
        <w:autoSpaceDN w:val="0"/>
        <w:adjustRightInd w:val="0"/>
        <w:rPr>
          <w:rFonts w:ascii="Times New Roman" w:hAnsi="Times New Roman" w:cs="Times New Roman"/>
          <w:i/>
          <w:color w:val="1F497D" w:themeColor="text2"/>
          <w:sz w:val="24"/>
          <w:szCs w:val="24"/>
          <w:u w:val="single"/>
        </w:rPr>
      </w:pPr>
    </w:p>
    <w:p w14:paraId="0234B78B" w14:textId="77777777" w:rsidR="00102785" w:rsidRPr="00944EE4" w:rsidRDefault="00102785" w:rsidP="007C6BB8">
      <w:pPr>
        <w:autoSpaceDE w:val="0"/>
        <w:autoSpaceDN w:val="0"/>
        <w:adjustRightInd w:val="0"/>
        <w:rPr>
          <w:rFonts w:ascii="Times New Roman" w:hAnsi="Times New Roman" w:cs="Times New Roman"/>
          <w:i/>
          <w:color w:val="1F497D" w:themeColor="text2"/>
          <w:sz w:val="24"/>
          <w:szCs w:val="24"/>
          <w:u w:val="single"/>
        </w:rPr>
      </w:pPr>
    </w:p>
    <w:p w14:paraId="077934EC" w14:textId="13DC3877" w:rsidR="007C6BB8" w:rsidRDefault="00880F37" w:rsidP="007C6BB8">
      <w:pPr>
        <w:autoSpaceDE w:val="0"/>
        <w:autoSpaceDN w:val="0"/>
        <w:adjustRightInd w:val="0"/>
        <w:rPr>
          <w:rFonts w:ascii="Times New Roman" w:hAnsi="Times New Roman" w:cs="Times New Roman"/>
          <w:i/>
          <w:color w:val="1F497D" w:themeColor="text2"/>
          <w:sz w:val="24"/>
          <w:szCs w:val="24"/>
          <w:u w:val="single"/>
        </w:rPr>
      </w:pPr>
      <w:r w:rsidRPr="00944EE4">
        <w:rPr>
          <w:rFonts w:ascii="Times New Roman" w:hAnsi="Times New Roman" w:cs="Times New Roman"/>
          <w:i/>
          <w:color w:val="1F497D" w:themeColor="text2"/>
          <w:sz w:val="24"/>
          <w:szCs w:val="24"/>
          <w:u w:val="single"/>
        </w:rPr>
        <w:lastRenderedPageBreak/>
        <w:t xml:space="preserve">Mécanismes de coordination </w:t>
      </w:r>
    </w:p>
    <w:p w14:paraId="026EF252" w14:textId="77777777" w:rsidR="00102785" w:rsidRPr="00944EE4" w:rsidRDefault="00102785" w:rsidP="007C6BB8">
      <w:pPr>
        <w:autoSpaceDE w:val="0"/>
        <w:autoSpaceDN w:val="0"/>
        <w:adjustRightInd w:val="0"/>
        <w:rPr>
          <w:rFonts w:ascii="Times New Roman" w:hAnsi="Times New Roman" w:cs="Times New Roman"/>
          <w:i/>
          <w:color w:val="1F497D" w:themeColor="text2"/>
          <w:sz w:val="24"/>
          <w:szCs w:val="24"/>
          <w:u w:val="single"/>
        </w:rPr>
      </w:pPr>
    </w:p>
    <w:p w14:paraId="7E4ED1D8" w14:textId="5E658B4D" w:rsidR="008E434F" w:rsidRPr="00944EE4" w:rsidRDefault="008E434F" w:rsidP="008E434F">
      <w:pPr>
        <w:tabs>
          <w:tab w:val="num" w:pos="360"/>
        </w:tabs>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La MINUSMA et l’Equipe Pays, constituée des Chefs d’Agence</w:t>
      </w:r>
      <w:r w:rsidR="004D37A7">
        <w:rPr>
          <w:rFonts w:ascii="Times New Roman" w:hAnsi="Times New Roman" w:cs="Times New Roman"/>
          <w:sz w:val="24"/>
          <w:szCs w:val="24"/>
        </w:rPr>
        <w:t xml:space="preserve"> du Système des Nations Unies, </w:t>
      </w:r>
      <w:r w:rsidRPr="00944EE4">
        <w:rPr>
          <w:rFonts w:ascii="Times New Roman" w:hAnsi="Times New Roman" w:cs="Times New Roman"/>
          <w:sz w:val="24"/>
          <w:szCs w:val="24"/>
        </w:rPr>
        <w:t xml:space="preserve">assureront la coordination et le suivi des activités de mise en œuvre de l’UNDAF+. Pour le Gouvernement du Mali, le Ministère des Affaires Etrangères, de l’Intégration africaine et de la Coopération Internationale assurera la coordination générale du processus de l’UNDAF+ (organisation des revues annuelles, à mi-parcours, des missions sur le terrain dans le cadre de l’élaboration des programmes conjoints), cependant, la mise en œuvre techniques des programmes, projets et interventions à caractère sectoriels sera faite directement en collaboration avec les ministères sectoriels. </w:t>
      </w:r>
    </w:p>
    <w:p w14:paraId="2F3CE5F1" w14:textId="77777777" w:rsidR="008E434F" w:rsidRDefault="008E434F" w:rsidP="00477CD8">
      <w:pPr>
        <w:spacing w:line="276" w:lineRule="auto"/>
        <w:jc w:val="both"/>
        <w:rPr>
          <w:rFonts w:ascii="Times New Roman" w:hAnsi="Times New Roman" w:cs="Times New Roman"/>
          <w:sz w:val="24"/>
          <w:szCs w:val="24"/>
        </w:rPr>
      </w:pPr>
    </w:p>
    <w:p w14:paraId="55724D26" w14:textId="294DF857" w:rsidR="00477CD8" w:rsidRPr="00944EE4" w:rsidRDefault="00477CD8" w:rsidP="00477CD8">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La coordination entre les Nations Unies et les autres partenaires au développement </w:t>
      </w:r>
      <w:r>
        <w:rPr>
          <w:rFonts w:ascii="Times New Roman" w:hAnsi="Times New Roman" w:cs="Times New Roman"/>
          <w:sz w:val="24"/>
          <w:szCs w:val="24"/>
        </w:rPr>
        <w:t>est</w:t>
      </w:r>
      <w:r w:rsidRPr="00944EE4">
        <w:rPr>
          <w:rFonts w:ascii="Times New Roman" w:hAnsi="Times New Roman" w:cs="Times New Roman"/>
          <w:sz w:val="24"/>
          <w:szCs w:val="24"/>
        </w:rPr>
        <w:t xml:space="preserve"> réalisée dans le cadre des réunions mensuelles des Chefs de mission sous la direction de la Troïka élargie. La participation du Coordonnateur Résident à ce</w:t>
      </w:r>
      <w:r>
        <w:rPr>
          <w:rFonts w:ascii="Times New Roman" w:hAnsi="Times New Roman" w:cs="Times New Roman"/>
          <w:sz w:val="24"/>
          <w:szCs w:val="24"/>
        </w:rPr>
        <w:t xml:space="preserve"> cadre de concertation permet</w:t>
      </w:r>
      <w:r w:rsidRPr="00944EE4">
        <w:rPr>
          <w:rFonts w:ascii="Times New Roman" w:hAnsi="Times New Roman" w:cs="Times New Roman"/>
          <w:sz w:val="24"/>
          <w:szCs w:val="24"/>
        </w:rPr>
        <w:t xml:space="preserve"> de renforcer la complémentarité des actions, voire le développement de programmes conjoints.</w:t>
      </w:r>
    </w:p>
    <w:p w14:paraId="256C03C8" w14:textId="77777777" w:rsidR="00393EFD" w:rsidRPr="00944EE4" w:rsidRDefault="00393EFD" w:rsidP="00393EFD">
      <w:pPr>
        <w:jc w:val="both"/>
        <w:rPr>
          <w:rFonts w:ascii="Times New Roman" w:hAnsi="Times New Roman" w:cs="Times New Roman"/>
          <w:bCs/>
          <w:sz w:val="24"/>
          <w:szCs w:val="24"/>
          <w:highlight w:val="yellow"/>
        </w:rPr>
      </w:pPr>
    </w:p>
    <w:p w14:paraId="3BD9DA10" w14:textId="00707597" w:rsidR="00393EFD" w:rsidRPr="00477CD8" w:rsidRDefault="00393EFD" w:rsidP="00393EFD">
      <w:pPr>
        <w:jc w:val="both"/>
        <w:rPr>
          <w:rFonts w:ascii="Times New Roman" w:hAnsi="Times New Roman" w:cs="Times New Roman"/>
          <w:bCs/>
          <w:sz w:val="24"/>
          <w:szCs w:val="24"/>
        </w:rPr>
      </w:pPr>
      <w:r w:rsidRPr="00477CD8">
        <w:rPr>
          <w:rFonts w:ascii="Times New Roman" w:hAnsi="Times New Roman" w:cs="Times New Roman"/>
          <w:bCs/>
          <w:sz w:val="24"/>
          <w:szCs w:val="24"/>
        </w:rPr>
        <w:t>Le renforcement attendu de la fonction de coordination devrait contribuer à créer un environnement collaboratif meilleur. La consolidation de l’autorité du Coordonnateur Résident et de ses capacités institutionnelles et techniques devrait faciliter les arbitrages préalables à l’acceptation des ajustements préconisés dans le cadre de cette révision du programme, ainsi que leur mise en œuvre. En effet, bien que soit réaffirmé le lien de redevabilité interne aux agences, entre le terrain et leur siège, le Coordonnateur Résident devrait, dans le nouveau contexte, avoir plus de latitude pour composer, avec les agences, l’action locale du Système dans le pays, accéder à des ressources de nature conjointe ou en mobiliser et piloter l’Equipe pays. Potentiellement dégagé de responsabilités d’agence, il devrait non seulement avoir plus de temps à consacrer à la guidance politique et stratégique du programme, mais aussi voir la neutralité de sa fonction mieux reconnue au sein de l’Equipe pays. Sans se traduire nécessairement par des contenus spécifiques à inscrire dans le réalignement du programme, tous ces éléments concourent à rendre le cadre de gestion du programme plus en phase avec l’esprit de la réforme de l’UNDAF.</w:t>
      </w:r>
    </w:p>
    <w:p w14:paraId="1084870E" w14:textId="77777777" w:rsidR="008E434F" w:rsidRDefault="008E434F" w:rsidP="00CD5D71">
      <w:pPr>
        <w:spacing w:line="276" w:lineRule="auto"/>
        <w:jc w:val="both"/>
        <w:rPr>
          <w:rFonts w:ascii="Times New Roman" w:eastAsia="Times New Roman" w:hAnsi="Times New Roman" w:cs="Times New Roman"/>
          <w:sz w:val="24"/>
          <w:szCs w:val="24"/>
        </w:rPr>
      </w:pPr>
    </w:p>
    <w:p w14:paraId="2C20BA5F" w14:textId="4A97E870" w:rsidR="00CD5D71" w:rsidRPr="00944EE4" w:rsidRDefault="00880F37" w:rsidP="00CD5D71">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Le Pro</w:t>
      </w:r>
      <w:r w:rsidR="008E434F">
        <w:rPr>
          <w:rFonts w:ascii="Times New Roman" w:hAnsi="Times New Roman" w:cs="Times New Roman"/>
          <w:sz w:val="24"/>
          <w:szCs w:val="24"/>
        </w:rPr>
        <w:t xml:space="preserve">gramme Management Team (PMT) </w:t>
      </w:r>
      <w:r w:rsidRPr="00944EE4">
        <w:rPr>
          <w:rFonts w:ascii="Times New Roman" w:hAnsi="Times New Roman" w:cs="Times New Roman"/>
          <w:sz w:val="24"/>
          <w:szCs w:val="24"/>
        </w:rPr>
        <w:t xml:space="preserve">a la responsabilité de l’opérationnalisation de l’UNDAF+.  Ce groupe composé des adjoints/directeurs de programme des différentes agences, de différentes sections de la MINUSMA et du Bureau du Coordonnateur Résident s’appuiera techniquement sur les groupes thématiques pour la mise </w:t>
      </w:r>
      <w:r w:rsidR="008E434F">
        <w:rPr>
          <w:rFonts w:ascii="Times New Roman" w:hAnsi="Times New Roman" w:cs="Times New Roman"/>
          <w:sz w:val="24"/>
          <w:szCs w:val="24"/>
        </w:rPr>
        <w:t>en œuvre de l’UNDAF+ et servira</w:t>
      </w:r>
      <w:r w:rsidRPr="00944EE4">
        <w:rPr>
          <w:rFonts w:ascii="Times New Roman" w:hAnsi="Times New Roman" w:cs="Times New Roman"/>
          <w:sz w:val="24"/>
          <w:szCs w:val="24"/>
        </w:rPr>
        <w:t xml:space="preserve"> de passerelle entre ces groupes et l’Equipe pays des Nations Unies.</w:t>
      </w:r>
    </w:p>
    <w:p w14:paraId="7E9A8CDA" w14:textId="77777777" w:rsidR="00CD5D71" w:rsidRPr="00944EE4" w:rsidRDefault="00CD5D71" w:rsidP="00CD5D71">
      <w:pPr>
        <w:spacing w:line="276" w:lineRule="auto"/>
        <w:jc w:val="both"/>
        <w:rPr>
          <w:rFonts w:ascii="Times New Roman" w:hAnsi="Times New Roman" w:cs="Times New Roman"/>
          <w:sz w:val="24"/>
          <w:szCs w:val="24"/>
        </w:rPr>
      </w:pPr>
    </w:p>
    <w:p w14:paraId="0A1A7438" w14:textId="476755F0" w:rsidR="00CD5D71" w:rsidRPr="00944EE4" w:rsidRDefault="00880F37" w:rsidP="00CD5D71">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Quatre Groupes Thématiques (GT) correspondant aux quatre axes d’intervention des Nations Uni</w:t>
      </w:r>
      <w:r w:rsidR="008E434F">
        <w:rPr>
          <w:rFonts w:ascii="Times New Roman" w:hAnsi="Times New Roman" w:cs="Times New Roman"/>
          <w:sz w:val="24"/>
          <w:szCs w:val="24"/>
        </w:rPr>
        <w:t>es pour la période 2015-2019 s</w:t>
      </w:r>
      <w:r w:rsidRPr="00944EE4">
        <w:rPr>
          <w:rFonts w:ascii="Times New Roman" w:hAnsi="Times New Roman" w:cs="Times New Roman"/>
          <w:sz w:val="24"/>
          <w:szCs w:val="24"/>
        </w:rPr>
        <w:t xml:space="preserve">ont mis en place. Chaque groupe thématique </w:t>
      </w:r>
      <w:r w:rsidR="008E434F">
        <w:rPr>
          <w:rFonts w:ascii="Times New Roman" w:hAnsi="Times New Roman" w:cs="Times New Roman"/>
          <w:sz w:val="24"/>
          <w:szCs w:val="24"/>
        </w:rPr>
        <w:t>est</w:t>
      </w:r>
      <w:r w:rsidRPr="00944EE4">
        <w:rPr>
          <w:rFonts w:ascii="Times New Roman" w:hAnsi="Times New Roman" w:cs="Times New Roman"/>
          <w:sz w:val="24"/>
          <w:szCs w:val="24"/>
        </w:rPr>
        <w:t xml:space="preserve"> responsable du suivi de l’atteinte des résultats ou produits attendus dans son domaine d’intervention. L’approche de programmation conjointe, y compris avec les autres partenaires au développem</w:t>
      </w:r>
      <w:r w:rsidR="008E434F">
        <w:rPr>
          <w:rFonts w:ascii="Times New Roman" w:hAnsi="Times New Roman" w:cs="Times New Roman"/>
          <w:sz w:val="24"/>
          <w:szCs w:val="24"/>
        </w:rPr>
        <w:t xml:space="preserve">ent et le Gouvernement du Mali, est </w:t>
      </w:r>
      <w:r w:rsidRPr="00944EE4">
        <w:rPr>
          <w:rFonts w:ascii="Times New Roman" w:hAnsi="Times New Roman" w:cs="Times New Roman"/>
          <w:sz w:val="24"/>
          <w:szCs w:val="24"/>
        </w:rPr>
        <w:t>encouragée</w:t>
      </w:r>
      <w:r w:rsidR="008E434F">
        <w:rPr>
          <w:rFonts w:ascii="Times New Roman" w:hAnsi="Times New Roman" w:cs="Times New Roman"/>
          <w:sz w:val="24"/>
          <w:szCs w:val="24"/>
        </w:rPr>
        <w:t xml:space="preserve"> par leurs participations aux reunions des </w:t>
      </w:r>
      <w:r w:rsidR="008E434F" w:rsidRPr="00944EE4">
        <w:rPr>
          <w:rFonts w:ascii="Times New Roman" w:hAnsi="Times New Roman" w:cs="Times New Roman"/>
          <w:sz w:val="24"/>
          <w:szCs w:val="24"/>
        </w:rPr>
        <w:t>groupe</w:t>
      </w:r>
      <w:r w:rsidR="008E434F">
        <w:rPr>
          <w:rFonts w:ascii="Times New Roman" w:hAnsi="Times New Roman" w:cs="Times New Roman"/>
          <w:sz w:val="24"/>
          <w:szCs w:val="24"/>
        </w:rPr>
        <w:t>s</w:t>
      </w:r>
      <w:r w:rsidR="008E434F" w:rsidRPr="00944EE4">
        <w:rPr>
          <w:rFonts w:ascii="Times New Roman" w:hAnsi="Times New Roman" w:cs="Times New Roman"/>
          <w:sz w:val="24"/>
          <w:szCs w:val="24"/>
        </w:rPr>
        <w:t xml:space="preserve"> thématique</w:t>
      </w:r>
      <w:r w:rsidR="008E434F">
        <w:rPr>
          <w:rFonts w:ascii="Times New Roman" w:hAnsi="Times New Roman" w:cs="Times New Roman"/>
          <w:sz w:val="24"/>
          <w:szCs w:val="24"/>
        </w:rPr>
        <w:t>s</w:t>
      </w:r>
      <w:r w:rsidRPr="00944EE4">
        <w:rPr>
          <w:rFonts w:ascii="Times New Roman" w:hAnsi="Times New Roman" w:cs="Times New Roman"/>
          <w:sz w:val="24"/>
          <w:szCs w:val="24"/>
        </w:rPr>
        <w:t>.</w:t>
      </w:r>
    </w:p>
    <w:p w14:paraId="33E946E9" w14:textId="77777777" w:rsidR="00CD5D71" w:rsidRPr="00944EE4" w:rsidRDefault="00CD5D71" w:rsidP="00CD5D71">
      <w:pPr>
        <w:spacing w:line="276" w:lineRule="auto"/>
        <w:jc w:val="both"/>
        <w:rPr>
          <w:rFonts w:ascii="Times New Roman" w:hAnsi="Times New Roman" w:cs="Times New Roman"/>
          <w:sz w:val="24"/>
          <w:szCs w:val="24"/>
        </w:rPr>
      </w:pPr>
    </w:p>
    <w:p w14:paraId="175225D3" w14:textId="77777777" w:rsidR="00CD5D71" w:rsidRPr="00944EE4" w:rsidRDefault="00880F37" w:rsidP="00CD5D71">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L’Operation Management Team (OMT) composé des adjoints/directeurs d’Opérations des agences, de différentes sections de la MINUSMA et du Bureau du Coordonnateur Résident, déjà fonctionnel, </w:t>
      </w:r>
      <w:r w:rsidRPr="00944EE4">
        <w:rPr>
          <w:rFonts w:ascii="Times New Roman" w:hAnsi="Times New Roman" w:cs="Times New Roman"/>
          <w:sz w:val="24"/>
          <w:szCs w:val="24"/>
        </w:rPr>
        <w:lastRenderedPageBreak/>
        <w:t>poursuivra ses travaux dans la recherche d’harmonisation et l’application des procédures opérationnelles.</w:t>
      </w:r>
    </w:p>
    <w:p w14:paraId="4581C693" w14:textId="77777777" w:rsidR="00CD5D71" w:rsidRPr="00944EE4" w:rsidRDefault="00CD5D71" w:rsidP="00CD5D71">
      <w:pPr>
        <w:spacing w:line="276" w:lineRule="auto"/>
        <w:jc w:val="both"/>
        <w:rPr>
          <w:rFonts w:ascii="Times New Roman" w:hAnsi="Times New Roman" w:cs="Times New Roman"/>
          <w:sz w:val="24"/>
          <w:szCs w:val="24"/>
        </w:rPr>
      </w:pPr>
    </w:p>
    <w:p w14:paraId="1EABD4B7" w14:textId="4DCE80F2" w:rsidR="00CD5D71" w:rsidRPr="00944EE4" w:rsidRDefault="00387EE8" w:rsidP="00CD5D71">
      <w:pPr>
        <w:tabs>
          <w:tab w:val="num" w:pos="360"/>
        </w:tabs>
        <w:spacing w:line="276" w:lineRule="auto"/>
        <w:jc w:val="both"/>
        <w:rPr>
          <w:rFonts w:ascii="Times New Roman" w:hAnsi="Times New Roman" w:cs="Times New Roman"/>
          <w:sz w:val="24"/>
          <w:szCs w:val="24"/>
        </w:rPr>
      </w:pPr>
      <w:r>
        <w:rPr>
          <w:rFonts w:ascii="Times New Roman" w:hAnsi="Times New Roman" w:cs="Times New Roman"/>
          <w:sz w:val="24"/>
          <w:szCs w:val="24"/>
        </w:rPr>
        <w:t>La</w:t>
      </w:r>
      <w:r w:rsidR="00880F37" w:rsidRPr="00944EE4">
        <w:rPr>
          <w:rFonts w:ascii="Times New Roman" w:hAnsi="Times New Roman" w:cs="Times New Roman"/>
          <w:sz w:val="24"/>
          <w:szCs w:val="24"/>
        </w:rPr>
        <w:t xml:space="preserve"> stratégie de communication des Nations Unies </w:t>
      </w:r>
      <w:r>
        <w:rPr>
          <w:rFonts w:ascii="Times New Roman" w:hAnsi="Times New Roman" w:cs="Times New Roman"/>
          <w:sz w:val="24"/>
          <w:szCs w:val="24"/>
        </w:rPr>
        <w:t xml:space="preserve">a pour </w:t>
      </w:r>
      <w:r w:rsidR="00880F37" w:rsidRPr="00944EE4">
        <w:rPr>
          <w:rFonts w:ascii="Times New Roman" w:hAnsi="Times New Roman" w:cs="Times New Roman"/>
          <w:sz w:val="24"/>
          <w:szCs w:val="24"/>
        </w:rPr>
        <w:t xml:space="preserve">but d’informer, sensibiliser et mobiliser les acteurs du développement et susciter leur adhésion </w:t>
      </w:r>
      <w:r>
        <w:rPr>
          <w:rFonts w:ascii="Times New Roman" w:hAnsi="Times New Roman" w:cs="Times New Roman"/>
          <w:sz w:val="24"/>
          <w:szCs w:val="24"/>
        </w:rPr>
        <w:t xml:space="preserve">a </w:t>
      </w:r>
      <w:r w:rsidR="00880F37" w:rsidRPr="00944EE4">
        <w:rPr>
          <w:rFonts w:ascii="Times New Roman" w:hAnsi="Times New Roman" w:cs="Times New Roman"/>
          <w:sz w:val="24"/>
          <w:szCs w:val="24"/>
        </w:rPr>
        <w:t>l’UNDAF+. A cet effet, le Groupe de communication des Nations Unies (UNCG) composé des Chargés de Communication des agenc</w:t>
      </w:r>
      <w:r>
        <w:rPr>
          <w:rFonts w:ascii="Times New Roman" w:hAnsi="Times New Roman" w:cs="Times New Roman"/>
          <w:sz w:val="24"/>
          <w:szCs w:val="24"/>
        </w:rPr>
        <w:t>es et de la MINUSMA,</w:t>
      </w:r>
      <w:r w:rsidR="00880F37" w:rsidRPr="00944EE4">
        <w:rPr>
          <w:rFonts w:ascii="Times New Roman" w:hAnsi="Times New Roman" w:cs="Times New Roman"/>
          <w:sz w:val="24"/>
          <w:szCs w:val="24"/>
        </w:rPr>
        <w:t xml:space="preserve"> déjà en place </w:t>
      </w:r>
      <w:r>
        <w:rPr>
          <w:rFonts w:ascii="Times New Roman" w:hAnsi="Times New Roman" w:cs="Times New Roman"/>
          <w:sz w:val="24"/>
          <w:szCs w:val="24"/>
        </w:rPr>
        <w:t xml:space="preserve">a </w:t>
      </w:r>
      <w:r w:rsidR="00880F37" w:rsidRPr="00944EE4">
        <w:rPr>
          <w:rFonts w:ascii="Times New Roman" w:hAnsi="Times New Roman" w:cs="Times New Roman"/>
          <w:sz w:val="24"/>
          <w:szCs w:val="24"/>
        </w:rPr>
        <w:t>pour tâches</w:t>
      </w:r>
      <w:r w:rsidRPr="00944EE4">
        <w:rPr>
          <w:rFonts w:ascii="Times New Roman" w:hAnsi="Times New Roman" w:cs="Times New Roman"/>
          <w:sz w:val="24"/>
          <w:szCs w:val="24"/>
        </w:rPr>
        <w:t xml:space="preserve">, entre autres, </w:t>
      </w:r>
      <w:r w:rsidR="00880F37" w:rsidRPr="00944EE4">
        <w:rPr>
          <w:rFonts w:ascii="Times New Roman" w:hAnsi="Times New Roman" w:cs="Times New Roman"/>
          <w:sz w:val="24"/>
          <w:szCs w:val="24"/>
        </w:rPr>
        <w:t>de promouvoir la visibilité de la contribution des Nations Unies à la réalisation des priorités nationales et à l’atteinte des résultats contenus dans</w:t>
      </w:r>
      <w:r>
        <w:rPr>
          <w:rFonts w:ascii="Times New Roman" w:hAnsi="Times New Roman" w:cs="Times New Roman"/>
          <w:sz w:val="24"/>
          <w:szCs w:val="24"/>
        </w:rPr>
        <w:t xml:space="preserve"> l’UNDAF+. Ce groupe travaille</w:t>
      </w:r>
      <w:r w:rsidR="00880F37" w:rsidRPr="00944EE4">
        <w:rPr>
          <w:rFonts w:ascii="Times New Roman" w:hAnsi="Times New Roman" w:cs="Times New Roman"/>
          <w:sz w:val="24"/>
          <w:szCs w:val="24"/>
        </w:rPr>
        <w:t xml:space="preserve"> en étroite collaboration avec les medias locaux, notamment à Bamako mais aussi sur l’ensemble du territoire.</w:t>
      </w:r>
    </w:p>
    <w:p w14:paraId="410C25C1" w14:textId="77777777" w:rsidR="00CD5D71" w:rsidRPr="00944EE4" w:rsidRDefault="00CD5D71" w:rsidP="00CD5D71">
      <w:pPr>
        <w:spacing w:line="276" w:lineRule="auto"/>
        <w:jc w:val="both"/>
        <w:rPr>
          <w:rFonts w:ascii="Times New Roman" w:hAnsi="Times New Roman" w:cs="Times New Roman"/>
          <w:sz w:val="24"/>
          <w:szCs w:val="24"/>
        </w:rPr>
      </w:pPr>
    </w:p>
    <w:p w14:paraId="0A113C93" w14:textId="7C14D1DD" w:rsidR="0068708D" w:rsidRPr="00944EE4" w:rsidRDefault="00880F37" w:rsidP="0068708D">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En soutien au travail du PMT, un Group</w:t>
      </w:r>
      <w:r w:rsidR="00387EE8">
        <w:rPr>
          <w:rFonts w:ascii="Times New Roman" w:hAnsi="Times New Roman" w:cs="Times New Roman"/>
          <w:sz w:val="24"/>
          <w:szCs w:val="24"/>
        </w:rPr>
        <w:t>e Technique Suivi et Evaluation</w:t>
      </w:r>
      <w:r w:rsidRPr="00944EE4">
        <w:rPr>
          <w:rFonts w:ascii="Times New Roman" w:hAnsi="Times New Roman" w:cs="Times New Roman"/>
          <w:sz w:val="24"/>
          <w:szCs w:val="24"/>
        </w:rPr>
        <w:t xml:space="preserve"> (GTS&amp;E) </w:t>
      </w:r>
      <w:r w:rsidR="00387EE8">
        <w:rPr>
          <w:rFonts w:ascii="Times New Roman" w:hAnsi="Times New Roman" w:cs="Times New Roman"/>
          <w:sz w:val="24"/>
          <w:szCs w:val="24"/>
        </w:rPr>
        <w:t xml:space="preserve">est </w:t>
      </w:r>
      <w:r w:rsidRPr="00944EE4">
        <w:rPr>
          <w:rFonts w:ascii="Times New Roman" w:hAnsi="Times New Roman" w:cs="Times New Roman"/>
          <w:sz w:val="24"/>
          <w:szCs w:val="24"/>
        </w:rPr>
        <w:t xml:space="preserve">créé pour faciliter la planification et la coordination des processus de suivi-évaluation.  Ce Groupe technique, constitué des spécialistes en suivi-évaluation (S&amp;E) ou de chargés de programme des agences et de la MINUSMA travaille en étroite collaboration avec l’unité en charge du suivi du CSCRP et </w:t>
      </w:r>
      <w:r w:rsidR="00387EE8">
        <w:rPr>
          <w:rFonts w:ascii="Times New Roman" w:hAnsi="Times New Roman" w:cs="Times New Roman"/>
          <w:sz w:val="24"/>
          <w:szCs w:val="24"/>
        </w:rPr>
        <w:t>du CREDD</w:t>
      </w:r>
      <w:r w:rsidR="00EF65E1">
        <w:rPr>
          <w:rFonts w:ascii="Times New Roman" w:hAnsi="Times New Roman" w:cs="Times New Roman"/>
          <w:sz w:val="24"/>
          <w:szCs w:val="24"/>
        </w:rPr>
        <w:t>, ainsi que</w:t>
      </w:r>
      <w:r w:rsidR="00387EE8">
        <w:rPr>
          <w:rFonts w:ascii="Times New Roman" w:hAnsi="Times New Roman" w:cs="Times New Roman"/>
          <w:sz w:val="24"/>
          <w:szCs w:val="24"/>
        </w:rPr>
        <w:t xml:space="preserve"> </w:t>
      </w:r>
      <w:r w:rsidRPr="00944EE4">
        <w:rPr>
          <w:rFonts w:ascii="Times New Roman" w:hAnsi="Times New Roman" w:cs="Times New Roman"/>
          <w:sz w:val="24"/>
          <w:szCs w:val="24"/>
        </w:rPr>
        <w:t>d’autres groupes sectoriels de Suivi Evaluation.</w:t>
      </w:r>
    </w:p>
    <w:p w14:paraId="524D969D" w14:textId="77777777" w:rsidR="0068708D" w:rsidRPr="00944EE4" w:rsidRDefault="0068708D" w:rsidP="0068708D">
      <w:pPr>
        <w:spacing w:line="276" w:lineRule="auto"/>
        <w:jc w:val="both"/>
        <w:rPr>
          <w:rFonts w:ascii="Times New Roman" w:hAnsi="Times New Roman" w:cs="Times New Roman"/>
          <w:sz w:val="24"/>
          <w:szCs w:val="24"/>
        </w:rPr>
      </w:pPr>
    </w:p>
    <w:p w14:paraId="0597DC41" w14:textId="66B94F15" w:rsidR="00E86D91" w:rsidRPr="00944EE4" w:rsidRDefault="00880F37" w:rsidP="0068708D">
      <w:pPr>
        <w:spacing w:line="276" w:lineRule="auto"/>
        <w:ind w:right="-284"/>
        <w:jc w:val="both"/>
        <w:rPr>
          <w:rFonts w:ascii="Times New Roman" w:hAnsi="Times New Roman" w:cs="Times New Roman"/>
          <w:sz w:val="24"/>
          <w:szCs w:val="24"/>
        </w:rPr>
      </w:pPr>
      <w:r w:rsidRPr="00944EE4">
        <w:rPr>
          <w:rFonts w:ascii="Times New Roman" w:hAnsi="Times New Roman" w:cs="Times New Roman"/>
          <w:sz w:val="24"/>
          <w:szCs w:val="24"/>
        </w:rPr>
        <w:t xml:space="preserve">Enfin, pour le financement de l’UNDAF+ </w:t>
      </w:r>
      <w:r w:rsidR="00EF65E1">
        <w:rPr>
          <w:rFonts w:ascii="Times New Roman" w:hAnsi="Times New Roman" w:cs="Times New Roman"/>
          <w:sz w:val="24"/>
          <w:szCs w:val="24"/>
        </w:rPr>
        <w:t>qui s’élève environ à 1.137.32.</w:t>
      </w:r>
      <w:r w:rsidRPr="00944EE4">
        <w:rPr>
          <w:rFonts w:ascii="Times New Roman" w:hAnsi="Times New Roman" w:cs="Times New Roman"/>
          <w:sz w:val="24"/>
          <w:szCs w:val="24"/>
        </w:rPr>
        <w:t xml:space="preserve">878 </w:t>
      </w:r>
      <w:r w:rsidR="00EF65E1">
        <w:rPr>
          <w:rFonts w:ascii="Times New Roman" w:hAnsi="Times New Roman" w:cs="Times New Roman"/>
          <w:sz w:val="24"/>
          <w:szCs w:val="24"/>
        </w:rPr>
        <w:t>USD</w:t>
      </w:r>
      <w:r w:rsidRPr="00944EE4">
        <w:rPr>
          <w:rFonts w:ascii="Times New Roman" w:hAnsi="Times New Roman" w:cs="Times New Roman"/>
          <w:sz w:val="24"/>
          <w:szCs w:val="24"/>
        </w:rPr>
        <w:t xml:space="preserve">, un groupe de travail MINUSMA/Agences chargé de la mobilisation des ressources et de partenariat </w:t>
      </w:r>
      <w:r w:rsidR="00EF65E1">
        <w:rPr>
          <w:rFonts w:ascii="Times New Roman" w:hAnsi="Times New Roman" w:cs="Times New Roman"/>
          <w:sz w:val="24"/>
          <w:szCs w:val="24"/>
        </w:rPr>
        <w:t xml:space="preserve">est </w:t>
      </w:r>
      <w:r w:rsidRPr="00944EE4">
        <w:rPr>
          <w:rFonts w:ascii="Times New Roman" w:hAnsi="Times New Roman" w:cs="Times New Roman"/>
          <w:sz w:val="24"/>
          <w:szCs w:val="24"/>
        </w:rPr>
        <w:t>mis sur pied et travaille en étroite collaboration avec le groupe de Suivi évaluation.</w:t>
      </w:r>
    </w:p>
    <w:p w14:paraId="2DE96D93" w14:textId="77777777" w:rsidR="00E86D91" w:rsidRPr="00944EE4" w:rsidRDefault="00880F37">
      <w:pPr>
        <w:rPr>
          <w:rFonts w:ascii="Times New Roman" w:hAnsi="Times New Roman" w:cs="Times New Roman"/>
          <w:sz w:val="24"/>
          <w:szCs w:val="24"/>
        </w:rPr>
      </w:pPr>
      <w:r w:rsidRPr="00944EE4">
        <w:rPr>
          <w:rFonts w:ascii="Times New Roman" w:hAnsi="Times New Roman" w:cs="Times New Roman"/>
          <w:sz w:val="24"/>
          <w:szCs w:val="24"/>
        </w:rPr>
        <w:br w:type="page"/>
      </w:r>
    </w:p>
    <w:p w14:paraId="6F1D7093" w14:textId="77777777" w:rsidR="00FA0A9A" w:rsidRPr="00944EE4" w:rsidRDefault="00FA0A9A" w:rsidP="0068708D">
      <w:pPr>
        <w:spacing w:line="276" w:lineRule="auto"/>
        <w:ind w:right="-284"/>
        <w:jc w:val="both"/>
        <w:rPr>
          <w:rFonts w:ascii="Times New Roman" w:hAnsi="Times New Roman" w:cs="Times New Roman"/>
          <w:sz w:val="24"/>
          <w:szCs w:val="24"/>
        </w:rPr>
        <w:sectPr w:rsidR="00FA0A9A" w:rsidRPr="00944EE4" w:rsidSect="00E86D91">
          <w:footerReference w:type="first" r:id="rId14"/>
          <w:pgSz w:w="12240" w:h="15840" w:code="1"/>
          <w:pgMar w:top="1151" w:right="1298" w:bottom="902" w:left="1298" w:header="567" w:footer="335" w:gutter="0"/>
          <w:cols w:space="708"/>
          <w:titlePg/>
          <w:docGrid w:linePitch="360"/>
        </w:sectPr>
      </w:pPr>
    </w:p>
    <w:p w14:paraId="57749EE1" w14:textId="77777777" w:rsidR="0068708D" w:rsidRPr="00944EE4" w:rsidRDefault="0068708D" w:rsidP="0068708D">
      <w:pPr>
        <w:spacing w:line="276" w:lineRule="auto"/>
        <w:ind w:right="-284"/>
        <w:jc w:val="both"/>
        <w:rPr>
          <w:rFonts w:ascii="Times New Roman" w:hAnsi="Times New Roman" w:cs="Times New Roman"/>
          <w:sz w:val="24"/>
          <w:szCs w:val="24"/>
        </w:rPr>
      </w:pPr>
    </w:p>
    <w:p w14:paraId="2FFFF1BC" w14:textId="77777777" w:rsidR="0068708D" w:rsidRPr="00944EE4" w:rsidRDefault="004D151A" w:rsidP="0068708D">
      <w:pPr>
        <w:spacing w:line="276" w:lineRule="auto"/>
        <w:ind w:right="-284"/>
        <w:jc w:val="both"/>
        <w:rPr>
          <w:rFonts w:ascii="Times New Roman" w:hAnsi="Times New Roman" w:cs="Times New Roman"/>
          <w:sz w:val="24"/>
          <w:szCs w:val="24"/>
        </w:rPr>
      </w:pPr>
      <w:r w:rsidRPr="00944EE4">
        <w:rPr>
          <w:rFonts w:ascii="Times New Roman" w:hAnsi="Times New Roman" w:cs="Times New Roman"/>
          <w:noProof/>
          <w:sz w:val="24"/>
          <w:szCs w:val="24"/>
          <w:lang w:val="en-US"/>
        </w:rPr>
        <mc:AlternateContent>
          <mc:Choice Requires="wps">
            <w:drawing>
              <wp:anchor distT="0" distB="0" distL="114300" distR="114300" simplePos="0" relativeHeight="251745280" behindDoc="0" locked="0" layoutInCell="1" allowOverlap="1" wp14:anchorId="1536E550" wp14:editId="7607FB91">
                <wp:simplePos x="0" y="0"/>
                <wp:positionH relativeFrom="column">
                  <wp:posOffset>-393700</wp:posOffset>
                </wp:positionH>
                <wp:positionV relativeFrom="paragraph">
                  <wp:posOffset>120650</wp:posOffset>
                </wp:positionV>
                <wp:extent cx="9362440" cy="770890"/>
                <wp:effectExtent l="19050" t="19050" r="10160" b="2921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9362440" cy="770890"/>
                        </a:xfrm>
                        <a:prstGeom prst="rect">
                          <a:avLst/>
                        </a:prstGeom>
                        <a:solidFill>
                          <a:schemeClr val="tx2"/>
                        </a:solidFill>
                        <a:ln w="38100">
                          <a:solidFill>
                            <a:srgbClr val="F2F2F2"/>
                          </a:solidFill>
                          <a:miter lim="800000"/>
                          <a:headEnd/>
                          <a:tailEnd/>
                        </a:ln>
                        <a:effectLst>
                          <a:outerShdw dist="28398" dir="3806097" algn="ctr" rotWithShape="0">
                            <a:srgbClr val="244482">
                              <a:alpha val="50000"/>
                            </a:srgbClr>
                          </a:outerShdw>
                        </a:effectLst>
                      </wps:spPr>
                      <wps:txbx>
                        <w:txbxContent>
                          <w:p w14:paraId="316B52AD" w14:textId="77777777" w:rsidR="00E15BF1" w:rsidRPr="00B55427" w:rsidRDefault="00E15BF1" w:rsidP="0068708D">
                            <w:pPr>
                              <w:jc w:val="center"/>
                              <w:rPr>
                                <w:rFonts w:ascii="Calibri" w:hAnsi="Calibri" w:cs="Calibri"/>
                                <w:b/>
                                <w:bCs/>
                                <w:color w:val="FFFFFF"/>
                                <w:sz w:val="28"/>
                                <w:szCs w:val="28"/>
                              </w:rPr>
                            </w:pPr>
                            <w:r w:rsidRPr="00B55427">
                              <w:rPr>
                                <w:rFonts w:ascii="Calibri" w:hAnsi="Calibri" w:cs="Calibri"/>
                                <w:b/>
                                <w:bCs/>
                                <w:color w:val="FFFFFF"/>
                                <w:sz w:val="28"/>
                                <w:szCs w:val="28"/>
                              </w:rPr>
                              <w:t xml:space="preserve">CADRE DE COORDINATION, </w:t>
                            </w:r>
                          </w:p>
                          <w:p w14:paraId="7D4F8239" w14:textId="77777777" w:rsidR="00E15BF1" w:rsidRPr="00B55427" w:rsidRDefault="00E15BF1" w:rsidP="0068708D">
                            <w:pPr>
                              <w:jc w:val="center"/>
                              <w:rPr>
                                <w:rFonts w:ascii="Calibri" w:hAnsi="Calibri" w:cs="Calibri"/>
                                <w:color w:val="FFFFFF"/>
                                <w:sz w:val="28"/>
                                <w:szCs w:val="28"/>
                              </w:rPr>
                            </w:pPr>
                            <w:r w:rsidRPr="00B55427">
                              <w:rPr>
                                <w:rFonts w:ascii="Calibri" w:hAnsi="Calibri" w:cs="Calibri"/>
                                <w:b/>
                                <w:bCs/>
                                <w:color w:val="FFFFFF"/>
                                <w:sz w:val="28"/>
                                <w:szCs w:val="28"/>
                              </w:rPr>
                              <w:t>MISE EN ŒUVRE ET SUIVI-EVALUATION  DE L’UNDAF+</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36E550" id="Rectangle 32" o:spid="_x0000_s1027" style="position:absolute;left:0;text-align:left;margin-left:-31pt;margin-top:9.5pt;width:737.2pt;height:60.7pt;flip:y;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" fillcolor="#1f497d [3215]" strokecolor="#f2f2f2" strokeweight="3pt">
                <v:shadow on="t" color="#244482" opacity=".5" offset="1pt"/>
                <v:textbox>
                  <w:txbxContent>
                    <w:p w14:paraId="316B52AD" w14:textId="77777777" w:rsidR="00E15BF1" w:rsidRPr="00B55427" w:rsidRDefault="00E15BF1" w:rsidP="0068708D">
                      <w:pPr>
                        <w:jc w:val="center"/>
                        <w:rPr>
                          <w:rFonts w:ascii="Calibri" w:hAnsi="Calibri" w:cs="Calibri"/>
                          <w:b/>
                          <w:bCs/>
                          <w:color w:val="FFFFFF"/>
                          <w:sz w:val="28"/>
                          <w:szCs w:val="28"/>
                        </w:rPr>
                      </w:pPr>
                      <w:r w:rsidRPr="00B55427">
                        <w:rPr>
                          <w:rFonts w:ascii="Calibri" w:hAnsi="Calibri" w:cs="Calibri"/>
                          <w:b/>
                          <w:bCs/>
                          <w:color w:val="FFFFFF"/>
                          <w:sz w:val="28"/>
                          <w:szCs w:val="28"/>
                        </w:rPr>
                        <w:t xml:space="preserve">CADRE DE COORDINATION, </w:t>
                      </w:r>
                    </w:p>
                    <w:p w14:paraId="7D4F8239" w14:textId="77777777" w:rsidR="00E15BF1" w:rsidRPr="00B55427" w:rsidRDefault="00E15BF1" w:rsidP="0068708D">
                      <w:pPr>
                        <w:jc w:val="center"/>
                        <w:rPr>
                          <w:rFonts w:ascii="Calibri" w:hAnsi="Calibri" w:cs="Calibri"/>
                          <w:color w:val="FFFFFF"/>
                          <w:sz w:val="28"/>
                          <w:szCs w:val="28"/>
                        </w:rPr>
                      </w:pPr>
                      <w:r w:rsidRPr="00B55427">
                        <w:rPr>
                          <w:rFonts w:ascii="Calibri" w:hAnsi="Calibri" w:cs="Calibri"/>
                          <w:b/>
                          <w:bCs/>
                          <w:color w:val="FFFFFF"/>
                          <w:sz w:val="28"/>
                          <w:szCs w:val="28"/>
                        </w:rPr>
                        <w:t>MISE EN ŒUVRE ET SUIVI-EVALUATION  DE L’UNDAF+</w:t>
                      </w:r>
                    </w:p>
                  </w:txbxContent>
                </v:textbox>
              </v:rect>
            </w:pict>
          </mc:Fallback>
        </mc:AlternateContent>
      </w:r>
    </w:p>
    <w:p w14:paraId="08E98487" w14:textId="77777777" w:rsidR="0068708D" w:rsidRPr="00944EE4" w:rsidRDefault="0068708D" w:rsidP="0068708D">
      <w:pPr>
        <w:spacing w:line="276" w:lineRule="auto"/>
        <w:ind w:right="-284"/>
        <w:jc w:val="both"/>
        <w:rPr>
          <w:rFonts w:ascii="Times New Roman" w:hAnsi="Times New Roman" w:cs="Times New Roman"/>
          <w:sz w:val="24"/>
          <w:szCs w:val="24"/>
        </w:rPr>
      </w:pPr>
    </w:p>
    <w:p w14:paraId="018DF09C" w14:textId="77777777" w:rsidR="0068708D" w:rsidRPr="00944EE4" w:rsidRDefault="0068708D" w:rsidP="0068708D">
      <w:pPr>
        <w:spacing w:line="276" w:lineRule="auto"/>
        <w:ind w:right="-284"/>
        <w:jc w:val="both"/>
        <w:rPr>
          <w:rFonts w:ascii="Times New Roman" w:hAnsi="Times New Roman" w:cs="Times New Roman"/>
          <w:sz w:val="24"/>
          <w:szCs w:val="24"/>
        </w:rPr>
      </w:pPr>
    </w:p>
    <w:p w14:paraId="3D5441AD" w14:textId="77777777" w:rsidR="0068708D" w:rsidRPr="00944EE4" w:rsidRDefault="0068708D" w:rsidP="0068708D">
      <w:pPr>
        <w:spacing w:line="276" w:lineRule="auto"/>
        <w:ind w:right="-284"/>
        <w:jc w:val="both"/>
        <w:rPr>
          <w:rFonts w:ascii="Times New Roman" w:hAnsi="Times New Roman" w:cs="Times New Roman"/>
          <w:sz w:val="24"/>
          <w:szCs w:val="24"/>
        </w:rPr>
      </w:pPr>
    </w:p>
    <w:p w14:paraId="64685BBE" w14:textId="77777777" w:rsidR="0068708D" w:rsidRPr="00944EE4" w:rsidRDefault="0068708D" w:rsidP="0068708D">
      <w:pPr>
        <w:spacing w:line="276" w:lineRule="auto"/>
        <w:ind w:right="-284"/>
        <w:jc w:val="both"/>
        <w:rPr>
          <w:rFonts w:ascii="Times New Roman" w:hAnsi="Times New Roman" w:cs="Times New Roman"/>
          <w:sz w:val="24"/>
          <w:szCs w:val="24"/>
        </w:rPr>
      </w:pPr>
    </w:p>
    <w:p w14:paraId="129481C9" w14:textId="77777777" w:rsidR="0068708D" w:rsidRPr="00944EE4" w:rsidRDefault="0068708D" w:rsidP="0068708D">
      <w:pPr>
        <w:spacing w:line="276" w:lineRule="auto"/>
        <w:ind w:right="-284"/>
        <w:jc w:val="both"/>
        <w:rPr>
          <w:rFonts w:ascii="Times New Roman" w:hAnsi="Times New Roman" w:cs="Times New Roman"/>
          <w:sz w:val="24"/>
          <w:szCs w:val="24"/>
        </w:rPr>
      </w:pPr>
    </w:p>
    <w:p w14:paraId="6643B5DD" w14:textId="77777777" w:rsidR="0068708D" w:rsidRPr="00944EE4" w:rsidRDefault="004D151A" w:rsidP="0068708D">
      <w:pPr>
        <w:spacing w:line="276" w:lineRule="auto"/>
        <w:ind w:right="-284"/>
        <w:jc w:val="both"/>
        <w:rPr>
          <w:rFonts w:ascii="Times New Roman" w:hAnsi="Times New Roman" w:cs="Times New Roman"/>
          <w:sz w:val="24"/>
          <w:szCs w:val="24"/>
        </w:rPr>
      </w:pPr>
      <w:r w:rsidRPr="00944EE4">
        <w:rPr>
          <w:rFonts w:ascii="Times New Roman" w:hAnsi="Times New Roman" w:cs="Times New Roman"/>
          <w:noProof/>
          <w:sz w:val="24"/>
          <w:szCs w:val="24"/>
          <w:lang w:val="en-US"/>
        </w:rPr>
        <mc:AlternateContent>
          <mc:Choice Requires="wps">
            <w:drawing>
              <wp:anchor distT="0" distB="0" distL="114300" distR="114300" simplePos="0" relativeHeight="251746304" behindDoc="0" locked="0" layoutInCell="1" allowOverlap="1" wp14:anchorId="2B4ADAE0" wp14:editId="71BB9053">
                <wp:simplePos x="0" y="0"/>
                <wp:positionH relativeFrom="column">
                  <wp:posOffset>3253105</wp:posOffset>
                </wp:positionH>
                <wp:positionV relativeFrom="paragraph">
                  <wp:posOffset>95885</wp:posOffset>
                </wp:positionV>
                <wp:extent cx="1967865" cy="451485"/>
                <wp:effectExtent l="133350" t="133350" r="108585" b="139065"/>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7865" cy="451485"/>
                        </a:xfrm>
                        <a:prstGeom prst="rect">
                          <a:avLst/>
                        </a:prstGeom>
                        <a:solidFill>
                          <a:schemeClr val="tx2"/>
                        </a:solidFill>
                        <a:ln w="38100">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txbx>
                        <w:txbxContent>
                          <w:p w14:paraId="3ACBBA76" w14:textId="77777777" w:rsidR="00E15BF1" w:rsidRPr="00903050" w:rsidRDefault="00E15BF1" w:rsidP="0068708D">
                            <w:pPr>
                              <w:shd w:val="clear" w:color="auto" w:fill="1F497D" w:themeFill="text2"/>
                              <w:jc w:val="center"/>
                              <w:rPr>
                                <w:rFonts w:ascii="Calibri" w:hAnsi="Calibri" w:cs="Calibri"/>
                                <w:b/>
                                <w:bCs/>
                                <w:smallCaps/>
                                <w:color w:val="FFFFFF"/>
                                <w:sz w:val="28"/>
                                <w:szCs w:val="28"/>
                              </w:rPr>
                            </w:pPr>
                            <w:r w:rsidRPr="00903050">
                              <w:rPr>
                                <w:rFonts w:ascii="Calibri" w:hAnsi="Calibri" w:cs="Calibri"/>
                                <w:b/>
                                <w:bCs/>
                                <w:smallCaps/>
                                <w:color w:val="FFFFFF"/>
                                <w:sz w:val="28"/>
                                <w:szCs w:val="28"/>
                              </w:rPr>
                              <w:t>Equipe Pays (UNCT)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B4ADAE0" id="Rectangle 36" o:spid="_x0000_s1028" style="position:absolute;left:0;text-align:left;margin-left:256.15pt;margin-top:7.55pt;width:154.95pt;height:35.5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" fillcolor="#1f497d [3215]" stroked="f" strokeweight="3pt">
                <v:shadow on="t" color="black" offset="0,1pt"/>
                <v:textbox>
                  <w:txbxContent>
                    <w:p w14:paraId="3ACBBA76" w14:textId="77777777" w:rsidR="00E15BF1" w:rsidRPr="00903050" w:rsidRDefault="00E15BF1" w:rsidP="0068708D">
                      <w:pPr>
                        <w:shd w:val="clear" w:color="auto" w:fill="1F497D" w:themeFill="text2"/>
                        <w:jc w:val="center"/>
                        <w:rPr>
                          <w:rFonts w:ascii="Calibri" w:hAnsi="Calibri" w:cs="Calibri"/>
                          <w:b/>
                          <w:bCs/>
                          <w:smallCaps/>
                          <w:color w:val="FFFFFF"/>
                          <w:sz w:val="28"/>
                          <w:szCs w:val="28"/>
                        </w:rPr>
                      </w:pPr>
                      <w:r w:rsidRPr="00903050">
                        <w:rPr>
                          <w:rFonts w:ascii="Calibri" w:hAnsi="Calibri" w:cs="Calibri"/>
                          <w:b/>
                          <w:bCs/>
                          <w:smallCaps/>
                          <w:color w:val="FFFFFF"/>
                          <w:sz w:val="28"/>
                          <w:szCs w:val="28"/>
                        </w:rPr>
                        <w:t>Equipe Pays (UNCT)</w:t>
                      </w:r>
                    </w:p>
                  </w:txbxContent>
                </v:textbox>
              </v:rect>
            </w:pict>
          </mc:Fallback>
        </mc:AlternateContent>
      </w:r>
    </w:p>
    <w:p w14:paraId="4EA4C1D1" w14:textId="77777777" w:rsidR="0068708D" w:rsidRPr="00944EE4" w:rsidRDefault="0068708D" w:rsidP="0068708D">
      <w:pPr>
        <w:spacing w:line="276" w:lineRule="auto"/>
        <w:ind w:right="-284"/>
        <w:jc w:val="both"/>
        <w:rPr>
          <w:rFonts w:ascii="Times New Roman" w:hAnsi="Times New Roman" w:cs="Times New Roman"/>
          <w:sz w:val="24"/>
          <w:szCs w:val="24"/>
        </w:rPr>
      </w:pPr>
    </w:p>
    <w:p w14:paraId="21AC434C" w14:textId="77777777" w:rsidR="0068708D" w:rsidRPr="00944EE4" w:rsidRDefault="004D151A" w:rsidP="0068708D">
      <w:pPr>
        <w:spacing w:line="276" w:lineRule="auto"/>
        <w:ind w:right="-284"/>
        <w:jc w:val="both"/>
        <w:rPr>
          <w:rFonts w:ascii="Times New Roman" w:hAnsi="Times New Roman" w:cs="Times New Roman"/>
          <w:sz w:val="24"/>
          <w:szCs w:val="24"/>
        </w:rPr>
      </w:pPr>
      <w:r w:rsidRPr="00944EE4">
        <w:rPr>
          <w:rFonts w:ascii="Times New Roman" w:hAnsi="Times New Roman" w:cs="Times New Roman"/>
          <w:noProof/>
          <w:sz w:val="24"/>
          <w:szCs w:val="24"/>
          <w:lang w:val="en-US"/>
        </w:rPr>
        <mc:AlternateContent>
          <mc:Choice Requires="wps">
            <w:drawing>
              <wp:anchor distT="0" distB="0" distL="114298" distR="114298" simplePos="0" relativeHeight="251744256" behindDoc="0" locked="0" layoutInCell="1" allowOverlap="1" wp14:anchorId="439CAEE5" wp14:editId="6CEE7303">
                <wp:simplePos x="0" y="0"/>
                <wp:positionH relativeFrom="column">
                  <wp:posOffset>4255134</wp:posOffset>
                </wp:positionH>
                <wp:positionV relativeFrom="paragraph">
                  <wp:posOffset>83185</wp:posOffset>
                </wp:positionV>
                <wp:extent cx="0" cy="1045210"/>
                <wp:effectExtent l="0" t="0" r="0" b="2540"/>
                <wp:wrapNone/>
                <wp:docPr id="38" name="Connecteur droit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5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9774105" id="Connecteur droit 38" o:spid="_x0000_s1026" style="position:absolute;z-index:2517442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335.05pt,6.55pt" to="335.0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" strokecolor="#4579b8 [3044]">
                <o:lock v:ext="edit" shapetype="f"/>
              </v:line>
            </w:pict>
          </mc:Fallback>
        </mc:AlternateContent>
      </w:r>
    </w:p>
    <w:p w14:paraId="689E8250" w14:textId="77777777" w:rsidR="0068708D" w:rsidRPr="00944EE4" w:rsidRDefault="0068708D" w:rsidP="0068708D">
      <w:pPr>
        <w:spacing w:line="276" w:lineRule="auto"/>
        <w:ind w:right="-284"/>
        <w:jc w:val="both"/>
        <w:rPr>
          <w:rFonts w:ascii="Times New Roman" w:hAnsi="Times New Roman" w:cs="Times New Roman"/>
          <w:sz w:val="24"/>
          <w:szCs w:val="24"/>
        </w:rPr>
      </w:pPr>
    </w:p>
    <w:p w14:paraId="23FA30C0" w14:textId="77777777" w:rsidR="0068708D" w:rsidRPr="00944EE4" w:rsidRDefault="0068708D" w:rsidP="0068708D">
      <w:pPr>
        <w:spacing w:line="276" w:lineRule="auto"/>
        <w:ind w:right="-284"/>
        <w:jc w:val="both"/>
        <w:rPr>
          <w:rFonts w:ascii="Times New Roman" w:hAnsi="Times New Roman" w:cs="Times New Roman"/>
          <w:sz w:val="24"/>
          <w:szCs w:val="24"/>
        </w:rPr>
      </w:pPr>
    </w:p>
    <w:p w14:paraId="502CE8A0" w14:textId="77777777" w:rsidR="0068708D" w:rsidRPr="00944EE4" w:rsidRDefault="004D151A" w:rsidP="0068708D">
      <w:pPr>
        <w:spacing w:line="276" w:lineRule="auto"/>
        <w:ind w:right="-284"/>
        <w:jc w:val="both"/>
        <w:rPr>
          <w:rFonts w:ascii="Times New Roman" w:hAnsi="Times New Roman" w:cs="Times New Roman"/>
          <w:sz w:val="24"/>
          <w:szCs w:val="24"/>
        </w:rPr>
      </w:pPr>
      <w:r w:rsidRPr="00944EE4">
        <w:rPr>
          <w:rFonts w:ascii="Times New Roman" w:hAnsi="Times New Roman" w:cs="Times New Roman"/>
          <w:noProof/>
          <w:sz w:val="24"/>
          <w:szCs w:val="24"/>
          <w:lang w:val="en-US"/>
        </w:rPr>
        <mc:AlternateContent>
          <mc:Choice Requires="wps">
            <w:drawing>
              <wp:anchor distT="0" distB="0" distL="114300" distR="114300" simplePos="0" relativeHeight="251747328" behindDoc="0" locked="0" layoutInCell="1" allowOverlap="1" wp14:anchorId="12BF228B" wp14:editId="499CEA10">
                <wp:simplePos x="0" y="0"/>
                <wp:positionH relativeFrom="column">
                  <wp:posOffset>3417570</wp:posOffset>
                </wp:positionH>
                <wp:positionV relativeFrom="paragraph">
                  <wp:posOffset>142875</wp:posOffset>
                </wp:positionV>
                <wp:extent cx="1736090" cy="1079500"/>
                <wp:effectExtent l="19050" t="19050" r="16510" b="44450"/>
                <wp:wrapNone/>
                <wp:docPr id="40" name="Ellips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6090" cy="1079500"/>
                        </a:xfrm>
                        <a:prstGeom prst="ellipse">
                          <a:avLst/>
                        </a:prstGeom>
                        <a:solidFill>
                          <a:schemeClr val="tx2"/>
                        </a:solidFill>
                        <a:ln w="38100">
                          <a:solidFill>
                            <a:srgbClr val="F2F2F2"/>
                          </a:solidFill>
                          <a:round/>
                          <a:headEnd/>
                          <a:tailEnd/>
                        </a:ln>
                        <a:effectLst>
                          <a:outerShdw dist="28398" dir="3806097" algn="ctr" rotWithShape="0">
                            <a:srgbClr val="244482">
                              <a:alpha val="50000"/>
                            </a:srgbClr>
                          </a:outerShdw>
                        </a:effectLst>
                      </wps:spPr>
                      <wps:txbx>
                        <w:txbxContent>
                          <w:p w14:paraId="54C4EE4A" w14:textId="77777777" w:rsidR="00E15BF1" w:rsidRPr="00903050" w:rsidRDefault="00E15BF1" w:rsidP="0068708D">
                            <w:pPr>
                              <w:jc w:val="center"/>
                              <w:rPr>
                                <w:rFonts w:ascii="Calibri" w:hAnsi="Calibri" w:cs="Calibri"/>
                                <w:b/>
                                <w:bCs/>
                                <w:smallCaps/>
                                <w:color w:val="FFFFFF"/>
                                <w:sz w:val="28"/>
                                <w:szCs w:val="28"/>
                              </w:rPr>
                            </w:pPr>
                            <w:r w:rsidRPr="00903050">
                              <w:rPr>
                                <w:rFonts w:ascii="Calibri" w:hAnsi="Calibri" w:cs="Calibri"/>
                                <w:b/>
                                <w:bCs/>
                                <w:smallCaps/>
                                <w:color w:val="FFFFFF"/>
                                <w:sz w:val="28"/>
                                <w:szCs w:val="28"/>
                              </w:rPr>
                              <w:t>Programme Management team (PMT)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2BF228B" id="Ellipse 40" o:spid="_x0000_s1029" style="position:absolute;left:0;text-align:left;margin-left:269.1pt;margin-top:11.25pt;width:136.7pt;height: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" fillcolor="#1f497d [3215]" strokecolor="#f2f2f2" strokeweight="3pt">
                <v:shadow on="t" color="#244482" opacity=".5" offset="1pt"/>
                <v:textbox>
                  <w:txbxContent>
                    <w:p w14:paraId="54C4EE4A" w14:textId="77777777" w:rsidR="00E15BF1" w:rsidRPr="00903050" w:rsidRDefault="00E15BF1" w:rsidP="0068708D">
                      <w:pPr>
                        <w:jc w:val="center"/>
                        <w:rPr>
                          <w:rFonts w:ascii="Calibri" w:hAnsi="Calibri" w:cs="Calibri"/>
                          <w:b/>
                          <w:bCs/>
                          <w:smallCaps/>
                          <w:color w:val="FFFFFF"/>
                          <w:sz w:val="28"/>
                          <w:szCs w:val="28"/>
                        </w:rPr>
                      </w:pPr>
                      <w:r w:rsidRPr="00903050">
                        <w:rPr>
                          <w:rFonts w:ascii="Calibri" w:hAnsi="Calibri" w:cs="Calibri"/>
                          <w:b/>
                          <w:bCs/>
                          <w:smallCaps/>
                          <w:color w:val="FFFFFF"/>
                          <w:sz w:val="28"/>
                          <w:szCs w:val="28"/>
                        </w:rPr>
                        <w:t>Programme Management team (PMT)</w:t>
                      </w:r>
                    </w:p>
                  </w:txbxContent>
                </v:textbox>
              </v:oval>
            </w:pict>
          </mc:Fallback>
        </mc:AlternateContent>
      </w:r>
    </w:p>
    <w:p w14:paraId="65E528C6" w14:textId="77777777" w:rsidR="0068708D" w:rsidRPr="00944EE4" w:rsidRDefault="0068708D" w:rsidP="0068708D">
      <w:pPr>
        <w:spacing w:line="276" w:lineRule="auto"/>
        <w:ind w:right="-284"/>
        <w:jc w:val="both"/>
        <w:rPr>
          <w:rFonts w:ascii="Times New Roman" w:hAnsi="Times New Roman" w:cs="Times New Roman"/>
          <w:sz w:val="24"/>
          <w:szCs w:val="24"/>
        </w:rPr>
      </w:pPr>
    </w:p>
    <w:p w14:paraId="235A2E4A" w14:textId="77777777" w:rsidR="0068708D" w:rsidRPr="00944EE4" w:rsidRDefault="0068708D" w:rsidP="0068708D">
      <w:pPr>
        <w:spacing w:line="276" w:lineRule="auto"/>
        <w:ind w:right="-284"/>
        <w:jc w:val="both"/>
        <w:rPr>
          <w:rFonts w:ascii="Times New Roman" w:hAnsi="Times New Roman" w:cs="Times New Roman"/>
          <w:sz w:val="24"/>
          <w:szCs w:val="24"/>
        </w:rPr>
      </w:pPr>
    </w:p>
    <w:p w14:paraId="55AE981C" w14:textId="77777777" w:rsidR="0068708D" w:rsidRPr="00944EE4" w:rsidRDefault="004D151A" w:rsidP="0068708D">
      <w:pPr>
        <w:spacing w:line="276" w:lineRule="auto"/>
        <w:ind w:right="-284"/>
        <w:jc w:val="both"/>
        <w:rPr>
          <w:rFonts w:ascii="Times New Roman" w:hAnsi="Times New Roman" w:cs="Times New Roman"/>
          <w:sz w:val="24"/>
          <w:szCs w:val="24"/>
        </w:rPr>
      </w:pPr>
      <w:r w:rsidRPr="00944EE4">
        <w:rPr>
          <w:rFonts w:ascii="Times New Roman" w:hAnsi="Times New Roman" w:cs="Times New Roman"/>
          <w:noProof/>
          <w:sz w:val="24"/>
          <w:szCs w:val="24"/>
          <w:lang w:val="en-US"/>
        </w:rPr>
        <mc:AlternateContent>
          <mc:Choice Requires="wps">
            <w:drawing>
              <wp:anchor distT="0" distB="0" distL="114298" distR="114298" simplePos="0" relativeHeight="251740160" behindDoc="0" locked="0" layoutInCell="1" allowOverlap="1" wp14:anchorId="23CC512A" wp14:editId="70527A91">
                <wp:simplePos x="0" y="0"/>
                <wp:positionH relativeFrom="column">
                  <wp:posOffset>7560944</wp:posOffset>
                </wp:positionH>
                <wp:positionV relativeFrom="paragraph">
                  <wp:posOffset>125730</wp:posOffset>
                </wp:positionV>
                <wp:extent cx="0" cy="1045210"/>
                <wp:effectExtent l="0" t="0" r="0" b="254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5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202BB601" id="Connecteur droit 14" o:spid="_x0000_s1026" style="position:absolute;z-index:251740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595.35pt,9.9pt" to="595.35pt,9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" strokecolor="#4579b8 [3044]">
                <o:lock v:ext="edit" shapetype="f"/>
              </v:line>
            </w:pict>
          </mc:Fallback>
        </mc:AlternateContent>
      </w:r>
      <w:r w:rsidRPr="00944EE4">
        <w:rPr>
          <w:rFonts w:ascii="Times New Roman" w:hAnsi="Times New Roman" w:cs="Times New Roman"/>
          <w:noProof/>
          <w:sz w:val="24"/>
          <w:szCs w:val="24"/>
          <w:lang w:val="en-US"/>
        </w:rPr>
        <mc:AlternateContent>
          <mc:Choice Requires="wps">
            <w:drawing>
              <wp:anchor distT="0" distB="0" distL="114298" distR="114298" simplePos="0" relativeHeight="251741184" behindDoc="0" locked="0" layoutInCell="1" allowOverlap="1" wp14:anchorId="2735035D" wp14:editId="37CED5D6">
                <wp:simplePos x="0" y="0"/>
                <wp:positionH relativeFrom="column">
                  <wp:posOffset>929004</wp:posOffset>
                </wp:positionH>
                <wp:positionV relativeFrom="paragraph">
                  <wp:posOffset>123190</wp:posOffset>
                </wp:positionV>
                <wp:extent cx="0" cy="1045210"/>
                <wp:effectExtent l="0" t="0" r="0" b="254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0452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C672350" id="Connecteur droit 13" o:spid="_x0000_s1026" style="position:absolute;z-index:2517411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margin" from="73.15pt,9.7pt" to="73.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" strokecolor="#4579b8 [3044]">
                <o:lock v:ext="edit" shapetype="f"/>
              </v:line>
            </w:pict>
          </mc:Fallback>
        </mc:AlternateContent>
      </w:r>
      <w:r w:rsidRPr="00944EE4">
        <w:rPr>
          <w:rFonts w:ascii="Times New Roman" w:hAnsi="Times New Roman" w:cs="Times New Roman"/>
          <w:noProof/>
          <w:sz w:val="24"/>
          <w:szCs w:val="24"/>
          <w:lang w:val="en-US"/>
        </w:rPr>
        <mc:AlternateContent>
          <mc:Choice Requires="wps">
            <w:drawing>
              <wp:anchor distT="4294967295" distB="4294967295" distL="114300" distR="114300" simplePos="0" relativeHeight="251743232" behindDoc="0" locked="0" layoutInCell="1" allowOverlap="1" wp14:anchorId="14EE3E6C" wp14:editId="12DD7A3F">
                <wp:simplePos x="0" y="0"/>
                <wp:positionH relativeFrom="column">
                  <wp:posOffset>920750</wp:posOffset>
                </wp:positionH>
                <wp:positionV relativeFrom="paragraph">
                  <wp:posOffset>126364</wp:posOffset>
                </wp:positionV>
                <wp:extent cx="6629400" cy="0"/>
                <wp:effectExtent l="0" t="0" r="0" b="0"/>
                <wp:wrapNone/>
                <wp:docPr id="41" name="Connecteur droit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29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003DA" id="Connecteur droit 41" o:spid="_x0000_s1026" style="position:absolute;z-index:251743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72.5pt,9.95pt" to="594.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" strokecolor="#4579b8 [3044]">
                <o:lock v:ext="edit" shapetype="f"/>
              </v:line>
            </w:pict>
          </mc:Fallback>
        </mc:AlternateContent>
      </w:r>
    </w:p>
    <w:p w14:paraId="260E5219" w14:textId="77777777" w:rsidR="0068708D" w:rsidRPr="00944EE4" w:rsidRDefault="0068708D" w:rsidP="0068708D">
      <w:pPr>
        <w:spacing w:line="276" w:lineRule="auto"/>
        <w:ind w:right="-284"/>
        <w:jc w:val="both"/>
        <w:rPr>
          <w:rFonts w:ascii="Times New Roman" w:hAnsi="Times New Roman" w:cs="Times New Roman"/>
          <w:sz w:val="24"/>
          <w:szCs w:val="24"/>
        </w:rPr>
      </w:pPr>
    </w:p>
    <w:p w14:paraId="0E706074" w14:textId="77777777" w:rsidR="0068708D" w:rsidRPr="00944EE4" w:rsidRDefault="0068708D" w:rsidP="0068708D">
      <w:pPr>
        <w:spacing w:line="276" w:lineRule="auto"/>
        <w:ind w:right="-284"/>
        <w:jc w:val="both"/>
        <w:rPr>
          <w:rFonts w:ascii="Times New Roman" w:hAnsi="Times New Roman" w:cs="Times New Roman"/>
          <w:sz w:val="24"/>
          <w:szCs w:val="24"/>
        </w:rPr>
      </w:pPr>
    </w:p>
    <w:p w14:paraId="0830EDAD" w14:textId="77777777" w:rsidR="0068708D" w:rsidRPr="00944EE4" w:rsidRDefault="0068708D" w:rsidP="0068708D">
      <w:pPr>
        <w:spacing w:line="276" w:lineRule="auto"/>
        <w:ind w:right="-284"/>
        <w:jc w:val="both"/>
        <w:rPr>
          <w:rFonts w:ascii="Times New Roman" w:hAnsi="Times New Roman" w:cs="Times New Roman"/>
          <w:sz w:val="24"/>
          <w:szCs w:val="24"/>
        </w:rPr>
      </w:pPr>
    </w:p>
    <w:p w14:paraId="581ACDC7" w14:textId="77777777" w:rsidR="0068708D" w:rsidRPr="00944EE4" w:rsidRDefault="004D151A" w:rsidP="0068708D">
      <w:pPr>
        <w:spacing w:line="276" w:lineRule="auto"/>
        <w:ind w:right="-284"/>
        <w:jc w:val="both"/>
        <w:rPr>
          <w:rFonts w:ascii="Times New Roman" w:hAnsi="Times New Roman" w:cs="Times New Roman"/>
          <w:sz w:val="24"/>
          <w:szCs w:val="24"/>
        </w:rPr>
      </w:pPr>
      <w:r w:rsidRPr="00944EE4">
        <w:rPr>
          <w:rFonts w:ascii="Times New Roman" w:hAnsi="Times New Roman" w:cs="Times New Roman"/>
          <w:noProof/>
          <w:sz w:val="24"/>
          <w:szCs w:val="24"/>
          <w:lang w:val="en-US"/>
        </w:rPr>
        <mc:AlternateContent>
          <mc:Choice Requires="wps">
            <w:drawing>
              <wp:anchor distT="0" distB="0" distL="114300" distR="114300" simplePos="0" relativeHeight="251753472" behindDoc="0" locked="0" layoutInCell="1" allowOverlap="1" wp14:anchorId="55A78187" wp14:editId="1620EC31">
                <wp:simplePos x="0" y="0"/>
                <wp:positionH relativeFrom="column">
                  <wp:posOffset>5677535</wp:posOffset>
                </wp:positionH>
                <wp:positionV relativeFrom="paragraph">
                  <wp:posOffset>68580</wp:posOffset>
                </wp:positionV>
                <wp:extent cx="2968625" cy="588645"/>
                <wp:effectExtent l="19050" t="19050" r="22225" b="40005"/>
                <wp:wrapNone/>
                <wp:docPr id="44" name="Rectangle à coins arrondis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8625" cy="588645"/>
                        </a:xfrm>
                        <a:prstGeom prst="roundRect">
                          <a:avLst>
                            <a:gd name="adj" fmla="val 16667"/>
                          </a:avLst>
                        </a:prstGeom>
                        <a:solidFill>
                          <a:schemeClr val="tx2">
                            <a:lumMod val="20000"/>
                            <a:lumOff val="80000"/>
                          </a:schemeClr>
                        </a:solidFill>
                        <a:ln w="38100">
                          <a:solidFill>
                            <a:srgbClr val="F2F2F2"/>
                          </a:solidFill>
                          <a:round/>
                          <a:headEnd/>
                          <a:tailEnd/>
                        </a:ln>
                        <a:effectLst>
                          <a:outerShdw dist="28398" dir="3806097" algn="ctr" rotWithShape="0">
                            <a:srgbClr val="244482">
                              <a:alpha val="50000"/>
                            </a:srgbClr>
                          </a:outerShdw>
                        </a:effectLst>
                      </wps:spPr>
                      <wps:txbx>
                        <w:txbxContent>
                          <w:p w14:paraId="04E0D81B" w14:textId="77777777" w:rsidR="00E15BF1" w:rsidRPr="00903050" w:rsidRDefault="00E15BF1" w:rsidP="0068708D">
                            <w:pPr>
                              <w:jc w:val="center"/>
                              <w:rPr>
                                <w:rFonts w:ascii="Calibri" w:hAnsi="Calibri" w:cs="Calibri"/>
                                <w:b/>
                                <w:bCs/>
                                <w:smallCaps/>
                                <w:color w:val="365F91" w:themeColor="accent1" w:themeShade="BF"/>
                                <w:sz w:val="28"/>
                                <w:szCs w:val="28"/>
                              </w:rPr>
                            </w:pPr>
                            <w:r w:rsidRPr="00903050">
                              <w:rPr>
                                <w:rFonts w:ascii="Calibri" w:hAnsi="Calibri" w:cs="Calibri"/>
                                <w:b/>
                                <w:bCs/>
                                <w:smallCaps/>
                                <w:color w:val="365F91" w:themeColor="accent1" w:themeShade="BF"/>
                                <w:sz w:val="28"/>
                                <w:szCs w:val="28"/>
                              </w:rPr>
                              <w:t>GROUPES THEMATIQUES</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55A78187" id="Rectangle à coins arrondis 44" o:spid="_x0000_s1030" style="position:absolute;left:0;text-align:left;margin-left:447.05pt;margin-top:5.4pt;width:233.75pt;height:46.3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" fillcolor="#c6d9f1 [671]" strokecolor="#f2f2f2" strokeweight="3pt">
                <v:shadow on="t" color="#244482" opacity=".5" offset="1pt"/>
                <v:textbox>
                  <w:txbxContent>
                    <w:p w14:paraId="04E0D81B" w14:textId="77777777" w:rsidR="00E15BF1" w:rsidRPr="00903050" w:rsidRDefault="00E15BF1" w:rsidP="0068708D">
                      <w:pPr>
                        <w:jc w:val="center"/>
                        <w:rPr>
                          <w:rFonts w:ascii="Calibri" w:hAnsi="Calibri" w:cs="Calibri"/>
                          <w:b/>
                          <w:bCs/>
                          <w:smallCaps/>
                          <w:color w:val="365F91" w:themeColor="accent1" w:themeShade="BF"/>
                          <w:sz w:val="28"/>
                          <w:szCs w:val="28"/>
                        </w:rPr>
                      </w:pPr>
                      <w:r w:rsidRPr="00903050">
                        <w:rPr>
                          <w:rFonts w:ascii="Calibri" w:hAnsi="Calibri" w:cs="Calibri"/>
                          <w:b/>
                          <w:bCs/>
                          <w:smallCaps/>
                          <w:color w:val="365F91" w:themeColor="accent1" w:themeShade="BF"/>
                          <w:sz w:val="28"/>
                          <w:szCs w:val="28"/>
                        </w:rPr>
                        <w:t>GROUPES THEMATIQUES</w:t>
                      </w:r>
                    </w:p>
                  </w:txbxContent>
                </v:textbox>
              </v:roundrect>
            </w:pict>
          </mc:Fallback>
        </mc:AlternateContent>
      </w:r>
      <w:r w:rsidRPr="00944EE4">
        <w:rPr>
          <w:rFonts w:ascii="Times New Roman" w:hAnsi="Times New Roman" w:cs="Times New Roman"/>
          <w:noProof/>
          <w:sz w:val="24"/>
          <w:szCs w:val="24"/>
          <w:lang w:val="en-US"/>
        </w:rPr>
        <mc:AlternateContent>
          <mc:Choice Requires="wps">
            <w:drawing>
              <wp:anchor distT="0" distB="0" distL="114300" distR="114300" simplePos="0" relativeHeight="251752448" behindDoc="0" locked="0" layoutInCell="1" allowOverlap="1" wp14:anchorId="0811C69B" wp14:editId="2CFCE1A1">
                <wp:simplePos x="0" y="0"/>
                <wp:positionH relativeFrom="column">
                  <wp:posOffset>361315</wp:posOffset>
                </wp:positionH>
                <wp:positionV relativeFrom="paragraph">
                  <wp:posOffset>68580</wp:posOffset>
                </wp:positionV>
                <wp:extent cx="2484755" cy="588645"/>
                <wp:effectExtent l="19050" t="19050" r="10795" b="40005"/>
                <wp:wrapNone/>
                <wp:docPr id="48" name="Rectangle à coins arrondis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4755" cy="588645"/>
                        </a:xfrm>
                        <a:prstGeom prst="roundRect">
                          <a:avLst>
                            <a:gd name="adj" fmla="val 16667"/>
                          </a:avLst>
                        </a:prstGeom>
                        <a:solidFill>
                          <a:schemeClr val="tx2">
                            <a:lumMod val="20000"/>
                            <a:lumOff val="80000"/>
                          </a:schemeClr>
                        </a:solidFill>
                        <a:ln w="38100">
                          <a:solidFill>
                            <a:srgbClr val="F2F2F2"/>
                          </a:solidFill>
                          <a:round/>
                          <a:headEnd/>
                          <a:tailEnd/>
                        </a:ln>
                        <a:effectLst>
                          <a:outerShdw dist="28398" dir="3806097" algn="ctr" rotWithShape="0">
                            <a:srgbClr val="244482">
                              <a:alpha val="50000"/>
                            </a:srgbClr>
                          </a:outerShdw>
                        </a:effectLst>
                      </wps:spPr>
                      <wps:txbx>
                        <w:txbxContent>
                          <w:p w14:paraId="6A82A66E" w14:textId="77777777" w:rsidR="00E15BF1" w:rsidRPr="00903050" w:rsidRDefault="00E15BF1" w:rsidP="0068708D">
                            <w:pPr>
                              <w:jc w:val="center"/>
                              <w:rPr>
                                <w:rFonts w:ascii="Calibri" w:hAnsi="Calibri" w:cs="Calibri"/>
                                <w:b/>
                                <w:bCs/>
                                <w:smallCaps/>
                                <w:color w:val="365F91" w:themeColor="accent1" w:themeShade="BF"/>
                                <w:sz w:val="28"/>
                                <w:szCs w:val="28"/>
                              </w:rPr>
                            </w:pPr>
                            <w:r w:rsidRPr="00903050">
                              <w:rPr>
                                <w:rFonts w:ascii="Calibri" w:hAnsi="Calibri" w:cs="Calibri"/>
                                <w:b/>
                                <w:bCs/>
                                <w:smallCaps/>
                                <w:color w:val="365F91" w:themeColor="accent1" w:themeShade="BF"/>
                                <w:sz w:val="28"/>
                                <w:szCs w:val="28"/>
                              </w:rPr>
                              <w:t>GROUPES DE TRAVAIL</w:t>
                            </w:r>
                          </w:p>
                        </w:txbxContent>
                      </wps:txbx>
                      <wps:bodyPr rot="0" vert="horz" wrap="square" lIns="91440" tIns="45720" rIns="91440" bIns="4572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811C69B" id="Rectangle à coins arrondis 48" o:spid="_x0000_s1031" style="position:absolute;left:0;text-align:left;margin-left:28.45pt;margin-top:5.4pt;width:195.65pt;height:46.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" fillcolor="#c6d9f1 [671]" strokecolor="#f2f2f2" strokeweight="3pt">
                <v:shadow on="t" color="#244482" opacity=".5" offset="1pt"/>
                <v:textbox>
                  <w:txbxContent>
                    <w:p w14:paraId="6A82A66E" w14:textId="77777777" w:rsidR="00E15BF1" w:rsidRPr="00903050" w:rsidRDefault="00E15BF1" w:rsidP="0068708D">
                      <w:pPr>
                        <w:jc w:val="center"/>
                        <w:rPr>
                          <w:rFonts w:ascii="Calibri" w:hAnsi="Calibri" w:cs="Calibri"/>
                          <w:b/>
                          <w:bCs/>
                          <w:smallCaps/>
                          <w:color w:val="365F91" w:themeColor="accent1" w:themeShade="BF"/>
                          <w:sz w:val="28"/>
                          <w:szCs w:val="28"/>
                        </w:rPr>
                      </w:pPr>
                      <w:r w:rsidRPr="00903050">
                        <w:rPr>
                          <w:rFonts w:ascii="Calibri" w:hAnsi="Calibri" w:cs="Calibri"/>
                          <w:b/>
                          <w:bCs/>
                          <w:smallCaps/>
                          <w:color w:val="365F91" w:themeColor="accent1" w:themeShade="BF"/>
                          <w:sz w:val="28"/>
                          <w:szCs w:val="28"/>
                        </w:rPr>
                        <w:t>GROUPES DE TRAVAIL</w:t>
                      </w:r>
                    </w:p>
                  </w:txbxContent>
                </v:textbox>
              </v:roundrect>
            </w:pict>
          </mc:Fallback>
        </mc:AlternateContent>
      </w:r>
    </w:p>
    <w:p w14:paraId="17553385" w14:textId="77777777" w:rsidR="0068708D" w:rsidRPr="00944EE4" w:rsidRDefault="0068708D" w:rsidP="0068708D">
      <w:pPr>
        <w:spacing w:line="276" w:lineRule="auto"/>
        <w:ind w:right="-284"/>
        <w:jc w:val="both"/>
        <w:rPr>
          <w:rFonts w:ascii="Times New Roman" w:hAnsi="Times New Roman" w:cs="Times New Roman"/>
          <w:sz w:val="24"/>
          <w:szCs w:val="24"/>
        </w:rPr>
      </w:pPr>
    </w:p>
    <w:p w14:paraId="3AA64232" w14:textId="77777777" w:rsidR="0068708D" w:rsidRPr="00944EE4" w:rsidRDefault="0068708D" w:rsidP="0068708D">
      <w:pPr>
        <w:spacing w:line="276" w:lineRule="auto"/>
        <w:ind w:right="-284"/>
        <w:jc w:val="both"/>
        <w:rPr>
          <w:rFonts w:ascii="Times New Roman" w:hAnsi="Times New Roman" w:cs="Times New Roman"/>
          <w:sz w:val="24"/>
          <w:szCs w:val="24"/>
        </w:rPr>
      </w:pPr>
    </w:p>
    <w:p w14:paraId="17463994" w14:textId="77777777" w:rsidR="0068708D" w:rsidRPr="00944EE4" w:rsidRDefault="0068708D" w:rsidP="0068708D">
      <w:pPr>
        <w:spacing w:line="276" w:lineRule="auto"/>
        <w:ind w:right="-284"/>
        <w:jc w:val="both"/>
        <w:rPr>
          <w:rFonts w:ascii="Times New Roman" w:hAnsi="Times New Roman" w:cs="Times New Roman"/>
          <w:sz w:val="24"/>
          <w:szCs w:val="24"/>
        </w:rPr>
      </w:pPr>
    </w:p>
    <w:p w14:paraId="7C1BAC31" w14:textId="77777777" w:rsidR="0068708D" w:rsidRPr="00944EE4" w:rsidRDefault="004D151A" w:rsidP="0068708D">
      <w:pPr>
        <w:spacing w:line="276" w:lineRule="auto"/>
        <w:ind w:right="-284"/>
        <w:jc w:val="both"/>
        <w:rPr>
          <w:rFonts w:ascii="Times New Roman" w:hAnsi="Times New Roman" w:cs="Times New Roman"/>
          <w:sz w:val="24"/>
          <w:szCs w:val="24"/>
        </w:rPr>
      </w:pPr>
      <w:r w:rsidRPr="00944EE4">
        <w:rPr>
          <w:rFonts w:ascii="Times New Roman" w:hAnsi="Times New Roman" w:cs="Times New Roman"/>
          <w:noProof/>
          <w:sz w:val="24"/>
          <w:szCs w:val="24"/>
          <w:lang w:val="en-US"/>
        </w:rPr>
        <mc:AlternateContent>
          <mc:Choice Requires="wps">
            <w:drawing>
              <wp:anchor distT="0" distB="0" distL="114300" distR="114300" simplePos="0" relativeHeight="251755520" behindDoc="0" locked="0" layoutInCell="1" allowOverlap="1" wp14:anchorId="7C68B59A" wp14:editId="580BC629">
                <wp:simplePos x="0" y="0"/>
                <wp:positionH relativeFrom="column">
                  <wp:posOffset>6511290</wp:posOffset>
                </wp:positionH>
                <wp:positionV relativeFrom="paragraph">
                  <wp:posOffset>93345</wp:posOffset>
                </wp:positionV>
                <wp:extent cx="1442085" cy="704850"/>
                <wp:effectExtent l="133350" t="133350" r="120015" b="133350"/>
                <wp:wrapNone/>
                <wp:docPr id="50" name="Rectangle à coins arrondis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704850"/>
                        </a:xfrm>
                        <a:prstGeom prst="roundRect">
                          <a:avLst>
                            <a:gd name="adj" fmla="val 16667"/>
                          </a:avLst>
                        </a:prstGeom>
                        <a:solidFill>
                          <a:schemeClr val="tx2"/>
                        </a:solidFill>
                        <a:ln w="38100">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txbx>
                        <w:txbxContent>
                          <w:p w14:paraId="3F0C7BB7" w14:textId="77777777" w:rsidR="00E15BF1" w:rsidRPr="00903050" w:rsidRDefault="00E15BF1" w:rsidP="0068708D">
                            <w:pPr>
                              <w:ind w:left="-90"/>
                              <w:jc w:val="center"/>
                              <w:rPr>
                                <w:rFonts w:ascii="Calibri" w:hAnsi="Calibri" w:cs="Calibri"/>
                                <w:b/>
                                <w:bCs/>
                                <w:smallCaps/>
                                <w:color w:val="FFFFFF"/>
                                <w:sz w:val="20"/>
                                <w:szCs w:val="20"/>
                              </w:rPr>
                            </w:pPr>
                            <w:r>
                              <w:rPr>
                                <w:rFonts w:ascii="Calibri" w:hAnsi="Calibri" w:cs="Calibri"/>
                                <w:b/>
                                <w:bCs/>
                                <w:smallCaps/>
                                <w:color w:val="FFFFFF"/>
                                <w:sz w:val="20"/>
                                <w:szCs w:val="20"/>
                              </w:rPr>
                              <w:t>services sociaux de base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C68B59A" id="Rectangle à coins arrondis 50" o:spid="_x0000_s1032" style="position:absolute;left:0;text-align:left;margin-left:512.7pt;margin-top:7.35pt;width:113.55pt;height:55.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" fillcolor="#1f497d [3215]" stroked="f" strokeweight="3pt">
                <v:shadow on="t" color="black" offset="0,1pt"/>
                <v:textbox>
                  <w:txbxContent>
                    <w:p w14:paraId="3F0C7BB7" w14:textId="77777777" w:rsidR="00E15BF1" w:rsidRPr="00903050" w:rsidRDefault="00E15BF1" w:rsidP="0068708D">
                      <w:pPr>
                        <w:ind w:left="-90"/>
                        <w:jc w:val="center"/>
                        <w:rPr>
                          <w:rFonts w:ascii="Calibri" w:hAnsi="Calibri" w:cs="Calibri"/>
                          <w:b/>
                          <w:bCs/>
                          <w:smallCaps/>
                          <w:color w:val="FFFFFF"/>
                          <w:sz w:val="20"/>
                          <w:szCs w:val="20"/>
                        </w:rPr>
                      </w:pPr>
                      <w:r>
                        <w:rPr>
                          <w:rFonts w:ascii="Calibri" w:hAnsi="Calibri" w:cs="Calibri"/>
                          <w:b/>
                          <w:bCs/>
                          <w:smallCaps/>
                          <w:color w:val="FFFFFF"/>
                          <w:sz w:val="20"/>
                          <w:szCs w:val="20"/>
                        </w:rPr>
                        <w:t>services sociaux de base</w:t>
                      </w:r>
                    </w:p>
                  </w:txbxContent>
                </v:textbox>
              </v:roundrect>
            </w:pict>
          </mc:Fallback>
        </mc:AlternateContent>
      </w:r>
      <w:r w:rsidRPr="00944EE4">
        <w:rPr>
          <w:rFonts w:ascii="Times New Roman" w:hAnsi="Times New Roman" w:cs="Times New Roman"/>
          <w:noProof/>
          <w:sz w:val="24"/>
          <w:szCs w:val="24"/>
          <w:lang w:val="en-US"/>
        </w:rPr>
        <mc:AlternateContent>
          <mc:Choice Requires="wps">
            <w:drawing>
              <wp:anchor distT="0" distB="0" distL="114300" distR="114300" simplePos="0" relativeHeight="251754496" behindDoc="0" locked="0" layoutInCell="1" allowOverlap="1" wp14:anchorId="56BDFE6A" wp14:editId="51D61B72">
                <wp:simplePos x="0" y="0"/>
                <wp:positionH relativeFrom="column">
                  <wp:posOffset>5042535</wp:posOffset>
                </wp:positionH>
                <wp:positionV relativeFrom="paragraph">
                  <wp:posOffset>100330</wp:posOffset>
                </wp:positionV>
                <wp:extent cx="1442085" cy="704850"/>
                <wp:effectExtent l="133350" t="133350" r="120015" b="133350"/>
                <wp:wrapNone/>
                <wp:docPr id="52" name="Rectangle à coins arrondis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704850"/>
                        </a:xfrm>
                        <a:prstGeom prst="roundRect">
                          <a:avLst>
                            <a:gd name="adj" fmla="val 16667"/>
                          </a:avLst>
                        </a:prstGeom>
                        <a:solidFill>
                          <a:schemeClr val="tx2"/>
                        </a:solidFill>
                        <a:ln w="38100">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txbx>
                        <w:txbxContent>
                          <w:p w14:paraId="6CB7BF1E" w14:textId="77777777" w:rsidR="00E15BF1" w:rsidRPr="00903050" w:rsidRDefault="00E15BF1" w:rsidP="0068708D">
                            <w:pPr>
                              <w:ind w:left="-90"/>
                              <w:jc w:val="center"/>
                              <w:rPr>
                                <w:rFonts w:ascii="Calibri" w:hAnsi="Calibri" w:cs="Calibri"/>
                                <w:b/>
                                <w:bCs/>
                                <w:smallCaps/>
                                <w:color w:val="FFFFFF"/>
                                <w:sz w:val="20"/>
                                <w:szCs w:val="20"/>
                              </w:rPr>
                            </w:pPr>
                            <w:r>
                              <w:rPr>
                                <w:rFonts w:ascii="Calibri" w:hAnsi="Calibri" w:cs="Calibri"/>
                                <w:b/>
                                <w:bCs/>
                                <w:smallCaps/>
                                <w:color w:val="FFFFFF"/>
                                <w:sz w:val="20"/>
                                <w:szCs w:val="20"/>
                              </w:rPr>
                              <w:t>gouvernance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6BDFE6A" id="Rectangle à coins arrondis 52" o:spid="_x0000_s1033" style="position:absolute;left:0;text-align:left;margin-left:397.05pt;margin-top:7.9pt;width:113.55pt;height:55.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" fillcolor="#1f497d [3215]" stroked="f" strokeweight="3pt">
                <v:shadow on="t" color="black" offset="0,1pt"/>
                <v:textbox>
                  <w:txbxContent>
                    <w:p w14:paraId="6CB7BF1E" w14:textId="77777777" w:rsidR="00E15BF1" w:rsidRPr="00903050" w:rsidRDefault="00E15BF1" w:rsidP="0068708D">
                      <w:pPr>
                        <w:ind w:left="-90"/>
                        <w:jc w:val="center"/>
                        <w:rPr>
                          <w:rFonts w:ascii="Calibri" w:hAnsi="Calibri" w:cs="Calibri"/>
                          <w:b/>
                          <w:bCs/>
                          <w:smallCaps/>
                          <w:color w:val="FFFFFF"/>
                          <w:sz w:val="20"/>
                          <w:szCs w:val="20"/>
                        </w:rPr>
                      </w:pPr>
                      <w:r>
                        <w:rPr>
                          <w:rFonts w:ascii="Calibri" w:hAnsi="Calibri" w:cs="Calibri"/>
                          <w:b/>
                          <w:bCs/>
                          <w:smallCaps/>
                          <w:color w:val="FFFFFF"/>
                          <w:sz w:val="20"/>
                          <w:szCs w:val="20"/>
                        </w:rPr>
                        <w:t>gouvernance</w:t>
                      </w:r>
                    </w:p>
                  </w:txbxContent>
                </v:textbox>
              </v:roundrect>
            </w:pict>
          </mc:Fallback>
        </mc:AlternateContent>
      </w:r>
      <w:r w:rsidRPr="00944EE4">
        <w:rPr>
          <w:rFonts w:ascii="Times New Roman" w:hAnsi="Times New Roman" w:cs="Times New Roman"/>
          <w:noProof/>
          <w:sz w:val="24"/>
          <w:szCs w:val="24"/>
          <w:lang w:val="en-US"/>
        </w:rPr>
        <mc:AlternateContent>
          <mc:Choice Requires="wps">
            <w:drawing>
              <wp:anchor distT="0" distB="0" distL="114300" distR="114300" simplePos="0" relativeHeight="251756544" behindDoc="0" locked="0" layoutInCell="1" allowOverlap="1" wp14:anchorId="1DE7D6AF" wp14:editId="6223AB20">
                <wp:simplePos x="0" y="0"/>
                <wp:positionH relativeFrom="column">
                  <wp:posOffset>7969250</wp:posOffset>
                </wp:positionH>
                <wp:positionV relativeFrom="paragraph">
                  <wp:posOffset>106680</wp:posOffset>
                </wp:positionV>
                <wp:extent cx="1442085" cy="704850"/>
                <wp:effectExtent l="133350" t="133350" r="120015" b="133350"/>
                <wp:wrapNone/>
                <wp:docPr id="53" name="Rectangle à coins arrondis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704850"/>
                        </a:xfrm>
                        <a:prstGeom prst="roundRect">
                          <a:avLst>
                            <a:gd name="adj" fmla="val 16667"/>
                          </a:avLst>
                        </a:prstGeom>
                        <a:solidFill>
                          <a:schemeClr val="tx2"/>
                        </a:solidFill>
                        <a:ln w="38100">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txbx>
                        <w:txbxContent>
                          <w:p w14:paraId="0D461FF0" w14:textId="77777777" w:rsidR="00E15BF1" w:rsidRPr="00903050" w:rsidRDefault="00E15BF1" w:rsidP="0068708D">
                            <w:pPr>
                              <w:ind w:left="-90"/>
                              <w:jc w:val="center"/>
                              <w:rPr>
                                <w:rFonts w:ascii="Calibri" w:hAnsi="Calibri" w:cs="Calibri"/>
                                <w:b/>
                                <w:bCs/>
                                <w:smallCaps/>
                                <w:color w:val="FFFFFF"/>
                                <w:sz w:val="20"/>
                                <w:szCs w:val="20"/>
                              </w:rPr>
                            </w:pPr>
                            <w:r>
                              <w:rPr>
                                <w:rFonts w:ascii="Calibri" w:hAnsi="Calibri" w:cs="Calibri"/>
                                <w:b/>
                                <w:bCs/>
                                <w:smallCaps/>
                                <w:color w:val="FFFFFF"/>
                                <w:sz w:val="20"/>
                                <w:szCs w:val="20"/>
                              </w:rPr>
                              <w:t>croissance inclusive et développement durable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DE7D6AF" id="Rectangle à coins arrondis 53" o:spid="_x0000_s1034" style="position:absolute;left:0;text-align:left;margin-left:627.5pt;margin-top:8.4pt;width:113.55pt;height:55.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" fillcolor="#1f497d [3215]" stroked="f" strokeweight="3pt">
                <v:shadow on="t" color="black" offset="0,1pt"/>
                <v:textbox>
                  <w:txbxContent>
                    <w:p w14:paraId="0D461FF0" w14:textId="77777777" w:rsidR="00E15BF1" w:rsidRPr="00903050" w:rsidRDefault="00E15BF1" w:rsidP="0068708D">
                      <w:pPr>
                        <w:ind w:left="-90"/>
                        <w:jc w:val="center"/>
                        <w:rPr>
                          <w:rFonts w:ascii="Calibri" w:hAnsi="Calibri" w:cs="Calibri"/>
                          <w:b/>
                          <w:bCs/>
                          <w:smallCaps/>
                          <w:color w:val="FFFFFF"/>
                          <w:sz w:val="20"/>
                          <w:szCs w:val="20"/>
                        </w:rPr>
                      </w:pPr>
                      <w:r>
                        <w:rPr>
                          <w:rFonts w:ascii="Calibri" w:hAnsi="Calibri" w:cs="Calibri"/>
                          <w:b/>
                          <w:bCs/>
                          <w:smallCaps/>
                          <w:color w:val="FFFFFF"/>
                          <w:sz w:val="20"/>
                          <w:szCs w:val="20"/>
                        </w:rPr>
                        <w:t>croissance inclusive et développement durable</w:t>
                      </w:r>
                    </w:p>
                  </w:txbxContent>
                </v:textbox>
              </v:roundrect>
            </w:pict>
          </mc:Fallback>
        </mc:AlternateContent>
      </w:r>
      <w:r w:rsidRPr="00944EE4">
        <w:rPr>
          <w:rFonts w:ascii="Times New Roman" w:hAnsi="Times New Roman" w:cs="Times New Roman"/>
          <w:noProof/>
          <w:sz w:val="24"/>
          <w:szCs w:val="24"/>
          <w:lang w:val="en-US"/>
        </w:rPr>
        <mc:AlternateContent>
          <mc:Choice Requires="wps">
            <w:drawing>
              <wp:anchor distT="0" distB="0" distL="114300" distR="114300" simplePos="0" relativeHeight="251750400" behindDoc="0" locked="0" layoutInCell="1" allowOverlap="1" wp14:anchorId="0D68C345" wp14:editId="0717DCFA">
                <wp:simplePos x="0" y="0"/>
                <wp:positionH relativeFrom="column">
                  <wp:posOffset>-466090</wp:posOffset>
                </wp:positionH>
                <wp:positionV relativeFrom="paragraph">
                  <wp:posOffset>96520</wp:posOffset>
                </wp:positionV>
                <wp:extent cx="1222375" cy="720090"/>
                <wp:effectExtent l="19050" t="19050" r="15875" b="4191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720090"/>
                        </a:xfrm>
                        <a:prstGeom prst="rect">
                          <a:avLst/>
                        </a:prstGeom>
                        <a:solidFill>
                          <a:schemeClr val="tx2"/>
                        </a:solidFill>
                        <a:ln w="38100">
                          <a:solidFill>
                            <a:srgbClr val="F2F2F2"/>
                          </a:solidFill>
                          <a:miter lim="800000"/>
                          <a:headEnd/>
                          <a:tailEnd/>
                        </a:ln>
                        <a:effectLst>
                          <a:outerShdw dist="28398" dir="3806097" algn="ctr" rotWithShape="0">
                            <a:srgbClr val="244482">
                              <a:alpha val="50000"/>
                            </a:srgbClr>
                          </a:outerShdw>
                        </a:effectLst>
                      </wps:spPr>
                      <wps:txbx>
                        <w:txbxContent>
                          <w:p w14:paraId="0965A8E3" w14:textId="77777777" w:rsidR="00E15BF1" w:rsidRPr="00903050" w:rsidRDefault="00E15BF1" w:rsidP="0068708D">
                            <w:pPr>
                              <w:jc w:val="center"/>
                              <w:rPr>
                                <w:rFonts w:ascii="Calibri" w:hAnsi="Calibri" w:cs="Calibri"/>
                                <w:color w:val="FFFFFF"/>
                                <w:sz w:val="20"/>
                                <w:szCs w:val="20"/>
                              </w:rPr>
                            </w:pPr>
                            <w:r w:rsidRPr="00903050">
                              <w:rPr>
                                <w:rFonts w:ascii="Calibri" w:hAnsi="Calibri" w:cs="Calibri"/>
                                <w:b/>
                                <w:bCs/>
                                <w:smallCaps/>
                                <w:color w:val="FFFFFF"/>
                                <w:sz w:val="20"/>
                                <w:szCs w:val="20"/>
                              </w:rPr>
                              <w:t>Groupe technique  Suivi-Evaluation (M&amp;E Group)</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D68C345" id="Rectangle 54" o:spid="_x0000_s1035" style="position:absolute;left:0;text-align:left;margin-left:-36.7pt;margin-top:7.6pt;width:96.25pt;height:56.7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" fillcolor="#1f497d [3215]" strokecolor="#f2f2f2" strokeweight="3pt">
                <v:shadow on="t" color="#244482" opacity=".5" offset="1pt"/>
                <v:textbox>
                  <w:txbxContent>
                    <w:p w14:paraId="0965A8E3" w14:textId="77777777" w:rsidR="00E15BF1" w:rsidRPr="00903050" w:rsidRDefault="00E15BF1" w:rsidP="0068708D">
                      <w:pPr>
                        <w:jc w:val="center"/>
                        <w:rPr>
                          <w:rFonts w:ascii="Calibri" w:hAnsi="Calibri" w:cs="Calibri"/>
                          <w:color w:val="FFFFFF"/>
                          <w:sz w:val="20"/>
                          <w:szCs w:val="20"/>
                        </w:rPr>
                      </w:pPr>
                      <w:r w:rsidRPr="00903050">
                        <w:rPr>
                          <w:rFonts w:ascii="Calibri" w:hAnsi="Calibri" w:cs="Calibri"/>
                          <w:b/>
                          <w:bCs/>
                          <w:smallCaps/>
                          <w:color w:val="FFFFFF"/>
                          <w:sz w:val="20"/>
                          <w:szCs w:val="20"/>
                        </w:rPr>
                        <w:t>Groupe technique  Suivi-Evaluation (M&amp;E Group)</w:t>
                      </w:r>
                    </w:p>
                  </w:txbxContent>
                </v:textbox>
              </v:rect>
            </w:pict>
          </mc:Fallback>
        </mc:AlternateContent>
      </w:r>
      <w:r w:rsidRPr="00944EE4">
        <w:rPr>
          <w:rFonts w:ascii="Times New Roman" w:hAnsi="Times New Roman" w:cs="Times New Roman"/>
          <w:noProof/>
          <w:sz w:val="24"/>
          <w:szCs w:val="24"/>
          <w:lang w:val="en-US"/>
        </w:rPr>
        <mc:AlternateContent>
          <mc:Choice Requires="wps">
            <w:drawing>
              <wp:anchor distT="0" distB="0" distL="114300" distR="114300" simplePos="0" relativeHeight="251748352" behindDoc="0" locked="0" layoutInCell="1" allowOverlap="1" wp14:anchorId="39850B0F" wp14:editId="400606AE">
                <wp:simplePos x="0" y="0"/>
                <wp:positionH relativeFrom="column">
                  <wp:posOffset>768350</wp:posOffset>
                </wp:positionH>
                <wp:positionV relativeFrom="paragraph">
                  <wp:posOffset>96520</wp:posOffset>
                </wp:positionV>
                <wp:extent cx="1223645" cy="720090"/>
                <wp:effectExtent l="19050" t="19050" r="14605" b="4191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3645" cy="720090"/>
                        </a:xfrm>
                        <a:prstGeom prst="rect">
                          <a:avLst/>
                        </a:prstGeom>
                        <a:solidFill>
                          <a:schemeClr val="tx2"/>
                        </a:solidFill>
                        <a:ln w="38100">
                          <a:solidFill>
                            <a:srgbClr val="F2F2F2"/>
                          </a:solidFill>
                          <a:miter lim="800000"/>
                          <a:headEnd/>
                          <a:tailEnd/>
                        </a:ln>
                        <a:effectLst>
                          <a:outerShdw dist="28398" dir="3806097" algn="ctr" rotWithShape="0">
                            <a:srgbClr val="244482">
                              <a:alpha val="50000"/>
                            </a:srgbClr>
                          </a:outerShdw>
                        </a:effectLst>
                      </wps:spPr>
                      <wps:txbx>
                        <w:txbxContent>
                          <w:p w14:paraId="30CA6B1C" w14:textId="77777777" w:rsidR="00E15BF1" w:rsidRPr="00903050" w:rsidRDefault="00E15BF1" w:rsidP="0068708D">
                            <w:pPr>
                              <w:shd w:val="clear" w:color="auto" w:fill="1F497D" w:themeFill="text2"/>
                              <w:jc w:val="center"/>
                              <w:rPr>
                                <w:rFonts w:ascii="Calibri" w:hAnsi="Calibri" w:cs="Calibri"/>
                                <w:color w:val="FFFFFF"/>
                                <w:sz w:val="20"/>
                                <w:szCs w:val="20"/>
                              </w:rPr>
                            </w:pPr>
                            <w:r w:rsidRPr="00903050">
                              <w:rPr>
                                <w:rFonts w:ascii="Calibri" w:hAnsi="Calibri" w:cs="Calibri"/>
                                <w:b/>
                                <w:bCs/>
                                <w:smallCaps/>
                                <w:color w:val="FFFFFF"/>
                                <w:sz w:val="20"/>
                                <w:szCs w:val="20"/>
                              </w:rPr>
                              <w:t>Groupe des Chargés  d’Opérations  (OMT)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850B0F" id="Rectangle 55" o:spid="_x0000_s1036" style="position:absolute;left:0;text-align:left;margin-left:60.5pt;margin-top:7.6pt;width:96.35pt;height:56.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" fillcolor="#1f497d [3215]" strokecolor="#f2f2f2" strokeweight="3pt">
                <v:shadow on="t" color="#244482" opacity=".5" offset="1pt"/>
                <v:textbox>
                  <w:txbxContent>
                    <w:p w14:paraId="30CA6B1C" w14:textId="77777777" w:rsidR="00E15BF1" w:rsidRPr="00903050" w:rsidRDefault="00E15BF1" w:rsidP="0068708D">
                      <w:pPr>
                        <w:shd w:val="clear" w:color="auto" w:fill="1F497D" w:themeFill="text2"/>
                        <w:jc w:val="center"/>
                        <w:rPr>
                          <w:rFonts w:ascii="Calibri" w:hAnsi="Calibri" w:cs="Calibri"/>
                          <w:color w:val="FFFFFF"/>
                          <w:sz w:val="20"/>
                          <w:szCs w:val="20"/>
                        </w:rPr>
                      </w:pPr>
                      <w:r w:rsidRPr="00903050">
                        <w:rPr>
                          <w:rFonts w:ascii="Calibri" w:hAnsi="Calibri" w:cs="Calibri"/>
                          <w:b/>
                          <w:bCs/>
                          <w:smallCaps/>
                          <w:color w:val="FFFFFF"/>
                          <w:sz w:val="20"/>
                          <w:szCs w:val="20"/>
                        </w:rPr>
                        <w:t>Groupe des Chargés  d’Opérations  (OMT)</w:t>
                      </w:r>
                    </w:p>
                  </w:txbxContent>
                </v:textbox>
              </v:rect>
            </w:pict>
          </mc:Fallback>
        </mc:AlternateContent>
      </w:r>
      <w:r w:rsidRPr="00944EE4">
        <w:rPr>
          <w:rFonts w:ascii="Times New Roman" w:hAnsi="Times New Roman" w:cs="Times New Roman"/>
          <w:noProof/>
          <w:sz w:val="24"/>
          <w:szCs w:val="24"/>
          <w:lang w:val="en-US"/>
        </w:rPr>
        <mc:AlternateContent>
          <mc:Choice Requires="wps">
            <w:drawing>
              <wp:anchor distT="0" distB="0" distL="114300" distR="114300" simplePos="0" relativeHeight="251749376" behindDoc="0" locked="0" layoutInCell="1" allowOverlap="1" wp14:anchorId="423B1EF2" wp14:editId="711F0CAB">
                <wp:simplePos x="0" y="0"/>
                <wp:positionH relativeFrom="column">
                  <wp:posOffset>2048510</wp:posOffset>
                </wp:positionH>
                <wp:positionV relativeFrom="paragraph">
                  <wp:posOffset>127000</wp:posOffset>
                </wp:positionV>
                <wp:extent cx="1222375" cy="689610"/>
                <wp:effectExtent l="133350" t="133350" r="111125" b="12954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2375" cy="689610"/>
                        </a:xfrm>
                        <a:prstGeom prst="rect">
                          <a:avLst/>
                        </a:prstGeom>
                        <a:solidFill>
                          <a:schemeClr val="tx2"/>
                        </a:solidFill>
                        <a:ln w="38100">
                          <a:noFill/>
                          <a:miter lim="800000"/>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txbx>
                        <w:txbxContent>
                          <w:p w14:paraId="0D697E76" w14:textId="77777777" w:rsidR="00E15BF1" w:rsidRPr="00903050" w:rsidRDefault="00E15BF1" w:rsidP="0068708D">
                            <w:pPr>
                              <w:jc w:val="center"/>
                              <w:rPr>
                                <w:rFonts w:ascii="Calibri" w:hAnsi="Calibri" w:cs="Calibri"/>
                                <w:color w:val="FFFFFF"/>
                                <w:sz w:val="20"/>
                                <w:szCs w:val="20"/>
                              </w:rPr>
                            </w:pPr>
                            <w:r w:rsidRPr="00903050">
                              <w:rPr>
                                <w:rFonts w:ascii="Calibri" w:hAnsi="Calibri" w:cs="Calibri"/>
                                <w:b/>
                                <w:bCs/>
                                <w:smallCaps/>
                                <w:color w:val="FFFFFF"/>
                                <w:sz w:val="20"/>
                                <w:szCs w:val="20"/>
                              </w:rPr>
                              <w:t xml:space="preserve">Groupe des Chargés de Communication (UNCG)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23B1EF2" id="Rectangle 56" o:spid="_x0000_s1037" style="position:absolute;left:0;text-align:left;margin-left:161.3pt;margin-top:10pt;width:96.25pt;height:54.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" fillcolor="#1f497d [3215]" stroked="f" strokeweight="3pt">
                <v:shadow on="t" color="black" offset="0,1pt"/>
                <v:textbox>
                  <w:txbxContent>
                    <w:p w14:paraId="0D697E76" w14:textId="77777777" w:rsidR="00E15BF1" w:rsidRPr="00903050" w:rsidRDefault="00E15BF1" w:rsidP="0068708D">
                      <w:pPr>
                        <w:jc w:val="center"/>
                        <w:rPr>
                          <w:rFonts w:ascii="Calibri" w:hAnsi="Calibri" w:cs="Calibri"/>
                          <w:color w:val="FFFFFF"/>
                          <w:sz w:val="20"/>
                          <w:szCs w:val="20"/>
                        </w:rPr>
                      </w:pPr>
                      <w:r w:rsidRPr="00903050">
                        <w:rPr>
                          <w:rFonts w:ascii="Calibri" w:hAnsi="Calibri" w:cs="Calibri"/>
                          <w:b/>
                          <w:bCs/>
                          <w:smallCaps/>
                          <w:color w:val="FFFFFF"/>
                          <w:sz w:val="20"/>
                          <w:szCs w:val="20"/>
                        </w:rPr>
                        <w:t xml:space="preserve">Groupe des Chargés de Communication (UNCG) </w:t>
                      </w:r>
                    </w:p>
                  </w:txbxContent>
                </v:textbox>
              </v:rect>
            </w:pict>
          </mc:Fallback>
        </mc:AlternateContent>
      </w:r>
      <w:r w:rsidRPr="00944EE4">
        <w:rPr>
          <w:rFonts w:ascii="Times New Roman" w:hAnsi="Times New Roman" w:cs="Times New Roman"/>
          <w:noProof/>
          <w:sz w:val="24"/>
          <w:szCs w:val="24"/>
          <w:lang w:val="en-US"/>
        </w:rPr>
        <mc:AlternateContent>
          <mc:Choice Requires="wps">
            <w:drawing>
              <wp:anchor distT="0" distB="0" distL="114300" distR="114300" simplePos="0" relativeHeight="251751424" behindDoc="0" locked="0" layoutInCell="1" allowOverlap="1" wp14:anchorId="4F35E565" wp14:editId="61AE3579">
                <wp:simplePos x="0" y="0"/>
                <wp:positionH relativeFrom="column">
                  <wp:posOffset>3556000</wp:posOffset>
                </wp:positionH>
                <wp:positionV relativeFrom="paragraph">
                  <wp:posOffset>86360</wp:posOffset>
                </wp:positionV>
                <wp:extent cx="1442085" cy="704850"/>
                <wp:effectExtent l="133350" t="133350" r="120015" b="133350"/>
                <wp:wrapNone/>
                <wp:docPr id="57" name="Rectangle à coins arrondis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2085" cy="704850"/>
                        </a:xfrm>
                        <a:prstGeom prst="roundRect">
                          <a:avLst>
                            <a:gd name="adj" fmla="val 16667"/>
                          </a:avLst>
                        </a:prstGeom>
                        <a:solidFill>
                          <a:schemeClr val="tx2"/>
                        </a:solidFill>
                        <a:ln w="38100">
                          <a:noFill/>
                          <a:round/>
                          <a:headEnd/>
                          <a:tailEnd/>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extLst/>
                      </wps:spPr>
                      <wps:txbx>
                        <w:txbxContent>
                          <w:p w14:paraId="66E502F8" w14:textId="77777777" w:rsidR="00E15BF1" w:rsidRPr="00903050" w:rsidRDefault="00E15BF1" w:rsidP="0068708D">
                            <w:pPr>
                              <w:ind w:left="-90"/>
                              <w:jc w:val="center"/>
                              <w:rPr>
                                <w:rFonts w:ascii="Calibri" w:hAnsi="Calibri" w:cs="Calibri"/>
                                <w:b/>
                                <w:bCs/>
                                <w:smallCaps/>
                                <w:color w:val="FFFFFF"/>
                                <w:sz w:val="20"/>
                                <w:szCs w:val="20"/>
                              </w:rPr>
                            </w:pPr>
                            <w:r w:rsidRPr="00903050">
                              <w:rPr>
                                <w:rFonts w:ascii="Calibri" w:hAnsi="Calibri" w:cs="Calibri"/>
                                <w:b/>
                                <w:bCs/>
                                <w:smallCaps/>
                                <w:color w:val="FFFFFF"/>
                                <w:sz w:val="20"/>
                                <w:szCs w:val="20"/>
                              </w:rPr>
                              <w:t>Paix, Sécurité et Réconciliation nationale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35E565" id="Rectangle à coins arrondis 57" o:spid="_x0000_s1038" style="position:absolute;left:0;text-align:left;margin-left:280pt;margin-top:6.8pt;width:113.55pt;height:55.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" fillcolor="#1f497d [3215]" stroked="f" strokeweight="3pt">
                <v:shadow on="t" color="black" offset="0,1pt"/>
                <v:textbox>
                  <w:txbxContent>
                    <w:p w14:paraId="66E502F8" w14:textId="77777777" w:rsidR="00E15BF1" w:rsidRPr="00903050" w:rsidRDefault="00E15BF1" w:rsidP="0068708D">
                      <w:pPr>
                        <w:ind w:left="-90"/>
                        <w:jc w:val="center"/>
                        <w:rPr>
                          <w:rFonts w:ascii="Calibri" w:hAnsi="Calibri" w:cs="Calibri"/>
                          <w:b/>
                          <w:bCs/>
                          <w:smallCaps/>
                          <w:color w:val="FFFFFF"/>
                          <w:sz w:val="20"/>
                          <w:szCs w:val="20"/>
                        </w:rPr>
                      </w:pPr>
                      <w:r w:rsidRPr="00903050">
                        <w:rPr>
                          <w:rFonts w:ascii="Calibri" w:hAnsi="Calibri" w:cs="Calibri"/>
                          <w:b/>
                          <w:bCs/>
                          <w:smallCaps/>
                          <w:color w:val="FFFFFF"/>
                          <w:sz w:val="20"/>
                          <w:szCs w:val="20"/>
                        </w:rPr>
                        <w:t>Paix, Sécurité et Réconciliation nationale</w:t>
                      </w:r>
                    </w:p>
                  </w:txbxContent>
                </v:textbox>
              </v:roundrect>
            </w:pict>
          </mc:Fallback>
        </mc:AlternateContent>
      </w:r>
    </w:p>
    <w:p w14:paraId="4CA9D44D" w14:textId="77777777" w:rsidR="0068708D" w:rsidRPr="00944EE4" w:rsidRDefault="0068708D" w:rsidP="0068708D">
      <w:pPr>
        <w:spacing w:line="276" w:lineRule="auto"/>
        <w:ind w:right="-284"/>
        <w:jc w:val="both"/>
        <w:rPr>
          <w:rFonts w:ascii="Times New Roman" w:hAnsi="Times New Roman" w:cs="Times New Roman"/>
          <w:sz w:val="24"/>
          <w:szCs w:val="24"/>
        </w:rPr>
      </w:pPr>
    </w:p>
    <w:p w14:paraId="2A427B98" w14:textId="77777777" w:rsidR="0068708D" w:rsidRPr="00944EE4" w:rsidRDefault="0068708D" w:rsidP="0068708D">
      <w:pPr>
        <w:spacing w:line="276" w:lineRule="auto"/>
        <w:ind w:right="-284"/>
        <w:jc w:val="both"/>
        <w:rPr>
          <w:rFonts w:ascii="Times New Roman" w:hAnsi="Times New Roman" w:cs="Times New Roman"/>
          <w:sz w:val="24"/>
          <w:szCs w:val="24"/>
        </w:rPr>
      </w:pPr>
    </w:p>
    <w:p w14:paraId="538C4617" w14:textId="77777777" w:rsidR="0068708D" w:rsidRPr="00944EE4" w:rsidRDefault="0068708D" w:rsidP="0068708D">
      <w:pPr>
        <w:spacing w:line="276" w:lineRule="auto"/>
        <w:ind w:right="-284"/>
        <w:jc w:val="both"/>
        <w:rPr>
          <w:rFonts w:ascii="Times New Roman" w:hAnsi="Times New Roman" w:cs="Times New Roman"/>
          <w:sz w:val="24"/>
          <w:szCs w:val="24"/>
        </w:rPr>
      </w:pPr>
    </w:p>
    <w:p w14:paraId="4769D252" w14:textId="77777777" w:rsidR="0068708D" w:rsidRPr="00944EE4" w:rsidRDefault="0068708D" w:rsidP="0068708D">
      <w:pPr>
        <w:spacing w:line="276" w:lineRule="auto"/>
        <w:ind w:right="-284"/>
        <w:jc w:val="both"/>
        <w:rPr>
          <w:rFonts w:ascii="Times New Roman" w:hAnsi="Times New Roman" w:cs="Times New Roman"/>
          <w:sz w:val="24"/>
          <w:szCs w:val="24"/>
        </w:rPr>
      </w:pPr>
    </w:p>
    <w:p w14:paraId="41B67831" w14:textId="77777777" w:rsidR="0068708D" w:rsidRPr="00944EE4" w:rsidRDefault="0068708D" w:rsidP="0068708D">
      <w:pPr>
        <w:spacing w:line="276" w:lineRule="auto"/>
        <w:ind w:right="-284"/>
        <w:jc w:val="both"/>
        <w:rPr>
          <w:rFonts w:ascii="Times New Roman" w:hAnsi="Times New Roman" w:cs="Times New Roman"/>
          <w:sz w:val="24"/>
          <w:szCs w:val="24"/>
        </w:rPr>
        <w:sectPr w:rsidR="0068708D" w:rsidRPr="00944EE4" w:rsidSect="00E86D91">
          <w:pgSz w:w="15840" w:h="12240" w:orient="landscape" w:code="1"/>
          <w:pgMar w:top="1298" w:right="1151" w:bottom="1298" w:left="902" w:header="567" w:footer="335" w:gutter="0"/>
          <w:cols w:space="708"/>
          <w:titlePg/>
          <w:docGrid w:linePitch="360"/>
        </w:sectPr>
      </w:pPr>
    </w:p>
    <w:p w14:paraId="102DD8EE" w14:textId="77777777" w:rsidR="00970B00" w:rsidRPr="00944EE4" w:rsidRDefault="00880F37" w:rsidP="008B72F6">
      <w:pPr>
        <w:pStyle w:val="Titre1"/>
        <w:rPr>
          <w:rFonts w:ascii="Times New Roman" w:hAnsi="Times New Roman" w:cs="Times New Roman"/>
          <w:color w:val="0000FF"/>
          <w:sz w:val="24"/>
          <w:szCs w:val="24"/>
        </w:rPr>
      </w:pPr>
      <w:bookmarkStart w:id="15" w:name="_Toc509228614"/>
      <w:r w:rsidRPr="00944EE4">
        <w:rPr>
          <w:rFonts w:ascii="Times New Roman" w:hAnsi="Times New Roman" w:cs="Times New Roman"/>
          <w:sz w:val="24"/>
          <w:szCs w:val="24"/>
          <w:u w:val="single"/>
        </w:rPr>
        <w:lastRenderedPageBreak/>
        <w:t>PARTIE V</w:t>
      </w:r>
      <w:r w:rsidRPr="00944EE4">
        <w:rPr>
          <w:rFonts w:ascii="Times New Roman" w:hAnsi="Times New Roman" w:cs="Times New Roman"/>
          <w:sz w:val="24"/>
          <w:szCs w:val="24"/>
        </w:rPr>
        <w:t> : ESTIMATION DES RESSOURCES NECESSAIRES ET MOBILISATION DES RESSOURCES</w:t>
      </w:r>
      <w:bookmarkEnd w:id="15"/>
    </w:p>
    <w:p w14:paraId="49E7CFDE" w14:textId="77777777" w:rsidR="007C6BB8" w:rsidRPr="00944EE4" w:rsidRDefault="007C6BB8" w:rsidP="007C6BB8">
      <w:pPr>
        <w:autoSpaceDE w:val="0"/>
        <w:autoSpaceDN w:val="0"/>
        <w:adjustRightInd w:val="0"/>
        <w:rPr>
          <w:rFonts w:ascii="Times New Roman" w:hAnsi="Times New Roman" w:cs="Times New Roman"/>
          <w:sz w:val="24"/>
          <w:szCs w:val="24"/>
        </w:rPr>
      </w:pPr>
    </w:p>
    <w:p w14:paraId="5D1E5455" w14:textId="0691A2F0" w:rsidR="00ED1B66" w:rsidRPr="00944EE4" w:rsidRDefault="00552376" w:rsidP="00266251">
      <w:pPr>
        <w:spacing w:line="276" w:lineRule="auto"/>
        <w:jc w:val="both"/>
        <w:rPr>
          <w:rFonts w:ascii="Times New Roman" w:hAnsi="Times New Roman" w:cs="Times New Roman"/>
          <w:b/>
          <w:color w:val="1F497D" w:themeColor="text2"/>
          <w:sz w:val="24"/>
          <w:szCs w:val="24"/>
          <w:u w:val="single"/>
        </w:rPr>
      </w:pPr>
      <w:r>
        <w:rPr>
          <w:rFonts w:ascii="Times New Roman" w:hAnsi="Times New Roman" w:cs="Times New Roman"/>
          <w:sz w:val="24"/>
          <w:szCs w:val="24"/>
        </w:rPr>
        <w:t xml:space="preserve">Le montant projete par les </w:t>
      </w:r>
      <w:r w:rsidR="00880F37" w:rsidRPr="00944EE4">
        <w:rPr>
          <w:rFonts w:ascii="Times New Roman" w:hAnsi="Times New Roman" w:cs="Times New Roman"/>
          <w:sz w:val="24"/>
          <w:szCs w:val="24"/>
        </w:rPr>
        <w:t xml:space="preserve">agences des Nations Unies au Mali et la MINUSMA pour contribuer efficacement à la réalisation des </w:t>
      </w:r>
      <w:r>
        <w:rPr>
          <w:rFonts w:ascii="Times New Roman" w:hAnsi="Times New Roman" w:cs="Times New Roman"/>
          <w:sz w:val="24"/>
          <w:szCs w:val="24"/>
        </w:rPr>
        <w:t>activités liées aux quatre axes</w:t>
      </w:r>
      <w:r w:rsidR="00880F37" w:rsidRPr="00944EE4">
        <w:rPr>
          <w:rFonts w:ascii="Times New Roman" w:hAnsi="Times New Roman" w:cs="Times New Roman"/>
          <w:sz w:val="24"/>
          <w:szCs w:val="24"/>
        </w:rPr>
        <w:t xml:space="preserve"> d’intervention identifiés dans l’UNDAF+</w:t>
      </w:r>
      <w:r>
        <w:rPr>
          <w:rFonts w:ascii="Times New Roman" w:hAnsi="Times New Roman" w:cs="Times New Roman"/>
          <w:sz w:val="24"/>
          <w:szCs w:val="24"/>
        </w:rPr>
        <w:t xml:space="preserve"> était de 1.137.632.</w:t>
      </w:r>
      <w:r w:rsidRPr="00944EE4">
        <w:rPr>
          <w:rFonts w:ascii="Times New Roman" w:hAnsi="Times New Roman" w:cs="Times New Roman"/>
          <w:sz w:val="24"/>
          <w:szCs w:val="24"/>
        </w:rPr>
        <w:t xml:space="preserve">878 </w:t>
      </w:r>
      <w:r>
        <w:rPr>
          <w:rFonts w:ascii="Times New Roman" w:hAnsi="Times New Roman" w:cs="Times New Roman"/>
          <w:sz w:val="24"/>
          <w:szCs w:val="24"/>
        </w:rPr>
        <w:t>USD en debut de programme</w:t>
      </w:r>
      <w:r w:rsidR="00880F37" w:rsidRPr="00944EE4">
        <w:rPr>
          <w:rFonts w:ascii="Times New Roman" w:hAnsi="Times New Roman" w:cs="Times New Roman"/>
          <w:sz w:val="24"/>
          <w:szCs w:val="24"/>
        </w:rPr>
        <w:t xml:space="preserve">. La matrice des résultats de l’UNDAF+ présente les ressources indicatives qui </w:t>
      </w:r>
      <w:r>
        <w:rPr>
          <w:rFonts w:ascii="Times New Roman" w:hAnsi="Times New Roman" w:cs="Times New Roman"/>
          <w:sz w:val="24"/>
          <w:szCs w:val="24"/>
        </w:rPr>
        <w:t xml:space="preserve">avaient été estimees </w:t>
      </w:r>
      <w:r w:rsidR="00880F37" w:rsidRPr="00944EE4">
        <w:rPr>
          <w:rFonts w:ascii="Times New Roman" w:hAnsi="Times New Roman" w:cs="Times New Roman"/>
          <w:sz w:val="24"/>
          <w:szCs w:val="24"/>
        </w:rPr>
        <w:t>p</w:t>
      </w:r>
      <w:r w:rsidR="00DF1748">
        <w:rPr>
          <w:rFonts w:ascii="Times New Roman" w:hAnsi="Times New Roman" w:cs="Times New Roman"/>
          <w:sz w:val="24"/>
          <w:szCs w:val="24"/>
        </w:rPr>
        <w:t>our l’atteinte de ces résultats, ainsi q</w:t>
      </w:r>
      <w:r w:rsidR="00B53C42">
        <w:rPr>
          <w:rFonts w:ascii="Times New Roman" w:hAnsi="Times New Roman" w:cs="Times New Roman"/>
          <w:sz w:val="24"/>
          <w:szCs w:val="24"/>
        </w:rPr>
        <w:t>ue les gaps de financement po</w:t>
      </w:r>
      <w:r w:rsidR="00DF1748">
        <w:rPr>
          <w:rFonts w:ascii="Times New Roman" w:hAnsi="Times New Roman" w:cs="Times New Roman"/>
          <w:sz w:val="24"/>
          <w:szCs w:val="24"/>
        </w:rPr>
        <w:t>u</w:t>
      </w:r>
      <w:r w:rsidR="00B53C42">
        <w:rPr>
          <w:rFonts w:ascii="Times New Roman" w:hAnsi="Times New Roman" w:cs="Times New Roman"/>
          <w:sz w:val="24"/>
          <w:szCs w:val="24"/>
        </w:rPr>
        <w:t>r</w:t>
      </w:r>
      <w:r w:rsidR="00DF1748">
        <w:rPr>
          <w:rFonts w:ascii="Times New Roman" w:hAnsi="Times New Roman" w:cs="Times New Roman"/>
          <w:sz w:val="24"/>
          <w:szCs w:val="24"/>
        </w:rPr>
        <w:t xml:space="preserve"> chaque Effet.</w:t>
      </w:r>
      <w:r w:rsidR="00880F37" w:rsidRPr="00944EE4">
        <w:rPr>
          <w:rFonts w:ascii="Times New Roman" w:hAnsi="Times New Roman" w:cs="Times New Roman"/>
          <w:sz w:val="24"/>
          <w:szCs w:val="24"/>
        </w:rPr>
        <w:t xml:space="preserve"> Les ressources nécessaires provien</w:t>
      </w:r>
      <w:r>
        <w:rPr>
          <w:rFonts w:ascii="Times New Roman" w:hAnsi="Times New Roman" w:cs="Times New Roman"/>
          <w:sz w:val="24"/>
          <w:szCs w:val="24"/>
        </w:rPr>
        <w:t>ne</w:t>
      </w:r>
      <w:r w:rsidR="00DF1748">
        <w:rPr>
          <w:rFonts w:ascii="Times New Roman" w:hAnsi="Times New Roman" w:cs="Times New Roman"/>
          <w:sz w:val="24"/>
          <w:szCs w:val="24"/>
        </w:rPr>
        <w:t>n</w:t>
      </w:r>
      <w:r>
        <w:rPr>
          <w:rFonts w:ascii="Times New Roman" w:hAnsi="Times New Roman" w:cs="Times New Roman"/>
          <w:sz w:val="24"/>
          <w:szCs w:val="24"/>
        </w:rPr>
        <w:t>t</w:t>
      </w:r>
      <w:r w:rsidR="00880F37" w:rsidRPr="00944EE4">
        <w:rPr>
          <w:rFonts w:ascii="Times New Roman" w:hAnsi="Times New Roman" w:cs="Times New Roman"/>
          <w:sz w:val="24"/>
          <w:szCs w:val="24"/>
        </w:rPr>
        <w:t xml:space="preserve"> d’une part, des fonds disponibles au niveau de la MINUSMA et de chacune des agences et d’autre part, des</w:t>
      </w:r>
      <w:r>
        <w:rPr>
          <w:rFonts w:ascii="Times New Roman" w:hAnsi="Times New Roman" w:cs="Times New Roman"/>
          <w:sz w:val="24"/>
          <w:szCs w:val="24"/>
        </w:rPr>
        <w:t xml:space="preserve"> ressources que ces structures prevoien</w:t>
      </w:r>
      <w:r w:rsidR="00880F37" w:rsidRPr="00944EE4">
        <w:rPr>
          <w:rFonts w:ascii="Times New Roman" w:hAnsi="Times New Roman" w:cs="Times New Roman"/>
          <w:sz w:val="24"/>
          <w:szCs w:val="24"/>
        </w:rPr>
        <w:t xml:space="preserve">t </w:t>
      </w:r>
      <w:r>
        <w:rPr>
          <w:rFonts w:ascii="Times New Roman" w:hAnsi="Times New Roman" w:cs="Times New Roman"/>
          <w:sz w:val="24"/>
          <w:szCs w:val="24"/>
        </w:rPr>
        <w:t xml:space="preserve">de </w:t>
      </w:r>
      <w:r w:rsidR="00880F37" w:rsidRPr="00944EE4">
        <w:rPr>
          <w:rFonts w:ascii="Times New Roman" w:hAnsi="Times New Roman" w:cs="Times New Roman"/>
          <w:sz w:val="24"/>
          <w:szCs w:val="24"/>
        </w:rPr>
        <w:t>mobiliser auprès des partenaires, soit individuellement, soit d’une manière collective dans le cadre de programmes conjoints. Durant le processus de revue annuelle de l’UNDAF+ avec le Gouvernement du Mali et les partenaires au déve</w:t>
      </w:r>
      <w:r>
        <w:rPr>
          <w:rFonts w:ascii="Times New Roman" w:hAnsi="Times New Roman" w:cs="Times New Roman"/>
          <w:sz w:val="24"/>
          <w:szCs w:val="24"/>
        </w:rPr>
        <w:t>loppement, les Nations Unies f</w:t>
      </w:r>
      <w:r w:rsidR="00880F37" w:rsidRPr="00944EE4">
        <w:rPr>
          <w:rFonts w:ascii="Times New Roman" w:hAnsi="Times New Roman" w:cs="Times New Roman"/>
          <w:sz w:val="24"/>
          <w:szCs w:val="24"/>
        </w:rPr>
        <w:t xml:space="preserve">ont un état des lieux sur le montant effectif des ressources mobilisées et </w:t>
      </w:r>
      <w:r>
        <w:rPr>
          <w:rFonts w:ascii="Times New Roman" w:hAnsi="Times New Roman" w:cs="Times New Roman"/>
          <w:sz w:val="24"/>
          <w:szCs w:val="24"/>
        </w:rPr>
        <w:t>app</w:t>
      </w:r>
      <w:r w:rsidR="00880F37" w:rsidRPr="00944EE4">
        <w:rPr>
          <w:rFonts w:ascii="Times New Roman" w:hAnsi="Times New Roman" w:cs="Times New Roman"/>
          <w:sz w:val="24"/>
          <w:szCs w:val="24"/>
        </w:rPr>
        <w:t>ort</w:t>
      </w:r>
      <w:r>
        <w:rPr>
          <w:rFonts w:ascii="Times New Roman" w:hAnsi="Times New Roman" w:cs="Times New Roman"/>
          <w:sz w:val="24"/>
          <w:szCs w:val="24"/>
        </w:rPr>
        <w:t>e</w:t>
      </w:r>
      <w:r w:rsidR="00880F37" w:rsidRPr="00944EE4">
        <w:rPr>
          <w:rFonts w:ascii="Times New Roman" w:hAnsi="Times New Roman" w:cs="Times New Roman"/>
          <w:sz w:val="24"/>
          <w:szCs w:val="24"/>
        </w:rPr>
        <w:t>nt les changements nécessaires dans le budget, en tenant compte des priorités nationales et de l’état d’avancement des activités inscrites dans la matrice des résultats.</w:t>
      </w:r>
      <w:r w:rsidR="00880F37" w:rsidRPr="00944EE4">
        <w:rPr>
          <w:rFonts w:ascii="Times New Roman" w:hAnsi="Times New Roman" w:cs="Times New Roman"/>
          <w:b/>
          <w:color w:val="1F497D" w:themeColor="text2"/>
          <w:sz w:val="24"/>
          <w:szCs w:val="24"/>
          <w:u w:val="single"/>
        </w:rPr>
        <w:t xml:space="preserve"> </w:t>
      </w:r>
    </w:p>
    <w:p w14:paraId="6F96352A" w14:textId="7DE432FA" w:rsidR="00ED1B66" w:rsidRDefault="00ED1B66" w:rsidP="00266251">
      <w:pPr>
        <w:spacing w:line="276" w:lineRule="auto"/>
        <w:jc w:val="both"/>
        <w:rPr>
          <w:rFonts w:ascii="Times New Roman" w:hAnsi="Times New Roman" w:cs="Times New Roman"/>
          <w:b/>
          <w:color w:val="1F497D" w:themeColor="text2"/>
          <w:sz w:val="24"/>
          <w:szCs w:val="24"/>
          <w:u w:val="single"/>
        </w:rPr>
      </w:pPr>
    </w:p>
    <w:p w14:paraId="518544AE" w14:textId="1E8613E5" w:rsidR="00DF1748" w:rsidRDefault="00DF1748" w:rsidP="00266251">
      <w:pPr>
        <w:spacing w:line="276" w:lineRule="auto"/>
        <w:jc w:val="both"/>
        <w:rPr>
          <w:rFonts w:ascii="Times New Roman" w:hAnsi="Times New Roman"/>
          <w:sz w:val="24"/>
          <w:szCs w:val="24"/>
        </w:rPr>
      </w:pPr>
      <w:r w:rsidRPr="00F02379">
        <w:rPr>
          <w:rFonts w:ascii="Times New Roman" w:hAnsi="Times New Roman"/>
          <w:sz w:val="24"/>
          <w:szCs w:val="24"/>
        </w:rPr>
        <w:t xml:space="preserve">Le programme </w:t>
      </w:r>
      <w:r>
        <w:rPr>
          <w:rFonts w:ascii="Times New Roman" w:hAnsi="Times New Roman"/>
          <w:sz w:val="24"/>
          <w:szCs w:val="24"/>
        </w:rPr>
        <w:t>s’est dot</w:t>
      </w:r>
      <w:r w:rsidRPr="00944EE4">
        <w:rPr>
          <w:rFonts w:ascii="Times New Roman" w:hAnsi="Times New Roman" w:cs="Times New Roman"/>
          <w:sz w:val="24"/>
          <w:szCs w:val="24"/>
        </w:rPr>
        <w:t>é</w:t>
      </w:r>
      <w:r>
        <w:rPr>
          <w:rFonts w:ascii="Times New Roman" w:hAnsi="Times New Roman"/>
          <w:sz w:val="24"/>
          <w:szCs w:val="24"/>
        </w:rPr>
        <w:t xml:space="preserve"> recemment d’une stratégie de mobilisation de ressources, qui n’a pas pu être mise en œuvre dans la première moitié du cycle. Il n’a</w:t>
      </w:r>
      <w:r w:rsidRPr="00F02379">
        <w:rPr>
          <w:rFonts w:ascii="Times New Roman" w:hAnsi="Times New Roman"/>
          <w:sz w:val="24"/>
          <w:szCs w:val="24"/>
        </w:rPr>
        <w:t>vait donc pas une capacité financière différente de celle des différentes agences participantes. D’une manière générale, les interventions se sont appuyées sur les ressources spécifiques des agences elles mêmes</w:t>
      </w:r>
      <w:r>
        <w:rPr>
          <w:rFonts w:ascii="Times New Roman" w:hAnsi="Times New Roman"/>
          <w:sz w:val="24"/>
          <w:szCs w:val="24"/>
        </w:rPr>
        <w:t>, mises à part les ressources limitées d’une demi-douzaine de projets conjoints</w:t>
      </w:r>
      <w:r w:rsidRPr="00F02379">
        <w:rPr>
          <w:rFonts w:ascii="Times New Roman" w:hAnsi="Times New Roman"/>
          <w:sz w:val="24"/>
          <w:szCs w:val="24"/>
        </w:rPr>
        <w:t xml:space="preserve">. </w:t>
      </w:r>
    </w:p>
    <w:p w14:paraId="18B60957" w14:textId="26F70486" w:rsidR="00DF1748" w:rsidRDefault="00DF1748" w:rsidP="00266251">
      <w:pPr>
        <w:spacing w:line="276" w:lineRule="auto"/>
        <w:jc w:val="both"/>
        <w:rPr>
          <w:rFonts w:ascii="Times New Roman" w:hAnsi="Times New Roman" w:cs="Times New Roman"/>
          <w:b/>
          <w:color w:val="1F497D" w:themeColor="text2"/>
          <w:sz w:val="24"/>
          <w:szCs w:val="24"/>
          <w:u w:val="single"/>
        </w:rPr>
      </w:pPr>
    </w:p>
    <w:p w14:paraId="6D756164" w14:textId="16A18ECF" w:rsidR="00A80C99" w:rsidRDefault="00A80C99" w:rsidP="00266251">
      <w:pPr>
        <w:spacing w:line="276" w:lineRule="auto"/>
        <w:jc w:val="both"/>
        <w:rPr>
          <w:rFonts w:ascii="Times New Roman" w:hAnsi="Times New Roman" w:cs="Times New Roman"/>
          <w:b/>
          <w:color w:val="1F497D" w:themeColor="text2"/>
          <w:sz w:val="24"/>
          <w:szCs w:val="24"/>
          <w:u w:val="single"/>
        </w:rPr>
      </w:pPr>
    </w:p>
    <w:p w14:paraId="4EF067BD" w14:textId="1BEBA710" w:rsidR="00A80C99" w:rsidRDefault="00A80C99" w:rsidP="00266251">
      <w:pPr>
        <w:spacing w:line="276" w:lineRule="auto"/>
        <w:jc w:val="both"/>
        <w:rPr>
          <w:rFonts w:ascii="Times New Roman" w:hAnsi="Times New Roman" w:cs="Times New Roman"/>
          <w:b/>
          <w:color w:val="1F497D" w:themeColor="text2"/>
          <w:sz w:val="24"/>
          <w:szCs w:val="24"/>
          <w:u w:val="single"/>
        </w:rPr>
      </w:pPr>
    </w:p>
    <w:p w14:paraId="3A74C497" w14:textId="7B7EC409" w:rsidR="00A80C99" w:rsidRDefault="00A80C99" w:rsidP="00266251">
      <w:pPr>
        <w:spacing w:line="276" w:lineRule="auto"/>
        <w:jc w:val="both"/>
        <w:rPr>
          <w:rFonts w:ascii="Times New Roman" w:hAnsi="Times New Roman" w:cs="Times New Roman"/>
          <w:b/>
          <w:color w:val="1F497D" w:themeColor="text2"/>
          <w:sz w:val="24"/>
          <w:szCs w:val="24"/>
          <w:u w:val="single"/>
        </w:rPr>
      </w:pPr>
    </w:p>
    <w:p w14:paraId="49337BA4" w14:textId="066F4856" w:rsidR="00A80C99" w:rsidRDefault="00A80C99" w:rsidP="00266251">
      <w:pPr>
        <w:spacing w:line="276" w:lineRule="auto"/>
        <w:jc w:val="both"/>
        <w:rPr>
          <w:rFonts w:ascii="Times New Roman" w:hAnsi="Times New Roman" w:cs="Times New Roman"/>
          <w:b/>
          <w:color w:val="1F497D" w:themeColor="text2"/>
          <w:sz w:val="24"/>
          <w:szCs w:val="24"/>
          <w:u w:val="single"/>
        </w:rPr>
      </w:pPr>
    </w:p>
    <w:p w14:paraId="7636CE73" w14:textId="777155CC" w:rsidR="00A80C99" w:rsidRDefault="00A80C99" w:rsidP="00266251">
      <w:pPr>
        <w:spacing w:line="276" w:lineRule="auto"/>
        <w:jc w:val="both"/>
        <w:rPr>
          <w:rFonts w:ascii="Times New Roman" w:hAnsi="Times New Roman" w:cs="Times New Roman"/>
          <w:b/>
          <w:color w:val="1F497D" w:themeColor="text2"/>
          <w:sz w:val="24"/>
          <w:szCs w:val="24"/>
          <w:u w:val="single"/>
        </w:rPr>
      </w:pPr>
    </w:p>
    <w:p w14:paraId="51F57794" w14:textId="14823853" w:rsidR="00A80C99" w:rsidRDefault="00A80C99" w:rsidP="00266251">
      <w:pPr>
        <w:spacing w:line="276" w:lineRule="auto"/>
        <w:jc w:val="both"/>
        <w:rPr>
          <w:rFonts w:ascii="Times New Roman" w:hAnsi="Times New Roman" w:cs="Times New Roman"/>
          <w:b/>
          <w:color w:val="1F497D" w:themeColor="text2"/>
          <w:sz w:val="24"/>
          <w:szCs w:val="24"/>
          <w:u w:val="single"/>
        </w:rPr>
      </w:pPr>
    </w:p>
    <w:p w14:paraId="62B79062" w14:textId="31D95CA9" w:rsidR="00A80C99" w:rsidRDefault="00A80C99" w:rsidP="00266251">
      <w:pPr>
        <w:spacing w:line="276" w:lineRule="auto"/>
        <w:jc w:val="both"/>
        <w:rPr>
          <w:rFonts w:ascii="Times New Roman" w:hAnsi="Times New Roman" w:cs="Times New Roman"/>
          <w:b/>
          <w:color w:val="1F497D" w:themeColor="text2"/>
          <w:sz w:val="24"/>
          <w:szCs w:val="24"/>
          <w:u w:val="single"/>
        </w:rPr>
      </w:pPr>
    </w:p>
    <w:p w14:paraId="7AC485C0" w14:textId="0ACF76C7" w:rsidR="00A80C99" w:rsidRDefault="00A80C99" w:rsidP="00266251">
      <w:pPr>
        <w:spacing w:line="276" w:lineRule="auto"/>
        <w:jc w:val="both"/>
        <w:rPr>
          <w:rFonts w:ascii="Times New Roman" w:hAnsi="Times New Roman" w:cs="Times New Roman"/>
          <w:b/>
          <w:color w:val="1F497D" w:themeColor="text2"/>
          <w:sz w:val="24"/>
          <w:szCs w:val="24"/>
          <w:u w:val="single"/>
        </w:rPr>
      </w:pPr>
    </w:p>
    <w:p w14:paraId="540C547C" w14:textId="12A2D7C3" w:rsidR="00A80C99" w:rsidRDefault="00A80C99" w:rsidP="00266251">
      <w:pPr>
        <w:spacing w:line="276" w:lineRule="auto"/>
        <w:jc w:val="both"/>
        <w:rPr>
          <w:rFonts w:ascii="Times New Roman" w:hAnsi="Times New Roman" w:cs="Times New Roman"/>
          <w:b/>
          <w:color w:val="1F497D" w:themeColor="text2"/>
          <w:sz w:val="24"/>
          <w:szCs w:val="24"/>
          <w:u w:val="single"/>
        </w:rPr>
      </w:pPr>
    </w:p>
    <w:p w14:paraId="0C3C0DC3" w14:textId="29089619" w:rsidR="00A80C99" w:rsidRDefault="00A80C99" w:rsidP="00266251">
      <w:pPr>
        <w:spacing w:line="276" w:lineRule="auto"/>
        <w:jc w:val="both"/>
        <w:rPr>
          <w:rFonts w:ascii="Times New Roman" w:hAnsi="Times New Roman" w:cs="Times New Roman"/>
          <w:b/>
          <w:color w:val="1F497D" w:themeColor="text2"/>
          <w:sz w:val="24"/>
          <w:szCs w:val="24"/>
          <w:u w:val="single"/>
        </w:rPr>
      </w:pPr>
    </w:p>
    <w:p w14:paraId="497302C4" w14:textId="09D738C8" w:rsidR="00A80C99" w:rsidRDefault="00A80C99" w:rsidP="00266251">
      <w:pPr>
        <w:spacing w:line="276" w:lineRule="auto"/>
        <w:jc w:val="both"/>
        <w:rPr>
          <w:rFonts w:ascii="Times New Roman" w:hAnsi="Times New Roman" w:cs="Times New Roman"/>
          <w:b/>
          <w:color w:val="1F497D" w:themeColor="text2"/>
          <w:sz w:val="24"/>
          <w:szCs w:val="24"/>
          <w:u w:val="single"/>
        </w:rPr>
      </w:pPr>
    </w:p>
    <w:p w14:paraId="20A9F646" w14:textId="1A18F21C" w:rsidR="00A80C99" w:rsidRDefault="00A80C99" w:rsidP="00266251">
      <w:pPr>
        <w:spacing w:line="276" w:lineRule="auto"/>
        <w:jc w:val="both"/>
        <w:rPr>
          <w:rFonts w:ascii="Times New Roman" w:hAnsi="Times New Roman" w:cs="Times New Roman"/>
          <w:b/>
          <w:color w:val="1F497D" w:themeColor="text2"/>
          <w:sz w:val="24"/>
          <w:szCs w:val="24"/>
          <w:u w:val="single"/>
        </w:rPr>
      </w:pPr>
    </w:p>
    <w:p w14:paraId="4A0CD591" w14:textId="2362BA76" w:rsidR="00A80C99" w:rsidRDefault="00A80C99" w:rsidP="00266251">
      <w:pPr>
        <w:spacing w:line="276" w:lineRule="auto"/>
        <w:jc w:val="both"/>
        <w:rPr>
          <w:rFonts w:ascii="Times New Roman" w:hAnsi="Times New Roman" w:cs="Times New Roman"/>
          <w:b/>
          <w:color w:val="1F497D" w:themeColor="text2"/>
          <w:sz w:val="24"/>
          <w:szCs w:val="24"/>
          <w:u w:val="single"/>
        </w:rPr>
      </w:pPr>
    </w:p>
    <w:p w14:paraId="1D97F458" w14:textId="665AC200" w:rsidR="00A80C99" w:rsidRDefault="00A80C99" w:rsidP="00266251">
      <w:pPr>
        <w:spacing w:line="276" w:lineRule="auto"/>
        <w:jc w:val="both"/>
        <w:rPr>
          <w:rFonts w:ascii="Times New Roman" w:hAnsi="Times New Roman" w:cs="Times New Roman"/>
          <w:b/>
          <w:color w:val="1F497D" w:themeColor="text2"/>
          <w:sz w:val="24"/>
          <w:szCs w:val="24"/>
          <w:u w:val="single"/>
        </w:rPr>
      </w:pPr>
    </w:p>
    <w:p w14:paraId="42D1556A" w14:textId="5051328C" w:rsidR="00A80C99" w:rsidRDefault="00A80C99" w:rsidP="00266251">
      <w:pPr>
        <w:spacing w:line="276" w:lineRule="auto"/>
        <w:jc w:val="both"/>
        <w:rPr>
          <w:rFonts w:ascii="Times New Roman" w:hAnsi="Times New Roman" w:cs="Times New Roman"/>
          <w:b/>
          <w:color w:val="1F497D" w:themeColor="text2"/>
          <w:sz w:val="24"/>
          <w:szCs w:val="24"/>
          <w:u w:val="single"/>
        </w:rPr>
      </w:pPr>
    </w:p>
    <w:p w14:paraId="560D16F0" w14:textId="12B432CF" w:rsidR="00A80C99" w:rsidRDefault="00A80C99" w:rsidP="00266251">
      <w:pPr>
        <w:spacing w:line="276" w:lineRule="auto"/>
        <w:jc w:val="both"/>
        <w:rPr>
          <w:rFonts w:ascii="Times New Roman" w:hAnsi="Times New Roman" w:cs="Times New Roman"/>
          <w:b/>
          <w:color w:val="1F497D" w:themeColor="text2"/>
          <w:sz w:val="24"/>
          <w:szCs w:val="24"/>
          <w:u w:val="single"/>
        </w:rPr>
      </w:pPr>
    </w:p>
    <w:p w14:paraId="260DE2D4" w14:textId="5308542D" w:rsidR="00A80C99" w:rsidRDefault="00A80C99" w:rsidP="00266251">
      <w:pPr>
        <w:spacing w:line="276" w:lineRule="auto"/>
        <w:jc w:val="both"/>
        <w:rPr>
          <w:rFonts w:ascii="Times New Roman" w:hAnsi="Times New Roman" w:cs="Times New Roman"/>
          <w:b/>
          <w:color w:val="1F497D" w:themeColor="text2"/>
          <w:sz w:val="24"/>
          <w:szCs w:val="24"/>
          <w:u w:val="single"/>
        </w:rPr>
      </w:pPr>
    </w:p>
    <w:p w14:paraId="01921260" w14:textId="27DD2AD5" w:rsidR="00A80C99" w:rsidRDefault="00A80C99" w:rsidP="00266251">
      <w:pPr>
        <w:spacing w:line="276" w:lineRule="auto"/>
        <w:jc w:val="both"/>
        <w:rPr>
          <w:rFonts w:ascii="Times New Roman" w:hAnsi="Times New Roman" w:cs="Times New Roman"/>
          <w:b/>
          <w:color w:val="1F497D" w:themeColor="text2"/>
          <w:sz w:val="24"/>
          <w:szCs w:val="24"/>
          <w:u w:val="single"/>
        </w:rPr>
      </w:pPr>
    </w:p>
    <w:p w14:paraId="6AC10558" w14:textId="7EB1BCDD" w:rsidR="00A80C99" w:rsidRDefault="00A80C99" w:rsidP="00266251">
      <w:pPr>
        <w:spacing w:line="276" w:lineRule="auto"/>
        <w:jc w:val="both"/>
        <w:rPr>
          <w:rFonts w:ascii="Times New Roman" w:hAnsi="Times New Roman" w:cs="Times New Roman"/>
          <w:b/>
          <w:color w:val="1F497D" w:themeColor="text2"/>
          <w:sz w:val="24"/>
          <w:szCs w:val="24"/>
          <w:u w:val="single"/>
        </w:rPr>
      </w:pPr>
    </w:p>
    <w:p w14:paraId="03A75EF4" w14:textId="6A9C5358" w:rsidR="00A80C99" w:rsidRDefault="00A80C99" w:rsidP="00266251">
      <w:pPr>
        <w:spacing w:line="276" w:lineRule="auto"/>
        <w:jc w:val="both"/>
        <w:rPr>
          <w:rFonts w:ascii="Times New Roman" w:hAnsi="Times New Roman" w:cs="Times New Roman"/>
          <w:b/>
          <w:color w:val="1F497D" w:themeColor="text2"/>
          <w:sz w:val="24"/>
          <w:szCs w:val="24"/>
          <w:u w:val="single"/>
        </w:rPr>
      </w:pPr>
    </w:p>
    <w:p w14:paraId="708288DC" w14:textId="7016672A" w:rsidR="00266251" w:rsidRPr="00944EE4" w:rsidRDefault="00880F37" w:rsidP="00ED1B66">
      <w:pPr>
        <w:spacing w:line="276" w:lineRule="auto"/>
        <w:ind w:left="708" w:firstLine="708"/>
        <w:jc w:val="both"/>
        <w:rPr>
          <w:rFonts w:ascii="Times New Roman" w:hAnsi="Times New Roman" w:cs="Times New Roman"/>
          <w:sz w:val="24"/>
          <w:szCs w:val="24"/>
        </w:rPr>
      </w:pPr>
      <w:r w:rsidRPr="00944EE4">
        <w:rPr>
          <w:rFonts w:ascii="Times New Roman" w:hAnsi="Times New Roman" w:cs="Times New Roman"/>
          <w:b/>
          <w:color w:val="1F497D" w:themeColor="text2"/>
          <w:sz w:val="24"/>
          <w:szCs w:val="24"/>
          <w:u w:val="single"/>
        </w:rPr>
        <w:lastRenderedPageBreak/>
        <w:t>TABLEAU DES RESSOURC</w:t>
      </w:r>
      <w:r w:rsidR="00DE5BA8">
        <w:rPr>
          <w:rFonts w:ascii="Times New Roman" w:hAnsi="Times New Roman" w:cs="Times New Roman"/>
          <w:b/>
          <w:color w:val="1F497D" w:themeColor="text2"/>
          <w:sz w:val="24"/>
          <w:szCs w:val="24"/>
          <w:u w:val="single"/>
        </w:rPr>
        <w:t>ES INDICATIVES DE L’UNDAF+ 2015-</w:t>
      </w:r>
      <w:r w:rsidRPr="00944EE4">
        <w:rPr>
          <w:rFonts w:ascii="Times New Roman" w:hAnsi="Times New Roman" w:cs="Times New Roman"/>
          <w:b/>
          <w:color w:val="1F497D" w:themeColor="text2"/>
          <w:sz w:val="24"/>
          <w:szCs w:val="24"/>
          <w:u w:val="single"/>
        </w:rPr>
        <w:t>2019</w:t>
      </w:r>
    </w:p>
    <w:p w14:paraId="5AC962D2" w14:textId="77777777" w:rsidR="00266251" w:rsidRPr="00944EE4" w:rsidRDefault="00266251" w:rsidP="00266251">
      <w:pPr>
        <w:spacing w:line="276" w:lineRule="auto"/>
        <w:jc w:val="both"/>
        <w:rPr>
          <w:rFonts w:ascii="Times New Roman" w:hAnsi="Times New Roman" w:cs="Times New Roman"/>
          <w:sz w:val="24"/>
          <w:szCs w:val="24"/>
        </w:rPr>
      </w:pPr>
    </w:p>
    <w:tbl>
      <w:tblPr>
        <w:tblStyle w:val="Trameclaire-Accent11"/>
        <w:tblW w:w="10314" w:type="dxa"/>
        <w:tblLayout w:type="fixed"/>
        <w:tblLook w:val="04A0" w:firstRow="1" w:lastRow="0" w:firstColumn="1" w:lastColumn="0" w:noHBand="0" w:noVBand="1"/>
      </w:tblPr>
      <w:tblGrid>
        <w:gridCol w:w="1809"/>
        <w:gridCol w:w="6804"/>
        <w:gridCol w:w="1701"/>
      </w:tblGrid>
      <w:tr w:rsidR="00ED1B66" w:rsidRPr="00DE5BA8" w14:paraId="53B08669" w14:textId="77777777" w:rsidTr="003A1929">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809" w:type="dxa"/>
            <w:vAlign w:val="center"/>
          </w:tcPr>
          <w:p w14:paraId="7AE0F8B6" w14:textId="77777777" w:rsidR="00ED1B66" w:rsidRPr="00DE5BA8" w:rsidRDefault="00880F37" w:rsidP="003A1929">
            <w:pPr>
              <w:jc w:val="center"/>
              <w:rPr>
                <w:rFonts w:ascii="Times New Roman" w:hAnsi="Times New Roman" w:cs="Times New Roman"/>
                <w:i/>
                <w:color w:val="auto"/>
              </w:rPr>
            </w:pPr>
            <w:r w:rsidRPr="00DE5BA8">
              <w:rPr>
                <w:rFonts w:ascii="Times New Roman" w:hAnsi="Times New Roman" w:cs="Times New Roman"/>
                <w:i/>
              </w:rPr>
              <w:t>DOMAINES D’INTERVENTION</w:t>
            </w:r>
          </w:p>
        </w:tc>
        <w:tc>
          <w:tcPr>
            <w:tcW w:w="6804" w:type="dxa"/>
            <w:vAlign w:val="center"/>
          </w:tcPr>
          <w:p w14:paraId="23B269EF" w14:textId="77777777" w:rsidR="00ED1B66" w:rsidRPr="00DE5BA8" w:rsidRDefault="00880F37" w:rsidP="003A19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DE5BA8">
              <w:rPr>
                <w:rFonts w:ascii="Times New Roman" w:hAnsi="Times New Roman" w:cs="Times New Roman"/>
                <w:i/>
              </w:rPr>
              <w:t>ENONCES DES EFFETS DE L’UNDAF+</w:t>
            </w:r>
          </w:p>
        </w:tc>
        <w:tc>
          <w:tcPr>
            <w:tcW w:w="1701" w:type="dxa"/>
            <w:vAlign w:val="center"/>
          </w:tcPr>
          <w:p w14:paraId="0E96CD92" w14:textId="77777777" w:rsidR="00ED1B66" w:rsidRPr="00DE5BA8" w:rsidRDefault="00880F37" w:rsidP="003A19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DE5BA8">
              <w:rPr>
                <w:rFonts w:ascii="Times New Roman" w:hAnsi="Times New Roman" w:cs="Times New Roman"/>
                <w:i/>
              </w:rPr>
              <w:t>RESSOURCES</w:t>
            </w:r>
          </w:p>
          <w:p w14:paraId="4A59020D" w14:textId="77777777" w:rsidR="00ED1B66" w:rsidRPr="00DE5BA8" w:rsidRDefault="00880F37" w:rsidP="003A192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r w:rsidRPr="00DE5BA8">
              <w:rPr>
                <w:rFonts w:ascii="Times New Roman" w:hAnsi="Times New Roman" w:cs="Times New Roman"/>
                <w:i/>
              </w:rPr>
              <w:t>INDICATIVES (USD)</w:t>
            </w:r>
          </w:p>
        </w:tc>
      </w:tr>
      <w:tr w:rsidR="00ED1B66" w:rsidRPr="00944EE4" w14:paraId="780BABFF" w14:textId="77777777" w:rsidTr="009D7E22">
        <w:trPr>
          <w:cnfStyle w:val="000000100000" w:firstRow="0" w:lastRow="0" w:firstColumn="0" w:lastColumn="0" w:oddVBand="0" w:evenVBand="0" w:oddHBand="1" w:evenHBand="0" w:firstRowFirstColumn="0" w:firstRowLastColumn="0" w:lastRowFirstColumn="0" w:lastRowLastColumn="0"/>
          <w:cantSplit/>
          <w:trHeight w:val="1952"/>
        </w:trPr>
        <w:tc>
          <w:tcPr>
            <w:cnfStyle w:val="001000000000" w:firstRow="0" w:lastRow="0" w:firstColumn="1" w:lastColumn="0" w:oddVBand="0" w:evenVBand="0" w:oddHBand="0" w:evenHBand="0" w:firstRowFirstColumn="0" w:firstRowLastColumn="0" w:lastRowFirstColumn="0" w:lastRowLastColumn="0"/>
            <w:tcW w:w="1809" w:type="dxa"/>
            <w:tcBorders>
              <w:right w:val="single" w:sz="8" w:space="0" w:color="4F81BD" w:themeColor="accent1"/>
            </w:tcBorders>
            <w:textDirection w:val="btLr"/>
            <w:vAlign w:val="center"/>
          </w:tcPr>
          <w:p w14:paraId="3621543E" w14:textId="77777777" w:rsidR="00ED1B66" w:rsidRPr="00DE5BA8" w:rsidRDefault="00880F37" w:rsidP="003A1929">
            <w:pPr>
              <w:pStyle w:val="Corpsdetexte"/>
              <w:spacing w:line="240" w:lineRule="auto"/>
              <w:ind w:left="113" w:right="113"/>
              <w:jc w:val="center"/>
              <w:rPr>
                <w:rFonts w:ascii="Times New Roman" w:hAnsi="Times New Roman" w:cs="Times New Roman"/>
                <w:b w:val="0"/>
                <w:sz w:val="20"/>
                <w:szCs w:val="20"/>
                <w:lang w:eastAsia="it-IT"/>
              </w:rPr>
            </w:pPr>
            <w:r w:rsidRPr="00DE5BA8">
              <w:rPr>
                <w:rFonts w:ascii="Times New Roman" w:hAnsi="Times New Roman" w:cs="Times New Roman"/>
                <w:sz w:val="20"/>
                <w:szCs w:val="20"/>
              </w:rPr>
              <w:t>PAIX, SECURITE ET RECONCILIATION</w:t>
            </w:r>
          </w:p>
        </w:tc>
        <w:tc>
          <w:tcPr>
            <w:tcW w:w="6804" w:type="dxa"/>
            <w:tcBorders>
              <w:top w:val="single" w:sz="8" w:space="0" w:color="4F81BD" w:themeColor="accent1"/>
              <w:left w:val="single" w:sz="8" w:space="0" w:color="4F81BD" w:themeColor="accent1"/>
              <w:bottom w:val="nil"/>
              <w:right w:val="single" w:sz="8" w:space="0" w:color="4F81BD" w:themeColor="accent1"/>
            </w:tcBorders>
            <w:vAlign w:val="center"/>
          </w:tcPr>
          <w:p w14:paraId="37A9B028" w14:textId="77777777" w:rsidR="00ED1B66" w:rsidRPr="00DE5BA8" w:rsidRDefault="00880F37" w:rsidP="003A1929">
            <w:pPr>
              <w:pStyle w:val="Corpsdetexte"/>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r w:rsidRPr="00DE5BA8">
              <w:rPr>
                <w:rFonts w:ascii="Times New Roman" w:hAnsi="Times New Roman" w:cs="Times New Roman"/>
                <w:i/>
                <w:sz w:val="20"/>
                <w:szCs w:val="20"/>
              </w:rPr>
              <w:t>La paix et la stabilisation sont assurées à travers un dialogue politique inclusif et une réforme démocratique des institutions concernées, et la promotion d’une coexistence paisible et des droits humains</w:t>
            </w:r>
          </w:p>
          <w:p w14:paraId="03D7BC03" w14:textId="77777777" w:rsidR="00ED1B66" w:rsidRPr="00DE5BA8" w:rsidRDefault="00ED1B66" w:rsidP="003A1929">
            <w:pPr>
              <w:pStyle w:val="Corpsdetexte"/>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0"/>
                <w:szCs w:val="20"/>
              </w:rPr>
            </w:pPr>
          </w:p>
          <w:p w14:paraId="06546B87" w14:textId="77777777" w:rsidR="00ED1B66" w:rsidRPr="00DE5BA8" w:rsidRDefault="00880F37" w:rsidP="003A1929">
            <w:pPr>
              <w:pStyle w:val="Corpsdetexte"/>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0"/>
                <w:szCs w:val="20"/>
              </w:rPr>
            </w:pPr>
            <w:r w:rsidRPr="00DE5BA8">
              <w:rPr>
                <w:rFonts w:ascii="Times New Roman" w:hAnsi="Times New Roman" w:cs="Times New Roman"/>
                <w:i/>
                <w:sz w:val="20"/>
                <w:szCs w:val="20"/>
              </w:rPr>
              <w:t>D’ici 2019, la cohésion sociale est facilitée par le dialogue communautaire, la culture et l’éducation pour la paix et droits humains</w:t>
            </w:r>
          </w:p>
        </w:tc>
        <w:tc>
          <w:tcPr>
            <w:tcW w:w="1701" w:type="dxa"/>
            <w:tcBorders>
              <w:left w:val="single" w:sz="8" w:space="0" w:color="4F81BD" w:themeColor="accent1"/>
            </w:tcBorders>
            <w:vAlign w:val="center"/>
          </w:tcPr>
          <w:p w14:paraId="5D835765" w14:textId="77777777" w:rsidR="00A80C99" w:rsidRDefault="00DE5BA8" w:rsidP="0098632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5BA8">
              <w:rPr>
                <w:rFonts w:ascii="Times New Roman" w:hAnsi="Times New Roman" w:cs="Times New Roman"/>
                <w:sz w:val="20"/>
                <w:szCs w:val="20"/>
              </w:rPr>
              <w:t>Budget initial</w:t>
            </w:r>
            <w:r w:rsidR="00A80C99">
              <w:rPr>
                <w:rFonts w:ascii="Times New Roman" w:hAnsi="Times New Roman" w:cs="Times New Roman"/>
                <w:sz w:val="20"/>
                <w:szCs w:val="20"/>
              </w:rPr>
              <w:t> :</w:t>
            </w:r>
          </w:p>
          <w:p w14:paraId="4099C5DD" w14:textId="6C358D87" w:rsidR="00ED1B66" w:rsidRDefault="00DE5BA8" w:rsidP="0098632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5BA8">
              <w:rPr>
                <w:rFonts w:ascii="Times New Roman" w:hAnsi="Times New Roman" w:cs="Times New Roman"/>
                <w:sz w:val="20"/>
                <w:szCs w:val="20"/>
              </w:rPr>
              <w:t>253.700.</w:t>
            </w:r>
            <w:r w:rsidR="00880F37" w:rsidRPr="00DE5BA8">
              <w:rPr>
                <w:rFonts w:ascii="Times New Roman" w:hAnsi="Times New Roman" w:cs="Times New Roman"/>
                <w:sz w:val="20"/>
                <w:szCs w:val="20"/>
              </w:rPr>
              <w:t xml:space="preserve">703 </w:t>
            </w:r>
          </w:p>
          <w:p w14:paraId="0A006D97" w14:textId="3359B58E" w:rsidR="00586533" w:rsidRDefault="00DE5BA8" w:rsidP="0098632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Mobilise </w:t>
            </w:r>
            <w:r w:rsidR="00A80C99">
              <w:rPr>
                <w:rFonts w:ascii="Times New Roman" w:hAnsi="Times New Roman" w:cs="Times New Roman"/>
                <w:sz w:val="20"/>
                <w:szCs w:val="20"/>
              </w:rPr>
              <w:t>à</w:t>
            </w:r>
            <w:r>
              <w:rPr>
                <w:rFonts w:ascii="Times New Roman" w:hAnsi="Times New Roman" w:cs="Times New Roman"/>
                <w:sz w:val="20"/>
                <w:szCs w:val="20"/>
              </w:rPr>
              <w:t xml:space="preserve"> mi-parcours : </w:t>
            </w:r>
          </w:p>
          <w:p w14:paraId="6FADC280" w14:textId="5D48F233" w:rsidR="00DE5BA8" w:rsidRPr="00DE5BA8" w:rsidRDefault="00586533" w:rsidP="0098632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eastAsia="Times New Roman" w:hAnsi="Times New Roman"/>
                <w:color w:val="000000"/>
                <w:sz w:val="20"/>
                <w:szCs w:val="20"/>
                <w:highlight w:val="yellow"/>
                <w:lang w:eastAsia="fr-FR"/>
              </w:rPr>
              <w:t>49.872.</w:t>
            </w:r>
            <w:r w:rsidRPr="003D5FB2">
              <w:rPr>
                <w:rFonts w:ascii="Times New Roman" w:eastAsia="Times New Roman" w:hAnsi="Times New Roman"/>
                <w:color w:val="000000"/>
                <w:sz w:val="20"/>
                <w:szCs w:val="20"/>
                <w:highlight w:val="yellow"/>
                <w:lang w:eastAsia="fr-FR"/>
              </w:rPr>
              <w:t>420</w:t>
            </w:r>
          </w:p>
        </w:tc>
      </w:tr>
      <w:tr w:rsidR="00ED1B66" w:rsidRPr="00944EE4" w14:paraId="387413DA" w14:textId="77777777" w:rsidTr="009D7E22">
        <w:trPr>
          <w:trHeight w:val="36"/>
        </w:trPr>
        <w:tc>
          <w:tcPr>
            <w:cnfStyle w:val="001000000000" w:firstRow="0" w:lastRow="0" w:firstColumn="1" w:lastColumn="0" w:oddVBand="0" w:evenVBand="0" w:oddHBand="0" w:evenHBand="0" w:firstRowFirstColumn="0" w:firstRowLastColumn="0" w:lastRowFirstColumn="0" w:lastRowLastColumn="0"/>
            <w:tcW w:w="1809" w:type="dxa"/>
            <w:tcBorders>
              <w:right w:val="single" w:sz="8" w:space="0" w:color="4F81BD" w:themeColor="accent1"/>
            </w:tcBorders>
            <w:vAlign w:val="center"/>
          </w:tcPr>
          <w:p w14:paraId="72D24D72" w14:textId="77777777" w:rsidR="00ED1B66" w:rsidRPr="00DE5BA8" w:rsidRDefault="00ED1B66" w:rsidP="003A1929">
            <w:pPr>
              <w:pStyle w:val="Corpsdetexte"/>
              <w:spacing w:line="240" w:lineRule="auto"/>
              <w:jc w:val="center"/>
              <w:rPr>
                <w:rFonts w:ascii="Times New Roman" w:hAnsi="Times New Roman" w:cs="Times New Roman"/>
                <w:b w:val="0"/>
                <w:sz w:val="20"/>
                <w:szCs w:val="20"/>
              </w:rPr>
            </w:pPr>
          </w:p>
        </w:tc>
        <w:tc>
          <w:tcPr>
            <w:tcW w:w="6804" w:type="dxa"/>
            <w:tcBorders>
              <w:top w:val="nil"/>
              <w:left w:val="single" w:sz="8" w:space="0" w:color="4F81BD" w:themeColor="accent1"/>
              <w:bottom w:val="nil"/>
              <w:right w:val="single" w:sz="8" w:space="0" w:color="4F81BD" w:themeColor="accent1"/>
            </w:tcBorders>
            <w:vAlign w:val="center"/>
          </w:tcPr>
          <w:p w14:paraId="08F1F957" w14:textId="77777777" w:rsidR="00ED1B66" w:rsidRPr="00DE5BA8" w:rsidRDefault="00ED1B66" w:rsidP="003A1929">
            <w:pPr>
              <w:pStyle w:val="Corpsdetexte"/>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sz w:val="20"/>
                <w:szCs w:val="20"/>
              </w:rPr>
            </w:pPr>
          </w:p>
        </w:tc>
        <w:tc>
          <w:tcPr>
            <w:tcW w:w="1701" w:type="dxa"/>
            <w:tcBorders>
              <w:left w:val="single" w:sz="8" w:space="0" w:color="4F81BD" w:themeColor="accent1"/>
            </w:tcBorders>
            <w:vAlign w:val="center"/>
          </w:tcPr>
          <w:p w14:paraId="45F739E0" w14:textId="77777777" w:rsidR="00ED1B66" w:rsidRPr="00DE5BA8" w:rsidRDefault="00ED1B66" w:rsidP="009D7E2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ED1B66" w:rsidRPr="00944EE4" w14:paraId="74CDECCA" w14:textId="77777777" w:rsidTr="009D7E22">
        <w:trPr>
          <w:cnfStyle w:val="000000100000" w:firstRow="0" w:lastRow="0" w:firstColumn="0" w:lastColumn="0" w:oddVBand="0" w:evenVBand="0" w:oddHBand="1" w:evenHBand="0" w:firstRowFirstColumn="0" w:firstRowLastColumn="0" w:lastRowFirstColumn="0" w:lastRowLastColumn="0"/>
          <w:cantSplit/>
          <w:trHeight w:val="1111"/>
        </w:trPr>
        <w:tc>
          <w:tcPr>
            <w:cnfStyle w:val="001000000000" w:firstRow="0" w:lastRow="0" w:firstColumn="1" w:lastColumn="0" w:oddVBand="0" w:evenVBand="0" w:oddHBand="0" w:evenHBand="0" w:firstRowFirstColumn="0" w:firstRowLastColumn="0" w:lastRowFirstColumn="0" w:lastRowLastColumn="0"/>
            <w:tcW w:w="1809" w:type="dxa"/>
            <w:tcBorders>
              <w:right w:val="single" w:sz="8" w:space="0" w:color="4F81BD" w:themeColor="accent1"/>
            </w:tcBorders>
            <w:textDirection w:val="btLr"/>
            <w:vAlign w:val="center"/>
          </w:tcPr>
          <w:p w14:paraId="582A64FD" w14:textId="77777777" w:rsidR="00ED1B66" w:rsidRPr="00DE5BA8" w:rsidRDefault="00880F37" w:rsidP="003A1929">
            <w:pPr>
              <w:pStyle w:val="Corpsdetexte"/>
              <w:spacing w:line="240" w:lineRule="auto"/>
              <w:ind w:left="113" w:right="113"/>
              <w:jc w:val="center"/>
              <w:rPr>
                <w:rFonts w:ascii="Times New Roman" w:hAnsi="Times New Roman" w:cs="Times New Roman"/>
                <w:b w:val="0"/>
                <w:sz w:val="20"/>
                <w:szCs w:val="20"/>
                <w:lang w:eastAsia="it-IT"/>
              </w:rPr>
            </w:pPr>
            <w:r w:rsidRPr="00DE5BA8">
              <w:rPr>
                <w:rFonts w:ascii="Times New Roman" w:hAnsi="Times New Roman" w:cs="Times New Roman"/>
                <w:sz w:val="20"/>
                <w:szCs w:val="20"/>
              </w:rPr>
              <w:t>GOUVERNANCE</w:t>
            </w:r>
          </w:p>
        </w:tc>
        <w:tc>
          <w:tcPr>
            <w:tcW w:w="6804" w:type="dxa"/>
            <w:tcBorders>
              <w:top w:val="nil"/>
              <w:left w:val="single" w:sz="8" w:space="0" w:color="4F81BD" w:themeColor="accent1"/>
              <w:bottom w:val="nil"/>
              <w:right w:val="single" w:sz="8" w:space="0" w:color="4F81BD" w:themeColor="accent1"/>
            </w:tcBorders>
            <w:vAlign w:val="center"/>
          </w:tcPr>
          <w:p w14:paraId="6D713318" w14:textId="77777777" w:rsidR="00ED1B66" w:rsidRPr="00DE5BA8" w:rsidRDefault="00880F37" w:rsidP="003A1929">
            <w:pPr>
              <w:pStyle w:val="Corpsdetexte"/>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0"/>
                <w:szCs w:val="20"/>
              </w:rPr>
            </w:pPr>
            <w:r w:rsidRPr="00DE5BA8">
              <w:rPr>
                <w:rFonts w:ascii="Times New Roman" w:hAnsi="Times New Roman" w:cs="Times New Roman"/>
                <w:bCs/>
                <w:i/>
                <w:sz w:val="20"/>
                <w:szCs w:val="20"/>
              </w:rPr>
              <w:t>Les institutions étatiques, nationales et locales, exercent de manière plus efficace leurs missions de service public et les acteurs non étatiques participent et assurent le contrôle citoyen en conformité avec les principes de bonne gouvernance et d’Etat de droit</w:t>
            </w:r>
          </w:p>
        </w:tc>
        <w:tc>
          <w:tcPr>
            <w:tcW w:w="1701" w:type="dxa"/>
            <w:tcBorders>
              <w:left w:val="single" w:sz="8" w:space="0" w:color="4F81BD" w:themeColor="accent1"/>
            </w:tcBorders>
            <w:vAlign w:val="center"/>
          </w:tcPr>
          <w:p w14:paraId="532F01ED" w14:textId="77777777" w:rsidR="00294E90" w:rsidRDefault="00294E90" w:rsidP="00294E90">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5BA8">
              <w:rPr>
                <w:rFonts w:ascii="Times New Roman" w:hAnsi="Times New Roman" w:cs="Times New Roman"/>
                <w:sz w:val="20"/>
                <w:szCs w:val="20"/>
              </w:rPr>
              <w:t>Budget initial</w:t>
            </w:r>
            <w:r>
              <w:rPr>
                <w:rFonts w:ascii="Times New Roman" w:hAnsi="Times New Roman" w:cs="Times New Roman"/>
                <w:sz w:val="20"/>
                <w:szCs w:val="20"/>
              </w:rPr>
              <w:t> :</w:t>
            </w:r>
          </w:p>
          <w:p w14:paraId="04A37F71" w14:textId="39EAE32A" w:rsidR="00ED1B66" w:rsidRDefault="00A80C99" w:rsidP="0098632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96.719.</w:t>
            </w:r>
            <w:r w:rsidR="00880F37" w:rsidRPr="00DE5BA8">
              <w:rPr>
                <w:rFonts w:ascii="Times New Roman" w:hAnsi="Times New Roman" w:cs="Times New Roman"/>
                <w:sz w:val="20"/>
                <w:szCs w:val="20"/>
              </w:rPr>
              <w:t xml:space="preserve">719 </w:t>
            </w:r>
          </w:p>
          <w:p w14:paraId="2C39F3AB" w14:textId="77777777" w:rsidR="00A80C99" w:rsidRDefault="00A80C99" w:rsidP="00A80C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Mobilise à mi-parcours : </w:t>
            </w:r>
          </w:p>
          <w:p w14:paraId="2AC22338" w14:textId="6E073275" w:rsidR="00A80C99" w:rsidRPr="00DE5BA8" w:rsidRDefault="00294E90" w:rsidP="0098632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eastAsia="Times New Roman" w:hAnsi="Times New Roman"/>
                <w:color w:val="000000"/>
                <w:sz w:val="20"/>
                <w:szCs w:val="20"/>
                <w:highlight w:val="yellow"/>
                <w:lang w:eastAsia="fr-FR"/>
              </w:rPr>
              <w:t>18.528.</w:t>
            </w:r>
            <w:r w:rsidR="00A80C99" w:rsidRPr="003D5FB2">
              <w:rPr>
                <w:rFonts w:ascii="Times New Roman" w:eastAsia="Times New Roman" w:hAnsi="Times New Roman"/>
                <w:color w:val="000000"/>
                <w:sz w:val="20"/>
                <w:szCs w:val="20"/>
                <w:highlight w:val="yellow"/>
                <w:lang w:eastAsia="fr-FR"/>
              </w:rPr>
              <w:t>229</w:t>
            </w:r>
          </w:p>
        </w:tc>
      </w:tr>
      <w:tr w:rsidR="00ED1B66" w:rsidRPr="00944EE4" w14:paraId="75ADFD85" w14:textId="77777777" w:rsidTr="009D7E22">
        <w:trPr>
          <w:trHeight w:val="80"/>
        </w:trPr>
        <w:tc>
          <w:tcPr>
            <w:cnfStyle w:val="001000000000" w:firstRow="0" w:lastRow="0" w:firstColumn="1" w:lastColumn="0" w:oddVBand="0" w:evenVBand="0" w:oddHBand="0" w:evenHBand="0" w:firstRowFirstColumn="0" w:firstRowLastColumn="0" w:lastRowFirstColumn="0" w:lastRowLastColumn="0"/>
            <w:tcW w:w="1809" w:type="dxa"/>
            <w:tcBorders>
              <w:right w:val="single" w:sz="8" w:space="0" w:color="4F81BD" w:themeColor="accent1"/>
            </w:tcBorders>
            <w:vAlign w:val="center"/>
          </w:tcPr>
          <w:p w14:paraId="1B01EC3C" w14:textId="77777777" w:rsidR="00ED1B66" w:rsidRPr="00DE5BA8" w:rsidRDefault="00ED1B66" w:rsidP="003A1929">
            <w:pPr>
              <w:pStyle w:val="Corpsdetexte"/>
              <w:spacing w:line="240" w:lineRule="auto"/>
              <w:jc w:val="center"/>
              <w:rPr>
                <w:rFonts w:ascii="Times New Roman" w:hAnsi="Times New Roman" w:cs="Times New Roman"/>
                <w:b w:val="0"/>
                <w:sz w:val="20"/>
                <w:szCs w:val="20"/>
              </w:rPr>
            </w:pPr>
          </w:p>
        </w:tc>
        <w:tc>
          <w:tcPr>
            <w:tcW w:w="6804" w:type="dxa"/>
            <w:tcBorders>
              <w:top w:val="nil"/>
              <w:left w:val="single" w:sz="8" w:space="0" w:color="4F81BD" w:themeColor="accent1"/>
              <w:bottom w:val="nil"/>
              <w:right w:val="single" w:sz="8" w:space="0" w:color="4F81BD" w:themeColor="accent1"/>
            </w:tcBorders>
            <w:vAlign w:val="center"/>
          </w:tcPr>
          <w:p w14:paraId="33D06E2C" w14:textId="77777777" w:rsidR="00ED1B66" w:rsidRPr="00DE5BA8" w:rsidRDefault="00ED1B66" w:rsidP="003A1929">
            <w:pPr>
              <w:pStyle w:val="Corpsdetexte"/>
              <w:spacing w:line="240" w:lineRule="auto"/>
              <w:jc w:val="lef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
                <w:iCs/>
                <w:sz w:val="20"/>
                <w:szCs w:val="20"/>
              </w:rPr>
            </w:pPr>
          </w:p>
        </w:tc>
        <w:tc>
          <w:tcPr>
            <w:tcW w:w="1701" w:type="dxa"/>
            <w:tcBorders>
              <w:left w:val="single" w:sz="8" w:space="0" w:color="4F81BD" w:themeColor="accent1"/>
            </w:tcBorders>
            <w:vAlign w:val="center"/>
          </w:tcPr>
          <w:p w14:paraId="5E1F668C" w14:textId="77777777" w:rsidR="00ED1B66" w:rsidRPr="00DE5BA8" w:rsidRDefault="00ED1B66" w:rsidP="009D7E2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ED1B66" w:rsidRPr="00944EE4" w14:paraId="664D9615" w14:textId="77777777" w:rsidTr="009D7E22">
        <w:trPr>
          <w:cnfStyle w:val="000000100000" w:firstRow="0" w:lastRow="0" w:firstColumn="0" w:lastColumn="0" w:oddVBand="0" w:evenVBand="0" w:oddHBand="1" w:evenHBand="0" w:firstRowFirstColumn="0" w:firstRowLastColumn="0" w:lastRowFirstColumn="0" w:lastRowLastColumn="0"/>
          <w:cantSplit/>
          <w:trHeight w:val="1134"/>
        </w:trPr>
        <w:tc>
          <w:tcPr>
            <w:cnfStyle w:val="001000000000" w:firstRow="0" w:lastRow="0" w:firstColumn="1" w:lastColumn="0" w:oddVBand="0" w:evenVBand="0" w:oddHBand="0" w:evenHBand="0" w:firstRowFirstColumn="0" w:firstRowLastColumn="0" w:lastRowFirstColumn="0" w:lastRowLastColumn="0"/>
            <w:tcW w:w="1809" w:type="dxa"/>
            <w:tcBorders>
              <w:right w:val="single" w:sz="8" w:space="0" w:color="4F81BD" w:themeColor="accent1"/>
            </w:tcBorders>
            <w:textDirection w:val="btLr"/>
            <w:vAlign w:val="center"/>
          </w:tcPr>
          <w:p w14:paraId="2EE3D067" w14:textId="77777777" w:rsidR="00ED1B66" w:rsidRPr="00DE5BA8" w:rsidRDefault="00880F37" w:rsidP="003A1929">
            <w:pPr>
              <w:pStyle w:val="Corpsdetexte"/>
              <w:spacing w:line="240" w:lineRule="auto"/>
              <w:ind w:left="113" w:right="113"/>
              <w:jc w:val="center"/>
              <w:rPr>
                <w:rFonts w:ascii="Times New Roman" w:hAnsi="Times New Roman" w:cs="Times New Roman"/>
                <w:b w:val="0"/>
                <w:sz w:val="20"/>
                <w:szCs w:val="20"/>
                <w:lang w:eastAsia="it-IT"/>
              </w:rPr>
            </w:pPr>
            <w:r w:rsidRPr="00DE5BA8">
              <w:rPr>
                <w:rFonts w:ascii="Times New Roman" w:hAnsi="Times New Roman" w:cs="Times New Roman"/>
                <w:sz w:val="20"/>
                <w:szCs w:val="20"/>
              </w:rPr>
              <w:t>SERVICES SOCIAUX DE BASE</w:t>
            </w:r>
          </w:p>
        </w:tc>
        <w:tc>
          <w:tcPr>
            <w:tcW w:w="6804" w:type="dxa"/>
            <w:tcBorders>
              <w:top w:val="nil"/>
              <w:left w:val="single" w:sz="8" w:space="0" w:color="4F81BD" w:themeColor="accent1"/>
              <w:bottom w:val="nil"/>
              <w:right w:val="single" w:sz="8" w:space="0" w:color="4F81BD" w:themeColor="accent1"/>
            </w:tcBorders>
            <w:vAlign w:val="center"/>
          </w:tcPr>
          <w:p w14:paraId="74BEC745" w14:textId="77777777" w:rsidR="00ED1B66" w:rsidRPr="00DE5BA8" w:rsidRDefault="00880F37" w:rsidP="003A1929">
            <w:pPr>
              <w:pStyle w:val="Corpsdetexte"/>
              <w:spacing w:line="240" w:lineRule="auto"/>
              <w:jc w:val="lef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0"/>
                <w:szCs w:val="20"/>
              </w:rPr>
            </w:pPr>
            <w:r w:rsidRPr="00DE5BA8">
              <w:rPr>
                <w:rFonts w:ascii="Times New Roman" w:hAnsi="Times New Roman" w:cs="Times New Roman"/>
                <w:bCs/>
                <w:i/>
                <w:iCs/>
                <w:sz w:val="20"/>
                <w:szCs w:val="20"/>
              </w:rPr>
              <w:t>D’ici 2019, les populations, en particulier les plus vulnérables et celles affectées par les crises, ont un accès accru et équitable et utilisent les SSB de qualité</w:t>
            </w:r>
          </w:p>
        </w:tc>
        <w:tc>
          <w:tcPr>
            <w:tcW w:w="1701" w:type="dxa"/>
            <w:tcBorders>
              <w:left w:val="single" w:sz="8" w:space="0" w:color="4F81BD" w:themeColor="accent1"/>
            </w:tcBorders>
            <w:vAlign w:val="center"/>
          </w:tcPr>
          <w:p w14:paraId="26863071" w14:textId="77777777" w:rsidR="00A80C99" w:rsidRDefault="00A80C99" w:rsidP="00A80C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5BA8">
              <w:rPr>
                <w:rFonts w:ascii="Times New Roman" w:hAnsi="Times New Roman" w:cs="Times New Roman"/>
                <w:sz w:val="20"/>
                <w:szCs w:val="20"/>
              </w:rPr>
              <w:t>Budget initial</w:t>
            </w:r>
            <w:r>
              <w:rPr>
                <w:rFonts w:ascii="Times New Roman" w:hAnsi="Times New Roman" w:cs="Times New Roman"/>
                <w:sz w:val="20"/>
                <w:szCs w:val="20"/>
              </w:rPr>
              <w:t> :</w:t>
            </w:r>
          </w:p>
          <w:p w14:paraId="2DCD4528" w14:textId="77777777" w:rsidR="00ED1B66" w:rsidRDefault="00A80C99" w:rsidP="0098632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197.954.</w:t>
            </w:r>
            <w:r w:rsidR="00880F37" w:rsidRPr="00DE5BA8">
              <w:rPr>
                <w:rFonts w:ascii="Times New Roman" w:hAnsi="Times New Roman" w:cs="Times New Roman"/>
                <w:sz w:val="20"/>
                <w:szCs w:val="20"/>
              </w:rPr>
              <w:t xml:space="preserve">046 </w:t>
            </w:r>
          </w:p>
          <w:p w14:paraId="2483C405" w14:textId="77777777" w:rsidR="00A80C99" w:rsidRDefault="00A80C99" w:rsidP="00A80C99">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Mobilise à mi-parcours : </w:t>
            </w:r>
          </w:p>
          <w:p w14:paraId="55EFA9B0" w14:textId="3BAE46BD" w:rsidR="00A80C99" w:rsidRPr="00DE5BA8" w:rsidRDefault="00294E90" w:rsidP="00986326">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eastAsia="Times New Roman" w:hAnsi="Times New Roman"/>
                <w:color w:val="000000"/>
                <w:sz w:val="20"/>
                <w:szCs w:val="20"/>
                <w:highlight w:val="yellow"/>
                <w:lang w:eastAsia="fr-FR"/>
              </w:rPr>
              <w:t>125.160.</w:t>
            </w:r>
            <w:r w:rsidRPr="003D5FB2">
              <w:rPr>
                <w:rFonts w:ascii="Times New Roman" w:eastAsia="Times New Roman" w:hAnsi="Times New Roman"/>
                <w:color w:val="000000"/>
                <w:sz w:val="20"/>
                <w:szCs w:val="20"/>
                <w:highlight w:val="yellow"/>
                <w:lang w:eastAsia="fr-FR"/>
              </w:rPr>
              <w:t>049</w:t>
            </w:r>
          </w:p>
        </w:tc>
      </w:tr>
      <w:tr w:rsidR="00ED1B66" w:rsidRPr="00944EE4" w14:paraId="4413695C" w14:textId="77777777" w:rsidTr="009D7E22">
        <w:trPr>
          <w:trHeight w:val="80"/>
        </w:trPr>
        <w:tc>
          <w:tcPr>
            <w:cnfStyle w:val="001000000000" w:firstRow="0" w:lastRow="0" w:firstColumn="1" w:lastColumn="0" w:oddVBand="0" w:evenVBand="0" w:oddHBand="0" w:evenHBand="0" w:firstRowFirstColumn="0" w:firstRowLastColumn="0" w:lastRowFirstColumn="0" w:lastRowLastColumn="0"/>
            <w:tcW w:w="1809" w:type="dxa"/>
            <w:tcBorders>
              <w:right w:val="single" w:sz="8" w:space="0" w:color="4F81BD" w:themeColor="accent1"/>
            </w:tcBorders>
            <w:vAlign w:val="center"/>
          </w:tcPr>
          <w:p w14:paraId="498398F7" w14:textId="77777777" w:rsidR="00ED1B66" w:rsidRPr="00DE5BA8" w:rsidRDefault="00ED1B66" w:rsidP="003A1929">
            <w:pPr>
              <w:spacing w:line="276" w:lineRule="auto"/>
              <w:jc w:val="center"/>
              <w:rPr>
                <w:rFonts w:ascii="Times New Roman" w:hAnsi="Times New Roman" w:cs="Times New Roman"/>
                <w:b w:val="0"/>
                <w:sz w:val="20"/>
                <w:szCs w:val="20"/>
              </w:rPr>
            </w:pPr>
          </w:p>
        </w:tc>
        <w:tc>
          <w:tcPr>
            <w:tcW w:w="6804" w:type="dxa"/>
            <w:tcBorders>
              <w:top w:val="nil"/>
              <w:left w:val="single" w:sz="8" w:space="0" w:color="4F81BD" w:themeColor="accent1"/>
              <w:bottom w:val="nil"/>
              <w:right w:val="single" w:sz="8" w:space="0" w:color="4F81BD" w:themeColor="accent1"/>
            </w:tcBorders>
            <w:vAlign w:val="center"/>
          </w:tcPr>
          <w:p w14:paraId="589026CD" w14:textId="77777777" w:rsidR="00ED1B66" w:rsidRPr="00DE5BA8" w:rsidRDefault="00ED1B66" w:rsidP="003A192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tc>
        <w:tc>
          <w:tcPr>
            <w:tcW w:w="1701" w:type="dxa"/>
            <w:tcBorders>
              <w:left w:val="single" w:sz="8" w:space="0" w:color="4F81BD" w:themeColor="accent1"/>
            </w:tcBorders>
            <w:vAlign w:val="center"/>
          </w:tcPr>
          <w:p w14:paraId="2D2D75F8" w14:textId="77777777" w:rsidR="00ED1B66" w:rsidRPr="00DE5BA8" w:rsidRDefault="00ED1B66" w:rsidP="009D7E2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ED1B66" w:rsidRPr="00944EE4" w14:paraId="04EA6708" w14:textId="77777777" w:rsidTr="009D7E22">
        <w:trPr>
          <w:cnfStyle w:val="000000100000" w:firstRow="0" w:lastRow="0" w:firstColumn="0" w:lastColumn="0" w:oddVBand="0" w:evenVBand="0" w:oddHBand="1" w:evenHBand="0" w:firstRowFirstColumn="0" w:firstRowLastColumn="0" w:lastRowFirstColumn="0" w:lastRowLastColumn="0"/>
          <w:cantSplit/>
          <w:trHeight w:val="1544"/>
        </w:trPr>
        <w:tc>
          <w:tcPr>
            <w:cnfStyle w:val="001000000000" w:firstRow="0" w:lastRow="0" w:firstColumn="1" w:lastColumn="0" w:oddVBand="0" w:evenVBand="0" w:oddHBand="0" w:evenHBand="0" w:firstRowFirstColumn="0" w:firstRowLastColumn="0" w:lastRowFirstColumn="0" w:lastRowLastColumn="0"/>
            <w:tcW w:w="1809" w:type="dxa"/>
            <w:tcBorders>
              <w:right w:val="single" w:sz="8" w:space="0" w:color="4F81BD" w:themeColor="accent1"/>
            </w:tcBorders>
            <w:textDirection w:val="btLr"/>
            <w:vAlign w:val="center"/>
          </w:tcPr>
          <w:p w14:paraId="37BDC617" w14:textId="77777777" w:rsidR="00ED1B66" w:rsidRPr="00DE5BA8" w:rsidRDefault="00880F37" w:rsidP="003A1929">
            <w:pPr>
              <w:spacing w:line="276" w:lineRule="auto"/>
              <w:ind w:left="113" w:right="113"/>
              <w:jc w:val="center"/>
              <w:rPr>
                <w:rFonts w:ascii="Times New Roman" w:hAnsi="Times New Roman" w:cs="Times New Roman"/>
                <w:b w:val="0"/>
                <w:sz w:val="20"/>
                <w:szCs w:val="20"/>
              </w:rPr>
            </w:pPr>
            <w:r w:rsidRPr="00DE5BA8">
              <w:rPr>
                <w:rFonts w:ascii="Times New Roman" w:hAnsi="Times New Roman" w:cs="Times New Roman"/>
                <w:sz w:val="20"/>
                <w:szCs w:val="20"/>
              </w:rPr>
              <w:t>CROISSANCE INCLUSIVE ET DEVELOPPEMENT DURABLE</w:t>
            </w:r>
          </w:p>
        </w:tc>
        <w:tc>
          <w:tcPr>
            <w:tcW w:w="6804" w:type="dxa"/>
            <w:tcBorders>
              <w:top w:val="nil"/>
              <w:left w:val="single" w:sz="8" w:space="0" w:color="4F81BD" w:themeColor="accent1"/>
              <w:bottom w:val="nil"/>
              <w:right w:val="single" w:sz="8" w:space="0" w:color="4F81BD" w:themeColor="accent1"/>
            </w:tcBorders>
            <w:vAlign w:val="center"/>
          </w:tcPr>
          <w:p w14:paraId="066527C4" w14:textId="77777777" w:rsidR="00ED1B66" w:rsidRPr="00DE5BA8" w:rsidRDefault="00880F37" w:rsidP="003A192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color w:val="auto"/>
                <w:sz w:val="20"/>
                <w:szCs w:val="20"/>
              </w:rPr>
            </w:pPr>
            <w:r w:rsidRPr="00DE5BA8">
              <w:rPr>
                <w:rFonts w:ascii="Times New Roman" w:hAnsi="Times New Roman" w:cs="Times New Roman"/>
                <w:i/>
                <w:sz w:val="20"/>
                <w:szCs w:val="20"/>
              </w:rPr>
              <w:t>Les populations défavorisées particulièrement les femmes et les jeunes, bénéficient de capacités et d’opportunités productives accrues, dans un environnement sain et durable, favorable à la réduction de la pauvreté</w:t>
            </w:r>
          </w:p>
        </w:tc>
        <w:tc>
          <w:tcPr>
            <w:tcW w:w="1701" w:type="dxa"/>
            <w:tcBorders>
              <w:left w:val="single" w:sz="8" w:space="0" w:color="4F81BD" w:themeColor="accent1"/>
            </w:tcBorders>
            <w:vAlign w:val="center"/>
          </w:tcPr>
          <w:p w14:paraId="7D4B0396" w14:textId="77777777" w:rsidR="004543DE" w:rsidRDefault="004543DE" w:rsidP="004543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sidRPr="00DE5BA8">
              <w:rPr>
                <w:rFonts w:ascii="Times New Roman" w:hAnsi="Times New Roman" w:cs="Times New Roman"/>
                <w:sz w:val="20"/>
                <w:szCs w:val="20"/>
              </w:rPr>
              <w:t>Budget initial</w:t>
            </w:r>
            <w:r>
              <w:rPr>
                <w:rFonts w:ascii="Times New Roman" w:hAnsi="Times New Roman" w:cs="Times New Roman"/>
                <w:sz w:val="20"/>
                <w:szCs w:val="20"/>
              </w:rPr>
              <w:t> :</w:t>
            </w:r>
          </w:p>
          <w:p w14:paraId="1F6DF130" w14:textId="77777777" w:rsidR="00ED1B66" w:rsidRDefault="004543DE" w:rsidP="009D7E2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589.258.</w:t>
            </w:r>
            <w:r w:rsidR="00880F37" w:rsidRPr="00DE5BA8">
              <w:rPr>
                <w:rFonts w:ascii="Times New Roman" w:hAnsi="Times New Roman" w:cs="Times New Roman"/>
                <w:sz w:val="20"/>
                <w:szCs w:val="20"/>
              </w:rPr>
              <w:t xml:space="preserve">410 </w:t>
            </w:r>
          </w:p>
          <w:p w14:paraId="4782B21E" w14:textId="77777777" w:rsidR="004543DE" w:rsidRDefault="004543DE" w:rsidP="004543DE">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0"/>
                <w:szCs w:val="20"/>
              </w:rPr>
            </w:pPr>
            <w:r>
              <w:rPr>
                <w:rFonts w:ascii="Times New Roman" w:hAnsi="Times New Roman" w:cs="Times New Roman"/>
                <w:sz w:val="20"/>
                <w:szCs w:val="20"/>
              </w:rPr>
              <w:t xml:space="preserve">Mobilise à mi-parcours : </w:t>
            </w:r>
          </w:p>
          <w:p w14:paraId="71B341A6" w14:textId="4F54D731" w:rsidR="004543DE" w:rsidRPr="00DE5BA8" w:rsidRDefault="00AD7663" w:rsidP="009D7E22">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0"/>
                <w:szCs w:val="20"/>
              </w:rPr>
            </w:pPr>
            <w:r>
              <w:rPr>
                <w:rFonts w:ascii="Times New Roman" w:eastAsia="Times New Roman" w:hAnsi="Times New Roman"/>
                <w:color w:val="000000"/>
                <w:sz w:val="20"/>
                <w:szCs w:val="20"/>
                <w:highlight w:val="yellow"/>
                <w:lang w:eastAsia="fr-FR"/>
              </w:rPr>
              <w:t>87.894.</w:t>
            </w:r>
            <w:r w:rsidR="004543DE" w:rsidRPr="003D5FB2">
              <w:rPr>
                <w:rFonts w:ascii="Times New Roman" w:eastAsia="Times New Roman" w:hAnsi="Times New Roman"/>
                <w:color w:val="000000"/>
                <w:sz w:val="20"/>
                <w:szCs w:val="20"/>
                <w:highlight w:val="yellow"/>
                <w:lang w:eastAsia="fr-FR"/>
              </w:rPr>
              <w:t>622</w:t>
            </w:r>
          </w:p>
        </w:tc>
      </w:tr>
      <w:tr w:rsidR="00ED1B66" w:rsidRPr="00944EE4" w14:paraId="5C540155" w14:textId="77777777" w:rsidTr="009D7E22">
        <w:trPr>
          <w:trHeight w:val="80"/>
        </w:trPr>
        <w:tc>
          <w:tcPr>
            <w:cnfStyle w:val="001000000000" w:firstRow="0" w:lastRow="0" w:firstColumn="1" w:lastColumn="0" w:oddVBand="0" w:evenVBand="0" w:oddHBand="0" w:evenHBand="0" w:firstRowFirstColumn="0" w:firstRowLastColumn="0" w:lastRowFirstColumn="0" w:lastRowLastColumn="0"/>
            <w:tcW w:w="1809" w:type="dxa"/>
            <w:tcBorders>
              <w:right w:val="single" w:sz="8" w:space="0" w:color="4F81BD" w:themeColor="accent1"/>
            </w:tcBorders>
          </w:tcPr>
          <w:p w14:paraId="2F7F5CC6" w14:textId="77777777" w:rsidR="00ED1B66" w:rsidRPr="00DE5BA8" w:rsidRDefault="00ED1B66" w:rsidP="003A1929">
            <w:pPr>
              <w:spacing w:line="276" w:lineRule="auto"/>
              <w:rPr>
                <w:rFonts w:ascii="Times New Roman" w:hAnsi="Times New Roman" w:cs="Times New Roman"/>
                <w:b w:val="0"/>
                <w:sz w:val="20"/>
                <w:szCs w:val="20"/>
              </w:rPr>
            </w:pPr>
          </w:p>
        </w:tc>
        <w:tc>
          <w:tcPr>
            <w:tcW w:w="6804" w:type="dxa"/>
            <w:tcBorders>
              <w:top w:val="nil"/>
              <w:left w:val="single" w:sz="8" w:space="0" w:color="4F81BD" w:themeColor="accent1"/>
              <w:bottom w:val="nil"/>
              <w:right w:val="single" w:sz="8" w:space="0" w:color="4F81BD" w:themeColor="accent1"/>
            </w:tcBorders>
          </w:tcPr>
          <w:p w14:paraId="4416DA9E" w14:textId="77777777" w:rsidR="00ED1B66" w:rsidRPr="00DE5BA8" w:rsidRDefault="00ED1B66" w:rsidP="003A1929">
            <w:pPr>
              <w:spacing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0"/>
                <w:szCs w:val="20"/>
              </w:rPr>
            </w:pPr>
          </w:p>
        </w:tc>
        <w:tc>
          <w:tcPr>
            <w:tcW w:w="1701" w:type="dxa"/>
            <w:tcBorders>
              <w:left w:val="single" w:sz="8" w:space="0" w:color="4F81BD" w:themeColor="accent1"/>
            </w:tcBorders>
            <w:vAlign w:val="center"/>
          </w:tcPr>
          <w:p w14:paraId="3BCDAC33" w14:textId="77777777" w:rsidR="00ED1B66" w:rsidRPr="00DE5BA8" w:rsidRDefault="00ED1B66" w:rsidP="009D7E22">
            <w:pPr>
              <w:spacing w:line="276"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0"/>
                <w:szCs w:val="20"/>
              </w:rPr>
            </w:pPr>
          </w:p>
        </w:tc>
      </w:tr>
      <w:tr w:rsidR="00ED1B66" w:rsidRPr="00882310" w14:paraId="7DCDC4C1" w14:textId="77777777" w:rsidTr="009D7E22">
        <w:trPr>
          <w:cnfStyle w:val="000000100000" w:firstRow="0" w:lastRow="0" w:firstColumn="0" w:lastColumn="0" w:oddVBand="0" w:evenVBand="0" w:oddHBand="1" w:evenHBand="0" w:firstRowFirstColumn="0" w:firstRowLastColumn="0" w:lastRowFirstColumn="0" w:lastRowLastColumn="0"/>
          <w:trHeight w:val="906"/>
        </w:trPr>
        <w:tc>
          <w:tcPr>
            <w:cnfStyle w:val="001000000000" w:firstRow="0" w:lastRow="0" w:firstColumn="1" w:lastColumn="0" w:oddVBand="0" w:evenVBand="0" w:oddHBand="0" w:evenHBand="0" w:firstRowFirstColumn="0" w:firstRowLastColumn="0" w:lastRowFirstColumn="0" w:lastRowLastColumn="0"/>
            <w:tcW w:w="1809" w:type="dxa"/>
            <w:tcBorders>
              <w:right w:val="single" w:sz="8" w:space="0" w:color="4F81BD" w:themeColor="accent1"/>
            </w:tcBorders>
            <w:vAlign w:val="center"/>
          </w:tcPr>
          <w:p w14:paraId="1DC40DCC" w14:textId="77777777" w:rsidR="00ED1B66" w:rsidRPr="00882310" w:rsidRDefault="00880F37" w:rsidP="003A1929">
            <w:pPr>
              <w:spacing w:line="276" w:lineRule="auto"/>
              <w:jc w:val="center"/>
              <w:rPr>
                <w:rFonts w:ascii="Times New Roman" w:hAnsi="Times New Roman" w:cs="Times New Roman"/>
                <w:sz w:val="20"/>
                <w:szCs w:val="20"/>
              </w:rPr>
            </w:pPr>
            <w:r w:rsidRPr="00882310">
              <w:rPr>
                <w:rFonts w:ascii="Times New Roman" w:hAnsi="Times New Roman" w:cs="Times New Roman"/>
                <w:sz w:val="20"/>
                <w:szCs w:val="20"/>
              </w:rPr>
              <w:t>TOTAL</w:t>
            </w:r>
          </w:p>
        </w:tc>
        <w:tc>
          <w:tcPr>
            <w:tcW w:w="6804" w:type="dxa"/>
            <w:tcBorders>
              <w:top w:val="nil"/>
              <w:left w:val="single" w:sz="8" w:space="0" w:color="4F81BD" w:themeColor="accent1"/>
              <w:bottom w:val="single" w:sz="8" w:space="0" w:color="4F81BD" w:themeColor="accent1"/>
              <w:right w:val="single" w:sz="8" w:space="0" w:color="4F81BD" w:themeColor="accent1"/>
            </w:tcBorders>
          </w:tcPr>
          <w:p w14:paraId="0551FE84" w14:textId="77777777" w:rsidR="00ED1B66" w:rsidRPr="00882310" w:rsidRDefault="00ED1B66" w:rsidP="003A1929">
            <w:pPr>
              <w:spacing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sz w:val="20"/>
                <w:szCs w:val="20"/>
              </w:rPr>
            </w:pPr>
          </w:p>
        </w:tc>
        <w:tc>
          <w:tcPr>
            <w:tcW w:w="1701" w:type="dxa"/>
            <w:tcBorders>
              <w:left w:val="single" w:sz="8" w:space="0" w:color="4F81BD" w:themeColor="accent1"/>
            </w:tcBorders>
            <w:vAlign w:val="center"/>
          </w:tcPr>
          <w:p w14:paraId="62BCA737" w14:textId="77777777" w:rsidR="00AD7663" w:rsidRPr="00882310" w:rsidRDefault="00AD7663" w:rsidP="00AD766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82310">
              <w:rPr>
                <w:rFonts w:ascii="Times New Roman" w:hAnsi="Times New Roman" w:cs="Times New Roman"/>
                <w:b/>
                <w:sz w:val="20"/>
                <w:szCs w:val="20"/>
              </w:rPr>
              <w:t>Budget initial :</w:t>
            </w:r>
          </w:p>
          <w:p w14:paraId="38FD86C2" w14:textId="77777777" w:rsidR="00ED1B66" w:rsidRPr="00882310" w:rsidRDefault="00AD7663" w:rsidP="00B15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82310">
              <w:rPr>
                <w:rFonts w:ascii="Times New Roman" w:hAnsi="Times New Roman" w:cs="Times New Roman"/>
                <w:b/>
                <w:sz w:val="20"/>
                <w:szCs w:val="20"/>
              </w:rPr>
              <w:t>1.137.632.</w:t>
            </w:r>
            <w:r w:rsidR="00880F37" w:rsidRPr="00882310">
              <w:rPr>
                <w:rFonts w:ascii="Times New Roman" w:hAnsi="Times New Roman" w:cs="Times New Roman"/>
                <w:b/>
                <w:sz w:val="20"/>
                <w:szCs w:val="20"/>
              </w:rPr>
              <w:t xml:space="preserve">878 </w:t>
            </w:r>
          </w:p>
          <w:p w14:paraId="538E3AA7" w14:textId="77777777" w:rsidR="00AD7663" w:rsidRPr="00882310" w:rsidRDefault="00AD7663" w:rsidP="00AD7663">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0"/>
                <w:szCs w:val="20"/>
              </w:rPr>
            </w:pPr>
            <w:r w:rsidRPr="00882310">
              <w:rPr>
                <w:rFonts w:ascii="Times New Roman" w:hAnsi="Times New Roman" w:cs="Times New Roman"/>
                <w:b/>
                <w:sz w:val="20"/>
                <w:szCs w:val="20"/>
              </w:rPr>
              <w:t xml:space="preserve">Mobilise à mi-parcours : </w:t>
            </w:r>
          </w:p>
          <w:p w14:paraId="359DB24B" w14:textId="6F6D5890" w:rsidR="00AD7663" w:rsidRPr="00882310" w:rsidRDefault="00AD7663" w:rsidP="00B152DA">
            <w:pPr>
              <w:spacing w:line="276"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882310">
              <w:rPr>
                <w:rFonts w:ascii="Times New Roman" w:eastAsia="Times New Roman" w:hAnsi="Times New Roman"/>
                <w:b/>
                <w:color w:val="000000"/>
                <w:sz w:val="20"/>
                <w:szCs w:val="20"/>
                <w:highlight w:val="yellow"/>
                <w:lang w:eastAsia="fr-FR"/>
              </w:rPr>
              <w:t>281.455.321</w:t>
            </w:r>
          </w:p>
        </w:tc>
      </w:tr>
    </w:tbl>
    <w:p w14:paraId="5A021453" w14:textId="667C1D19" w:rsidR="00586CC4" w:rsidRPr="00944EE4" w:rsidRDefault="00880F37" w:rsidP="008B72F6">
      <w:pPr>
        <w:pStyle w:val="Titre1"/>
        <w:rPr>
          <w:rFonts w:ascii="Times New Roman" w:hAnsi="Times New Roman" w:cs="Times New Roman"/>
          <w:sz w:val="24"/>
          <w:szCs w:val="24"/>
        </w:rPr>
      </w:pPr>
      <w:bookmarkStart w:id="16" w:name="_Toc509228615"/>
      <w:r w:rsidRPr="00944EE4">
        <w:rPr>
          <w:rFonts w:ascii="Times New Roman" w:hAnsi="Times New Roman" w:cs="Times New Roman"/>
          <w:sz w:val="24"/>
          <w:szCs w:val="24"/>
          <w:u w:val="single"/>
        </w:rPr>
        <w:t>PARTIE VI</w:t>
      </w:r>
      <w:r w:rsidR="00941802">
        <w:rPr>
          <w:rFonts w:ascii="Times New Roman" w:hAnsi="Times New Roman" w:cs="Times New Roman"/>
          <w:sz w:val="24"/>
          <w:szCs w:val="24"/>
        </w:rPr>
        <w:t> : SUIVI-</w:t>
      </w:r>
      <w:r w:rsidRPr="00944EE4">
        <w:rPr>
          <w:rFonts w:ascii="Times New Roman" w:hAnsi="Times New Roman" w:cs="Times New Roman"/>
          <w:sz w:val="24"/>
          <w:szCs w:val="24"/>
        </w:rPr>
        <w:t>EVALUATION</w:t>
      </w:r>
      <w:bookmarkEnd w:id="16"/>
      <w:r w:rsidRPr="00944EE4">
        <w:rPr>
          <w:rFonts w:ascii="Times New Roman" w:hAnsi="Times New Roman" w:cs="Times New Roman"/>
          <w:sz w:val="24"/>
          <w:szCs w:val="24"/>
        </w:rPr>
        <w:t xml:space="preserve"> </w:t>
      </w:r>
    </w:p>
    <w:p w14:paraId="1CD2A9DE" w14:textId="77777777" w:rsidR="0077545E" w:rsidRPr="00944EE4" w:rsidRDefault="0077545E">
      <w:pPr>
        <w:rPr>
          <w:rFonts w:ascii="Times New Roman" w:hAnsi="Times New Roman" w:cs="Times New Roman"/>
          <w:b/>
          <w:sz w:val="24"/>
          <w:szCs w:val="24"/>
        </w:rPr>
      </w:pPr>
    </w:p>
    <w:p w14:paraId="58CB6AD6" w14:textId="6AE57B85" w:rsidR="00201F7F" w:rsidRPr="00944EE4" w:rsidRDefault="00880F37" w:rsidP="00AA53AB">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Au niveau des méthodes, outils, instruments et indicateurs utilisés, un cadre conjoint d’évaluation des revues du CSCRP a été élaboré et a fait l’objet d</w:t>
      </w:r>
      <w:r w:rsidR="00941802">
        <w:rPr>
          <w:rFonts w:ascii="Times New Roman" w:hAnsi="Times New Roman" w:cs="Times New Roman"/>
          <w:sz w:val="24"/>
          <w:szCs w:val="24"/>
        </w:rPr>
        <w:t>’un consensus entre l</w:t>
      </w:r>
      <w:r w:rsidRPr="00944EE4">
        <w:rPr>
          <w:rFonts w:ascii="Times New Roman" w:hAnsi="Times New Roman" w:cs="Times New Roman"/>
          <w:sz w:val="24"/>
          <w:szCs w:val="24"/>
        </w:rPr>
        <w:t>e Gouvernement, les PTFs et la Société Civile. Dans ce processus, les</w:t>
      </w:r>
      <w:r w:rsidR="00941802">
        <w:rPr>
          <w:rFonts w:ascii="Times New Roman" w:eastAsia="Calibri" w:hAnsi="Times New Roman" w:cs="Times New Roman"/>
          <w:sz w:val="24"/>
          <w:szCs w:val="24"/>
        </w:rPr>
        <w:t xml:space="preserve"> Nations Unies ont</w:t>
      </w:r>
      <w:r w:rsidRPr="00944EE4">
        <w:rPr>
          <w:rFonts w:ascii="Times New Roman" w:eastAsia="Calibri" w:hAnsi="Times New Roman" w:cs="Times New Roman"/>
          <w:sz w:val="24"/>
          <w:szCs w:val="24"/>
        </w:rPr>
        <w:t xml:space="preserve"> fait </w:t>
      </w:r>
      <w:r w:rsidRPr="00944EE4">
        <w:rPr>
          <w:rFonts w:ascii="Times New Roman" w:hAnsi="Times New Roman" w:cs="Times New Roman"/>
          <w:sz w:val="24"/>
          <w:szCs w:val="24"/>
        </w:rPr>
        <w:t>une contribution stratégique essentielle au système de suivi et d’évaluation du CSCRP et des OMD par le développement d’une base de données utili</w:t>
      </w:r>
      <w:r w:rsidR="00941802">
        <w:rPr>
          <w:rFonts w:ascii="Times New Roman" w:hAnsi="Times New Roman" w:cs="Times New Roman"/>
          <w:sz w:val="24"/>
          <w:szCs w:val="24"/>
        </w:rPr>
        <w:t xml:space="preserve">sant la technologie DevInfo et </w:t>
      </w:r>
      <w:r w:rsidRPr="00944EE4">
        <w:rPr>
          <w:rFonts w:ascii="Times New Roman" w:hAnsi="Times New Roman" w:cs="Times New Roman"/>
          <w:sz w:val="24"/>
          <w:szCs w:val="24"/>
        </w:rPr>
        <w:t xml:space="preserve">appelée « Malikunnafoni ». </w:t>
      </w:r>
      <w:r w:rsidR="00941802">
        <w:rPr>
          <w:rFonts w:ascii="Times New Roman" w:hAnsi="Times New Roman" w:cs="Times New Roman"/>
          <w:sz w:val="24"/>
          <w:szCs w:val="24"/>
        </w:rPr>
        <w:t xml:space="preserve">Cette </w:t>
      </w:r>
      <w:r w:rsidR="00941802" w:rsidRPr="00944EE4">
        <w:rPr>
          <w:rFonts w:ascii="Times New Roman" w:hAnsi="Times New Roman" w:cs="Times New Roman"/>
          <w:sz w:val="24"/>
          <w:szCs w:val="24"/>
        </w:rPr>
        <w:t>base de données</w:t>
      </w:r>
      <w:r w:rsidR="00941802">
        <w:rPr>
          <w:rFonts w:ascii="Times New Roman" w:hAnsi="Times New Roman" w:cs="Times New Roman"/>
          <w:sz w:val="24"/>
          <w:szCs w:val="24"/>
        </w:rPr>
        <w:t xml:space="preserve"> est en train d’evoluer pour prendre en compte les ODD.</w:t>
      </w:r>
    </w:p>
    <w:p w14:paraId="0ECE6EA2" w14:textId="77777777" w:rsidR="00201F7F" w:rsidRPr="00944EE4" w:rsidRDefault="00201F7F" w:rsidP="00AA53AB">
      <w:pPr>
        <w:spacing w:line="276" w:lineRule="auto"/>
        <w:jc w:val="both"/>
        <w:rPr>
          <w:rFonts w:ascii="Times New Roman" w:hAnsi="Times New Roman" w:cs="Times New Roman"/>
          <w:sz w:val="24"/>
          <w:szCs w:val="24"/>
        </w:rPr>
      </w:pPr>
    </w:p>
    <w:p w14:paraId="2076FCFE" w14:textId="0E994B3D" w:rsidR="00201F7F" w:rsidRPr="00944EE4" w:rsidRDefault="00880F37" w:rsidP="00AA53AB">
      <w:pPr>
        <w:spacing w:line="276" w:lineRule="auto"/>
        <w:jc w:val="both"/>
        <w:rPr>
          <w:rFonts w:ascii="Times New Roman" w:hAnsi="Times New Roman" w:cs="Times New Roman"/>
          <w:bCs/>
          <w:sz w:val="24"/>
          <w:szCs w:val="24"/>
        </w:rPr>
      </w:pPr>
      <w:r w:rsidRPr="00944EE4">
        <w:rPr>
          <w:rFonts w:ascii="Times New Roman" w:hAnsi="Times New Roman" w:cs="Times New Roman"/>
          <w:bCs/>
          <w:sz w:val="24"/>
          <w:szCs w:val="24"/>
        </w:rPr>
        <w:lastRenderedPageBreak/>
        <w:t xml:space="preserve">L’UNDAF est un document dynamique et des dispositions pour le suivi, la revue et l’évaluation ont été prises pour répondre aux changements dans le contexte politique, sécuritaire, économique social et environnemental du Mali. L’Equipe pays </w:t>
      </w:r>
      <w:r w:rsidR="00901F5E">
        <w:rPr>
          <w:rFonts w:ascii="Times New Roman" w:hAnsi="Times New Roman" w:cs="Times New Roman"/>
          <w:bCs/>
          <w:sz w:val="24"/>
          <w:szCs w:val="24"/>
        </w:rPr>
        <w:t xml:space="preserve">a </w:t>
      </w:r>
      <w:r w:rsidRPr="00944EE4">
        <w:rPr>
          <w:rFonts w:ascii="Times New Roman" w:hAnsi="Times New Roman" w:cs="Times New Roman"/>
          <w:bCs/>
          <w:sz w:val="24"/>
          <w:szCs w:val="24"/>
        </w:rPr>
        <w:t>établi des mécanismes de suivi et évaluation de routine avec des outils pour appuyer l’approche de gestion axé sur les résultats. Des indi</w:t>
      </w:r>
      <w:r w:rsidR="00901F5E">
        <w:rPr>
          <w:rFonts w:ascii="Times New Roman" w:hAnsi="Times New Roman" w:cs="Times New Roman"/>
          <w:bCs/>
          <w:sz w:val="24"/>
          <w:szCs w:val="24"/>
        </w:rPr>
        <w:t>cateurs ont été développés pour</w:t>
      </w:r>
      <w:r w:rsidRPr="00944EE4">
        <w:rPr>
          <w:rFonts w:ascii="Times New Roman" w:hAnsi="Times New Roman" w:cs="Times New Roman"/>
          <w:bCs/>
          <w:sz w:val="24"/>
          <w:szCs w:val="24"/>
        </w:rPr>
        <w:t xml:space="preserve"> les 5 effets et 26 produits dans les 4 axes. </w:t>
      </w:r>
      <w:r w:rsidRPr="00944EE4">
        <w:rPr>
          <w:rFonts w:ascii="Times New Roman" w:hAnsi="Times New Roman" w:cs="Times New Roman"/>
          <w:sz w:val="24"/>
          <w:szCs w:val="24"/>
        </w:rPr>
        <w:t xml:space="preserve">Un </w:t>
      </w:r>
      <w:r w:rsidRPr="00944EE4">
        <w:rPr>
          <w:rFonts w:ascii="Times New Roman" w:hAnsi="Times New Roman" w:cs="Times New Roman"/>
          <w:bCs/>
          <w:sz w:val="24"/>
          <w:szCs w:val="24"/>
        </w:rPr>
        <w:t xml:space="preserve">Plan de suivi et évaluation multi-annuel 2015-2019 a été développé pour le suivi régulier et l’évaluation des résultats planifiés dans </w:t>
      </w:r>
      <w:r w:rsidR="00901F5E">
        <w:rPr>
          <w:rFonts w:ascii="Times New Roman" w:hAnsi="Times New Roman" w:cs="Times New Roman"/>
          <w:bCs/>
          <w:sz w:val="24"/>
          <w:szCs w:val="24"/>
        </w:rPr>
        <w:t>le cadre de l’UNDAF+. Des plans de suivi-évaluation annuels s</w:t>
      </w:r>
      <w:r w:rsidRPr="00944EE4">
        <w:rPr>
          <w:rFonts w:ascii="Times New Roman" w:hAnsi="Times New Roman" w:cs="Times New Roman"/>
          <w:bCs/>
          <w:sz w:val="24"/>
          <w:szCs w:val="24"/>
        </w:rPr>
        <w:t>ont développés pour appuyer les plans de travails conjoints annuels, y inclus des indic</w:t>
      </w:r>
      <w:r w:rsidR="00901F5E">
        <w:rPr>
          <w:rFonts w:ascii="Times New Roman" w:hAnsi="Times New Roman" w:cs="Times New Roman"/>
          <w:bCs/>
          <w:sz w:val="24"/>
          <w:szCs w:val="24"/>
        </w:rPr>
        <w:t>ateurs annuels et des revues se</w:t>
      </w:r>
      <w:r w:rsidRPr="00944EE4">
        <w:rPr>
          <w:rFonts w:ascii="Times New Roman" w:hAnsi="Times New Roman" w:cs="Times New Roman"/>
          <w:bCs/>
          <w:sz w:val="24"/>
          <w:szCs w:val="24"/>
        </w:rPr>
        <w:t>mestrielles. Les systèmes nationaux de collecte</w:t>
      </w:r>
      <w:r w:rsidR="00901F5E">
        <w:rPr>
          <w:rFonts w:ascii="Times New Roman" w:hAnsi="Times New Roman" w:cs="Times New Roman"/>
          <w:bCs/>
          <w:sz w:val="24"/>
          <w:szCs w:val="24"/>
        </w:rPr>
        <w:t xml:space="preserve"> de données et de recherches s</w:t>
      </w:r>
      <w:r w:rsidRPr="00944EE4">
        <w:rPr>
          <w:rFonts w:ascii="Times New Roman" w:hAnsi="Times New Roman" w:cs="Times New Roman"/>
          <w:bCs/>
          <w:sz w:val="24"/>
          <w:szCs w:val="24"/>
        </w:rPr>
        <w:t xml:space="preserve">ont utilisés et appuyés autant que possible. </w:t>
      </w:r>
    </w:p>
    <w:p w14:paraId="0FD46256" w14:textId="77777777" w:rsidR="00332D79" w:rsidRPr="00944EE4" w:rsidRDefault="00332D79" w:rsidP="00AA53AB">
      <w:pPr>
        <w:spacing w:line="276" w:lineRule="auto"/>
        <w:jc w:val="both"/>
        <w:rPr>
          <w:rFonts w:ascii="Times New Roman" w:hAnsi="Times New Roman" w:cs="Times New Roman"/>
          <w:bCs/>
          <w:sz w:val="24"/>
          <w:szCs w:val="24"/>
        </w:rPr>
      </w:pPr>
    </w:p>
    <w:p w14:paraId="61CD2A59" w14:textId="456BE781" w:rsidR="00ED4A23" w:rsidRPr="00944EE4" w:rsidRDefault="00880F37" w:rsidP="00AA53AB">
      <w:pPr>
        <w:spacing w:line="276" w:lineRule="auto"/>
        <w:jc w:val="both"/>
        <w:rPr>
          <w:rFonts w:ascii="Times New Roman" w:hAnsi="Times New Roman" w:cs="Times New Roman"/>
          <w:bCs/>
          <w:sz w:val="24"/>
          <w:szCs w:val="24"/>
        </w:rPr>
      </w:pPr>
      <w:r w:rsidRPr="00944EE4">
        <w:rPr>
          <w:rFonts w:ascii="Times New Roman" w:hAnsi="Times New Roman" w:cs="Times New Roman"/>
          <w:bCs/>
          <w:sz w:val="24"/>
          <w:szCs w:val="24"/>
        </w:rPr>
        <w:t>Il est prévu d’organiser des revues semestrielles, annuelles, des revues et évaluations à mi-parcours et une évaluation et revue de fin-cycle, conjointement avec le Gouvernement et les partenaires au développement. Les résultats de ces revues et des activités de suivi régulier vont également contribuer au rapport annuel du Coordonnateur Résiden</w:t>
      </w:r>
      <w:r w:rsidR="00901F5E">
        <w:rPr>
          <w:rFonts w:ascii="Times New Roman" w:hAnsi="Times New Roman" w:cs="Times New Roman"/>
          <w:bCs/>
          <w:sz w:val="24"/>
          <w:szCs w:val="24"/>
        </w:rPr>
        <w:t>t.  Les revues semestrielles s</w:t>
      </w:r>
      <w:r w:rsidRPr="00944EE4">
        <w:rPr>
          <w:rFonts w:ascii="Times New Roman" w:hAnsi="Times New Roman" w:cs="Times New Roman"/>
          <w:bCs/>
          <w:sz w:val="24"/>
          <w:szCs w:val="24"/>
        </w:rPr>
        <w:t>ont planifiées dans les plans annuels de travail vers la période juillet-août pour coïncider avec la revue annuelle de la MINU</w:t>
      </w:r>
      <w:r w:rsidR="00901F5E">
        <w:rPr>
          <w:rFonts w:ascii="Times New Roman" w:hAnsi="Times New Roman" w:cs="Times New Roman"/>
          <w:bCs/>
          <w:sz w:val="24"/>
          <w:szCs w:val="24"/>
        </w:rPr>
        <w:t>SMA compte tenu de la période de son</w:t>
      </w:r>
      <w:r w:rsidRPr="00944EE4">
        <w:rPr>
          <w:rFonts w:ascii="Times New Roman" w:hAnsi="Times New Roman" w:cs="Times New Roman"/>
          <w:bCs/>
          <w:sz w:val="24"/>
          <w:szCs w:val="24"/>
        </w:rPr>
        <w:t xml:space="preserve"> mandat annuel 01 juillet - 30 juin.</w:t>
      </w:r>
    </w:p>
    <w:p w14:paraId="16DE7F83" w14:textId="77777777" w:rsidR="00ED4A23" w:rsidRPr="00944EE4" w:rsidRDefault="00ED4A23" w:rsidP="006E2938">
      <w:pPr>
        <w:spacing w:line="276" w:lineRule="auto"/>
        <w:jc w:val="both"/>
        <w:rPr>
          <w:rFonts w:ascii="Times New Roman" w:hAnsi="Times New Roman" w:cs="Times New Roman"/>
          <w:bCs/>
          <w:sz w:val="24"/>
          <w:szCs w:val="24"/>
        </w:rPr>
      </w:pPr>
    </w:p>
    <w:p w14:paraId="70CE7CA2" w14:textId="77777777" w:rsidR="00201F7F" w:rsidRPr="00944EE4" w:rsidRDefault="00880F37" w:rsidP="006E2938">
      <w:pPr>
        <w:spacing w:line="276" w:lineRule="auto"/>
        <w:jc w:val="both"/>
        <w:rPr>
          <w:rFonts w:ascii="Times New Roman" w:hAnsi="Times New Roman" w:cs="Times New Roman"/>
          <w:bCs/>
          <w:sz w:val="24"/>
          <w:szCs w:val="24"/>
        </w:rPr>
      </w:pPr>
      <w:r w:rsidRPr="00944EE4">
        <w:rPr>
          <w:rFonts w:ascii="Times New Roman" w:hAnsi="Times New Roman" w:cs="Times New Roman"/>
          <w:bCs/>
          <w:sz w:val="24"/>
          <w:szCs w:val="24"/>
        </w:rPr>
        <w:t>Afin de mieux informer la prise de décision au niveau stratégique, les Nations Unies conduiront deux évaluations majeures :</w:t>
      </w:r>
    </w:p>
    <w:p w14:paraId="3C904DF6" w14:textId="77777777" w:rsidR="00201F7F" w:rsidRPr="00944EE4" w:rsidRDefault="00201F7F" w:rsidP="006E2938">
      <w:pPr>
        <w:spacing w:line="276" w:lineRule="auto"/>
        <w:jc w:val="both"/>
        <w:rPr>
          <w:rFonts w:ascii="Times New Roman" w:hAnsi="Times New Roman" w:cs="Times New Roman"/>
          <w:sz w:val="24"/>
          <w:szCs w:val="24"/>
        </w:rPr>
      </w:pPr>
    </w:p>
    <w:p w14:paraId="070B9AA1" w14:textId="7C30CC60" w:rsidR="00201F7F" w:rsidRPr="00944EE4" w:rsidRDefault="00880F37" w:rsidP="006E2938">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Une </w:t>
      </w:r>
      <w:r w:rsidRPr="00944EE4">
        <w:rPr>
          <w:rFonts w:ascii="Times New Roman" w:hAnsi="Times New Roman" w:cs="Times New Roman"/>
          <w:b/>
          <w:sz w:val="24"/>
          <w:szCs w:val="24"/>
        </w:rPr>
        <w:t>évaluation à mi-parcours</w:t>
      </w:r>
      <w:r w:rsidRPr="00944EE4">
        <w:rPr>
          <w:rFonts w:ascii="Times New Roman" w:hAnsi="Times New Roman" w:cs="Times New Roman"/>
          <w:sz w:val="24"/>
          <w:szCs w:val="24"/>
        </w:rPr>
        <w:t xml:space="preserve"> </w:t>
      </w:r>
      <w:r w:rsidRPr="00944EE4">
        <w:rPr>
          <w:rFonts w:ascii="Times New Roman" w:hAnsi="Times New Roman" w:cs="Times New Roman"/>
          <w:b/>
          <w:sz w:val="24"/>
          <w:szCs w:val="24"/>
        </w:rPr>
        <w:t xml:space="preserve">du </w:t>
      </w:r>
      <w:r w:rsidR="00901F5E">
        <w:rPr>
          <w:rFonts w:ascii="Times New Roman" w:hAnsi="Times New Roman" w:cs="Times New Roman"/>
          <w:b/>
          <w:sz w:val="24"/>
          <w:szCs w:val="24"/>
        </w:rPr>
        <w:t>programme</w:t>
      </w:r>
      <w:r w:rsidRPr="00944EE4">
        <w:rPr>
          <w:rFonts w:ascii="Times New Roman" w:hAnsi="Times New Roman" w:cs="Times New Roman"/>
          <w:sz w:val="24"/>
          <w:szCs w:val="24"/>
        </w:rPr>
        <w:t>. Cette évaluation</w:t>
      </w:r>
      <w:r w:rsidR="00901F5E">
        <w:rPr>
          <w:rFonts w:ascii="Times New Roman" w:hAnsi="Times New Roman" w:cs="Times New Roman"/>
          <w:sz w:val="24"/>
          <w:szCs w:val="24"/>
        </w:rPr>
        <w:t>, realis</w:t>
      </w:r>
      <w:r w:rsidR="00901F5E" w:rsidRPr="00944EE4">
        <w:rPr>
          <w:rFonts w:ascii="Times New Roman" w:hAnsi="Times New Roman" w:cs="Times New Roman"/>
          <w:sz w:val="24"/>
          <w:szCs w:val="24"/>
        </w:rPr>
        <w:t>é</w:t>
      </w:r>
      <w:r w:rsidR="00901F5E">
        <w:rPr>
          <w:rFonts w:ascii="Times New Roman" w:hAnsi="Times New Roman" w:cs="Times New Roman"/>
          <w:sz w:val="24"/>
          <w:szCs w:val="24"/>
        </w:rPr>
        <w:t>e en 2017 a permis d’</w:t>
      </w:r>
      <w:r w:rsidRPr="00944EE4">
        <w:rPr>
          <w:rFonts w:ascii="Times New Roman" w:hAnsi="Times New Roman" w:cs="Times New Roman"/>
          <w:sz w:val="24"/>
          <w:szCs w:val="24"/>
        </w:rPr>
        <w:t>informer la revue à mi-parcours de l’UNDAF+</w:t>
      </w:r>
      <w:r w:rsidR="00901F5E">
        <w:rPr>
          <w:rFonts w:ascii="Times New Roman" w:hAnsi="Times New Roman" w:cs="Times New Roman"/>
          <w:sz w:val="24"/>
          <w:szCs w:val="24"/>
        </w:rPr>
        <w:t xml:space="preserve"> tenue en fin 2017 et d’identifier les actions correctives sur la base des lecons apprises de la premiere periode de mise en œuvre du programme.</w:t>
      </w:r>
      <w:r w:rsidR="00901F5E" w:rsidRPr="00944EE4">
        <w:rPr>
          <w:rFonts w:ascii="Times New Roman" w:hAnsi="Times New Roman" w:cs="Times New Roman"/>
          <w:sz w:val="24"/>
          <w:szCs w:val="24"/>
        </w:rPr>
        <w:t xml:space="preserve"> </w:t>
      </w:r>
    </w:p>
    <w:p w14:paraId="6337D82B" w14:textId="77777777" w:rsidR="006E2938" w:rsidRPr="00944EE4" w:rsidRDefault="006E2938" w:rsidP="006E2938">
      <w:pPr>
        <w:spacing w:line="276" w:lineRule="auto"/>
        <w:jc w:val="both"/>
        <w:rPr>
          <w:rFonts w:ascii="Times New Roman" w:hAnsi="Times New Roman" w:cs="Times New Roman"/>
          <w:sz w:val="24"/>
          <w:szCs w:val="24"/>
        </w:rPr>
      </w:pPr>
    </w:p>
    <w:p w14:paraId="706CE6F9" w14:textId="25E5FDD2" w:rsidR="00201F7F" w:rsidRPr="00944EE4" w:rsidRDefault="00880F37" w:rsidP="006E2938">
      <w:pPr>
        <w:spacing w:line="276" w:lineRule="auto"/>
        <w:jc w:val="both"/>
        <w:rPr>
          <w:rFonts w:ascii="Times New Roman" w:hAnsi="Times New Roman" w:cs="Times New Roman"/>
          <w:sz w:val="24"/>
          <w:szCs w:val="24"/>
        </w:rPr>
      </w:pPr>
      <w:r w:rsidRPr="00944EE4">
        <w:rPr>
          <w:rFonts w:ascii="Times New Roman" w:hAnsi="Times New Roman" w:cs="Times New Roman"/>
          <w:sz w:val="24"/>
          <w:szCs w:val="24"/>
        </w:rPr>
        <w:t xml:space="preserve">Une </w:t>
      </w:r>
      <w:r w:rsidRPr="00944EE4">
        <w:rPr>
          <w:rFonts w:ascii="Times New Roman" w:hAnsi="Times New Roman" w:cs="Times New Roman"/>
          <w:b/>
          <w:sz w:val="24"/>
          <w:szCs w:val="24"/>
        </w:rPr>
        <w:t>évaluation de fin de cycle formative et sommative</w:t>
      </w:r>
      <w:r w:rsidRPr="00944EE4">
        <w:rPr>
          <w:rFonts w:ascii="Times New Roman" w:hAnsi="Times New Roman" w:cs="Times New Roman"/>
          <w:sz w:val="24"/>
          <w:szCs w:val="24"/>
        </w:rPr>
        <w:t xml:space="preserve"> </w:t>
      </w:r>
      <w:r w:rsidR="00901F5E">
        <w:rPr>
          <w:rFonts w:ascii="Times New Roman" w:hAnsi="Times New Roman" w:cs="Times New Roman"/>
          <w:sz w:val="24"/>
          <w:szCs w:val="24"/>
        </w:rPr>
        <w:t>est aussi pr</w:t>
      </w:r>
      <w:r w:rsidR="00901F5E" w:rsidRPr="00944EE4">
        <w:rPr>
          <w:rFonts w:ascii="Times New Roman" w:hAnsi="Times New Roman" w:cs="Times New Roman"/>
          <w:sz w:val="24"/>
          <w:szCs w:val="24"/>
        </w:rPr>
        <w:t>é</w:t>
      </w:r>
      <w:r w:rsidR="00901F5E">
        <w:rPr>
          <w:rFonts w:ascii="Times New Roman" w:hAnsi="Times New Roman" w:cs="Times New Roman"/>
          <w:sz w:val="24"/>
          <w:szCs w:val="24"/>
        </w:rPr>
        <w:t xml:space="preserve">vuee </w:t>
      </w:r>
      <w:r w:rsidRPr="00944EE4">
        <w:rPr>
          <w:rFonts w:ascii="Times New Roman" w:hAnsi="Times New Roman" w:cs="Times New Roman"/>
          <w:sz w:val="24"/>
          <w:szCs w:val="24"/>
        </w:rPr>
        <w:t>pour évaluer l’impact des interventions. Cette évaluation servira aussi comme évaluation ex-ante pour informer le prochain cycle de l’UND</w:t>
      </w:r>
      <w:r w:rsidR="00901F5E">
        <w:rPr>
          <w:rFonts w:ascii="Times New Roman" w:hAnsi="Times New Roman" w:cs="Times New Roman"/>
          <w:sz w:val="24"/>
          <w:szCs w:val="24"/>
        </w:rPr>
        <w:t>AF+. Toutes les données collect</w:t>
      </w:r>
      <w:r w:rsidR="00901F5E" w:rsidRPr="00944EE4">
        <w:rPr>
          <w:rFonts w:ascii="Times New Roman" w:hAnsi="Times New Roman" w:cs="Times New Roman"/>
          <w:sz w:val="24"/>
          <w:szCs w:val="24"/>
        </w:rPr>
        <w:t>é</w:t>
      </w:r>
      <w:r w:rsidR="00901F5E">
        <w:rPr>
          <w:rFonts w:ascii="Times New Roman" w:hAnsi="Times New Roman" w:cs="Times New Roman"/>
          <w:sz w:val="24"/>
          <w:szCs w:val="24"/>
        </w:rPr>
        <w:t>e</w:t>
      </w:r>
      <w:r w:rsidRPr="00944EE4">
        <w:rPr>
          <w:rFonts w:ascii="Times New Roman" w:hAnsi="Times New Roman" w:cs="Times New Roman"/>
          <w:sz w:val="24"/>
          <w:szCs w:val="24"/>
        </w:rPr>
        <w:t xml:space="preserve">s pendant le cycle (2015-2019) informeront cette évaluation. </w:t>
      </w:r>
    </w:p>
    <w:p w14:paraId="1CE5DA3E" w14:textId="77777777" w:rsidR="004D4BFB" w:rsidRPr="00944EE4" w:rsidRDefault="004D4BFB">
      <w:pPr>
        <w:rPr>
          <w:rFonts w:ascii="Times New Roman" w:hAnsi="Times New Roman" w:cs="Times New Roman"/>
          <w:sz w:val="24"/>
          <w:szCs w:val="24"/>
        </w:rPr>
      </w:pPr>
    </w:p>
    <w:p w14:paraId="38F232B3" w14:textId="77777777" w:rsidR="004D4BFB" w:rsidRPr="00944EE4" w:rsidRDefault="004D4BFB">
      <w:pPr>
        <w:rPr>
          <w:rFonts w:ascii="Times New Roman" w:hAnsi="Times New Roman" w:cs="Times New Roman"/>
          <w:sz w:val="24"/>
          <w:szCs w:val="24"/>
        </w:rPr>
      </w:pPr>
      <w:r w:rsidRPr="00944EE4">
        <w:rPr>
          <w:rFonts w:ascii="Times New Roman" w:hAnsi="Times New Roman" w:cs="Times New Roman"/>
          <w:sz w:val="24"/>
          <w:szCs w:val="24"/>
        </w:rPr>
        <w:br w:type="page"/>
      </w:r>
    </w:p>
    <w:p w14:paraId="3E8FBD04" w14:textId="77777777" w:rsidR="004D4BFB" w:rsidRPr="00901F5E" w:rsidRDefault="004D4BFB" w:rsidP="008B72F6">
      <w:pPr>
        <w:pStyle w:val="Titre1"/>
        <w:rPr>
          <w:rFonts w:ascii="Times New Roman" w:hAnsi="Times New Roman" w:cs="Times New Roman"/>
          <w:sz w:val="24"/>
          <w:szCs w:val="24"/>
        </w:rPr>
      </w:pPr>
      <w:bookmarkStart w:id="17" w:name="_Toc509228616"/>
      <w:r w:rsidRPr="00901F5E">
        <w:rPr>
          <w:rFonts w:ascii="Times New Roman" w:hAnsi="Times New Roman" w:cs="Times New Roman"/>
          <w:sz w:val="24"/>
          <w:szCs w:val="24"/>
          <w:u w:val="single"/>
        </w:rPr>
        <w:lastRenderedPageBreak/>
        <w:t>PARTIE VII</w:t>
      </w:r>
      <w:r w:rsidRPr="00901F5E">
        <w:rPr>
          <w:rFonts w:ascii="Times New Roman" w:hAnsi="Times New Roman" w:cs="Times New Roman"/>
          <w:sz w:val="24"/>
          <w:szCs w:val="24"/>
        </w:rPr>
        <w:t> : RISQUES SUR LA SUITE DU PROGRAMME</w:t>
      </w:r>
      <w:bookmarkEnd w:id="17"/>
      <w:r w:rsidRPr="00901F5E">
        <w:rPr>
          <w:rFonts w:ascii="Times New Roman" w:hAnsi="Times New Roman" w:cs="Times New Roman"/>
          <w:sz w:val="24"/>
          <w:szCs w:val="24"/>
        </w:rPr>
        <w:t xml:space="preserve"> </w:t>
      </w:r>
    </w:p>
    <w:p w14:paraId="2B5320F0" w14:textId="77777777" w:rsidR="004D4BFB" w:rsidRPr="00901F5E" w:rsidRDefault="004D4BFB" w:rsidP="004D4BFB">
      <w:pPr>
        <w:rPr>
          <w:rFonts w:ascii="Times New Roman" w:hAnsi="Times New Roman" w:cs="Times New Roman"/>
          <w:b/>
          <w:sz w:val="24"/>
          <w:szCs w:val="24"/>
        </w:rPr>
      </w:pPr>
    </w:p>
    <w:p w14:paraId="2F2372E7" w14:textId="77777777" w:rsidR="004D4BFB" w:rsidRPr="00901F5E" w:rsidRDefault="004D4BFB" w:rsidP="004D4BFB">
      <w:pPr>
        <w:pStyle w:val="Paragraphedeliste"/>
        <w:numPr>
          <w:ilvl w:val="0"/>
          <w:numId w:val="46"/>
        </w:numPr>
        <w:rPr>
          <w:rFonts w:ascii="Times New Roman" w:hAnsi="Times New Roman" w:cs="Times New Roman"/>
          <w:b/>
          <w:sz w:val="24"/>
          <w:szCs w:val="24"/>
          <w:u w:val="single"/>
        </w:rPr>
      </w:pPr>
      <w:r w:rsidRPr="00901F5E">
        <w:rPr>
          <w:rFonts w:ascii="Times New Roman" w:hAnsi="Times New Roman" w:cs="Times New Roman"/>
          <w:b/>
          <w:sz w:val="24"/>
          <w:szCs w:val="24"/>
          <w:u w:val="single"/>
        </w:rPr>
        <w:t>Dégradation de la situation sécuritaire : Risque très élevé</w:t>
      </w:r>
    </w:p>
    <w:p w14:paraId="7DFBC7FA" w14:textId="77777777" w:rsidR="004D4BFB" w:rsidRPr="00901F5E" w:rsidRDefault="004D4BFB" w:rsidP="004D4BFB">
      <w:pPr>
        <w:rPr>
          <w:rFonts w:ascii="Times New Roman" w:hAnsi="Times New Roman" w:cs="Times New Roman"/>
          <w:b/>
          <w:sz w:val="24"/>
          <w:szCs w:val="24"/>
        </w:rPr>
      </w:pPr>
    </w:p>
    <w:p w14:paraId="3F33CDA3" w14:textId="77777777" w:rsidR="004D4BFB" w:rsidRPr="00901F5E" w:rsidRDefault="004D4BFB" w:rsidP="004D4BFB">
      <w:pPr>
        <w:ind w:left="708"/>
        <w:jc w:val="both"/>
        <w:rPr>
          <w:rFonts w:ascii="Times New Roman" w:hAnsi="Times New Roman" w:cs="Times New Roman"/>
          <w:sz w:val="24"/>
          <w:szCs w:val="24"/>
        </w:rPr>
      </w:pPr>
      <w:r w:rsidRPr="00901F5E">
        <w:rPr>
          <w:rFonts w:ascii="Times New Roman" w:hAnsi="Times New Roman" w:cs="Times New Roman"/>
          <w:b/>
          <w:sz w:val="24"/>
          <w:szCs w:val="24"/>
        </w:rPr>
        <w:t>Analyse du risque associé</w:t>
      </w:r>
      <w:r w:rsidRPr="00901F5E">
        <w:rPr>
          <w:rFonts w:ascii="Times New Roman" w:hAnsi="Times New Roman" w:cs="Times New Roman"/>
          <w:sz w:val="24"/>
          <w:szCs w:val="24"/>
        </w:rPr>
        <w:t xml:space="preserve"> : De multiples incidents de sécurité, parfois d’une grande gravité et sources de plusieurs décès de populations maliennes civiles et militaires, comme de membres civiles et militaires des entités internationales de coopération au Mali, ont concouru à dessiner un contexte de sécurité plus fragilisé que cela n’était le cas au début du programme. De surcroît les violences armées ont dernièrement tendu à s’éveiller et au s’ancrer dans le centre du pays également. Au total ces situations fondent les plus grandes craintes de voir l’insécurité s’aggraver encore dans cette seconde moitié du cycle de vie du programme.</w:t>
      </w:r>
    </w:p>
    <w:p w14:paraId="4164BDF5" w14:textId="77777777" w:rsidR="004D4BFB" w:rsidRPr="00901F5E" w:rsidRDefault="004D4BFB" w:rsidP="004D4BFB">
      <w:pPr>
        <w:ind w:left="708"/>
        <w:jc w:val="both"/>
        <w:rPr>
          <w:rFonts w:ascii="Times New Roman" w:hAnsi="Times New Roman" w:cs="Times New Roman"/>
          <w:b/>
          <w:sz w:val="24"/>
          <w:szCs w:val="24"/>
        </w:rPr>
      </w:pPr>
    </w:p>
    <w:p w14:paraId="50D82E61" w14:textId="3B06AC5E" w:rsidR="004D4BFB" w:rsidRPr="00901F5E" w:rsidRDefault="004D4BFB" w:rsidP="004D4BFB">
      <w:pPr>
        <w:ind w:left="708"/>
        <w:jc w:val="both"/>
        <w:rPr>
          <w:rFonts w:ascii="Times New Roman" w:hAnsi="Times New Roman" w:cs="Times New Roman"/>
          <w:sz w:val="24"/>
          <w:szCs w:val="24"/>
        </w:rPr>
      </w:pPr>
      <w:r w:rsidRPr="00901F5E">
        <w:rPr>
          <w:rFonts w:ascii="Times New Roman" w:hAnsi="Times New Roman" w:cs="Times New Roman"/>
          <w:b/>
          <w:sz w:val="24"/>
          <w:szCs w:val="24"/>
        </w:rPr>
        <w:t>Mitigation </w:t>
      </w:r>
      <w:r w:rsidRPr="00901F5E">
        <w:rPr>
          <w:rFonts w:ascii="Times New Roman" w:hAnsi="Times New Roman" w:cs="Times New Roman"/>
          <w:sz w:val="24"/>
          <w:szCs w:val="24"/>
        </w:rPr>
        <w:t>: Face à la dégradation de l’environnement sécurit</w:t>
      </w:r>
      <w:r w:rsidR="00901F5E">
        <w:rPr>
          <w:rFonts w:ascii="Times New Roman" w:hAnsi="Times New Roman" w:cs="Times New Roman"/>
          <w:sz w:val="24"/>
          <w:szCs w:val="24"/>
        </w:rPr>
        <w:t>aire, deux approches s’imposen</w:t>
      </w:r>
      <w:r w:rsidRPr="00901F5E">
        <w:rPr>
          <w:rFonts w:ascii="Times New Roman" w:hAnsi="Times New Roman" w:cs="Times New Roman"/>
          <w:sz w:val="24"/>
          <w:szCs w:val="24"/>
        </w:rPr>
        <w:t>t de plus en plus au programme : (i</w:t>
      </w:r>
      <w:r w:rsidR="00D0770A">
        <w:rPr>
          <w:rFonts w:ascii="Times New Roman" w:hAnsi="Times New Roman" w:cs="Times New Roman"/>
          <w:sz w:val="24"/>
          <w:szCs w:val="24"/>
        </w:rPr>
        <w:t>) une mobilisation proportionnée</w:t>
      </w:r>
      <w:r w:rsidRPr="00901F5E">
        <w:rPr>
          <w:rFonts w:ascii="Times New Roman" w:hAnsi="Times New Roman" w:cs="Times New Roman"/>
          <w:sz w:val="24"/>
          <w:szCs w:val="24"/>
        </w:rPr>
        <w:t xml:space="preserve"> des moyens sécuritaire de la MINUSMA ; (ii) accroître la sous-contractualisation des activités opérationnelles à des opérateurs locaux dans les zones où le Système ne peut plus garantir sa propre présence formelle.  </w:t>
      </w:r>
    </w:p>
    <w:p w14:paraId="107818EE" w14:textId="77777777" w:rsidR="004D4BFB" w:rsidRPr="00944EE4" w:rsidRDefault="004D4BFB" w:rsidP="004D4BFB">
      <w:pPr>
        <w:rPr>
          <w:rFonts w:ascii="Times New Roman" w:hAnsi="Times New Roman" w:cs="Times New Roman"/>
          <w:sz w:val="24"/>
          <w:szCs w:val="24"/>
          <w:highlight w:val="yellow"/>
        </w:rPr>
      </w:pPr>
    </w:p>
    <w:p w14:paraId="6A612632" w14:textId="77777777" w:rsidR="004D4BFB" w:rsidRPr="00901F5E" w:rsidRDefault="004D4BFB" w:rsidP="004D4BFB">
      <w:pPr>
        <w:pStyle w:val="Paragraphedeliste"/>
        <w:numPr>
          <w:ilvl w:val="0"/>
          <w:numId w:val="46"/>
        </w:numPr>
        <w:rPr>
          <w:rFonts w:ascii="Times New Roman" w:hAnsi="Times New Roman" w:cs="Times New Roman"/>
          <w:b/>
          <w:sz w:val="24"/>
          <w:szCs w:val="24"/>
          <w:u w:val="single"/>
        </w:rPr>
      </w:pPr>
      <w:r w:rsidRPr="00901F5E">
        <w:rPr>
          <w:rFonts w:ascii="Times New Roman" w:hAnsi="Times New Roman" w:cs="Times New Roman"/>
          <w:b/>
          <w:sz w:val="24"/>
          <w:szCs w:val="24"/>
          <w:u w:val="single"/>
        </w:rPr>
        <w:t>Insuffisance de ressources financières : Risque très élevé</w:t>
      </w:r>
    </w:p>
    <w:p w14:paraId="2C032DCC" w14:textId="77777777" w:rsidR="004D4BFB" w:rsidRPr="00901F5E" w:rsidRDefault="004D4BFB" w:rsidP="004D4BFB">
      <w:pPr>
        <w:ind w:left="708"/>
        <w:rPr>
          <w:rFonts w:ascii="Times New Roman" w:hAnsi="Times New Roman" w:cs="Times New Roman"/>
          <w:b/>
          <w:sz w:val="24"/>
          <w:szCs w:val="24"/>
        </w:rPr>
      </w:pPr>
    </w:p>
    <w:p w14:paraId="1100B897" w14:textId="5DE4B264" w:rsidR="004D4BFB" w:rsidRPr="00901F5E" w:rsidRDefault="004D4BFB" w:rsidP="004D4BFB">
      <w:pPr>
        <w:ind w:left="708"/>
        <w:jc w:val="both"/>
        <w:rPr>
          <w:rFonts w:ascii="Times New Roman" w:hAnsi="Times New Roman" w:cs="Times New Roman"/>
          <w:sz w:val="24"/>
          <w:szCs w:val="24"/>
        </w:rPr>
      </w:pPr>
      <w:r w:rsidRPr="00901F5E">
        <w:rPr>
          <w:rFonts w:ascii="Times New Roman" w:hAnsi="Times New Roman" w:cs="Times New Roman"/>
          <w:b/>
          <w:sz w:val="24"/>
          <w:szCs w:val="24"/>
        </w:rPr>
        <w:t>Analyse du risque associé</w:t>
      </w:r>
      <w:r w:rsidRPr="00901F5E">
        <w:rPr>
          <w:rFonts w:ascii="Times New Roman" w:hAnsi="Times New Roman" w:cs="Times New Roman"/>
          <w:sz w:val="24"/>
          <w:szCs w:val="24"/>
        </w:rPr>
        <w:t xml:space="preserve"> : La première moitié du cycle se caractérise déjà par un niveau de mobilisation de ressources </w:t>
      </w:r>
      <w:r w:rsidR="00882310">
        <w:rPr>
          <w:rFonts w:ascii="Times New Roman" w:hAnsi="Times New Roman" w:cs="Times New Roman"/>
          <w:sz w:val="24"/>
          <w:szCs w:val="24"/>
        </w:rPr>
        <w:t xml:space="preserve">tres </w:t>
      </w:r>
      <w:r w:rsidRPr="00901F5E">
        <w:rPr>
          <w:rFonts w:ascii="Times New Roman" w:hAnsi="Times New Roman" w:cs="Times New Roman"/>
          <w:sz w:val="24"/>
          <w:szCs w:val="24"/>
        </w:rPr>
        <w:t xml:space="preserve">inférieur </w:t>
      </w:r>
      <w:r w:rsidR="00882310">
        <w:rPr>
          <w:rFonts w:ascii="Times New Roman" w:hAnsi="Times New Roman" w:cs="Times New Roman"/>
          <w:sz w:val="24"/>
          <w:szCs w:val="24"/>
        </w:rPr>
        <w:t>(moins de la moitie) a ce</w:t>
      </w:r>
      <w:r w:rsidRPr="00901F5E">
        <w:rPr>
          <w:rFonts w:ascii="Times New Roman" w:hAnsi="Times New Roman" w:cs="Times New Roman"/>
          <w:sz w:val="24"/>
          <w:szCs w:val="24"/>
        </w:rPr>
        <w:t xml:space="preserve"> qui était attendu à mi-parcours de la vie du programme. </w:t>
      </w:r>
      <w:r w:rsidR="00882310">
        <w:rPr>
          <w:rFonts w:ascii="Times New Roman" w:hAnsi="Times New Roman" w:cs="Times New Roman"/>
          <w:sz w:val="24"/>
          <w:szCs w:val="24"/>
        </w:rPr>
        <w:t xml:space="preserve">Cette contrainte budgetaire </w:t>
      </w:r>
      <w:r w:rsidRPr="00901F5E">
        <w:rPr>
          <w:rFonts w:ascii="Times New Roman" w:hAnsi="Times New Roman" w:cs="Times New Roman"/>
          <w:sz w:val="24"/>
          <w:szCs w:val="24"/>
        </w:rPr>
        <w:t xml:space="preserve">risque de </w:t>
      </w:r>
      <w:r w:rsidR="00882310">
        <w:rPr>
          <w:rFonts w:ascii="Times New Roman" w:hAnsi="Times New Roman" w:cs="Times New Roman"/>
          <w:sz w:val="24"/>
          <w:szCs w:val="24"/>
        </w:rPr>
        <w:t>se poursuivr</w:t>
      </w:r>
      <w:r w:rsidRPr="00901F5E">
        <w:rPr>
          <w:rFonts w:ascii="Times New Roman" w:hAnsi="Times New Roman" w:cs="Times New Roman"/>
          <w:sz w:val="24"/>
          <w:szCs w:val="24"/>
        </w:rPr>
        <w:t>e, voir</w:t>
      </w:r>
      <w:r w:rsidR="00882310">
        <w:rPr>
          <w:rFonts w:ascii="Times New Roman" w:hAnsi="Times New Roman" w:cs="Times New Roman"/>
          <w:sz w:val="24"/>
          <w:szCs w:val="24"/>
        </w:rPr>
        <w:t>e</w:t>
      </w:r>
      <w:r w:rsidRPr="00901F5E">
        <w:rPr>
          <w:rFonts w:ascii="Times New Roman" w:hAnsi="Times New Roman" w:cs="Times New Roman"/>
          <w:sz w:val="24"/>
          <w:szCs w:val="24"/>
        </w:rPr>
        <w:t xml:space="preserve"> d</w:t>
      </w:r>
      <w:r w:rsidR="00882310">
        <w:rPr>
          <w:rFonts w:ascii="Times New Roman" w:hAnsi="Times New Roman" w:cs="Times New Roman"/>
          <w:sz w:val="24"/>
          <w:szCs w:val="24"/>
        </w:rPr>
        <w:t>e s</w:t>
      </w:r>
      <w:r w:rsidRPr="00901F5E">
        <w:rPr>
          <w:rFonts w:ascii="Times New Roman" w:hAnsi="Times New Roman" w:cs="Times New Roman"/>
          <w:sz w:val="24"/>
          <w:szCs w:val="24"/>
        </w:rPr>
        <w:t>’aggrav</w:t>
      </w:r>
      <w:r w:rsidR="00882310">
        <w:rPr>
          <w:rFonts w:ascii="Times New Roman" w:hAnsi="Times New Roman" w:cs="Times New Roman"/>
          <w:sz w:val="24"/>
          <w:szCs w:val="24"/>
        </w:rPr>
        <w:t>er</w:t>
      </w:r>
      <w:r w:rsidRPr="00901F5E">
        <w:rPr>
          <w:rFonts w:ascii="Times New Roman" w:hAnsi="Times New Roman" w:cs="Times New Roman"/>
          <w:sz w:val="24"/>
          <w:szCs w:val="24"/>
        </w:rPr>
        <w:t>, pour deux raisons au moins. La première est dans le contexte global de la coopération au développement où le pays est concurrencé par d’autres foyers de crise qui drainent aussi une partie des ressources disponibles. La seconde raison est d’ancrage local et tient à l’image de plus en plus dégradée du Système auprès de la communauté locale des bailleurs de fonds.</w:t>
      </w:r>
    </w:p>
    <w:p w14:paraId="63B62549" w14:textId="77777777" w:rsidR="004D4BFB" w:rsidRPr="00901F5E" w:rsidRDefault="004D4BFB" w:rsidP="004D4BFB">
      <w:pPr>
        <w:ind w:left="708"/>
        <w:jc w:val="both"/>
        <w:rPr>
          <w:rFonts w:ascii="Times New Roman" w:hAnsi="Times New Roman" w:cs="Times New Roman"/>
          <w:b/>
          <w:sz w:val="24"/>
          <w:szCs w:val="24"/>
        </w:rPr>
      </w:pPr>
    </w:p>
    <w:p w14:paraId="5DC156B5" w14:textId="6FC1B0CA" w:rsidR="004D4BFB" w:rsidRPr="00901F5E" w:rsidRDefault="004D4BFB" w:rsidP="004D4BFB">
      <w:pPr>
        <w:ind w:left="708"/>
        <w:jc w:val="both"/>
        <w:rPr>
          <w:rFonts w:ascii="Times New Roman" w:hAnsi="Times New Roman" w:cs="Times New Roman"/>
          <w:sz w:val="24"/>
          <w:szCs w:val="24"/>
        </w:rPr>
      </w:pPr>
      <w:r w:rsidRPr="00901F5E">
        <w:rPr>
          <w:rFonts w:ascii="Times New Roman" w:hAnsi="Times New Roman" w:cs="Times New Roman"/>
          <w:b/>
          <w:sz w:val="24"/>
          <w:szCs w:val="24"/>
        </w:rPr>
        <w:t>Mitigation</w:t>
      </w:r>
      <w:r w:rsidRPr="00901F5E">
        <w:rPr>
          <w:rFonts w:ascii="Times New Roman" w:hAnsi="Times New Roman" w:cs="Times New Roman"/>
          <w:sz w:val="24"/>
          <w:szCs w:val="24"/>
        </w:rPr>
        <w:t> : (i) Valoriser la nouvelle stratégie conjointe de mobilisation de ressources, y compris en impliquant davantage la partie nationale ; (ii) combler les gaps d’efficacité ou d’efficience que les bailleurs locaux reprochent à certaines entités du Système ; (iii) améliorer les capacités d’exécution budgétaire.</w:t>
      </w:r>
    </w:p>
    <w:p w14:paraId="5D283AE3" w14:textId="77777777" w:rsidR="004D4BFB" w:rsidRPr="00901F5E" w:rsidRDefault="004D4BFB" w:rsidP="004D4BFB">
      <w:pPr>
        <w:rPr>
          <w:rFonts w:ascii="Times New Roman" w:hAnsi="Times New Roman" w:cs="Times New Roman"/>
          <w:sz w:val="24"/>
          <w:szCs w:val="24"/>
        </w:rPr>
      </w:pPr>
    </w:p>
    <w:p w14:paraId="6B680E33" w14:textId="77777777" w:rsidR="004D4BFB" w:rsidRPr="005038FA" w:rsidRDefault="004D4BFB" w:rsidP="004D4BFB">
      <w:pPr>
        <w:pStyle w:val="Paragraphedeliste"/>
        <w:numPr>
          <w:ilvl w:val="0"/>
          <w:numId w:val="46"/>
        </w:numPr>
        <w:rPr>
          <w:rFonts w:ascii="Times New Roman" w:hAnsi="Times New Roman" w:cs="Times New Roman"/>
          <w:b/>
          <w:sz w:val="24"/>
          <w:szCs w:val="24"/>
          <w:u w:val="single"/>
        </w:rPr>
      </w:pPr>
      <w:r w:rsidRPr="005038FA">
        <w:rPr>
          <w:rFonts w:ascii="Times New Roman" w:hAnsi="Times New Roman" w:cs="Times New Roman"/>
          <w:b/>
          <w:sz w:val="24"/>
          <w:szCs w:val="24"/>
          <w:u w:val="single"/>
        </w:rPr>
        <w:t>Aggravation des insuffisances dans l’appropriation nationale : Risque très élevé</w:t>
      </w:r>
    </w:p>
    <w:p w14:paraId="11F59E69" w14:textId="77777777" w:rsidR="004D4BFB" w:rsidRPr="005038FA" w:rsidRDefault="004D4BFB" w:rsidP="004D4BFB">
      <w:pPr>
        <w:ind w:left="708"/>
        <w:rPr>
          <w:rFonts w:ascii="Times New Roman" w:hAnsi="Times New Roman" w:cs="Times New Roman"/>
          <w:b/>
          <w:sz w:val="24"/>
          <w:szCs w:val="24"/>
        </w:rPr>
      </w:pPr>
    </w:p>
    <w:p w14:paraId="16CADA92" w14:textId="026AE604" w:rsidR="004D4BFB" w:rsidRPr="005038FA" w:rsidRDefault="004D4BFB" w:rsidP="004D4BFB">
      <w:pPr>
        <w:ind w:left="708"/>
        <w:jc w:val="both"/>
        <w:rPr>
          <w:rFonts w:ascii="Times New Roman" w:hAnsi="Times New Roman" w:cs="Times New Roman"/>
          <w:sz w:val="24"/>
          <w:szCs w:val="24"/>
        </w:rPr>
      </w:pPr>
      <w:r w:rsidRPr="005038FA">
        <w:rPr>
          <w:rFonts w:ascii="Times New Roman" w:hAnsi="Times New Roman" w:cs="Times New Roman"/>
          <w:b/>
          <w:sz w:val="24"/>
          <w:szCs w:val="24"/>
        </w:rPr>
        <w:t>Analyse du risque associé</w:t>
      </w:r>
      <w:r w:rsidRPr="005038FA">
        <w:rPr>
          <w:rFonts w:ascii="Times New Roman" w:hAnsi="Times New Roman" w:cs="Times New Roman"/>
          <w:sz w:val="24"/>
          <w:szCs w:val="24"/>
        </w:rPr>
        <w:t> : Pour se déployer et atteindre d’autant confortablement ses résultats escomptés, le programme a besoin d’un accompagnement politique, stratégique et opérationnel de la partie nationale. Or celui se découvre très timide sur la première moitié de vie du program</w:t>
      </w:r>
      <w:r w:rsidR="005038FA">
        <w:rPr>
          <w:rFonts w:ascii="Times New Roman" w:hAnsi="Times New Roman" w:cs="Times New Roman"/>
          <w:sz w:val="24"/>
          <w:szCs w:val="24"/>
        </w:rPr>
        <w:t>me</w:t>
      </w:r>
      <w:r w:rsidRPr="005038FA">
        <w:rPr>
          <w:rFonts w:ascii="Times New Roman" w:hAnsi="Times New Roman" w:cs="Times New Roman"/>
          <w:sz w:val="24"/>
          <w:szCs w:val="24"/>
        </w:rPr>
        <w:t>. Des segments du programme sont même bloqués parfois par des conditions préalables d’initiative nationale qui tardent à se mettre en place (exemple du retard des arrêtés d’habilitation légale des infirmiers et sages femmes qui gêne l’arrivée de la réponse au VIH dans les zones reculées non pourvues de médecins). Ce déficit d’appropriation nationale du programme a toutes les chances ne pas se résorber sur ce qui reste du cycle, d’autant que l’Etat va manquer de cadre de guidance stratégique avec l’achèvement en 2018 du cycle du CREDD. Le cycle électoral majeur sur le point de s’ouvrir, n’est pas non plus propice au raffermissement de l’emprise nationale sur le programme.</w:t>
      </w:r>
    </w:p>
    <w:p w14:paraId="7F2FBDE5" w14:textId="77777777" w:rsidR="004D4BFB" w:rsidRPr="005038FA" w:rsidRDefault="004D4BFB" w:rsidP="004D4BFB">
      <w:pPr>
        <w:ind w:left="708"/>
        <w:rPr>
          <w:rFonts w:ascii="Times New Roman" w:hAnsi="Times New Roman" w:cs="Times New Roman"/>
          <w:sz w:val="24"/>
          <w:szCs w:val="24"/>
        </w:rPr>
      </w:pPr>
    </w:p>
    <w:p w14:paraId="6594F67F" w14:textId="77777777" w:rsidR="004D4BFB" w:rsidRPr="005038FA" w:rsidRDefault="004D4BFB" w:rsidP="004D4BFB">
      <w:pPr>
        <w:ind w:left="708"/>
        <w:jc w:val="both"/>
        <w:rPr>
          <w:rFonts w:ascii="Times New Roman" w:hAnsi="Times New Roman" w:cs="Times New Roman"/>
          <w:sz w:val="24"/>
          <w:szCs w:val="24"/>
        </w:rPr>
      </w:pPr>
      <w:r w:rsidRPr="005038FA">
        <w:rPr>
          <w:rFonts w:ascii="Times New Roman" w:hAnsi="Times New Roman" w:cs="Times New Roman"/>
          <w:b/>
          <w:sz w:val="24"/>
          <w:szCs w:val="24"/>
        </w:rPr>
        <w:lastRenderedPageBreak/>
        <w:t>Mitigation </w:t>
      </w:r>
      <w:r w:rsidRPr="005038FA">
        <w:rPr>
          <w:rFonts w:ascii="Times New Roman" w:hAnsi="Times New Roman" w:cs="Times New Roman"/>
          <w:sz w:val="24"/>
          <w:szCs w:val="24"/>
        </w:rPr>
        <w:t>: (i) aider à l’opérationnalisation de la Coordination nationale du programme ; (ii) aider la finalisation rapide de la réflexion nationale sur le nouveau cadre de programmation appelé à remplacer le CREDD</w:t>
      </w:r>
    </w:p>
    <w:p w14:paraId="1EC14D2A" w14:textId="77777777" w:rsidR="004D4BFB" w:rsidRPr="005038FA" w:rsidRDefault="004D4BFB" w:rsidP="004D4BFB">
      <w:pPr>
        <w:rPr>
          <w:rFonts w:ascii="Times New Roman" w:hAnsi="Times New Roman" w:cs="Times New Roman"/>
          <w:sz w:val="24"/>
          <w:szCs w:val="24"/>
        </w:rPr>
      </w:pPr>
    </w:p>
    <w:p w14:paraId="78BA14BA" w14:textId="77777777" w:rsidR="004D4BFB" w:rsidRPr="005038FA" w:rsidRDefault="004D4BFB" w:rsidP="004D4BFB">
      <w:pPr>
        <w:pStyle w:val="Paragraphedeliste"/>
        <w:numPr>
          <w:ilvl w:val="0"/>
          <w:numId w:val="46"/>
        </w:numPr>
        <w:rPr>
          <w:rFonts w:ascii="Times New Roman" w:hAnsi="Times New Roman" w:cs="Times New Roman"/>
          <w:b/>
          <w:sz w:val="24"/>
          <w:szCs w:val="24"/>
          <w:u w:val="single"/>
        </w:rPr>
      </w:pPr>
      <w:r w:rsidRPr="005038FA">
        <w:rPr>
          <w:rFonts w:ascii="Times New Roman" w:hAnsi="Times New Roman" w:cs="Times New Roman"/>
          <w:b/>
          <w:sz w:val="24"/>
          <w:szCs w:val="24"/>
          <w:u w:val="single"/>
        </w:rPr>
        <w:t>Exacerbation des contraintes systémiques sur le programme : Risque élevé</w:t>
      </w:r>
    </w:p>
    <w:p w14:paraId="15BA26EC" w14:textId="77777777" w:rsidR="004D4BFB" w:rsidRPr="005038FA" w:rsidRDefault="004D4BFB" w:rsidP="004D4BFB">
      <w:pPr>
        <w:rPr>
          <w:rFonts w:ascii="Times New Roman" w:hAnsi="Times New Roman" w:cs="Times New Roman"/>
          <w:sz w:val="24"/>
          <w:szCs w:val="24"/>
        </w:rPr>
      </w:pPr>
    </w:p>
    <w:p w14:paraId="2173EF3F" w14:textId="230CB968" w:rsidR="004D4BFB" w:rsidRPr="005038FA" w:rsidRDefault="004D4BFB" w:rsidP="004D4BFB">
      <w:pPr>
        <w:ind w:left="708"/>
        <w:jc w:val="both"/>
        <w:rPr>
          <w:rFonts w:ascii="Times New Roman" w:hAnsi="Times New Roman" w:cs="Times New Roman"/>
          <w:sz w:val="24"/>
          <w:szCs w:val="24"/>
        </w:rPr>
      </w:pPr>
      <w:r w:rsidRPr="005038FA">
        <w:rPr>
          <w:rFonts w:ascii="Times New Roman" w:hAnsi="Times New Roman" w:cs="Times New Roman"/>
          <w:b/>
          <w:sz w:val="24"/>
          <w:szCs w:val="24"/>
        </w:rPr>
        <w:t>Analyse du risque associé</w:t>
      </w:r>
      <w:r w:rsidRPr="005038FA">
        <w:rPr>
          <w:rFonts w:ascii="Times New Roman" w:hAnsi="Times New Roman" w:cs="Times New Roman"/>
          <w:sz w:val="24"/>
          <w:szCs w:val="24"/>
        </w:rPr>
        <w:t> : Le programme reçoit aussi des inerties intrinsèques au Système. Les entités son</w:t>
      </w:r>
      <w:r w:rsidR="00EC5658">
        <w:rPr>
          <w:rFonts w:ascii="Times New Roman" w:hAnsi="Times New Roman" w:cs="Times New Roman"/>
          <w:sz w:val="24"/>
          <w:szCs w:val="24"/>
        </w:rPr>
        <w:t>t davantage tournées vers elles-</w:t>
      </w:r>
      <w:r w:rsidRPr="005038FA">
        <w:rPr>
          <w:rFonts w:ascii="Times New Roman" w:hAnsi="Times New Roman" w:cs="Times New Roman"/>
          <w:sz w:val="24"/>
          <w:szCs w:val="24"/>
        </w:rPr>
        <w:t>mêmes et leur</w:t>
      </w:r>
      <w:r w:rsidR="00EC5658">
        <w:rPr>
          <w:rFonts w:ascii="Times New Roman" w:hAnsi="Times New Roman" w:cs="Times New Roman"/>
          <w:sz w:val="24"/>
          <w:szCs w:val="24"/>
        </w:rPr>
        <w:t>s</w:t>
      </w:r>
      <w:r w:rsidRPr="005038FA">
        <w:rPr>
          <w:rFonts w:ascii="Times New Roman" w:hAnsi="Times New Roman" w:cs="Times New Roman"/>
          <w:sz w:val="24"/>
          <w:szCs w:val="24"/>
        </w:rPr>
        <w:t xml:space="preserve"> siège</w:t>
      </w:r>
      <w:r w:rsidR="00EC5658">
        <w:rPr>
          <w:rFonts w:ascii="Times New Roman" w:hAnsi="Times New Roman" w:cs="Times New Roman"/>
          <w:sz w:val="24"/>
          <w:szCs w:val="24"/>
        </w:rPr>
        <w:t>s</w:t>
      </w:r>
      <w:r w:rsidRPr="005038FA">
        <w:rPr>
          <w:rFonts w:ascii="Times New Roman" w:hAnsi="Times New Roman" w:cs="Times New Roman"/>
          <w:sz w:val="24"/>
          <w:szCs w:val="24"/>
        </w:rPr>
        <w:t xml:space="preserve"> que vers le Système et son âme locale. Leurs procédures spécifiques ne facilitent pas les mises en commun dont le programme aurait besoi</w:t>
      </w:r>
      <w:r w:rsidR="00EC5658">
        <w:rPr>
          <w:rFonts w:ascii="Times New Roman" w:hAnsi="Times New Roman" w:cs="Times New Roman"/>
          <w:sz w:val="24"/>
          <w:szCs w:val="24"/>
        </w:rPr>
        <w:t>n pour être plus efficace</w:t>
      </w:r>
      <w:r w:rsidRPr="005038FA">
        <w:rPr>
          <w:rFonts w:ascii="Times New Roman" w:hAnsi="Times New Roman" w:cs="Times New Roman"/>
          <w:sz w:val="24"/>
          <w:szCs w:val="24"/>
        </w:rPr>
        <w:t>. Les ressources et la compétition qu’on y pratique sont un autre facteur de gêne de l’esprit du programme. Les différences ma</w:t>
      </w:r>
      <w:r w:rsidR="00EC5658">
        <w:rPr>
          <w:rFonts w:ascii="Times New Roman" w:hAnsi="Times New Roman" w:cs="Times New Roman"/>
          <w:sz w:val="24"/>
          <w:szCs w:val="24"/>
        </w:rPr>
        <w:t>rquées d’identité et de culture</w:t>
      </w:r>
      <w:r w:rsidRPr="005038FA">
        <w:rPr>
          <w:rFonts w:ascii="Times New Roman" w:hAnsi="Times New Roman" w:cs="Times New Roman"/>
          <w:sz w:val="24"/>
          <w:szCs w:val="24"/>
        </w:rPr>
        <w:t xml:space="preserve"> entre la Missions e</w:t>
      </w:r>
      <w:r w:rsidR="00EC5658">
        <w:rPr>
          <w:rFonts w:ascii="Times New Roman" w:hAnsi="Times New Roman" w:cs="Times New Roman"/>
          <w:sz w:val="24"/>
          <w:szCs w:val="24"/>
        </w:rPr>
        <w:t>t les autres entités du Système</w:t>
      </w:r>
      <w:r w:rsidRPr="005038FA">
        <w:rPr>
          <w:rFonts w:ascii="Times New Roman" w:hAnsi="Times New Roman" w:cs="Times New Roman"/>
          <w:sz w:val="24"/>
          <w:szCs w:val="24"/>
        </w:rPr>
        <w:t xml:space="preserve"> sont aussi un facteur d’inertie important. Ces contraintes à l’efficience du programme ne vont pas cesser soudainement dans la seconde moitié du cycle ; au contraire l’aggravation de la crise pourrait même contribuer à les exacerber.</w:t>
      </w:r>
    </w:p>
    <w:p w14:paraId="77AE109C" w14:textId="77777777" w:rsidR="004D4BFB" w:rsidRPr="005038FA" w:rsidRDefault="004D4BFB" w:rsidP="004D4BFB">
      <w:pPr>
        <w:ind w:left="708"/>
        <w:rPr>
          <w:rFonts w:ascii="Times New Roman" w:hAnsi="Times New Roman" w:cs="Times New Roman"/>
          <w:b/>
          <w:sz w:val="24"/>
          <w:szCs w:val="24"/>
        </w:rPr>
      </w:pPr>
    </w:p>
    <w:p w14:paraId="6BC030DF" w14:textId="1A08A8F3" w:rsidR="004D4BFB" w:rsidRPr="00944EE4" w:rsidRDefault="004D4BFB" w:rsidP="004D4BFB">
      <w:pPr>
        <w:ind w:left="708"/>
        <w:jc w:val="both"/>
        <w:rPr>
          <w:rFonts w:ascii="Times New Roman" w:hAnsi="Times New Roman" w:cs="Times New Roman"/>
          <w:sz w:val="24"/>
          <w:szCs w:val="24"/>
        </w:rPr>
      </w:pPr>
      <w:r w:rsidRPr="005038FA">
        <w:rPr>
          <w:rFonts w:ascii="Times New Roman" w:hAnsi="Times New Roman" w:cs="Times New Roman"/>
          <w:b/>
          <w:sz w:val="24"/>
          <w:szCs w:val="24"/>
        </w:rPr>
        <w:t>Mitigation</w:t>
      </w:r>
      <w:r w:rsidRPr="005038FA">
        <w:rPr>
          <w:rFonts w:ascii="Times New Roman" w:hAnsi="Times New Roman" w:cs="Times New Roman"/>
          <w:sz w:val="24"/>
          <w:szCs w:val="24"/>
        </w:rPr>
        <w:t> </w:t>
      </w:r>
      <w:r w:rsidR="00EC5658">
        <w:rPr>
          <w:rFonts w:ascii="Times New Roman" w:hAnsi="Times New Roman" w:cs="Times New Roman"/>
          <w:sz w:val="24"/>
          <w:szCs w:val="24"/>
        </w:rPr>
        <w:t>: (i) renforcer la Coordination</w:t>
      </w:r>
      <w:r w:rsidRPr="005038FA">
        <w:rPr>
          <w:rFonts w:ascii="Times New Roman" w:hAnsi="Times New Roman" w:cs="Times New Roman"/>
          <w:sz w:val="24"/>
          <w:szCs w:val="24"/>
        </w:rPr>
        <w:t xml:space="preserve"> en s’appuyant notamment sur la réforme portée par le nouveau Secrétaire Général si elle venait à se mettre en place dans cette seconde moitié de vie programme ; (ii) Renforcer la Coordination nationale qui peut et doit être la force d’entraînement pour toutes </w:t>
      </w:r>
      <w:r w:rsidR="00EC5658">
        <w:rPr>
          <w:rFonts w:ascii="Times New Roman" w:hAnsi="Times New Roman" w:cs="Times New Roman"/>
          <w:sz w:val="24"/>
          <w:szCs w:val="24"/>
        </w:rPr>
        <w:t xml:space="preserve">les </w:t>
      </w:r>
      <w:r w:rsidRPr="005038FA">
        <w:rPr>
          <w:rFonts w:ascii="Times New Roman" w:hAnsi="Times New Roman" w:cs="Times New Roman"/>
          <w:sz w:val="24"/>
          <w:szCs w:val="24"/>
        </w:rPr>
        <w:t>entités agissant dans le pays.</w:t>
      </w:r>
    </w:p>
    <w:p w14:paraId="471FD31F" w14:textId="77777777" w:rsidR="003A39AD" w:rsidRPr="00944EE4" w:rsidRDefault="00880F37">
      <w:pPr>
        <w:rPr>
          <w:rFonts w:ascii="Times New Roman" w:hAnsi="Times New Roman" w:cs="Times New Roman"/>
          <w:sz w:val="24"/>
          <w:szCs w:val="24"/>
        </w:rPr>
        <w:sectPr w:rsidR="003A39AD" w:rsidRPr="00944EE4" w:rsidSect="00E86D91">
          <w:footerReference w:type="default" r:id="rId15"/>
          <w:footerReference w:type="first" r:id="rId16"/>
          <w:pgSz w:w="12240" w:h="15840" w:code="1"/>
          <w:pgMar w:top="1151" w:right="1298" w:bottom="902" w:left="1298" w:header="567" w:footer="335" w:gutter="0"/>
          <w:cols w:space="708"/>
          <w:titlePg/>
          <w:docGrid w:linePitch="360"/>
        </w:sectPr>
      </w:pPr>
      <w:r w:rsidRPr="00944EE4">
        <w:rPr>
          <w:rFonts w:ascii="Times New Roman" w:hAnsi="Times New Roman" w:cs="Times New Roman"/>
          <w:sz w:val="24"/>
          <w:szCs w:val="24"/>
        </w:rPr>
        <w:br w:type="page"/>
      </w:r>
    </w:p>
    <w:p w14:paraId="4E0679BC" w14:textId="77777777" w:rsidR="007C6BB8" w:rsidRPr="00944EE4" w:rsidRDefault="00880F37" w:rsidP="00AA53AB">
      <w:pPr>
        <w:pStyle w:val="Titre1"/>
        <w:rPr>
          <w:rFonts w:ascii="Times New Roman" w:hAnsi="Times New Roman" w:cs="Times New Roman"/>
          <w:sz w:val="24"/>
          <w:szCs w:val="24"/>
        </w:rPr>
      </w:pPr>
      <w:bookmarkStart w:id="18" w:name="_Toc509228617"/>
      <w:r w:rsidRPr="00944EE4">
        <w:rPr>
          <w:rFonts w:ascii="Times New Roman" w:hAnsi="Times New Roman" w:cs="Times New Roman"/>
          <w:sz w:val="24"/>
          <w:szCs w:val="24"/>
        </w:rPr>
        <w:lastRenderedPageBreak/>
        <w:t>ANNEXES</w:t>
      </w:r>
      <w:bookmarkEnd w:id="18"/>
    </w:p>
    <w:p w14:paraId="69790FAA" w14:textId="77777777" w:rsidR="00B06567" w:rsidRPr="00944EE4" w:rsidRDefault="00B06567">
      <w:pPr>
        <w:rPr>
          <w:rFonts w:ascii="Times New Roman" w:hAnsi="Times New Roman" w:cs="Times New Roman"/>
          <w:sz w:val="24"/>
          <w:szCs w:val="24"/>
        </w:rPr>
      </w:pPr>
    </w:p>
    <w:p w14:paraId="429600EB" w14:textId="77777777" w:rsidR="003A39AD" w:rsidRPr="00944EE4" w:rsidRDefault="003A39AD">
      <w:pPr>
        <w:rPr>
          <w:rFonts w:ascii="Times New Roman" w:hAnsi="Times New Roman" w:cs="Times New Roman"/>
          <w:sz w:val="24"/>
          <w:szCs w:val="24"/>
        </w:rPr>
      </w:pPr>
    </w:p>
    <w:p w14:paraId="19314015" w14:textId="30E4D612" w:rsidR="0031451C" w:rsidRPr="00944EE4" w:rsidRDefault="00880F37" w:rsidP="000D72AF">
      <w:pPr>
        <w:rPr>
          <w:rFonts w:ascii="Times New Roman" w:eastAsia="MS Mincho" w:hAnsi="Times New Roman" w:cs="Times New Roman"/>
          <w:b/>
          <w:color w:val="1F497D" w:themeColor="text2"/>
          <w:sz w:val="24"/>
          <w:szCs w:val="24"/>
        </w:rPr>
      </w:pPr>
      <w:r w:rsidRPr="00944EE4">
        <w:rPr>
          <w:rFonts w:ascii="Times New Roman" w:eastAsia="MS Mincho" w:hAnsi="Times New Roman" w:cs="Times New Roman"/>
          <w:b/>
          <w:color w:val="1F497D" w:themeColor="text2"/>
          <w:sz w:val="24"/>
          <w:szCs w:val="24"/>
        </w:rPr>
        <w:t>Plan Intégré de Recherche, Suivi et Evaluation (IMEP)</w:t>
      </w:r>
    </w:p>
    <w:p w14:paraId="117426E5" w14:textId="77777777" w:rsidR="0031451C" w:rsidRPr="00944EE4" w:rsidRDefault="0031451C" w:rsidP="0031451C">
      <w:pPr>
        <w:rPr>
          <w:rFonts w:ascii="Times New Roman" w:eastAsia="MS Mincho" w:hAnsi="Times New Roman" w:cs="Times New Roman"/>
          <w:sz w:val="24"/>
          <w:szCs w:val="24"/>
        </w:rPr>
      </w:pPr>
    </w:p>
    <w:tbl>
      <w:tblPr>
        <w:tblStyle w:val="Grilledutableau1"/>
        <w:tblW w:w="14742" w:type="dxa"/>
        <w:tblInd w:w="108" w:type="dxa"/>
        <w:tblLayout w:type="fixed"/>
        <w:tblLook w:val="04A0" w:firstRow="1" w:lastRow="0" w:firstColumn="1" w:lastColumn="0" w:noHBand="0" w:noVBand="1"/>
      </w:tblPr>
      <w:tblGrid>
        <w:gridCol w:w="2160"/>
        <w:gridCol w:w="2376"/>
        <w:gridCol w:w="2978"/>
        <w:gridCol w:w="2409"/>
        <w:gridCol w:w="3104"/>
        <w:gridCol w:w="1715"/>
      </w:tblGrid>
      <w:tr w:rsidR="0031451C" w:rsidRPr="00944EE4" w14:paraId="6FF9DB78" w14:textId="77777777" w:rsidTr="00EC5658">
        <w:trPr>
          <w:trHeight w:val="555"/>
          <w:tblHeader/>
        </w:trPr>
        <w:tc>
          <w:tcPr>
            <w:tcW w:w="2160" w:type="dxa"/>
            <w:shd w:val="clear" w:color="auto" w:fill="24D8FF"/>
            <w:vAlign w:val="center"/>
          </w:tcPr>
          <w:p w14:paraId="3004DAB0" w14:textId="77777777" w:rsidR="0031451C" w:rsidRPr="00944EE4" w:rsidRDefault="0031451C" w:rsidP="0060555A">
            <w:pPr>
              <w:jc w:val="center"/>
              <w:rPr>
                <w:rFonts w:ascii="Times New Roman" w:hAnsi="Times New Roman" w:cs="Times New Roman"/>
                <w:b/>
                <w:lang w:val="fr-FR"/>
              </w:rPr>
            </w:pPr>
          </w:p>
        </w:tc>
        <w:tc>
          <w:tcPr>
            <w:tcW w:w="2376" w:type="dxa"/>
            <w:shd w:val="clear" w:color="auto" w:fill="24D8FF"/>
            <w:vAlign w:val="center"/>
          </w:tcPr>
          <w:p w14:paraId="45464DF4" w14:textId="77777777" w:rsidR="0031451C" w:rsidRPr="00944EE4" w:rsidRDefault="00880F37" w:rsidP="0060555A">
            <w:pPr>
              <w:jc w:val="center"/>
              <w:rPr>
                <w:rFonts w:ascii="Times New Roman" w:hAnsi="Times New Roman" w:cs="Times New Roman"/>
                <w:b/>
                <w:lang w:val="fr-FR"/>
              </w:rPr>
            </w:pPr>
            <w:r w:rsidRPr="00944EE4">
              <w:rPr>
                <w:rFonts w:ascii="Times New Roman" w:hAnsi="Times New Roman" w:cs="Times New Roman"/>
                <w:b/>
              </w:rPr>
              <w:t>2015</w:t>
            </w:r>
          </w:p>
        </w:tc>
        <w:tc>
          <w:tcPr>
            <w:tcW w:w="2978" w:type="dxa"/>
            <w:shd w:val="clear" w:color="auto" w:fill="24D8FF"/>
            <w:vAlign w:val="center"/>
          </w:tcPr>
          <w:p w14:paraId="35297670" w14:textId="77777777" w:rsidR="0031451C" w:rsidRPr="00944EE4" w:rsidRDefault="00880F37" w:rsidP="0060555A">
            <w:pPr>
              <w:jc w:val="center"/>
              <w:rPr>
                <w:rFonts w:ascii="Times New Roman" w:hAnsi="Times New Roman" w:cs="Times New Roman"/>
                <w:b/>
                <w:lang w:val="fr-FR"/>
              </w:rPr>
            </w:pPr>
            <w:r w:rsidRPr="00944EE4">
              <w:rPr>
                <w:rFonts w:ascii="Times New Roman" w:hAnsi="Times New Roman" w:cs="Times New Roman"/>
                <w:b/>
              </w:rPr>
              <w:t>2016</w:t>
            </w:r>
          </w:p>
        </w:tc>
        <w:tc>
          <w:tcPr>
            <w:tcW w:w="2409" w:type="dxa"/>
            <w:shd w:val="clear" w:color="auto" w:fill="24D8FF"/>
            <w:vAlign w:val="center"/>
          </w:tcPr>
          <w:p w14:paraId="12B176A4" w14:textId="77777777" w:rsidR="0031451C" w:rsidRPr="00944EE4" w:rsidRDefault="00880F37" w:rsidP="0060555A">
            <w:pPr>
              <w:jc w:val="center"/>
              <w:rPr>
                <w:rFonts w:ascii="Times New Roman" w:hAnsi="Times New Roman" w:cs="Times New Roman"/>
                <w:b/>
                <w:lang w:val="fr-FR"/>
              </w:rPr>
            </w:pPr>
            <w:r w:rsidRPr="00944EE4">
              <w:rPr>
                <w:rFonts w:ascii="Times New Roman" w:hAnsi="Times New Roman" w:cs="Times New Roman"/>
                <w:b/>
              </w:rPr>
              <w:t>2017</w:t>
            </w:r>
          </w:p>
        </w:tc>
        <w:tc>
          <w:tcPr>
            <w:tcW w:w="3104" w:type="dxa"/>
            <w:shd w:val="clear" w:color="auto" w:fill="24D8FF"/>
            <w:vAlign w:val="center"/>
          </w:tcPr>
          <w:p w14:paraId="3D211DC9" w14:textId="77777777" w:rsidR="0031451C" w:rsidRPr="00944EE4" w:rsidRDefault="00880F37" w:rsidP="0060555A">
            <w:pPr>
              <w:jc w:val="center"/>
              <w:rPr>
                <w:rFonts w:ascii="Times New Roman" w:hAnsi="Times New Roman" w:cs="Times New Roman"/>
                <w:b/>
                <w:lang w:val="fr-FR"/>
              </w:rPr>
            </w:pPr>
            <w:r w:rsidRPr="00944EE4">
              <w:rPr>
                <w:rFonts w:ascii="Times New Roman" w:hAnsi="Times New Roman" w:cs="Times New Roman"/>
                <w:b/>
              </w:rPr>
              <w:t>2018</w:t>
            </w:r>
          </w:p>
        </w:tc>
        <w:tc>
          <w:tcPr>
            <w:tcW w:w="1715" w:type="dxa"/>
            <w:shd w:val="clear" w:color="auto" w:fill="24D8FF"/>
            <w:vAlign w:val="center"/>
          </w:tcPr>
          <w:p w14:paraId="3A80884E" w14:textId="77777777" w:rsidR="0031451C" w:rsidRPr="00944EE4" w:rsidRDefault="00880F37" w:rsidP="0060555A">
            <w:pPr>
              <w:jc w:val="center"/>
              <w:rPr>
                <w:rFonts w:ascii="Times New Roman" w:hAnsi="Times New Roman" w:cs="Times New Roman"/>
                <w:b/>
                <w:lang w:val="fr-FR"/>
              </w:rPr>
            </w:pPr>
            <w:r w:rsidRPr="00944EE4">
              <w:rPr>
                <w:rFonts w:ascii="Times New Roman" w:hAnsi="Times New Roman" w:cs="Times New Roman"/>
                <w:b/>
              </w:rPr>
              <w:t>2019</w:t>
            </w:r>
          </w:p>
        </w:tc>
      </w:tr>
      <w:tr w:rsidR="0031451C" w:rsidRPr="00944EE4" w14:paraId="2DF8FF91" w14:textId="77777777" w:rsidTr="00EC5658">
        <w:trPr>
          <w:tblHeader/>
        </w:trPr>
        <w:tc>
          <w:tcPr>
            <w:tcW w:w="2160" w:type="dxa"/>
            <w:tcBorders>
              <w:bottom w:val="single" w:sz="4" w:space="0" w:color="auto"/>
            </w:tcBorders>
          </w:tcPr>
          <w:p w14:paraId="5F658134" w14:textId="77777777" w:rsidR="0031451C" w:rsidRPr="00944EE4" w:rsidRDefault="00880F37" w:rsidP="00E6799B">
            <w:pPr>
              <w:jc w:val="center"/>
              <w:rPr>
                <w:rFonts w:ascii="Times New Roman" w:hAnsi="Times New Roman" w:cs="Times New Roman"/>
                <w:b/>
                <w:lang w:val="fr-FR"/>
              </w:rPr>
            </w:pPr>
            <w:r w:rsidRPr="00944EE4">
              <w:rPr>
                <w:rFonts w:ascii="Times New Roman" w:hAnsi="Times New Roman" w:cs="Times New Roman"/>
                <w:b/>
              </w:rPr>
              <w:t>Evènements clés</w:t>
            </w:r>
          </w:p>
          <w:p w14:paraId="541A9669" w14:textId="77777777" w:rsidR="0031451C" w:rsidRPr="00944EE4" w:rsidRDefault="0031451C" w:rsidP="00E6799B">
            <w:pPr>
              <w:jc w:val="center"/>
              <w:rPr>
                <w:rFonts w:ascii="Times New Roman" w:hAnsi="Times New Roman" w:cs="Times New Roman"/>
                <w:b/>
                <w:lang w:val="fr-FR"/>
              </w:rPr>
            </w:pPr>
          </w:p>
        </w:tc>
        <w:tc>
          <w:tcPr>
            <w:tcW w:w="2376" w:type="dxa"/>
            <w:tcBorders>
              <w:bottom w:val="single" w:sz="4" w:space="0" w:color="auto"/>
            </w:tcBorders>
          </w:tcPr>
          <w:p w14:paraId="1B0910EA" w14:textId="77777777" w:rsidR="0031451C" w:rsidRPr="00944EE4" w:rsidRDefault="00880F37" w:rsidP="00E6799B">
            <w:pPr>
              <w:jc w:val="center"/>
              <w:rPr>
                <w:rFonts w:ascii="Times New Roman" w:hAnsi="Times New Roman" w:cs="Times New Roman"/>
                <w:b/>
                <w:lang w:val="fr-FR"/>
              </w:rPr>
            </w:pPr>
            <w:r w:rsidRPr="00944EE4">
              <w:rPr>
                <w:rFonts w:ascii="Times New Roman" w:hAnsi="Times New Roman" w:cs="Times New Roman"/>
                <w:b/>
              </w:rPr>
              <w:t>Revue annuelle</w:t>
            </w:r>
          </w:p>
          <w:p w14:paraId="45DAA185" w14:textId="77777777" w:rsidR="0031451C" w:rsidRPr="00944EE4" w:rsidRDefault="0031451C" w:rsidP="00E6799B">
            <w:pPr>
              <w:jc w:val="center"/>
              <w:rPr>
                <w:rFonts w:ascii="Times New Roman" w:hAnsi="Times New Roman" w:cs="Times New Roman"/>
                <w:b/>
                <w:lang w:val="fr-FR"/>
              </w:rPr>
            </w:pPr>
          </w:p>
        </w:tc>
        <w:tc>
          <w:tcPr>
            <w:tcW w:w="2978" w:type="dxa"/>
            <w:tcBorders>
              <w:bottom w:val="single" w:sz="4" w:space="0" w:color="auto"/>
            </w:tcBorders>
          </w:tcPr>
          <w:p w14:paraId="6F735437" w14:textId="77777777" w:rsidR="0031451C" w:rsidRPr="00944EE4" w:rsidRDefault="00880F37" w:rsidP="00E6799B">
            <w:pPr>
              <w:jc w:val="center"/>
              <w:rPr>
                <w:rFonts w:ascii="Times New Roman" w:hAnsi="Times New Roman" w:cs="Times New Roman"/>
                <w:b/>
                <w:lang w:val="fr-FR"/>
              </w:rPr>
            </w:pPr>
            <w:r w:rsidRPr="00944EE4">
              <w:rPr>
                <w:rFonts w:ascii="Times New Roman" w:hAnsi="Times New Roman" w:cs="Times New Roman"/>
                <w:b/>
              </w:rPr>
              <w:t>Revue annuelle</w:t>
            </w:r>
          </w:p>
          <w:p w14:paraId="3672A736" w14:textId="77777777" w:rsidR="0031451C" w:rsidRPr="00944EE4" w:rsidRDefault="0031451C" w:rsidP="00E6799B">
            <w:pPr>
              <w:jc w:val="center"/>
              <w:rPr>
                <w:rFonts w:ascii="Times New Roman" w:hAnsi="Times New Roman" w:cs="Times New Roman"/>
                <w:b/>
                <w:lang w:val="fr-FR"/>
              </w:rPr>
            </w:pPr>
          </w:p>
        </w:tc>
        <w:tc>
          <w:tcPr>
            <w:tcW w:w="2409" w:type="dxa"/>
            <w:tcBorders>
              <w:bottom w:val="single" w:sz="4" w:space="0" w:color="auto"/>
            </w:tcBorders>
          </w:tcPr>
          <w:p w14:paraId="67858560" w14:textId="77777777" w:rsidR="0031451C" w:rsidRPr="00944EE4" w:rsidRDefault="00880F37" w:rsidP="00E6799B">
            <w:pPr>
              <w:jc w:val="center"/>
              <w:rPr>
                <w:rFonts w:ascii="Times New Roman" w:hAnsi="Times New Roman" w:cs="Times New Roman"/>
                <w:b/>
                <w:lang w:val="fr-FR"/>
              </w:rPr>
            </w:pPr>
            <w:r w:rsidRPr="00944EE4">
              <w:rPr>
                <w:rFonts w:ascii="Times New Roman" w:hAnsi="Times New Roman" w:cs="Times New Roman"/>
                <w:b/>
                <w:lang w:val="fr-FR"/>
              </w:rPr>
              <w:t>Revue mi-parcours (MTR) (Tr3)</w:t>
            </w:r>
          </w:p>
        </w:tc>
        <w:tc>
          <w:tcPr>
            <w:tcW w:w="3104" w:type="dxa"/>
            <w:tcBorders>
              <w:bottom w:val="single" w:sz="4" w:space="0" w:color="auto"/>
            </w:tcBorders>
          </w:tcPr>
          <w:p w14:paraId="085AAE03" w14:textId="77777777" w:rsidR="0031451C" w:rsidRPr="00944EE4" w:rsidRDefault="00880F37" w:rsidP="00E6799B">
            <w:pPr>
              <w:jc w:val="center"/>
              <w:rPr>
                <w:rFonts w:ascii="Times New Roman" w:hAnsi="Times New Roman" w:cs="Times New Roman"/>
                <w:b/>
                <w:lang w:val="fr-FR"/>
              </w:rPr>
            </w:pPr>
            <w:r w:rsidRPr="00944EE4">
              <w:rPr>
                <w:rFonts w:ascii="Times New Roman" w:hAnsi="Times New Roman" w:cs="Times New Roman"/>
                <w:b/>
              </w:rPr>
              <w:t>Revue fin de cycle</w:t>
            </w:r>
          </w:p>
          <w:p w14:paraId="19D25F6A" w14:textId="77777777" w:rsidR="0031451C" w:rsidRPr="00944EE4" w:rsidRDefault="0031451C" w:rsidP="00E6799B">
            <w:pPr>
              <w:jc w:val="center"/>
              <w:rPr>
                <w:rFonts w:ascii="Times New Roman" w:hAnsi="Times New Roman" w:cs="Times New Roman"/>
                <w:b/>
                <w:lang w:val="fr-FR"/>
              </w:rPr>
            </w:pPr>
          </w:p>
        </w:tc>
        <w:tc>
          <w:tcPr>
            <w:tcW w:w="1715" w:type="dxa"/>
            <w:tcBorders>
              <w:bottom w:val="single" w:sz="4" w:space="0" w:color="auto"/>
            </w:tcBorders>
          </w:tcPr>
          <w:p w14:paraId="36A3336F" w14:textId="77777777" w:rsidR="0031451C" w:rsidRPr="00944EE4" w:rsidRDefault="00880F37" w:rsidP="00986326">
            <w:pPr>
              <w:jc w:val="center"/>
              <w:rPr>
                <w:rFonts w:ascii="Times New Roman" w:hAnsi="Times New Roman" w:cs="Times New Roman"/>
                <w:b/>
                <w:lang w:val="fr-FR"/>
              </w:rPr>
            </w:pPr>
            <w:r w:rsidRPr="00944EE4">
              <w:rPr>
                <w:rFonts w:ascii="Times New Roman" w:hAnsi="Times New Roman" w:cs="Times New Roman"/>
                <w:b/>
              </w:rPr>
              <w:t>Revue annuelle</w:t>
            </w:r>
          </w:p>
        </w:tc>
      </w:tr>
      <w:tr w:rsidR="0031451C" w:rsidRPr="00944EE4" w14:paraId="152A8732" w14:textId="77777777" w:rsidTr="00EC5658">
        <w:trPr>
          <w:trHeight w:val="1787"/>
        </w:trPr>
        <w:tc>
          <w:tcPr>
            <w:tcW w:w="2160" w:type="dxa"/>
            <w:shd w:val="clear" w:color="auto" w:fill="99CCFF"/>
          </w:tcPr>
          <w:p w14:paraId="44713A23" w14:textId="77777777" w:rsidR="0031451C" w:rsidRPr="00944EE4" w:rsidRDefault="00880F37" w:rsidP="007041DA">
            <w:pPr>
              <w:rPr>
                <w:rFonts w:ascii="Times New Roman" w:hAnsi="Times New Roman" w:cs="Times New Roman"/>
                <w:b/>
                <w:lang w:val="fr-FR"/>
              </w:rPr>
            </w:pPr>
            <w:r w:rsidRPr="00944EE4">
              <w:rPr>
                <w:rFonts w:ascii="Times New Roman" w:hAnsi="Times New Roman" w:cs="Times New Roman"/>
                <w:b/>
              </w:rPr>
              <w:t>Evaluations</w:t>
            </w:r>
          </w:p>
        </w:tc>
        <w:tc>
          <w:tcPr>
            <w:tcW w:w="2376" w:type="dxa"/>
            <w:shd w:val="clear" w:color="auto" w:fill="99CCFF"/>
          </w:tcPr>
          <w:p w14:paraId="46D03019" w14:textId="77777777" w:rsidR="0031451C" w:rsidRPr="00944EE4" w:rsidRDefault="0031451C" w:rsidP="007041DA">
            <w:pPr>
              <w:rPr>
                <w:rFonts w:ascii="Times New Roman" w:hAnsi="Times New Roman" w:cs="Times New Roman"/>
                <w:lang w:val="fr-FR"/>
              </w:rPr>
            </w:pPr>
          </w:p>
        </w:tc>
        <w:tc>
          <w:tcPr>
            <w:tcW w:w="2978" w:type="dxa"/>
            <w:shd w:val="clear" w:color="auto" w:fill="99CCFF"/>
          </w:tcPr>
          <w:p w14:paraId="08962F62" w14:textId="77777777" w:rsidR="0031451C" w:rsidRPr="00944EE4" w:rsidRDefault="0031451C" w:rsidP="007041DA">
            <w:pPr>
              <w:rPr>
                <w:rFonts w:ascii="Times New Roman" w:hAnsi="Times New Roman" w:cs="Times New Roman"/>
                <w:lang w:val="fr-FR"/>
              </w:rPr>
            </w:pPr>
          </w:p>
          <w:p w14:paraId="04A46FF0" w14:textId="77777777" w:rsidR="0031451C" w:rsidRPr="00944EE4" w:rsidRDefault="00880F37" w:rsidP="007041DA">
            <w:pPr>
              <w:rPr>
                <w:rFonts w:ascii="Times New Roman" w:hAnsi="Times New Roman" w:cs="Times New Roman"/>
                <w:lang w:val="fr-FR"/>
              </w:rPr>
            </w:pPr>
            <w:r w:rsidRPr="00944EE4">
              <w:rPr>
                <w:rFonts w:ascii="Times New Roman" w:hAnsi="Times New Roman" w:cs="Times New Roman"/>
                <w:lang w:val="fr-FR"/>
              </w:rPr>
              <w:t>Evaluation conjointe des Projets PBF pour la consolidation de la paix (Tr. 2)</w:t>
            </w:r>
          </w:p>
        </w:tc>
        <w:tc>
          <w:tcPr>
            <w:tcW w:w="2409" w:type="dxa"/>
            <w:shd w:val="clear" w:color="auto" w:fill="99CCFF"/>
          </w:tcPr>
          <w:p w14:paraId="136AB7BC" w14:textId="77777777" w:rsidR="00EC5658" w:rsidRPr="00944EE4" w:rsidRDefault="00EC5658" w:rsidP="00EC5658">
            <w:pPr>
              <w:rPr>
                <w:rFonts w:ascii="Times New Roman" w:hAnsi="Times New Roman" w:cs="Times New Roman"/>
                <w:lang w:val="fr-FR"/>
              </w:rPr>
            </w:pPr>
            <w:r>
              <w:rPr>
                <w:rFonts w:ascii="Times New Roman" w:hAnsi="Times New Roman" w:cs="Times New Roman"/>
                <w:lang w:val="fr-FR"/>
              </w:rPr>
              <w:t>Evaluation UNDAF 1 </w:t>
            </w:r>
            <w:r w:rsidRPr="00944EE4">
              <w:rPr>
                <w:rFonts w:ascii="Times New Roman" w:hAnsi="Times New Roman" w:cs="Times New Roman"/>
                <w:i/>
                <w:lang w:val="fr-FR"/>
              </w:rPr>
              <w:t>“Evaluation de l’adhérence de l’UNDAF+ aux principes d’intégration et son impact sur la qualité, la pertinence et l’efficacité de la collaboration Mali-Nations Unies</w:t>
            </w:r>
            <w:r w:rsidRPr="00944EE4">
              <w:rPr>
                <w:rFonts w:ascii="Times New Roman" w:hAnsi="Times New Roman" w:cs="Times New Roman"/>
                <w:lang w:val="fr-FR"/>
              </w:rPr>
              <w:t xml:space="preserve">”. </w:t>
            </w:r>
          </w:p>
          <w:p w14:paraId="001773A7" w14:textId="111CED56" w:rsidR="00EC5658" w:rsidRPr="00944EE4" w:rsidRDefault="00EC5658" w:rsidP="00EC5658">
            <w:pPr>
              <w:rPr>
                <w:rFonts w:ascii="Times New Roman" w:hAnsi="Times New Roman" w:cs="Times New Roman"/>
                <w:lang w:val="fr-FR"/>
              </w:rPr>
            </w:pPr>
            <w:r w:rsidRPr="00944EE4">
              <w:rPr>
                <w:rFonts w:ascii="Times New Roman" w:hAnsi="Times New Roman" w:cs="Times New Roman"/>
                <w:lang w:val="fr-FR"/>
              </w:rPr>
              <w:t>(</w:t>
            </w:r>
            <w:r>
              <w:rPr>
                <w:rFonts w:ascii="Times New Roman" w:hAnsi="Times New Roman" w:cs="Times New Roman"/>
                <w:lang w:val="fr-FR"/>
              </w:rPr>
              <w:t>Tr3</w:t>
            </w:r>
            <w:r w:rsidRPr="00944EE4">
              <w:rPr>
                <w:rFonts w:ascii="Times New Roman" w:hAnsi="Times New Roman" w:cs="Times New Roman"/>
                <w:lang w:val="fr-FR"/>
              </w:rPr>
              <w:t xml:space="preserve"> 2017)</w:t>
            </w:r>
          </w:p>
          <w:p w14:paraId="3366F98B" w14:textId="77777777" w:rsidR="0031451C" w:rsidRPr="00944EE4" w:rsidRDefault="0031451C" w:rsidP="007041DA">
            <w:pPr>
              <w:rPr>
                <w:rFonts w:ascii="Times New Roman" w:hAnsi="Times New Roman" w:cs="Times New Roman"/>
                <w:lang w:val="fr-FR"/>
              </w:rPr>
            </w:pPr>
          </w:p>
        </w:tc>
        <w:tc>
          <w:tcPr>
            <w:tcW w:w="3104" w:type="dxa"/>
            <w:shd w:val="clear" w:color="auto" w:fill="99CCFF"/>
          </w:tcPr>
          <w:p w14:paraId="10801B8C" w14:textId="77777777" w:rsidR="0031451C" w:rsidRPr="00944EE4" w:rsidRDefault="00880F37" w:rsidP="007041DA">
            <w:pPr>
              <w:rPr>
                <w:rFonts w:ascii="Times New Roman" w:hAnsi="Times New Roman" w:cs="Times New Roman"/>
                <w:lang w:val="fr-FR"/>
              </w:rPr>
            </w:pPr>
            <w:r w:rsidRPr="00944EE4">
              <w:rPr>
                <w:rFonts w:ascii="Times New Roman" w:hAnsi="Times New Roman" w:cs="Times New Roman"/>
                <w:lang w:val="fr-FR"/>
              </w:rPr>
              <w:t xml:space="preserve">Evaluation UNDAF 2 : </w:t>
            </w:r>
            <w:r w:rsidRPr="00944EE4">
              <w:rPr>
                <w:rFonts w:ascii="Times New Roman" w:hAnsi="Times New Roman" w:cs="Times New Roman"/>
                <w:i/>
                <w:lang w:val="fr-FR"/>
              </w:rPr>
              <w:t>“Evaluation de l’impact de l’UNDAF+ sur le renforcement des capacités institutionnelles, systémiques et des ressources humaines pour la restauration et la consolidation de la paix la sécurité, la bonne gouvernance, les services sociaux de base, et l’économie inclusive.”</w:t>
            </w:r>
          </w:p>
          <w:p w14:paraId="1DAD795E" w14:textId="77777777" w:rsidR="0031451C" w:rsidRPr="00944EE4" w:rsidRDefault="00880F37" w:rsidP="007041DA">
            <w:pPr>
              <w:rPr>
                <w:rFonts w:ascii="Times New Roman" w:hAnsi="Times New Roman" w:cs="Times New Roman"/>
                <w:lang w:val="fr-FR"/>
              </w:rPr>
            </w:pPr>
            <w:r w:rsidRPr="00944EE4">
              <w:rPr>
                <w:rFonts w:ascii="Times New Roman" w:hAnsi="Times New Roman" w:cs="Times New Roman"/>
                <w:lang w:val="fr-FR"/>
              </w:rPr>
              <w:t xml:space="preserve"> </w:t>
            </w:r>
            <w:r w:rsidRPr="00944EE4">
              <w:rPr>
                <w:rFonts w:ascii="Times New Roman" w:hAnsi="Times New Roman" w:cs="Times New Roman"/>
              </w:rPr>
              <w:t>(Tr1/Tr2)</w:t>
            </w:r>
          </w:p>
        </w:tc>
        <w:tc>
          <w:tcPr>
            <w:tcW w:w="1715" w:type="dxa"/>
            <w:shd w:val="clear" w:color="auto" w:fill="99CCFF"/>
          </w:tcPr>
          <w:p w14:paraId="2315C4C5" w14:textId="77777777" w:rsidR="0031451C" w:rsidRPr="00944EE4" w:rsidRDefault="0031451C" w:rsidP="007041DA">
            <w:pPr>
              <w:rPr>
                <w:rFonts w:ascii="Times New Roman" w:hAnsi="Times New Roman" w:cs="Times New Roman"/>
                <w:b/>
                <w:lang w:val="fr-FR"/>
              </w:rPr>
            </w:pPr>
          </w:p>
        </w:tc>
      </w:tr>
      <w:tr w:rsidR="0031451C" w:rsidRPr="00944EE4" w14:paraId="35175B0E" w14:textId="77777777" w:rsidTr="00EC5658">
        <w:trPr>
          <w:trHeight w:val="64"/>
        </w:trPr>
        <w:tc>
          <w:tcPr>
            <w:tcW w:w="2160" w:type="dxa"/>
          </w:tcPr>
          <w:p w14:paraId="1B914389" w14:textId="77777777" w:rsidR="0031451C" w:rsidRPr="00944EE4" w:rsidRDefault="00880F37" w:rsidP="007041DA">
            <w:pPr>
              <w:rPr>
                <w:rFonts w:ascii="Times New Roman" w:hAnsi="Times New Roman" w:cs="Times New Roman"/>
                <w:b/>
                <w:lang w:val="fr-FR"/>
              </w:rPr>
            </w:pPr>
            <w:r w:rsidRPr="00944EE4">
              <w:rPr>
                <w:rFonts w:ascii="Times New Roman" w:hAnsi="Times New Roman" w:cs="Times New Roman"/>
                <w:b/>
              </w:rPr>
              <w:t>Etudes et Enquêtes</w:t>
            </w:r>
          </w:p>
          <w:p w14:paraId="2ED8A55A" w14:textId="77777777" w:rsidR="0031451C" w:rsidRPr="00944EE4" w:rsidRDefault="0031451C" w:rsidP="007041DA">
            <w:pPr>
              <w:rPr>
                <w:rFonts w:ascii="Times New Roman" w:hAnsi="Times New Roman" w:cs="Times New Roman"/>
                <w:b/>
                <w:lang w:val="fr-FR"/>
              </w:rPr>
            </w:pPr>
          </w:p>
        </w:tc>
        <w:tc>
          <w:tcPr>
            <w:tcW w:w="2376" w:type="dxa"/>
          </w:tcPr>
          <w:p w14:paraId="484C4B95" w14:textId="77777777" w:rsidR="0031451C" w:rsidRPr="00944EE4" w:rsidRDefault="00880F37" w:rsidP="00A701F5">
            <w:pPr>
              <w:pStyle w:val="Paragraphedeliste"/>
              <w:numPr>
                <w:ilvl w:val="0"/>
                <w:numId w:val="7"/>
              </w:numPr>
              <w:ind w:left="142" w:hanging="142"/>
              <w:rPr>
                <w:rFonts w:ascii="Times New Roman" w:hAnsi="Times New Roman" w:cs="Times New Roman"/>
                <w:lang w:val="fr-FR"/>
              </w:rPr>
            </w:pPr>
            <w:r w:rsidRPr="00944EE4">
              <w:rPr>
                <w:rFonts w:ascii="Times New Roman" w:hAnsi="Times New Roman" w:cs="Times New Roman"/>
              </w:rPr>
              <w:t>MICS 2015</w:t>
            </w:r>
          </w:p>
          <w:p w14:paraId="31FC5D75" w14:textId="77777777" w:rsidR="0031451C" w:rsidRPr="00944EE4" w:rsidRDefault="00880F37" w:rsidP="00A701F5">
            <w:pPr>
              <w:pStyle w:val="Paragraphedeliste"/>
              <w:widowControl w:val="0"/>
              <w:numPr>
                <w:ilvl w:val="0"/>
                <w:numId w:val="7"/>
              </w:numPr>
              <w:snapToGrid w:val="0"/>
              <w:ind w:left="142" w:hanging="142"/>
              <w:rPr>
                <w:rFonts w:ascii="Times New Roman" w:hAnsi="Times New Roman" w:cs="Times New Roman"/>
                <w:lang w:val="fr-FR"/>
              </w:rPr>
            </w:pPr>
            <w:r w:rsidRPr="00944EE4">
              <w:rPr>
                <w:rFonts w:ascii="Times New Roman" w:hAnsi="Times New Roman" w:cs="Times New Roman"/>
                <w:lang w:val="fr-FR"/>
              </w:rPr>
              <w:t>Cartographie Mensuelle des Conflits (Affaires Civiles,)</w:t>
            </w:r>
          </w:p>
          <w:p w14:paraId="399A3289" w14:textId="77777777" w:rsidR="0031451C" w:rsidRPr="00944EE4" w:rsidRDefault="00880F37" w:rsidP="00A701F5">
            <w:pPr>
              <w:pStyle w:val="Paragraphedeliste"/>
              <w:numPr>
                <w:ilvl w:val="0"/>
                <w:numId w:val="7"/>
              </w:numPr>
              <w:ind w:left="142" w:hanging="142"/>
              <w:rPr>
                <w:rFonts w:ascii="Times New Roman" w:hAnsi="Times New Roman" w:cs="Times New Roman"/>
                <w:lang w:val="fr-FR"/>
              </w:rPr>
            </w:pPr>
            <w:r w:rsidRPr="00944EE4">
              <w:rPr>
                <w:rFonts w:ascii="Times New Roman" w:hAnsi="Times New Roman" w:cs="Times New Roman"/>
                <w:lang w:val="fr-FR"/>
              </w:rPr>
              <w:t xml:space="preserve">Enquête nationale de sécurité alimentaire et nutritionnelle (ENSAN) </w:t>
            </w:r>
          </w:p>
          <w:p w14:paraId="6B919439" w14:textId="77777777" w:rsidR="0031451C" w:rsidRPr="00944EE4" w:rsidRDefault="00880F37" w:rsidP="00A701F5">
            <w:pPr>
              <w:pStyle w:val="Paragraphedeliste"/>
              <w:numPr>
                <w:ilvl w:val="0"/>
                <w:numId w:val="7"/>
              </w:numPr>
              <w:ind w:left="142" w:hanging="142"/>
              <w:rPr>
                <w:rFonts w:ascii="Times New Roman" w:hAnsi="Times New Roman" w:cs="Times New Roman"/>
                <w:lang w:val="fr-FR"/>
              </w:rPr>
            </w:pPr>
            <w:r w:rsidRPr="00944EE4">
              <w:rPr>
                <w:rFonts w:ascii="Times New Roman" w:hAnsi="Times New Roman" w:cs="Times New Roman"/>
              </w:rPr>
              <w:t xml:space="preserve">Enquête SMART </w:t>
            </w:r>
          </w:p>
          <w:p w14:paraId="4AF04279" w14:textId="77777777" w:rsidR="0031451C" w:rsidRPr="00944EE4" w:rsidRDefault="00880F37" w:rsidP="00A701F5">
            <w:pPr>
              <w:pStyle w:val="Paragraphedeliste"/>
              <w:numPr>
                <w:ilvl w:val="0"/>
                <w:numId w:val="7"/>
              </w:numPr>
              <w:ind w:left="142" w:hanging="142"/>
              <w:rPr>
                <w:rFonts w:ascii="Times New Roman" w:hAnsi="Times New Roman" w:cs="Times New Roman"/>
                <w:lang w:val="fr-FR"/>
              </w:rPr>
            </w:pPr>
            <w:r w:rsidRPr="00944EE4">
              <w:rPr>
                <w:rFonts w:ascii="Times New Roman" w:hAnsi="Times New Roman" w:cs="Times New Roman"/>
                <w:lang w:val="fr-FR"/>
              </w:rPr>
              <w:lastRenderedPageBreak/>
              <w:t>Enquête conjoncturelle sur la pauvreté (INSTAT)</w:t>
            </w:r>
          </w:p>
          <w:p w14:paraId="7E32E7DB" w14:textId="77777777" w:rsidR="0031451C" w:rsidRPr="00944EE4" w:rsidRDefault="00880F37" w:rsidP="00A701F5">
            <w:pPr>
              <w:pStyle w:val="Paragraphedeliste"/>
              <w:numPr>
                <w:ilvl w:val="0"/>
                <w:numId w:val="7"/>
              </w:numPr>
              <w:ind w:left="142" w:right="-108" w:hanging="142"/>
              <w:rPr>
                <w:rFonts w:ascii="Times New Roman" w:hAnsi="Times New Roman" w:cs="Times New Roman"/>
                <w:lang w:val="fr-FR"/>
              </w:rPr>
            </w:pPr>
            <w:r w:rsidRPr="00944EE4">
              <w:rPr>
                <w:rFonts w:ascii="Times New Roman" w:hAnsi="Times New Roman" w:cs="Times New Roman"/>
                <w:lang w:val="fr-FR"/>
              </w:rPr>
              <w:t>Enquête Nationale sur la Migration (à déterminer)</w:t>
            </w:r>
          </w:p>
          <w:p w14:paraId="01F5BCD7" w14:textId="77777777" w:rsidR="0031451C" w:rsidRPr="00944EE4" w:rsidRDefault="00880F37" w:rsidP="00A701F5">
            <w:pPr>
              <w:pStyle w:val="Paragraphedeliste"/>
              <w:numPr>
                <w:ilvl w:val="0"/>
                <w:numId w:val="7"/>
              </w:numPr>
              <w:ind w:left="142" w:hanging="142"/>
              <w:rPr>
                <w:rFonts w:ascii="Times New Roman" w:hAnsi="Times New Roman" w:cs="Times New Roman"/>
                <w:lang w:val="fr-FR"/>
              </w:rPr>
            </w:pPr>
            <w:r w:rsidRPr="00944EE4">
              <w:rPr>
                <w:rFonts w:ascii="Times New Roman" w:hAnsi="Times New Roman" w:cs="Times New Roman"/>
              </w:rPr>
              <w:t xml:space="preserve">EMOP  </w:t>
            </w:r>
          </w:p>
        </w:tc>
        <w:tc>
          <w:tcPr>
            <w:tcW w:w="2978" w:type="dxa"/>
          </w:tcPr>
          <w:p w14:paraId="4B5A3662" w14:textId="77777777" w:rsidR="0031451C" w:rsidRPr="00944EE4" w:rsidRDefault="00880F37" w:rsidP="00A701F5">
            <w:pPr>
              <w:pStyle w:val="Paragraphedeliste"/>
              <w:widowControl w:val="0"/>
              <w:numPr>
                <w:ilvl w:val="0"/>
                <w:numId w:val="7"/>
              </w:numPr>
              <w:snapToGrid w:val="0"/>
              <w:ind w:left="175" w:hanging="175"/>
              <w:rPr>
                <w:rFonts w:ascii="Times New Roman" w:hAnsi="Times New Roman" w:cs="Times New Roman"/>
                <w:lang w:val="fr-FR"/>
              </w:rPr>
            </w:pPr>
            <w:r w:rsidRPr="00944EE4">
              <w:rPr>
                <w:rFonts w:ascii="Times New Roman" w:hAnsi="Times New Roman" w:cs="Times New Roman"/>
              </w:rPr>
              <w:lastRenderedPageBreak/>
              <w:t xml:space="preserve">Cartographie Mensuelle des Conflits </w:t>
            </w:r>
          </w:p>
          <w:p w14:paraId="5EE522DF" w14:textId="77777777" w:rsidR="0031451C" w:rsidRPr="00944EE4" w:rsidRDefault="00880F37" w:rsidP="00A701F5">
            <w:pPr>
              <w:pStyle w:val="Paragraphedeliste"/>
              <w:numPr>
                <w:ilvl w:val="0"/>
                <w:numId w:val="7"/>
              </w:numPr>
              <w:ind w:left="175" w:hanging="175"/>
              <w:rPr>
                <w:rFonts w:ascii="Times New Roman" w:hAnsi="Times New Roman" w:cs="Times New Roman"/>
                <w:lang w:val="fr-FR"/>
              </w:rPr>
            </w:pPr>
            <w:r w:rsidRPr="00944EE4">
              <w:rPr>
                <w:rFonts w:ascii="Times New Roman" w:hAnsi="Times New Roman" w:cs="Times New Roman"/>
              </w:rPr>
              <w:t>ENSAN</w:t>
            </w:r>
          </w:p>
          <w:p w14:paraId="1777AA9E" w14:textId="77777777" w:rsidR="0031451C" w:rsidRPr="00944EE4" w:rsidRDefault="00880F37" w:rsidP="00A701F5">
            <w:pPr>
              <w:pStyle w:val="Paragraphedeliste"/>
              <w:numPr>
                <w:ilvl w:val="0"/>
                <w:numId w:val="7"/>
              </w:numPr>
              <w:ind w:left="175" w:hanging="175"/>
              <w:rPr>
                <w:rFonts w:ascii="Times New Roman" w:hAnsi="Times New Roman" w:cs="Times New Roman"/>
                <w:lang w:val="fr-FR"/>
              </w:rPr>
            </w:pPr>
            <w:r w:rsidRPr="00944EE4">
              <w:rPr>
                <w:rFonts w:ascii="Times New Roman" w:hAnsi="Times New Roman" w:cs="Times New Roman"/>
              </w:rPr>
              <w:t xml:space="preserve">SMART </w:t>
            </w:r>
          </w:p>
          <w:p w14:paraId="64D92E90" w14:textId="77777777" w:rsidR="0031451C" w:rsidRPr="00944EE4" w:rsidRDefault="00880F37" w:rsidP="00A701F5">
            <w:pPr>
              <w:pStyle w:val="Paragraphedeliste"/>
              <w:numPr>
                <w:ilvl w:val="0"/>
                <w:numId w:val="7"/>
              </w:numPr>
              <w:ind w:left="175" w:hanging="175"/>
              <w:rPr>
                <w:rFonts w:ascii="Times New Roman" w:hAnsi="Times New Roman" w:cs="Times New Roman"/>
                <w:lang w:val="fr-FR"/>
              </w:rPr>
            </w:pPr>
            <w:r w:rsidRPr="00944EE4">
              <w:rPr>
                <w:rFonts w:ascii="Times New Roman" w:hAnsi="Times New Roman" w:cs="Times New Roman"/>
              </w:rPr>
              <w:t>EMOP </w:t>
            </w:r>
          </w:p>
          <w:p w14:paraId="7ADC28DE" w14:textId="77777777" w:rsidR="0031451C" w:rsidRPr="00944EE4" w:rsidRDefault="0031451C" w:rsidP="007041DA">
            <w:pPr>
              <w:rPr>
                <w:rFonts w:ascii="Times New Roman" w:hAnsi="Times New Roman" w:cs="Times New Roman"/>
                <w:lang w:val="fr-FR"/>
              </w:rPr>
            </w:pPr>
          </w:p>
        </w:tc>
        <w:tc>
          <w:tcPr>
            <w:tcW w:w="2409" w:type="dxa"/>
          </w:tcPr>
          <w:p w14:paraId="6B18D5B1" w14:textId="77777777" w:rsidR="0031451C" w:rsidRPr="00944EE4" w:rsidRDefault="00880F37" w:rsidP="00A701F5">
            <w:pPr>
              <w:pStyle w:val="Paragraphedeliste"/>
              <w:widowControl w:val="0"/>
              <w:numPr>
                <w:ilvl w:val="0"/>
                <w:numId w:val="7"/>
              </w:numPr>
              <w:snapToGrid w:val="0"/>
              <w:ind w:left="175" w:hanging="175"/>
              <w:rPr>
                <w:rFonts w:ascii="Times New Roman" w:hAnsi="Times New Roman" w:cs="Times New Roman"/>
                <w:lang w:val="fr-FR"/>
              </w:rPr>
            </w:pPr>
            <w:r w:rsidRPr="00944EE4">
              <w:rPr>
                <w:rFonts w:ascii="Times New Roman" w:hAnsi="Times New Roman" w:cs="Times New Roman"/>
              </w:rPr>
              <w:t xml:space="preserve">Cartographie Mensuelle des Conflits </w:t>
            </w:r>
          </w:p>
          <w:p w14:paraId="32CAC9AF" w14:textId="77777777" w:rsidR="0031451C" w:rsidRPr="00944EE4" w:rsidRDefault="00880F37" w:rsidP="00A701F5">
            <w:pPr>
              <w:pStyle w:val="Paragraphedeliste"/>
              <w:numPr>
                <w:ilvl w:val="0"/>
                <w:numId w:val="7"/>
              </w:numPr>
              <w:ind w:left="175" w:hanging="175"/>
              <w:rPr>
                <w:rFonts w:ascii="Times New Roman" w:hAnsi="Times New Roman" w:cs="Times New Roman"/>
                <w:lang w:val="fr-FR"/>
              </w:rPr>
            </w:pPr>
            <w:r w:rsidRPr="00944EE4">
              <w:rPr>
                <w:rFonts w:ascii="Times New Roman" w:hAnsi="Times New Roman" w:cs="Times New Roman"/>
              </w:rPr>
              <w:t>ENSAN</w:t>
            </w:r>
          </w:p>
          <w:p w14:paraId="28A80515" w14:textId="77777777" w:rsidR="0031451C" w:rsidRPr="00944EE4" w:rsidRDefault="00880F37" w:rsidP="00A701F5">
            <w:pPr>
              <w:pStyle w:val="Paragraphedeliste"/>
              <w:numPr>
                <w:ilvl w:val="0"/>
                <w:numId w:val="7"/>
              </w:numPr>
              <w:ind w:left="175" w:hanging="175"/>
              <w:rPr>
                <w:rFonts w:ascii="Times New Roman" w:hAnsi="Times New Roman" w:cs="Times New Roman"/>
                <w:lang w:val="fr-FR"/>
              </w:rPr>
            </w:pPr>
            <w:r w:rsidRPr="00944EE4">
              <w:rPr>
                <w:rFonts w:ascii="Times New Roman" w:hAnsi="Times New Roman" w:cs="Times New Roman"/>
              </w:rPr>
              <w:t xml:space="preserve">SMART </w:t>
            </w:r>
          </w:p>
          <w:p w14:paraId="50D7CD8C" w14:textId="77777777" w:rsidR="0031451C" w:rsidRPr="00944EE4" w:rsidRDefault="00880F37" w:rsidP="00A701F5">
            <w:pPr>
              <w:pStyle w:val="Paragraphedeliste"/>
              <w:numPr>
                <w:ilvl w:val="0"/>
                <w:numId w:val="7"/>
              </w:numPr>
              <w:ind w:left="175" w:hanging="175"/>
              <w:rPr>
                <w:rFonts w:ascii="Times New Roman" w:hAnsi="Times New Roman" w:cs="Times New Roman"/>
                <w:lang w:val="fr-FR"/>
              </w:rPr>
            </w:pPr>
            <w:r w:rsidRPr="00944EE4">
              <w:rPr>
                <w:rFonts w:ascii="Times New Roman" w:hAnsi="Times New Roman" w:cs="Times New Roman"/>
              </w:rPr>
              <w:t>EMOP </w:t>
            </w:r>
          </w:p>
          <w:p w14:paraId="01F54250" w14:textId="77777777" w:rsidR="0031451C" w:rsidRPr="00944EE4" w:rsidRDefault="0031451C" w:rsidP="007041DA">
            <w:pPr>
              <w:rPr>
                <w:rFonts w:ascii="Times New Roman" w:hAnsi="Times New Roman" w:cs="Times New Roman"/>
                <w:lang w:val="fr-FR"/>
              </w:rPr>
            </w:pPr>
          </w:p>
        </w:tc>
        <w:tc>
          <w:tcPr>
            <w:tcW w:w="3104" w:type="dxa"/>
          </w:tcPr>
          <w:p w14:paraId="38FDB15C" w14:textId="77777777" w:rsidR="0031451C" w:rsidRPr="00944EE4" w:rsidRDefault="00880F37" w:rsidP="00A701F5">
            <w:pPr>
              <w:pStyle w:val="Paragraphedeliste"/>
              <w:numPr>
                <w:ilvl w:val="0"/>
                <w:numId w:val="7"/>
              </w:numPr>
              <w:ind w:left="176" w:hanging="176"/>
              <w:rPr>
                <w:rFonts w:ascii="Times New Roman" w:hAnsi="Times New Roman" w:cs="Times New Roman"/>
                <w:lang w:val="fr-FR"/>
              </w:rPr>
            </w:pPr>
            <w:r w:rsidRPr="00944EE4">
              <w:rPr>
                <w:rFonts w:ascii="Times New Roman" w:hAnsi="Times New Roman" w:cs="Times New Roman"/>
              </w:rPr>
              <w:t>MICS 2018</w:t>
            </w:r>
          </w:p>
          <w:p w14:paraId="7789D609" w14:textId="77777777" w:rsidR="0031451C" w:rsidRPr="00944EE4" w:rsidRDefault="00880F37" w:rsidP="00A701F5">
            <w:pPr>
              <w:pStyle w:val="Paragraphedeliste"/>
              <w:widowControl w:val="0"/>
              <w:numPr>
                <w:ilvl w:val="0"/>
                <w:numId w:val="7"/>
              </w:numPr>
              <w:snapToGrid w:val="0"/>
              <w:ind w:left="176" w:hanging="176"/>
              <w:rPr>
                <w:rFonts w:ascii="Times New Roman" w:hAnsi="Times New Roman" w:cs="Times New Roman"/>
                <w:lang w:val="fr-FR"/>
              </w:rPr>
            </w:pPr>
            <w:r w:rsidRPr="00944EE4">
              <w:rPr>
                <w:rFonts w:ascii="Times New Roman" w:hAnsi="Times New Roman" w:cs="Times New Roman"/>
              </w:rPr>
              <w:t xml:space="preserve">Cartographie Mensuelle des Conflits </w:t>
            </w:r>
          </w:p>
          <w:p w14:paraId="7DE51046" w14:textId="77777777" w:rsidR="0031451C" w:rsidRPr="00944EE4" w:rsidRDefault="00880F37" w:rsidP="00A701F5">
            <w:pPr>
              <w:pStyle w:val="Paragraphedeliste"/>
              <w:numPr>
                <w:ilvl w:val="0"/>
                <w:numId w:val="7"/>
              </w:numPr>
              <w:ind w:left="176" w:hanging="176"/>
              <w:rPr>
                <w:rFonts w:ascii="Times New Roman" w:hAnsi="Times New Roman" w:cs="Times New Roman"/>
                <w:lang w:val="fr-FR"/>
              </w:rPr>
            </w:pPr>
            <w:r w:rsidRPr="00944EE4">
              <w:rPr>
                <w:rFonts w:ascii="Times New Roman" w:hAnsi="Times New Roman" w:cs="Times New Roman"/>
              </w:rPr>
              <w:t>ENSAN</w:t>
            </w:r>
          </w:p>
          <w:p w14:paraId="57AE5B1E" w14:textId="77777777" w:rsidR="0031451C" w:rsidRPr="00944EE4" w:rsidRDefault="00880F37" w:rsidP="00A701F5">
            <w:pPr>
              <w:pStyle w:val="Paragraphedeliste"/>
              <w:numPr>
                <w:ilvl w:val="0"/>
                <w:numId w:val="7"/>
              </w:numPr>
              <w:ind w:left="176" w:hanging="176"/>
              <w:rPr>
                <w:rFonts w:ascii="Times New Roman" w:hAnsi="Times New Roman" w:cs="Times New Roman"/>
                <w:lang w:val="fr-FR"/>
              </w:rPr>
            </w:pPr>
            <w:r w:rsidRPr="00944EE4">
              <w:rPr>
                <w:rFonts w:ascii="Times New Roman" w:hAnsi="Times New Roman" w:cs="Times New Roman"/>
              </w:rPr>
              <w:t xml:space="preserve">SMART </w:t>
            </w:r>
          </w:p>
          <w:p w14:paraId="56EA7A52" w14:textId="77777777" w:rsidR="0031451C" w:rsidRPr="00944EE4" w:rsidRDefault="00880F37" w:rsidP="00A701F5">
            <w:pPr>
              <w:pStyle w:val="Paragraphedeliste"/>
              <w:numPr>
                <w:ilvl w:val="0"/>
                <w:numId w:val="7"/>
              </w:numPr>
              <w:ind w:left="176" w:hanging="176"/>
              <w:rPr>
                <w:rFonts w:ascii="Times New Roman" w:hAnsi="Times New Roman" w:cs="Times New Roman"/>
                <w:lang w:val="fr-FR"/>
              </w:rPr>
            </w:pPr>
            <w:r w:rsidRPr="00944EE4">
              <w:rPr>
                <w:rFonts w:ascii="Times New Roman" w:hAnsi="Times New Roman" w:cs="Times New Roman"/>
              </w:rPr>
              <w:t>EMOP </w:t>
            </w:r>
          </w:p>
          <w:p w14:paraId="7C636F41" w14:textId="77777777" w:rsidR="0031451C" w:rsidRPr="00944EE4" w:rsidRDefault="0031451C" w:rsidP="007041DA">
            <w:pPr>
              <w:rPr>
                <w:rFonts w:ascii="Times New Roman" w:hAnsi="Times New Roman" w:cs="Times New Roman"/>
                <w:lang w:val="fr-FR"/>
              </w:rPr>
            </w:pPr>
          </w:p>
        </w:tc>
        <w:tc>
          <w:tcPr>
            <w:tcW w:w="1715" w:type="dxa"/>
          </w:tcPr>
          <w:p w14:paraId="0DB01E28" w14:textId="77777777" w:rsidR="0031451C" w:rsidRPr="00944EE4" w:rsidRDefault="00880F37" w:rsidP="00A701F5">
            <w:pPr>
              <w:pStyle w:val="Paragraphedeliste"/>
              <w:numPr>
                <w:ilvl w:val="0"/>
                <w:numId w:val="7"/>
              </w:numPr>
              <w:tabs>
                <w:tab w:val="left" w:pos="142"/>
              </w:tabs>
              <w:ind w:left="142" w:hanging="142"/>
              <w:rPr>
                <w:rFonts w:ascii="Times New Roman" w:hAnsi="Times New Roman" w:cs="Times New Roman"/>
                <w:lang w:val="fr-FR"/>
              </w:rPr>
            </w:pPr>
            <w:r w:rsidRPr="00944EE4">
              <w:rPr>
                <w:rFonts w:ascii="Times New Roman" w:hAnsi="Times New Roman" w:cs="Times New Roman"/>
                <w:lang w:val="fr-FR"/>
              </w:rPr>
              <w:t>Recensement Général de la Population et de l’Habitat (RGPH)</w:t>
            </w:r>
          </w:p>
          <w:p w14:paraId="38819CA7" w14:textId="77777777" w:rsidR="0031451C" w:rsidRPr="00944EE4" w:rsidRDefault="00880F37" w:rsidP="00A701F5">
            <w:pPr>
              <w:pStyle w:val="Paragraphedeliste"/>
              <w:numPr>
                <w:ilvl w:val="0"/>
                <w:numId w:val="7"/>
              </w:numPr>
              <w:tabs>
                <w:tab w:val="left" w:pos="142"/>
              </w:tabs>
              <w:ind w:left="142" w:hanging="142"/>
              <w:rPr>
                <w:rFonts w:ascii="Times New Roman" w:hAnsi="Times New Roman" w:cs="Times New Roman"/>
                <w:lang w:val="fr-FR"/>
              </w:rPr>
            </w:pPr>
            <w:r w:rsidRPr="00944EE4">
              <w:rPr>
                <w:rFonts w:ascii="Times New Roman" w:hAnsi="Times New Roman" w:cs="Times New Roman"/>
              </w:rPr>
              <w:t>EDSM-VI</w:t>
            </w:r>
          </w:p>
          <w:p w14:paraId="5F638E61" w14:textId="77777777" w:rsidR="0031451C" w:rsidRPr="00944EE4" w:rsidRDefault="00880F37" w:rsidP="00A701F5">
            <w:pPr>
              <w:pStyle w:val="Paragraphedeliste"/>
              <w:widowControl w:val="0"/>
              <w:numPr>
                <w:ilvl w:val="0"/>
                <w:numId w:val="7"/>
              </w:numPr>
              <w:tabs>
                <w:tab w:val="left" w:pos="142"/>
              </w:tabs>
              <w:snapToGrid w:val="0"/>
              <w:ind w:left="142" w:hanging="142"/>
              <w:rPr>
                <w:rFonts w:ascii="Times New Roman" w:hAnsi="Times New Roman" w:cs="Times New Roman"/>
                <w:lang w:val="fr-FR"/>
              </w:rPr>
            </w:pPr>
            <w:r w:rsidRPr="00944EE4">
              <w:rPr>
                <w:rFonts w:ascii="Times New Roman" w:hAnsi="Times New Roman" w:cs="Times New Roman"/>
              </w:rPr>
              <w:t xml:space="preserve">Cartographie Mensuelle des Conflits </w:t>
            </w:r>
          </w:p>
          <w:p w14:paraId="095A05AB" w14:textId="77777777" w:rsidR="0031451C" w:rsidRPr="00944EE4" w:rsidRDefault="00880F37" w:rsidP="00A701F5">
            <w:pPr>
              <w:pStyle w:val="Paragraphedeliste"/>
              <w:numPr>
                <w:ilvl w:val="0"/>
                <w:numId w:val="7"/>
              </w:numPr>
              <w:tabs>
                <w:tab w:val="left" w:pos="142"/>
              </w:tabs>
              <w:ind w:left="142" w:hanging="142"/>
              <w:rPr>
                <w:rFonts w:ascii="Times New Roman" w:hAnsi="Times New Roman" w:cs="Times New Roman"/>
                <w:lang w:val="fr-FR"/>
              </w:rPr>
            </w:pPr>
            <w:r w:rsidRPr="00944EE4">
              <w:rPr>
                <w:rFonts w:ascii="Times New Roman" w:hAnsi="Times New Roman" w:cs="Times New Roman"/>
              </w:rPr>
              <w:t>ENSAN</w:t>
            </w:r>
          </w:p>
          <w:p w14:paraId="5D983036" w14:textId="77777777" w:rsidR="0031451C" w:rsidRPr="00944EE4" w:rsidRDefault="00880F37" w:rsidP="00A701F5">
            <w:pPr>
              <w:pStyle w:val="Paragraphedeliste"/>
              <w:numPr>
                <w:ilvl w:val="0"/>
                <w:numId w:val="7"/>
              </w:numPr>
              <w:tabs>
                <w:tab w:val="left" w:pos="142"/>
              </w:tabs>
              <w:ind w:left="142" w:hanging="142"/>
              <w:rPr>
                <w:rFonts w:ascii="Times New Roman" w:hAnsi="Times New Roman" w:cs="Times New Roman"/>
                <w:lang w:val="fr-FR"/>
              </w:rPr>
            </w:pPr>
            <w:r w:rsidRPr="00944EE4">
              <w:rPr>
                <w:rFonts w:ascii="Times New Roman" w:hAnsi="Times New Roman" w:cs="Times New Roman"/>
              </w:rPr>
              <w:lastRenderedPageBreak/>
              <w:t xml:space="preserve">SMART </w:t>
            </w:r>
          </w:p>
          <w:p w14:paraId="327E5F36" w14:textId="77777777" w:rsidR="0031451C" w:rsidRPr="00944EE4" w:rsidRDefault="00880F37" w:rsidP="00A701F5">
            <w:pPr>
              <w:pStyle w:val="Paragraphedeliste"/>
              <w:numPr>
                <w:ilvl w:val="0"/>
                <w:numId w:val="7"/>
              </w:numPr>
              <w:tabs>
                <w:tab w:val="left" w:pos="142"/>
              </w:tabs>
              <w:ind w:left="142" w:hanging="142"/>
              <w:rPr>
                <w:rFonts w:ascii="Times New Roman" w:hAnsi="Times New Roman" w:cs="Times New Roman"/>
                <w:lang w:val="fr-FR"/>
              </w:rPr>
            </w:pPr>
            <w:r w:rsidRPr="00944EE4">
              <w:rPr>
                <w:rFonts w:ascii="Times New Roman" w:hAnsi="Times New Roman" w:cs="Times New Roman"/>
              </w:rPr>
              <w:t>EMOP</w:t>
            </w:r>
          </w:p>
        </w:tc>
      </w:tr>
      <w:tr w:rsidR="0031451C" w:rsidRPr="00944EE4" w14:paraId="18516D34" w14:textId="77777777" w:rsidTr="00986326">
        <w:trPr>
          <w:trHeight w:val="394"/>
        </w:trPr>
        <w:tc>
          <w:tcPr>
            <w:tcW w:w="2160" w:type="dxa"/>
          </w:tcPr>
          <w:p w14:paraId="5C0D0A04" w14:textId="77777777" w:rsidR="0031451C" w:rsidRPr="00944EE4" w:rsidRDefault="00880F37" w:rsidP="007041DA">
            <w:pPr>
              <w:rPr>
                <w:rFonts w:ascii="Times New Roman" w:hAnsi="Times New Roman" w:cs="Times New Roman"/>
                <w:b/>
                <w:lang w:val="fr-FR"/>
              </w:rPr>
            </w:pPr>
            <w:r w:rsidRPr="00944EE4">
              <w:rPr>
                <w:rFonts w:ascii="Times New Roman" w:hAnsi="Times New Roman" w:cs="Times New Roman"/>
                <w:b/>
                <w:lang w:val="fr-FR"/>
              </w:rPr>
              <w:lastRenderedPageBreak/>
              <w:t xml:space="preserve">Outils pour le suivi et évaluation et développement des systèmes </w:t>
            </w:r>
          </w:p>
        </w:tc>
        <w:tc>
          <w:tcPr>
            <w:tcW w:w="12582" w:type="dxa"/>
            <w:gridSpan w:val="5"/>
          </w:tcPr>
          <w:p w14:paraId="7B4624CD" w14:textId="77777777" w:rsidR="0031451C" w:rsidRPr="00944EE4" w:rsidRDefault="00880F37" w:rsidP="007041DA">
            <w:pPr>
              <w:rPr>
                <w:rFonts w:ascii="Times New Roman" w:hAnsi="Times New Roman" w:cs="Times New Roman"/>
                <w:lang w:val="fr-FR"/>
              </w:rPr>
            </w:pPr>
            <w:r w:rsidRPr="00944EE4">
              <w:rPr>
                <w:rFonts w:ascii="Times New Roman" w:hAnsi="Times New Roman" w:cs="Times New Roman"/>
                <w:lang w:val="fr-FR"/>
              </w:rPr>
              <w:t>DevInfo/Malikunnafoni avec bulletins semestriels </w:t>
            </w:r>
          </w:p>
          <w:p w14:paraId="4CFEB526" w14:textId="77777777" w:rsidR="0031451C" w:rsidRPr="00944EE4" w:rsidRDefault="00880F37" w:rsidP="007041DA">
            <w:pPr>
              <w:rPr>
                <w:rFonts w:ascii="Times New Roman" w:hAnsi="Times New Roman" w:cs="Times New Roman"/>
                <w:lang w:val="fr-FR"/>
              </w:rPr>
            </w:pPr>
            <w:r w:rsidRPr="00944EE4">
              <w:rPr>
                <w:rFonts w:ascii="Times New Roman" w:hAnsi="Times New Roman" w:cs="Times New Roman"/>
                <w:lang w:val="fr-FR"/>
              </w:rPr>
              <w:t xml:space="preserve">UNDAF+ Base de données </w:t>
            </w:r>
          </w:p>
          <w:p w14:paraId="62784333" w14:textId="77777777" w:rsidR="0031451C" w:rsidRPr="00944EE4" w:rsidRDefault="00880F37" w:rsidP="007041DA">
            <w:pPr>
              <w:rPr>
                <w:rFonts w:ascii="Times New Roman" w:hAnsi="Times New Roman" w:cs="Times New Roman"/>
                <w:lang w:val="fr-FR"/>
              </w:rPr>
            </w:pPr>
            <w:r w:rsidRPr="00944EE4">
              <w:rPr>
                <w:rFonts w:ascii="Times New Roman" w:hAnsi="Times New Roman" w:cs="Times New Roman"/>
                <w:lang w:val="fr-FR"/>
              </w:rPr>
              <w:t>Base de données d’enregistrement/démobilisation (DDR)</w:t>
            </w:r>
          </w:p>
          <w:p w14:paraId="3AB6F7E9" w14:textId="77777777" w:rsidR="0031451C" w:rsidRPr="00944EE4" w:rsidRDefault="00880F37" w:rsidP="007041DA">
            <w:pPr>
              <w:rPr>
                <w:rFonts w:ascii="Times New Roman" w:hAnsi="Times New Roman" w:cs="Times New Roman"/>
                <w:lang w:val="fr-FR"/>
              </w:rPr>
            </w:pPr>
            <w:r w:rsidRPr="00944EE4">
              <w:rPr>
                <w:rFonts w:ascii="Times New Roman" w:hAnsi="Times New Roman" w:cs="Times New Roman"/>
                <w:lang w:val="fr-FR"/>
              </w:rPr>
              <w:t xml:space="preserve">Base de données droits de l’homme </w:t>
            </w:r>
          </w:p>
        </w:tc>
      </w:tr>
      <w:tr w:rsidR="0031451C" w:rsidRPr="00944EE4" w14:paraId="0E061558" w14:textId="77777777" w:rsidTr="00EC5658">
        <w:trPr>
          <w:trHeight w:val="814"/>
        </w:trPr>
        <w:tc>
          <w:tcPr>
            <w:tcW w:w="2160" w:type="dxa"/>
          </w:tcPr>
          <w:p w14:paraId="06D72947" w14:textId="77777777" w:rsidR="0031451C" w:rsidRPr="00944EE4" w:rsidRDefault="00880F37" w:rsidP="007041DA">
            <w:pPr>
              <w:rPr>
                <w:rFonts w:ascii="Times New Roman" w:hAnsi="Times New Roman" w:cs="Times New Roman"/>
                <w:b/>
                <w:lang w:val="fr-FR"/>
              </w:rPr>
            </w:pPr>
            <w:r w:rsidRPr="00944EE4">
              <w:rPr>
                <w:rFonts w:ascii="Times New Roman" w:hAnsi="Times New Roman" w:cs="Times New Roman"/>
                <w:b/>
                <w:lang w:val="fr-FR"/>
              </w:rPr>
              <w:t>Renforcement des capacités en suivi et évaluation</w:t>
            </w:r>
          </w:p>
        </w:tc>
        <w:tc>
          <w:tcPr>
            <w:tcW w:w="2376" w:type="dxa"/>
          </w:tcPr>
          <w:p w14:paraId="075743EA" w14:textId="77777777" w:rsidR="0031451C" w:rsidRPr="00944EE4" w:rsidRDefault="0031451C" w:rsidP="007041DA">
            <w:pPr>
              <w:rPr>
                <w:rFonts w:ascii="Times New Roman" w:hAnsi="Times New Roman" w:cs="Times New Roman"/>
                <w:lang w:val="fr-FR"/>
              </w:rPr>
            </w:pPr>
          </w:p>
        </w:tc>
        <w:tc>
          <w:tcPr>
            <w:tcW w:w="2978" w:type="dxa"/>
          </w:tcPr>
          <w:p w14:paraId="39D5278C" w14:textId="77777777" w:rsidR="0031451C" w:rsidRPr="00944EE4" w:rsidRDefault="0031451C" w:rsidP="007041DA">
            <w:pPr>
              <w:rPr>
                <w:rFonts w:ascii="Times New Roman" w:hAnsi="Times New Roman" w:cs="Times New Roman"/>
                <w:lang w:val="fr-FR"/>
              </w:rPr>
            </w:pPr>
          </w:p>
        </w:tc>
        <w:tc>
          <w:tcPr>
            <w:tcW w:w="2409" w:type="dxa"/>
          </w:tcPr>
          <w:p w14:paraId="415B00E6" w14:textId="77777777" w:rsidR="0031451C" w:rsidRPr="00944EE4" w:rsidRDefault="0031451C" w:rsidP="007041DA">
            <w:pPr>
              <w:rPr>
                <w:rFonts w:ascii="Times New Roman" w:hAnsi="Times New Roman" w:cs="Times New Roman"/>
                <w:lang w:val="fr-FR"/>
              </w:rPr>
            </w:pPr>
          </w:p>
        </w:tc>
        <w:tc>
          <w:tcPr>
            <w:tcW w:w="3104" w:type="dxa"/>
          </w:tcPr>
          <w:p w14:paraId="5B3E45A1" w14:textId="77777777" w:rsidR="0031451C" w:rsidRPr="00944EE4" w:rsidRDefault="0031451C" w:rsidP="007041DA">
            <w:pPr>
              <w:rPr>
                <w:rFonts w:ascii="Times New Roman" w:hAnsi="Times New Roman" w:cs="Times New Roman"/>
                <w:lang w:val="fr-FR"/>
              </w:rPr>
            </w:pPr>
          </w:p>
        </w:tc>
        <w:tc>
          <w:tcPr>
            <w:tcW w:w="1715" w:type="dxa"/>
          </w:tcPr>
          <w:p w14:paraId="7F0215AA" w14:textId="77777777" w:rsidR="0031451C" w:rsidRPr="00944EE4" w:rsidRDefault="0031451C" w:rsidP="007041DA">
            <w:pPr>
              <w:rPr>
                <w:rFonts w:ascii="Times New Roman" w:hAnsi="Times New Roman" w:cs="Times New Roman"/>
                <w:lang w:val="fr-FR"/>
              </w:rPr>
            </w:pPr>
          </w:p>
        </w:tc>
      </w:tr>
      <w:tr w:rsidR="0031451C" w:rsidRPr="00944EE4" w14:paraId="619828B8" w14:textId="77777777" w:rsidTr="00EC5658">
        <w:trPr>
          <w:trHeight w:val="699"/>
        </w:trPr>
        <w:tc>
          <w:tcPr>
            <w:tcW w:w="2160" w:type="dxa"/>
          </w:tcPr>
          <w:p w14:paraId="1A6D8ABE" w14:textId="77777777" w:rsidR="0031451C" w:rsidRPr="00944EE4" w:rsidRDefault="00880F37" w:rsidP="007041DA">
            <w:pPr>
              <w:rPr>
                <w:rFonts w:ascii="Times New Roman" w:hAnsi="Times New Roman" w:cs="Times New Roman"/>
                <w:b/>
                <w:lang w:val="fr-FR"/>
              </w:rPr>
            </w:pPr>
            <w:r w:rsidRPr="00944EE4">
              <w:rPr>
                <w:rFonts w:ascii="Times New Roman" w:hAnsi="Times New Roman" w:cs="Times New Roman"/>
                <w:b/>
                <w:lang w:val="fr-FR"/>
              </w:rPr>
              <w:t xml:space="preserve">Activités pertinentes de suivi et évaluation des autres partenaires </w:t>
            </w:r>
          </w:p>
        </w:tc>
        <w:tc>
          <w:tcPr>
            <w:tcW w:w="2376" w:type="dxa"/>
          </w:tcPr>
          <w:p w14:paraId="77705038" w14:textId="77777777" w:rsidR="0031451C" w:rsidRPr="00944EE4" w:rsidRDefault="00880F37" w:rsidP="007041DA">
            <w:pPr>
              <w:rPr>
                <w:rFonts w:ascii="Times New Roman" w:hAnsi="Times New Roman" w:cs="Times New Roman"/>
                <w:lang w:val="fr-FR"/>
              </w:rPr>
            </w:pPr>
            <w:r w:rsidRPr="00944EE4">
              <w:rPr>
                <w:rFonts w:ascii="Times New Roman" w:hAnsi="Times New Roman" w:cs="Times New Roman"/>
                <w:lang w:val="fr-FR"/>
              </w:rPr>
              <w:t>Annuaire Statistique Nationale</w:t>
            </w:r>
          </w:p>
          <w:p w14:paraId="2AC27333" w14:textId="77777777" w:rsidR="0031451C" w:rsidRPr="00944EE4" w:rsidRDefault="00880F37" w:rsidP="00E6799B">
            <w:pPr>
              <w:rPr>
                <w:rFonts w:ascii="Times New Roman" w:hAnsi="Times New Roman" w:cs="Times New Roman"/>
                <w:lang w:val="fr-FR"/>
              </w:rPr>
            </w:pPr>
            <w:r w:rsidRPr="00944EE4">
              <w:rPr>
                <w:rFonts w:ascii="Times New Roman" w:hAnsi="Times New Roman" w:cs="Times New Roman"/>
                <w:lang w:val="fr-FR"/>
              </w:rPr>
              <w:t>Base de données PTFs</w:t>
            </w:r>
          </w:p>
        </w:tc>
        <w:tc>
          <w:tcPr>
            <w:tcW w:w="2978" w:type="dxa"/>
          </w:tcPr>
          <w:p w14:paraId="00CA32F0" w14:textId="77777777" w:rsidR="0031451C" w:rsidRPr="00944EE4" w:rsidRDefault="00880F37" w:rsidP="007041DA">
            <w:pPr>
              <w:rPr>
                <w:rFonts w:ascii="Times New Roman" w:hAnsi="Times New Roman" w:cs="Times New Roman"/>
                <w:lang w:val="fr-FR"/>
              </w:rPr>
            </w:pPr>
            <w:r w:rsidRPr="00944EE4">
              <w:rPr>
                <w:rFonts w:ascii="Times New Roman" w:hAnsi="Times New Roman" w:cs="Times New Roman"/>
              </w:rPr>
              <w:t>Annuaire Statistique Nationale</w:t>
            </w:r>
          </w:p>
          <w:p w14:paraId="6810D8A2" w14:textId="77777777" w:rsidR="0031451C" w:rsidRPr="00944EE4" w:rsidRDefault="0031451C" w:rsidP="007041DA">
            <w:pPr>
              <w:rPr>
                <w:rFonts w:ascii="Times New Roman" w:hAnsi="Times New Roman" w:cs="Times New Roman"/>
                <w:lang w:val="fr-FR"/>
              </w:rPr>
            </w:pPr>
          </w:p>
        </w:tc>
        <w:tc>
          <w:tcPr>
            <w:tcW w:w="2409" w:type="dxa"/>
          </w:tcPr>
          <w:p w14:paraId="6953A893" w14:textId="77777777" w:rsidR="0031451C" w:rsidRPr="00944EE4" w:rsidRDefault="00880F37" w:rsidP="007041DA">
            <w:pPr>
              <w:rPr>
                <w:rFonts w:ascii="Times New Roman" w:hAnsi="Times New Roman" w:cs="Times New Roman"/>
                <w:lang w:val="fr-FR"/>
              </w:rPr>
            </w:pPr>
            <w:r w:rsidRPr="00944EE4">
              <w:rPr>
                <w:rFonts w:ascii="Times New Roman" w:hAnsi="Times New Roman" w:cs="Times New Roman"/>
              </w:rPr>
              <w:t>Annuaire Statistique Nationale</w:t>
            </w:r>
          </w:p>
          <w:p w14:paraId="49770005" w14:textId="77777777" w:rsidR="0031451C" w:rsidRPr="00944EE4" w:rsidRDefault="0031451C" w:rsidP="007041DA">
            <w:pPr>
              <w:rPr>
                <w:rFonts w:ascii="Times New Roman" w:hAnsi="Times New Roman" w:cs="Times New Roman"/>
                <w:lang w:val="fr-FR"/>
              </w:rPr>
            </w:pPr>
          </w:p>
        </w:tc>
        <w:tc>
          <w:tcPr>
            <w:tcW w:w="3104" w:type="dxa"/>
          </w:tcPr>
          <w:p w14:paraId="754899E1" w14:textId="77777777" w:rsidR="0031451C" w:rsidRPr="00944EE4" w:rsidRDefault="00880F37" w:rsidP="007041DA">
            <w:pPr>
              <w:rPr>
                <w:rFonts w:ascii="Times New Roman" w:hAnsi="Times New Roman" w:cs="Times New Roman"/>
                <w:lang w:val="fr-FR"/>
              </w:rPr>
            </w:pPr>
            <w:r w:rsidRPr="00944EE4">
              <w:rPr>
                <w:rFonts w:ascii="Times New Roman" w:hAnsi="Times New Roman" w:cs="Times New Roman"/>
              </w:rPr>
              <w:t>Annuaire Statistique Nationale</w:t>
            </w:r>
          </w:p>
          <w:p w14:paraId="7D443350" w14:textId="77777777" w:rsidR="0031451C" w:rsidRPr="00944EE4" w:rsidRDefault="0031451C" w:rsidP="007041DA">
            <w:pPr>
              <w:rPr>
                <w:rFonts w:ascii="Times New Roman" w:hAnsi="Times New Roman" w:cs="Times New Roman"/>
                <w:lang w:val="fr-FR"/>
              </w:rPr>
            </w:pPr>
          </w:p>
          <w:p w14:paraId="3C717787" w14:textId="77777777" w:rsidR="0031451C" w:rsidRPr="00944EE4" w:rsidRDefault="0031451C" w:rsidP="007041DA">
            <w:pPr>
              <w:rPr>
                <w:rFonts w:ascii="Times New Roman" w:hAnsi="Times New Roman" w:cs="Times New Roman"/>
                <w:lang w:val="fr-FR"/>
              </w:rPr>
            </w:pPr>
          </w:p>
        </w:tc>
        <w:tc>
          <w:tcPr>
            <w:tcW w:w="1715" w:type="dxa"/>
          </w:tcPr>
          <w:p w14:paraId="68034C6F" w14:textId="77777777" w:rsidR="0031451C" w:rsidRPr="00944EE4" w:rsidRDefault="00880F37" w:rsidP="00E6799B">
            <w:pPr>
              <w:rPr>
                <w:rFonts w:ascii="Times New Roman" w:hAnsi="Times New Roman" w:cs="Times New Roman"/>
                <w:lang w:val="fr-FR"/>
              </w:rPr>
            </w:pPr>
            <w:r w:rsidRPr="00944EE4">
              <w:rPr>
                <w:rFonts w:ascii="Times New Roman" w:hAnsi="Times New Roman" w:cs="Times New Roman"/>
              </w:rPr>
              <w:t>Annuaire Statistique Nationale</w:t>
            </w:r>
          </w:p>
        </w:tc>
      </w:tr>
      <w:tr w:rsidR="0031451C" w:rsidRPr="00944EE4" w14:paraId="53B9B410" w14:textId="77777777" w:rsidTr="00EC5658">
        <w:tc>
          <w:tcPr>
            <w:tcW w:w="2160" w:type="dxa"/>
          </w:tcPr>
          <w:p w14:paraId="255F185A" w14:textId="77777777" w:rsidR="0031451C" w:rsidRPr="00944EE4" w:rsidRDefault="00880F37" w:rsidP="007041DA">
            <w:pPr>
              <w:rPr>
                <w:rFonts w:ascii="Times New Roman" w:hAnsi="Times New Roman" w:cs="Times New Roman"/>
                <w:b/>
                <w:lang w:val="fr-FR"/>
              </w:rPr>
            </w:pPr>
            <w:r w:rsidRPr="00944EE4">
              <w:rPr>
                <w:rFonts w:ascii="Times New Roman" w:hAnsi="Times New Roman" w:cs="Times New Roman"/>
                <w:b/>
              </w:rPr>
              <w:t>Publications</w:t>
            </w:r>
          </w:p>
          <w:p w14:paraId="4C35F1B0" w14:textId="77777777" w:rsidR="0031451C" w:rsidRPr="00944EE4" w:rsidRDefault="0031451C" w:rsidP="007041DA">
            <w:pPr>
              <w:rPr>
                <w:rFonts w:ascii="Times New Roman" w:hAnsi="Times New Roman" w:cs="Times New Roman"/>
                <w:b/>
                <w:lang w:val="fr-FR"/>
              </w:rPr>
            </w:pPr>
          </w:p>
        </w:tc>
        <w:tc>
          <w:tcPr>
            <w:tcW w:w="2376" w:type="dxa"/>
          </w:tcPr>
          <w:p w14:paraId="4C85C13B" w14:textId="77777777" w:rsidR="0031451C" w:rsidRPr="00944EE4" w:rsidRDefault="00880F37" w:rsidP="007041DA">
            <w:pPr>
              <w:rPr>
                <w:rFonts w:ascii="Times New Roman" w:hAnsi="Times New Roman" w:cs="Times New Roman"/>
                <w:lang w:val="fr-FR"/>
              </w:rPr>
            </w:pPr>
            <w:r w:rsidRPr="00944EE4">
              <w:rPr>
                <w:rFonts w:ascii="Times New Roman" w:hAnsi="Times New Roman" w:cs="Times New Roman"/>
              </w:rPr>
              <w:t>Rapports OMD 2014</w:t>
            </w:r>
          </w:p>
          <w:p w14:paraId="4252DB89" w14:textId="77777777" w:rsidR="0031451C" w:rsidRPr="00944EE4" w:rsidRDefault="00880F37" w:rsidP="007041DA">
            <w:pPr>
              <w:rPr>
                <w:rFonts w:ascii="Times New Roman" w:hAnsi="Times New Roman" w:cs="Times New Roman"/>
                <w:lang w:val="fr-FR"/>
              </w:rPr>
            </w:pPr>
            <w:r w:rsidRPr="00944EE4">
              <w:rPr>
                <w:rFonts w:ascii="Times New Roman" w:hAnsi="Times New Roman" w:cs="Times New Roman"/>
              </w:rPr>
              <w:t>RNDH</w:t>
            </w:r>
          </w:p>
        </w:tc>
        <w:tc>
          <w:tcPr>
            <w:tcW w:w="2978" w:type="dxa"/>
          </w:tcPr>
          <w:p w14:paraId="7FBCEE35" w14:textId="77777777" w:rsidR="0031451C" w:rsidRPr="00944EE4" w:rsidRDefault="00880F37" w:rsidP="007041DA">
            <w:pPr>
              <w:rPr>
                <w:rFonts w:ascii="Times New Roman" w:hAnsi="Times New Roman" w:cs="Times New Roman"/>
                <w:lang w:val="fr-FR"/>
              </w:rPr>
            </w:pPr>
            <w:r w:rsidRPr="00944EE4">
              <w:rPr>
                <w:rFonts w:ascii="Times New Roman" w:hAnsi="Times New Roman" w:cs="Times New Roman"/>
              </w:rPr>
              <w:t>Rapport OMD finale</w:t>
            </w:r>
          </w:p>
          <w:p w14:paraId="0E0B667C" w14:textId="77777777" w:rsidR="0031451C" w:rsidRPr="00944EE4" w:rsidRDefault="0031451C" w:rsidP="007041DA">
            <w:pPr>
              <w:rPr>
                <w:rFonts w:ascii="Times New Roman" w:hAnsi="Times New Roman" w:cs="Times New Roman"/>
                <w:lang w:val="fr-FR"/>
              </w:rPr>
            </w:pPr>
          </w:p>
          <w:p w14:paraId="66676701" w14:textId="77777777" w:rsidR="0031451C" w:rsidRPr="00944EE4" w:rsidRDefault="00880F37" w:rsidP="007041DA">
            <w:pPr>
              <w:rPr>
                <w:rFonts w:ascii="Times New Roman" w:hAnsi="Times New Roman" w:cs="Times New Roman"/>
                <w:lang w:val="fr-FR"/>
              </w:rPr>
            </w:pPr>
            <w:r w:rsidRPr="00944EE4">
              <w:rPr>
                <w:rFonts w:ascii="Times New Roman" w:hAnsi="Times New Roman" w:cs="Times New Roman"/>
              </w:rPr>
              <w:t>RNDH</w:t>
            </w:r>
          </w:p>
        </w:tc>
        <w:tc>
          <w:tcPr>
            <w:tcW w:w="2409" w:type="dxa"/>
          </w:tcPr>
          <w:p w14:paraId="27E787E7" w14:textId="77777777" w:rsidR="0031451C" w:rsidRPr="00944EE4" w:rsidRDefault="00880F37" w:rsidP="007041DA">
            <w:pPr>
              <w:rPr>
                <w:rFonts w:ascii="Times New Roman" w:hAnsi="Times New Roman" w:cs="Times New Roman"/>
                <w:lang w:val="fr-FR"/>
              </w:rPr>
            </w:pPr>
            <w:r w:rsidRPr="00944EE4">
              <w:rPr>
                <w:rFonts w:ascii="Times New Roman" w:hAnsi="Times New Roman" w:cs="Times New Roman"/>
                <w:lang w:val="fr-FR"/>
              </w:rPr>
              <w:t>Rapport final de l’évaluation CSCRP</w:t>
            </w:r>
          </w:p>
          <w:p w14:paraId="78556A07" w14:textId="77777777" w:rsidR="0031451C" w:rsidRPr="00944EE4" w:rsidRDefault="00880F37" w:rsidP="007041DA">
            <w:pPr>
              <w:rPr>
                <w:rFonts w:ascii="Times New Roman" w:hAnsi="Times New Roman" w:cs="Times New Roman"/>
                <w:lang w:val="fr-FR"/>
              </w:rPr>
            </w:pPr>
            <w:r w:rsidRPr="00944EE4">
              <w:rPr>
                <w:rFonts w:ascii="Times New Roman" w:hAnsi="Times New Roman" w:cs="Times New Roman"/>
                <w:lang w:val="fr-FR"/>
              </w:rPr>
              <w:t>Rapport ODD</w:t>
            </w:r>
          </w:p>
          <w:p w14:paraId="7FD188D3" w14:textId="77777777" w:rsidR="0031451C" w:rsidRPr="00944EE4" w:rsidRDefault="00880F37" w:rsidP="007041DA">
            <w:pPr>
              <w:rPr>
                <w:rFonts w:ascii="Times New Roman" w:hAnsi="Times New Roman" w:cs="Times New Roman"/>
                <w:lang w:val="fr-FR"/>
              </w:rPr>
            </w:pPr>
            <w:r w:rsidRPr="00944EE4">
              <w:rPr>
                <w:rFonts w:ascii="Times New Roman" w:hAnsi="Times New Roman" w:cs="Times New Roman"/>
              </w:rPr>
              <w:t>RNDH</w:t>
            </w:r>
          </w:p>
        </w:tc>
        <w:tc>
          <w:tcPr>
            <w:tcW w:w="3104" w:type="dxa"/>
          </w:tcPr>
          <w:p w14:paraId="247AF147" w14:textId="77777777" w:rsidR="0031451C" w:rsidRPr="00944EE4" w:rsidRDefault="0031451C" w:rsidP="007041DA">
            <w:pPr>
              <w:rPr>
                <w:rFonts w:ascii="Times New Roman" w:hAnsi="Times New Roman" w:cs="Times New Roman"/>
                <w:lang w:val="fr-FR"/>
              </w:rPr>
            </w:pPr>
          </w:p>
          <w:p w14:paraId="1B86F68E" w14:textId="77777777" w:rsidR="0031451C" w:rsidRPr="00944EE4" w:rsidRDefault="00880F37" w:rsidP="007041DA">
            <w:pPr>
              <w:rPr>
                <w:rFonts w:ascii="Times New Roman" w:hAnsi="Times New Roman" w:cs="Times New Roman"/>
                <w:lang w:val="fr-FR"/>
              </w:rPr>
            </w:pPr>
            <w:r w:rsidRPr="00944EE4">
              <w:rPr>
                <w:rFonts w:ascii="Times New Roman" w:hAnsi="Times New Roman" w:cs="Times New Roman"/>
              </w:rPr>
              <w:t>RNDH</w:t>
            </w:r>
          </w:p>
        </w:tc>
        <w:tc>
          <w:tcPr>
            <w:tcW w:w="1715" w:type="dxa"/>
          </w:tcPr>
          <w:p w14:paraId="23AD5D2F" w14:textId="77777777" w:rsidR="0031451C" w:rsidRPr="00944EE4" w:rsidRDefault="00880F37" w:rsidP="007041DA">
            <w:pPr>
              <w:rPr>
                <w:rFonts w:ascii="Times New Roman" w:hAnsi="Times New Roman" w:cs="Times New Roman"/>
                <w:lang w:val="fr-FR"/>
              </w:rPr>
            </w:pPr>
            <w:r w:rsidRPr="00944EE4">
              <w:rPr>
                <w:rFonts w:ascii="Times New Roman" w:hAnsi="Times New Roman" w:cs="Times New Roman"/>
              </w:rPr>
              <w:t>Rapport ODD</w:t>
            </w:r>
          </w:p>
          <w:p w14:paraId="4CDCA55F" w14:textId="77777777" w:rsidR="0031451C" w:rsidRPr="00944EE4" w:rsidRDefault="0031451C" w:rsidP="007041DA">
            <w:pPr>
              <w:rPr>
                <w:rFonts w:ascii="Times New Roman" w:hAnsi="Times New Roman" w:cs="Times New Roman"/>
                <w:lang w:val="fr-FR"/>
              </w:rPr>
            </w:pPr>
          </w:p>
          <w:p w14:paraId="47C10A6C" w14:textId="77777777" w:rsidR="0031451C" w:rsidRPr="00944EE4" w:rsidRDefault="00880F37" w:rsidP="007041DA">
            <w:pPr>
              <w:rPr>
                <w:rFonts w:ascii="Times New Roman" w:hAnsi="Times New Roman" w:cs="Times New Roman"/>
                <w:lang w:val="fr-FR"/>
              </w:rPr>
            </w:pPr>
            <w:r w:rsidRPr="00944EE4">
              <w:rPr>
                <w:rFonts w:ascii="Times New Roman" w:hAnsi="Times New Roman" w:cs="Times New Roman"/>
              </w:rPr>
              <w:t>RNDH</w:t>
            </w:r>
          </w:p>
        </w:tc>
      </w:tr>
    </w:tbl>
    <w:p w14:paraId="163DBA0F" w14:textId="77777777" w:rsidR="0031451C" w:rsidRPr="00944EE4" w:rsidRDefault="0031451C" w:rsidP="0031451C">
      <w:pPr>
        <w:rPr>
          <w:rFonts w:ascii="Times New Roman" w:hAnsi="Times New Roman" w:cs="Times New Roman"/>
          <w:sz w:val="24"/>
          <w:szCs w:val="24"/>
        </w:rPr>
      </w:pPr>
    </w:p>
    <w:p w14:paraId="591788AC" w14:textId="77777777" w:rsidR="00E6799B" w:rsidRPr="00944EE4" w:rsidRDefault="00880F37">
      <w:pPr>
        <w:rPr>
          <w:rFonts w:ascii="Times New Roman" w:hAnsi="Times New Roman" w:cs="Times New Roman"/>
          <w:sz w:val="24"/>
          <w:szCs w:val="24"/>
        </w:rPr>
      </w:pPr>
      <w:r w:rsidRPr="00944EE4">
        <w:rPr>
          <w:rFonts w:ascii="Times New Roman" w:hAnsi="Times New Roman" w:cs="Times New Roman"/>
          <w:sz w:val="24"/>
          <w:szCs w:val="24"/>
        </w:rPr>
        <w:br w:type="page"/>
      </w:r>
    </w:p>
    <w:p w14:paraId="796A7B79" w14:textId="77777777" w:rsidR="00DD583B" w:rsidRPr="002E5C18" w:rsidRDefault="00DD583B" w:rsidP="00DD583B"/>
    <w:tbl>
      <w:tblPr>
        <w:tblStyle w:val="Grilledutableau"/>
        <w:tblW w:w="15168" w:type="dxa"/>
        <w:tblInd w:w="-318" w:type="dxa"/>
        <w:tblLayout w:type="fixed"/>
        <w:tblLook w:val="04A0" w:firstRow="1" w:lastRow="0" w:firstColumn="1" w:lastColumn="0" w:noHBand="0" w:noVBand="1"/>
      </w:tblPr>
      <w:tblGrid>
        <w:gridCol w:w="2590"/>
        <w:gridCol w:w="2583"/>
        <w:gridCol w:w="4123"/>
        <w:gridCol w:w="17"/>
        <w:gridCol w:w="3060"/>
        <w:gridCol w:w="1800"/>
        <w:gridCol w:w="995"/>
      </w:tblGrid>
      <w:tr w:rsidR="00DD583B" w:rsidRPr="002E5C18" w14:paraId="493FB601" w14:textId="77777777" w:rsidTr="005D2A90">
        <w:tc>
          <w:tcPr>
            <w:tcW w:w="15168" w:type="dxa"/>
            <w:gridSpan w:val="7"/>
          </w:tcPr>
          <w:p w14:paraId="050FC686" w14:textId="77777777" w:rsidR="00DD583B" w:rsidRPr="006749DE" w:rsidRDefault="00DD583B" w:rsidP="005D2A90">
            <w:pPr>
              <w:pStyle w:val="Titre2"/>
              <w:jc w:val="center"/>
              <w:outlineLvl w:val="1"/>
              <w:rPr>
                <w:color w:val="auto"/>
                <w:sz w:val="28"/>
                <w:szCs w:val="28"/>
                <w:lang w:val="fr-FR"/>
              </w:rPr>
            </w:pPr>
            <w:bookmarkStart w:id="19" w:name="_Toc509228618"/>
            <w:r w:rsidRPr="006749DE">
              <w:rPr>
                <w:rFonts w:cs="Calibri"/>
                <w:color w:val="auto"/>
                <w:sz w:val="28"/>
                <w:szCs w:val="28"/>
              </w:rPr>
              <w:t xml:space="preserve">Matrice des résultats UNDAF + : </w:t>
            </w:r>
            <w:r w:rsidRPr="006749DE">
              <w:rPr>
                <w:color w:val="auto"/>
                <w:sz w:val="28"/>
                <w:szCs w:val="28"/>
              </w:rPr>
              <w:t>Axe 1 Paix, Sécurité et réconciliation</w:t>
            </w:r>
            <w:bookmarkEnd w:id="19"/>
          </w:p>
        </w:tc>
      </w:tr>
      <w:tr w:rsidR="00DD583B" w:rsidRPr="002E5C18" w14:paraId="35A14680" w14:textId="77777777" w:rsidTr="005D2A90">
        <w:tc>
          <w:tcPr>
            <w:tcW w:w="15168" w:type="dxa"/>
            <w:gridSpan w:val="7"/>
            <w:shd w:val="clear" w:color="auto" w:fill="DBE5F1" w:themeFill="accent1" w:themeFillTint="33"/>
          </w:tcPr>
          <w:p w14:paraId="2C362E77" w14:textId="77777777" w:rsidR="00DD583B" w:rsidRDefault="00DD583B" w:rsidP="005D2A90">
            <w:pPr>
              <w:jc w:val="center"/>
              <w:rPr>
                <w:lang w:val="fr-FR"/>
              </w:rPr>
            </w:pPr>
            <w:r>
              <w:rPr>
                <w:rFonts w:cs="Calibri"/>
                <w:b/>
                <w:bCs/>
                <w:sz w:val="24"/>
                <w:szCs w:val="24"/>
              </w:rPr>
              <w:t>Priorité nationale</w:t>
            </w:r>
            <w:r>
              <w:rPr>
                <w:sz w:val="24"/>
                <w:szCs w:val="24"/>
              </w:rPr>
              <w:t>: R</w:t>
            </w:r>
            <w:r>
              <w:rPr>
                <w:rFonts w:cs="TimesNewRomanPSMT"/>
                <w:sz w:val="24"/>
                <w:szCs w:val="24"/>
              </w:rPr>
              <w:t>estauration de la sécurité des personnes et des biens sur l’ensemble du territoire national ; mise en œuvre d’une politique active de réconciliation nationale</w:t>
            </w:r>
          </w:p>
        </w:tc>
      </w:tr>
      <w:tr w:rsidR="00DD583B" w:rsidRPr="002E5C18" w14:paraId="58626D54" w14:textId="77777777" w:rsidTr="00186DD5">
        <w:tc>
          <w:tcPr>
            <w:tcW w:w="2590" w:type="dxa"/>
          </w:tcPr>
          <w:p w14:paraId="071A69FB" w14:textId="77777777" w:rsidR="00DD583B" w:rsidRPr="002E5C18" w:rsidRDefault="00DD583B" w:rsidP="005D2A90">
            <w:pPr>
              <w:rPr>
                <w:lang w:val="fr-FR"/>
              </w:rPr>
            </w:pPr>
            <w:r>
              <w:t>Effets UNDAF</w:t>
            </w:r>
          </w:p>
        </w:tc>
        <w:tc>
          <w:tcPr>
            <w:tcW w:w="2583" w:type="dxa"/>
          </w:tcPr>
          <w:p w14:paraId="1B606E9E" w14:textId="77777777" w:rsidR="00DD583B" w:rsidRPr="002E5C18" w:rsidRDefault="00DD583B" w:rsidP="005D2A90">
            <w:pPr>
              <w:rPr>
                <w:lang w:val="fr-FR"/>
              </w:rPr>
            </w:pPr>
            <w:r>
              <w:rPr>
                <w:rFonts w:cs="Calibri"/>
                <w:b/>
                <w:bCs/>
                <w:sz w:val="18"/>
                <w:szCs w:val="18"/>
              </w:rPr>
              <w:t>Indicateurs, lignes de base, Cible</w:t>
            </w:r>
          </w:p>
        </w:tc>
        <w:tc>
          <w:tcPr>
            <w:tcW w:w="4123" w:type="dxa"/>
          </w:tcPr>
          <w:p w14:paraId="5D807239" w14:textId="77777777" w:rsidR="00DD583B" w:rsidRPr="002E5C18" w:rsidRDefault="00DD583B" w:rsidP="005D2A90">
            <w:pPr>
              <w:rPr>
                <w:lang w:val="fr-FR"/>
              </w:rPr>
            </w:pPr>
            <w:r>
              <w:t>Fiche technique</w:t>
            </w:r>
          </w:p>
        </w:tc>
        <w:tc>
          <w:tcPr>
            <w:tcW w:w="3077" w:type="dxa"/>
            <w:gridSpan w:val="2"/>
            <w:vAlign w:val="center"/>
          </w:tcPr>
          <w:p w14:paraId="23AAD1D8" w14:textId="77777777" w:rsidR="00DD583B" w:rsidRPr="002E5C18" w:rsidRDefault="00DD583B" w:rsidP="005D2A90">
            <w:pPr>
              <w:rPr>
                <w:lang w:val="fr-FR"/>
              </w:rPr>
            </w:pPr>
            <w:r>
              <w:rPr>
                <w:rFonts w:cs="Calibri"/>
                <w:b/>
                <w:bCs/>
                <w:sz w:val="18"/>
                <w:szCs w:val="18"/>
              </w:rPr>
              <w:t>Risques et hypothèses</w:t>
            </w:r>
          </w:p>
        </w:tc>
        <w:tc>
          <w:tcPr>
            <w:tcW w:w="1800" w:type="dxa"/>
            <w:vAlign w:val="center"/>
          </w:tcPr>
          <w:p w14:paraId="6B411CD7" w14:textId="77777777" w:rsidR="00DD583B" w:rsidRPr="002E5C18" w:rsidRDefault="00DD583B" w:rsidP="005D2A90">
            <w:pPr>
              <w:rPr>
                <w:lang w:val="fr-FR"/>
              </w:rPr>
            </w:pPr>
            <w:r>
              <w:rPr>
                <w:rFonts w:cs="Calibri"/>
                <w:b/>
                <w:bCs/>
                <w:sz w:val="18"/>
                <w:szCs w:val="18"/>
              </w:rPr>
              <w:t>Rôle des  Partenaires</w:t>
            </w:r>
          </w:p>
        </w:tc>
        <w:tc>
          <w:tcPr>
            <w:tcW w:w="995" w:type="dxa"/>
          </w:tcPr>
          <w:p w14:paraId="3BFC47FC" w14:textId="77777777" w:rsidR="00DD583B" w:rsidRPr="00F51B57" w:rsidRDefault="00DD583B" w:rsidP="005D2A90">
            <w:r>
              <w:t>Ressources</w:t>
            </w:r>
          </w:p>
        </w:tc>
      </w:tr>
      <w:tr w:rsidR="00DD583B" w:rsidRPr="002E5C18" w14:paraId="70ECB7FA" w14:textId="77777777" w:rsidTr="00186DD5">
        <w:tc>
          <w:tcPr>
            <w:tcW w:w="2590" w:type="dxa"/>
            <w:vMerge w:val="restart"/>
            <w:shd w:val="clear" w:color="auto" w:fill="8DB3E2" w:themeFill="text2" w:themeFillTint="66"/>
          </w:tcPr>
          <w:p w14:paraId="5309271A" w14:textId="77777777" w:rsidR="00DD583B" w:rsidRDefault="00DD583B" w:rsidP="005D2A90">
            <w:pPr>
              <w:pStyle w:val="Corpsdetexte"/>
              <w:widowControl w:val="0"/>
              <w:snapToGrid w:val="0"/>
              <w:spacing w:line="240" w:lineRule="auto"/>
              <w:jc w:val="left"/>
              <w:rPr>
                <w:rFonts w:asciiTheme="minorHAnsi" w:hAnsiTheme="minorHAnsi"/>
                <w:b/>
                <w:i/>
                <w:sz w:val="20"/>
                <w:szCs w:val="20"/>
                <w:lang w:val="fr-FR"/>
              </w:rPr>
            </w:pPr>
            <w:r w:rsidRPr="00880F37">
              <w:rPr>
                <w:rFonts w:asciiTheme="minorHAnsi" w:hAnsiTheme="minorHAnsi" w:cstheme="minorHAnsi"/>
                <w:b/>
                <w:bCs/>
                <w:i/>
                <w:sz w:val="20"/>
                <w:szCs w:val="20"/>
                <w:u w:val="single"/>
              </w:rPr>
              <w:t>Effet 1</w:t>
            </w:r>
            <w:r w:rsidRPr="00880F37">
              <w:rPr>
                <w:rFonts w:asciiTheme="minorHAnsi" w:hAnsiTheme="minorHAnsi" w:cstheme="minorHAnsi"/>
                <w:b/>
                <w:bCs/>
                <w:i/>
                <w:sz w:val="20"/>
                <w:szCs w:val="20"/>
              </w:rPr>
              <w:t xml:space="preserve">: </w:t>
            </w:r>
            <w:r w:rsidRPr="00880F37">
              <w:rPr>
                <w:rFonts w:asciiTheme="minorHAnsi" w:hAnsiTheme="minorHAnsi"/>
                <w:b/>
                <w:i/>
                <w:sz w:val="20"/>
                <w:szCs w:val="20"/>
              </w:rPr>
              <w:t>La paix et la stabilisation sont assurées à travers un dialogue politique inclusif, une réforme des institutions concernées et la promotion d’une coexistence pacifique et le respect des droits humains</w:t>
            </w:r>
          </w:p>
          <w:p w14:paraId="212DE664" w14:textId="77777777" w:rsidR="00DD583B" w:rsidRDefault="00DD583B" w:rsidP="005D2A90">
            <w:pPr>
              <w:pStyle w:val="Corpsdetexte"/>
              <w:widowControl w:val="0"/>
              <w:snapToGrid w:val="0"/>
              <w:spacing w:line="240" w:lineRule="auto"/>
              <w:jc w:val="left"/>
              <w:rPr>
                <w:rFonts w:asciiTheme="minorHAnsi" w:hAnsiTheme="minorHAnsi"/>
                <w:b/>
                <w:i/>
                <w:sz w:val="20"/>
                <w:szCs w:val="20"/>
                <w:lang w:val="fr-FR"/>
              </w:rPr>
            </w:pPr>
          </w:p>
          <w:p w14:paraId="78EC4AEA" w14:textId="77777777" w:rsidR="00DD583B" w:rsidRPr="00FC2A60" w:rsidRDefault="00DD583B" w:rsidP="005D2A90">
            <w:pPr>
              <w:pStyle w:val="Corpsdetexte"/>
              <w:widowControl w:val="0"/>
              <w:snapToGrid w:val="0"/>
              <w:spacing w:line="240" w:lineRule="auto"/>
              <w:jc w:val="left"/>
              <w:rPr>
                <w:rFonts w:asciiTheme="minorHAnsi" w:hAnsiTheme="minorHAnsi" w:cstheme="minorHAnsi"/>
                <w:b/>
                <w:sz w:val="20"/>
                <w:szCs w:val="20"/>
                <w:lang w:val="en-US"/>
              </w:rPr>
            </w:pPr>
            <w:r w:rsidRPr="00880F37">
              <w:rPr>
                <w:rFonts w:asciiTheme="minorHAnsi" w:hAnsiTheme="minorHAnsi" w:cstheme="minorHAnsi"/>
                <w:b/>
                <w:sz w:val="20"/>
                <w:szCs w:val="20"/>
                <w:u w:val="single"/>
                <w:lang w:val="en-US"/>
              </w:rPr>
              <w:t>Lead</w:t>
            </w:r>
            <w:r w:rsidRPr="00880F37">
              <w:rPr>
                <w:rFonts w:asciiTheme="minorHAnsi" w:hAnsiTheme="minorHAnsi" w:cstheme="minorHAnsi"/>
                <w:b/>
                <w:sz w:val="20"/>
                <w:szCs w:val="20"/>
                <w:lang w:val="en-US"/>
              </w:rPr>
              <w:t xml:space="preserve"> : Gouvernement</w:t>
            </w:r>
          </w:p>
          <w:p w14:paraId="1C02E2E1" w14:textId="77777777" w:rsidR="00DD583B" w:rsidRPr="00FC2A60" w:rsidRDefault="00DD583B" w:rsidP="005D2A90">
            <w:pPr>
              <w:pStyle w:val="Corpsdetexte"/>
              <w:widowControl w:val="0"/>
              <w:snapToGrid w:val="0"/>
              <w:spacing w:line="240" w:lineRule="auto"/>
              <w:jc w:val="left"/>
              <w:rPr>
                <w:rFonts w:asciiTheme="minorHAnsi" w:hAnsiTheme="minorHAnsi" w:cstheme="minorHAnsi"/>
                <w:b/>
                <w:bCs/>
                <w:i/>
                <w:sz w:val="20"/>
                <w:szCs w:val="20"/>
                <w:u w:val="single"/>
                <w:lang w:val="en-US"/>
              </w:rPr>
            </w:pPr>
            <w:r w:rsidRPr="00880F37">
              <w:rPr>
                <w:rFonts w:asciiTheme="minorHAnsi" w:hAnsiTheme="minorHAnsi" w:cstheme="minorHAnsi"/>
                <w:b/>
                <w:sz w:val="20"/>
                <w:szCs w:val="20"/>
                <w:u w:val="single"/>
                <w:lang w:val="en-US"/>
              </w:rPr>
              <w:t>Co-lead</w:t>
            </w:r>
            <w:r w:rsidRPr="00880F37">
              <w:rPr>
                <w:rFonts w:asciiTheme="minorHAnsi" w:hAnsiTheme="minorHAnsi" w:cstheme="minorHAnsi"/>
                <w:b/>
                <w:sz w:val="20"/>
                <w:szCs w:val="20"/>
                <w:lang w:val="en-US"/>
              </w:rPr>
              <w:t> : MINUSMA Division SSR/DDR,  PAD</w:t>
            </w:r>
          </w:p>
          <w:p w14:paraId="35C68C8F" w14:textId="77777777" w:rsidR="00DD583B" w:rsidRPr="00FC2A60" w:rsidRDefault="00DD583B" w:rsidP="005D2A90">
            <w:pPr>
              <w:pStyle w:val="Corpsdetexte"/>
              <w:widowControl w:val="0"/>
              <w:snapToGrid w:val="0"/>
              <w:spacing w:line="240" w:lineRule="auto"/>
              <w:jc w:val="left"/>
              <w:rPr>
                <w:rFonts w:asciiTheme="minorHAnsi" w:hAnsiTheme="minorHAnsi" w:cstheme="minorHAnsi"/>
                <w:sz w:val="20"/>
                <w:szCs w:val="20"/>
                <w:lang w:val="en-US"/>
              </w:rPr>
            </w:pPr>
          </w:p>
          <w:p w14:paraId="1D0B13FB" w14:textId="77777777" w:rsidR="00DD583B" w:rsidRPr="002E5C18" w:rsidRDefault="00DD583B" w:rsidP="005D2A90">
            <w:pPr>
              <w:pStyle w:val="Corpsdetexte"/>
              <w:widowControl w:val="0"/>
              <w:snapToGrid w:val="0"/>
              <w:spacing w:line="240" w:lineRule="auto"/>
              <w:jc w:val="left"/>
              <w:rPr>
                <w:rFonts w:asciiTheme="minorHAnsi" w:hAnsiTheme="minorHAnsi" w:cstheme="minorHAnsi"/>
                <w:sz w:val="20"/>
                <w:szCs w:val="20"/>
                <w:lang w:val="fr-FR"/>
              </w:rPr>
            </w:pPr>
            <w:r w:rsidRPr="00880F37">
              <w:rPr>
                <w:rFonts w:asciiTheme="minorHAnsi" w:hAnsiTheme="minorHAnsi" w:cstheme="minorHAnsi"/>
                <w:b/>
                <w:sz w:val="20"/>
                <w:szCs w:val="20"/>
                <w:u w:val="single"/>
              </w:rPr>
              <w:t>Autres</w:t>
            </w:r>
            <w:r w:rsidRPr="00880F37">
              <w:rPr>
                <w:rFonts w:asciiTheme="minorHAnsi" w:hAnsiTheme="minorHAnsi" w:cstheme="minorHAnsi"/>
                <w:sz w:val="20"/>
                <w:szCs w:val="20"/>
              </w:rPr>
              <w:t xml:space="preserve"> : Médiation, Affaires Civiles, UNDP, UNODC, UNMAS, UNPOL, UNICEF, HRD, Genre, IOM, ONUFEMMES</w:t>
            </w:r>
          </w:p>
          <w:p w14:paraId="4D0A4958" w14:textId="77777777" w:rsidR="00DD583B" w:rsidRPr="002E5C18" w:rsidRDefault="00DD583B" w:rsidP="005D2A90">
            <w:pPr>
              <w:pStyle w:val="Corpsdetexte"/>
              <w:widowControl w:val="0"/>
              <w:snapToGrid w:val="0"/>
              <w:spacing w:line="240" w:lineRule="auto"/>
              <w:jc w:val="left"/>
              <w:rPr>
                <w:rFonts w:asciiTheme="minorHAnsi" w:hAnsiTheme="minorHAnsi" w:cstheme="minorHAnsi"/>
                <w:sz w:val="20"/>
                <w:szCs w:val="20"/>
                <w:lang w:val="fr-FR"/>
              </w:rPr>
            </w:pPr>
          </w:p>
          <w:p w14:paraId="1EAC818C" w14:textId="77777777" w:rsidR="00DD583B" w:rsidRDefault="00DD583B" w:rsidP="005D2A90">
            <w:pPr>
              <w:widowControl w:val="0"/>
              <w:snapToGrid w:val="0"/>
              <w:ind w:left="-2" w:right="-144"/>
              <w:rPr>
                <w:rFonts w:cstheme="minorHAnsi"/>
                <w:sz w:val="18"/>
                <w:szCs w:val="18"/>
                <w:lang w:val="fr-FR"/>
              </w:rPr>
            </w:pPr>
            <w:r>
              <w:rPr>
                <w:rFonts w:cstheme="minorHAnsi"/>
                <w:sz w:val="18"/>
                <w:szCs w:val="18"/>
              </w:rPr>
              <w:t xml:space="preserve">WB, MISAHEL, EUTM/EUCAP, Ambassades, </w:t>
            </w:r>
          </w:p>
        </w:tc>
        <w:tc>
          <w:tcPr>
            <w:tcW w:w="2583" w:type="dxa"/>
          </w:tcPr>
          <w:p w14:paraId="5AF2A3C3" w14:textId="77777777" w:rsidR="00DD583B" w:rsidRDefault="00DD583B" w:rsidP="005D2A90">
            <w:pPr>
              <w:snapToGrid w:val="0"/>
              <w:rPr>
                <w:rFonts w:cs="Times New Roman"/>
                <w:sz w:val="18"/>
                <w:szCs w:val="18"/>
              </w:rPr>
            </w:pPr>
            <w:r w:rsidRPr="004D4BFB">
              <w:rPr>
                <w:rFonts w:ascii="Times New Roman" w:hAnsi="Times New Roman" w:cs="Times New Roman"/>
              </w:rPr>
              <w:t xml:space="preserve">Nombre d’incidents </w:t>
            </w:r>
            <w:r>
              <w:rPr>
                <w:rFonts w:ascii="Times New Roman" w:hAnsi="Times New Roman" w:cs="Times New Roman"/>
              </w:rPr>
              <w:t xml:space="preserve">(par types ) </w:t>
            </w:r>
            <w:r w:rsidRPr="004D4BFB">
              <w:rPr>
                <w:rFonts w:ascii="Times New Roman" w:hAnsi="Times New Roman" w:cs="Times New Roman"/>
              </w:rPr>
              <w:t>de sécurité associés au conflit ou à ses conséquences</w:t>
            </w:r>
            <w:r w:rsidRPr="004D4BFB">
              <w:rPr>
                <w:rFonts w:cs="Times New Roman"/>
                <w:sz w:val="18"/>
                <w:szCs w:val="18"/>
              </w:rPr>
              <w:t xml:space="preserve"> </w:t>
            </w:r>
          </w:p>
          <w:p w14:paraId="298149C1" w14:textId="77777777" w:rsidR="00DD583B" w:rsidRPr="004D4BFB" w:rsidRDefault="00DD583B" w:rsidP="005D2A90">
            <w:pPr>
              <w:snapToGrid w:val="0"/>
              <w:rPr>
                <w:rFonts w:cs="Times New Roman"/>
                <w:sz w:val="18"/>
                <w:szCs w:val="18"/>
                <w:lang w:val="fr-FR"/>
              </w:rPr>
            </w:pPr>
          </w:p>
          <w:p w14:paraId="5FF749C0" w14:textId="77777777" w:rsidR="00DD583B" w:rsidRDefault="00DD583B" w:rsidP="005D2A90">
            <w:pPr>
              <w:snapToGrid w:val="0"/>
              <w:rPr>
                <w:rFonts w:ascii="Calibri" w:hAnsi="Calibri"/>
                <w:sz w:val="18"/>
                <w:szCs w:val="18"/>
              </w:rPr>
            </w:pPr>
            <w:r w:rsidRPr="004D4BFB">
              <w:rPr>
                <w:rFonts w:ascii="Calibri" w:hAnsi="Calibri"/>
                <w:sz w:val="18"/>
                <w:szCs w:val="18"/>
              </w:rPr>
              <w:t xml:space="preserve">Base 2014 : 722 ; </w:t>
            </w:r>
          </w:p>
          <w:p w14:paraId="2CD54662" w14:textId="503BD6AD"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 xml:space="preserve">904 (donnees </w:t>
            </w:r>
            <w:r w:rsidR="00170DB3">
              <w:rPr>
                <w:rFonts w:ascii="Calibri" w:hAnsi="Calibri"/>
                <w:color w:val="FF0000"/>
                <w:sz w:val="18"/>
                <w:szCs w:val="18"/>
              </w:rPr>
              <w:t xml:space="preserve">de </w:t>
            </w:r>
            <w:r>
              <w:rPr>
                <w:rFonts w:ascii="Calibri" w:hAnsi="Calibri"/>
                <w:color w:val="FF0000"/>
                <w:sz w:val="18"/>
                <w:szCs w:val="18"/>
              </w:rPr>
              <w:t>2016)</w:t>
            </w:r>
          </w:p>
          <w:p w14:paraId="0CF9EC34" w14:textId="77777777" w:rsidR="00DD583B" w:rsidRPr="004D4BFB" w:rsidRDefault="00DD583B" w:rsidP="005D2A90">
            <w:pPr>
              <w:snapToGrid w:val="0"/>
              <w:rPr>
                <w:rFonts w:ascii="Calibri" w:hAnsi="Calibri"/>
                <w:sz w:val="18"/>
                <w:szCs w:val="18"/>
                <w:lang w:val="fr-FR"/>
              </w:rPr>
            </w:pPr>
            <w:r w:rsidRPr="004D4BFB">
              <w:rPr>
                <w:rFonts w:ascii="Calibri" w:hAnsi="Calibri"/>
                <w:sz w:val="18"/>
                <w:szCs w:val="18"/>
              </w:rPr>
              <w:t>Cible 2019 : 0</w:t>
            </w:r>
          </w:p>
          <w:p w14:paraId="6AE74F1F" w14:textId="77777777" w:rsidR="00DD583B" w:rsidRDefault="00DD583B" w:rsidP="005D2A90">
            <w:pPr>
              <w:rPr>
                <w:lang w:val="fr-FR"/>
              </w:rPr>
            </w:pPr>
          </w:p>
          <w:p w14:paraId="46D335FF" w14:textId="77777777" w:rsidR="00DD583B" w:rsidRDefault="00DD583B" w:rsidP="005D2A90">
            <w:pPr>
              <w:rPr>
                <w:lang w:val="fr-FR"/>
              </w:rPr>
            </w:pPr>
          </w:p>
          <w:p w14:paraId="2FCB5A78" w14:textId="77777777" w:rsidR="00DD583B" w:rsidRDefault="00DD583B" w:rsidP="005D2A90">
            <w:pPr>
              <w:rPr>
                <w:lang w:val="fr-FR"/>
              </w:rPr>
            </w:pPr>
          </w:p>
          <w:p w14:paraId="275A777A" w14:textId="77777777" w:rsidR="00DD583B" w:rsidRDefault="00DD583B" w:rsidP="005D2A90">
            <w:pPr>
              <w:rPr>
                <w:lang w:val="fr-FR"/>
              </w:rPr>
            </w:pPr>
          </w:p>
          <w:p w14:paraId="54A63A8B" w14:textId="77777777" w:rsidR="00DD583B" w:rsidRDefault="00DD583B" w:rsidP="005D2A90">
            <w:pPr>
              <w:rPr>
                <w:lang w:val="fr-FR"/>
              </w:rPr>
            </w:pPr>
          </w:p>
          <w:p w14:paraId="0820BB52" w14:textId="77777777" w:rsidR="00DD583B" w:rsidRDefault="00DD583B" w:rsidP="005D2A90">
            <w:pPr>
              <w:rPr>
                <w:lang w:val="fr-FR"/>
              </w:rPr>
            </w:pPr>
          </w:p>
          <w:p w14:paraId="6ABEDD94" w14:textId="77777777" w:rsidR="00DD583B" w:rsidRDefault="00DD583B" w:rsidP="005D2A90">
            <w:pPr>
              <w:rPr>
                <w:lang w:val="fr-FR"/>
              </w:rPr>
            </w:pPr>
          </w:p>
          <w:p w14:paraId="374757B9" w14:textId="77777777" w:rsidR="00DD583B" w:rsidRDefault="00DD583B" w:rsidP="005D2A90">
            <w:pPr>
              <w:rPr>
                <w:lang w:val="fr-FR"/>
              </w:rPr>
            </w:pPr>
          </w:p>
          <w:p w14:paraId="46FD2FB2" w14:textId="77777777" w:rsidR="00DD583B" w:rsidRDefault="00DD583B" w:rsidP="005D2A90">
            <w:pPr>
              <w:rPr>
                <w:lang w:val="fr-FR"/>
              </w:rPr>
            </w:pPr>
          </w:p>
          <w:p w14:paraId="7A1B912F" w14:textId="77777777" w:rsidR="00DD583B" w:rsidRDefault="00DD583B" w:rsidP="005D2A90">
            <w:pPr>
              <w:rPr>
                <w:lang w:val="fr-FR"/>
              </w:rPr>
            </w:pPr>
          </w:p>
          <w:p w14:paraId="0E9DA9E5" w14:textId="77777777" w:rsidR="00DD583B" w:rsidRDefault="00DD583B" w:rsidP="005D2A90">
            <w:pPr>
              <w:rPr>
                <w:lang w:val="fr-FR"/>
              </w:rPr>
            </w:pPr>
          </w:p>
          <w:p w14:paraId="518B665F" w14:textId="77777777" w:rsidR="00DD583B" w:rsidRDefault="00DD583B" w:rsidP="005D2A90">
            <w:pPr>
              <w:rPr>
                <w:lang w:val="fr-FR"/>
              </w:rPr>
            </w:pPr>
          </w:p>
          <w:p w14:paraId="6BE31C7B" w14:textId="77777777" w:rsidR="00DD583B" w:rsidRDefault="00DD583B" w:rsidP="005D2A90">
            <w:pPr>
              <w:rPr>
                <w:lang w:val="fr-FR"/>
              </w:rPr>
            </w:pPr>
          </w:p>
          <w:p w14:paraId="39E73BF1" w14:textId="77777777" w:rsidR="00DD583B" w:rsidRDefault="00DD583B" w:rsidP="005D2A90">
            <w:pPr>
              <w:snapToGrid w:val="0"/>
              <w:rPr>
                <w:rFonts w:cs="Times New Roman"/>
                <w:sz w:val="18"/>
                <w:szCs w:val="18"/>
              </w:rPr>
            </w:pPr>
            <w:r w:rsidRPr="00B57ABF">
              <w:rPr>
                <w:rFonts w:ascii="Times New Roman" w:hAnsi="Times New Roman" w:cs="Times New Roman"/>
              </w:rPr>
              <w:t>Nombre de victimes  d’incidents de sécurité associés au conflit ou à ses conséquences (décomposé  en H/F, Militaires, civiles, Moins de 18 ans et adultes)</w:t>
            </w:r>
            <w:r w:rsidRPr="00B57ABF">
              <w:rPr>
                <w:rFonts w:cs="Times New Roman"/>
                <w:sz w:val="18"/>
                <w:szCs w:val="18"/>
              </w:rPr>
              <w:t xml:space="preserve"> </w:t>
            </w:r>
          </w:p>
          <w:p w14:paraId="76F35D52" w14:textId="77777777" w:rsidR="00DD583B" w:rsidRPr="00B57ABF" w:rsidRDefault="00DD583B" w:rsidP="005D2A90">
            <w:pPr>
              <w:snapToGrid w:val="0"/>
              <w:rPr>
                <w:rFonts w:cs="Times New Roman"/>
                <w:sz w:val="18"/>
                <w:szCs w:val="18"/>
                <w:lang w:val="fr-FR"/>
              </w:rPr>
            </w:pPr>
          </w:p>
          <w:p w14:paraId="71500BA5" w14:textId="77777777" w:rsidR="00DD583B" w:rsidRDefault="00DD583B" w:rsidP="005D2A90">
            <w:pPr>
              <w:snapToGrid w:val="0"/>
              <w:rPr>
                <w:rFonts w:ascii="Calibri" w:hAnsi="Calibri"/>
                <w:sz w:val="18"/>
                <w:szCs w:val="18"/>
              </w:rPr>
            </w:pPr>
            <w:r w:rsidRPr="00B57ABF">
              <w:rPr>
                <w:rFonts w:ascii="Calibri" w:hAnsi="Calibri"/>
                <w:sz w:val="18"/>
                <w:szCs w:val="18"/>
              </w:rPr>
              <w:t xml:space="preserve">Base  : </w:t>
            </w:r>
          </w:p>
          <w:p w14:paraId="26DBB8B2"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493 (Donnees de 2016)</w:t>
            </w:r>
          </w:p>
          <w:p w14:paraId="5600A073" w14:textId="4D7F0C11" w:rsidR="00DD583B" w:rsidRPr="00DD583B" w:rsidRDefault="00DD583B" w:rsidP="00DD583B">
            <w:pPr>
              <w:snapToGrid w:val="0"/>
              <w:rPr>
                <w:rFonts w:ascii="Calibri" w:hAnsi="Calibri"/>
                <w:sz w:val="18"/>
                <w:szCs w:val="18"/>
                <w:lang w:val="fr-FR"/>
              </w:rPr>
            </w:pPr>
            <w:r w:rsidRPr="00B57ABF">
              <w:rPr>
                <w:rFonts w:ascii="Calibri" w:hAnsi="Calibri"/>
                <w:sz w:val="18"/>
                <w:szCs w:val="18"/>
              </w:rPr>
              <w:t>Cible 2019 : 0</w:t>
            </w:r>
          </w:p>
        </w:tc>
        <w:tc>
          <w:tcPr>
            <w:tcW w:w="4123" w:type="dxa"/>
            <w:vAlign w:val="center"/>
          </w:tcPr>
          <w:p w14:paraId="711849FF" w14:textId="77777777" w:rsidR="00DD583B" w:rsidRPr="004D4BFB" w:rsidRDefault="00DD583B" w:rsidP="005D2A90">
            <w:pPr>
              <w:rPr>
                <w:rFonts w:ascii="Times New Roman" w:hAnsi="Times New Roman" w:cs="Times New Roman"/>
                <w:lang w:val="fr-FR"/>
              </w:rPr>
            </w:pPr>
            <w:r w:rsidRPr="00CE2384">
              <w:rPr>
                <w:rFonts w:ascii="Times New Roman" w:hAnsi="Times New Roman" w:cs="Times New Roman"/>
                <w:u w:val="single"/>
              </w:rPr>
              <w:t>Mode de calcul</w:t>
            </w:r>
            <w:r w:rsidRPr="004D4BFB">
              <w:rPr>
                <w:rFonts w:ascii="Times New Roman" w:hAnsi="Times New Roman" w:cs="Times New Roman"/>
              </w:rPr>
              <w:t> : Dénombrement auprès des entités UN/Effet1 des institutions régionales, nationales publiques/parapubliques renforcées en gestion de conflit/paix/</w:t>
            </w:r>
            <w:r>
              <w:rPr>
                <w:rFonts w:ascii="Times New Roman" w:hAnsi="Times New Roman" w:cs="Times New Roman"/>
              </w:rPr>
              <w:t xml:space="preserve"> </w:t>
            </w:r>
            <w:r w:rsidRPr="004D4BFB">
              <w:rPr>
                <w:rFonts w:ascii="Times New Roman" w:hAnsi="Times New Roman" w:cs="Times New Roman"/>
              </w:rPr>
              <w:t>réconciliation</w:t>
            </w:r>
            <w:r>
              <w:rPr>
                <w:rFonts w:ascii="Times New Roman" w:hAnsi="Times New Roman" w:cs="Times New Roman"/>
              </w:rPr>
              <w:t>.</w:t>
            </w:r>
            <w:r w:rsidRPr="004D4BFB">
              <w:t xml:space="preserve"> </w:t>
            </w:r>
          </w:p>
          <w:p w14:paraId="4BDB9CE5" w14:textId="77777777" w:rsidR="00DD583B" w:rsidRPr="00CE2384" w:rsidRDefault="00DD583B" w:rsidP="005D2A90">
            <w:pPr>
              <w:rPr>
                <w:rFonts w:ascii="Times New Roman" w:hAnsi="Times New Roman" w:cs="Times New Roman"/>
                <w:u w:val="single"/>
                <w:lang w:val="fr-FR"/>
              </w:rPr>
            </w:pPr>
            <w:r w:rsidRPr="00CE2384">
              <w:rPr>
                <w:u w:val="single"/>
              </w:rPr>
              <w:t>Moyens de vérification/</w:t>
            </w:r>
            <w:r w:rsidRPr="00CE2384">
              <w:rPr>
                <w:rFonts w:ascii="Times New Roman" w:hAnsi="Times New Roman" w:cs="Times New Roman"/>
                <w:u w:val="single"/>
              </w:rPr>
              <w:t>Sources de données</w:t>
            </w:r>
            <w:r w:rsidRPr="00CE2384">
              <w:rPr>
                <w:u w:val="single"/>
              </w:rPr>
              <w:t xml:space="preserve">: </w:t>
            </w:r>
          </w:p>
          <w:p w14:paraId="431ECE57" w14:textId="77777777" w:rsidR="00DD583B" w:rsidRPr="004D4BFB" w:rsidRDefault="00DD583B" w:rsidP="005D2A90">
            <w:pPr>
              <w:numPr>
                <w:ilvl w:val="0"/>
                <w:numId w:val="8"/>
              </w:numPr>
              <w:ind w:left="357" w:hanging="357"/>
              <w:rPr>
                <w:rFonts w:ascii="Times New Roman" w:hAnsi="Times New Roman" w:cs="Times New Roman"/>
                <w:lang w:val="fr-FR"/>
              </w:rPr>
            </w:pPr>
            <w:r w:rsidRPr="004D4BFB">
              <w:rPr>
                <w:rFonts w:ascii="Times New Roman" w:hAnsi="Times New Roman" w:cs="Times New Roman"/>
              </w:rPr>
              <w:t>Données SNU/Effet1:</w:t>
            </w:r>
            <w:r w:rsidRPr="004D4BFB">
              <w:rPr>
                <w:rFonts w:cstheme="minorHAnsi"/>
                <w:bCs/>
                <w:sz w:val="18"/>
                <w:szCs w:val="18"/>
              </w:rPr>
              <w:t xml:space="preserve"> </w:t>
            </w:r>
            <w:r w:rsidRPr="00F51B57">
              <w:rPr>
                <w:rFonts w:cstheme="minorHAnsi"/>
                <w:b/>
                <w:bCs/>
                <w:sz w:val="18"/>
                <w:szCs w:val="18"/>
              </w:rPr>
              <w:t>MINUSMA</w:t>
            </w:r>
            <w:r>
              <w:rPr>
                <w:rFonts w:cstheme="minorHAnsi"/>
                <w:bCs/>
                <w:sz w:val="18"/>
                <w:szCs w:val="18"/>
              </w:rPr>
              <w:t xml:space="preserve">,  </w:t>
            </w:r>
            <w:r w:rsidRPr="004D4BFB">
              <w:rPr>
                <w:rFonts w:cstheme="minorHAnsi"/>
                <w:bCs/>
                <w:sz w:val="18"/>
                <w:szCs w:val="18"/>
              </w:rPr>
              <w:t xml:space="preserve">Accords sécuritaires et politiques; Rapports UNDSS, </w:t>
            </w:r>
            <w:r w:rsidRPr="004D4BFB">
              <w:rPr>
                <w:rFonts w:cstheme="minorHAnsi"/>
                <w:sz w:val="18"/>
                <w:szCs w:val="18"/>
              </w:rPr>
              <w:t xml:space="preserve">Rapports  JMAC, JOC, UNDSS, UNPOL, Force, Civil Affairs et Droits de l’homme. Plan décennal de la réconciliation ; Plan d’action d’exécution de l’Accord ; </w:t>
            </w:r>
            <w:r>
              <w:rPr>
                <w:rFonts w:cstheme="minorHAnsi"/>
                <w:sz w:val="18"/>
                <w:szCs w:val="18"/>
              </w:rPr>
              <w:t xml:space="preserve">Rapport CNDH, ONG Demeso, </w:t>
            </w:r>
            <w:r w:rsidRPr="004D4BFB">
              <w:rPr>
                <w:rFonts w:cstheme="minorHAnsi"/>
                <w:sz w:val="18"/>
                <w:szCs w:val="18"/>
              </w:rPr>
              <w:t>revues</w:t>
            </w:r>
          </w:p>
          <w:p w14:paraId="0FDEAE95" w14:textId="77777777" w:rsidR="00DD583B" w:rsidRPr="004D4BFB" w:rsidRDefault="00DD583B" w:rsidP="005D2A90">
            <w:pPr>
              <w:numPr>
                <w:ilvl w:val="0"/>
                <w:numId w:val="8"/>
              </w:numPr>
              <w:ind w:left="357" w:hanging="357"/>
              <w:rPr>
                <w:rFonts w:ascii="Times New Roman" w:hAnsi="Times New Roman" w:cs="Times New Roman"/>
                <w:lang w:val="fr-FR"/>
              </w:rPr>
            </w:pPr>
            <w:r w:rsidRPr="004D4BFB">
              <w:rPr>
                <w:rFonts w:ascii="Times New Roman" w:hAnsi="Times New Roman" w:cs="Times New Roman"/>
              </w:rPr>
              <w:t>Périodicité : Annuelle ou moins</w:t>
            </w:r>
          </w:p>
          <w:p w14:paraId="6CDC4ED6" w14:textId="77777777" w:rsidR="00DD583B" w:rsidRPr="004D4BFB" w:rsidRDefault="00DD583B" w:rsidP="005D2A90">
            <w:pPr>
              <w:pStyle w:val="Paragraphedeliste"/>
              <w:numPr>
                <w:ilvl w:val="0"/>
                <w:numId w:val="8"/>
              </w:numPr>
              <w:ind w:left="357" w:hanging="357"/>
              <w:rPr>
                <w:lang w:val="fr-FR"/>
              </w:rPr>
            </w:pPr>
            <w:r w:rsidRPr="004D4BFB">
              <w:rPr>
                <w:rFonts w:ascii="Times New Roman" w:hAnsi="Times New Roman" w:cs="Times New Roman"/>
              </w:rPr>
              <w:t>Maître d’œuvre : Groupe de Résultat</w:t>
            </w:r>
            <w:r>
              <w:rPr>
                <w:rFonts w:ascii="Times New Roman" w:hAnsi="Times New Roman" w:cs="Times New Roman"/>
              </w:rPr>
              <w:t xml:space="preserve"> UNDAF+ (Axe1)</w:t>
            </w:r>
          </w:p>
          <w:p w14:paraId="5AC9573C" w14:textId="77777777" w:rsidR="00DD583B" w:rsidRPr="004D4BFB" w:rsidRDefault="00DD583B" w:rsidP="005D2A90">
            <w:pPr>
              <w:rPr>
                <w:lang w:val="fr-FR"/>
              </w:rPr>
            </w:pPr>
          </w:p>
          <w:p w14:paraId="79247D6C" w14:textId="77777777" w:rsidR="00DD583B" w:rsidRPr="004D4BFB" w:rsidRDefault="00DD583B" w:rsidP="005D2A90">
            <w:pPr>
              <w:rPr>
                <w:lang w:val="fr-FR"/>
              </w:rPr>
            </w:pPr>
          </w:p>
          <w:p w14:paraId="07EC9644" w14:textId="77777777" w:rsidR="00DD583B" w:rsidRPr="004D4BFB" w:rsidRDefault="00DD583B" w:rsidP="005D2A90">
            <w:pPr>
              <w:rPr>
                <w:lang w:val="fr-FR"/>
              </w:rPr>
            </w:pPr>
          </w:p>
          <w:p w14:paraId="1A4D7643" w14:textId="77777777" w:rsidR="00DD583B" w:rsidRPr="004D4BFB" w:rsidRDefault="00DD583B" w:rsidP="005D2A90">
            <w:pPr>
              <w:rPr>
                <w:lang w:val="fr-FR"/>
              </w:rPr>
            </w:pPr>
          </w:p>
          <w:p w14:paraId="28BEADBA" w14:textId="77777777" w:rsidR="00DD583B" w:rsidRPr="004D4BFB" w:rsidRDefault="00DD583B" w:rsidP="005D2A90">
            <w:pPr>
              <w:rPr>
                <w:lang w:val="fr-FR"/>
              </w:rPr>
            </w:pPr>
          </w:p>
          <w:p w14:paraId="361B73B1" w14:textId="77777777" w:rsidR="00DD583B" w:rsidRPr="004D4BFB" w:rsidRDefault="00DD583B" w:rsidP="005D2A90">
            <w:pPr>
              <w:rPr>
                <w:lang w:val="fr-FR"/>
              </w:rPr>
            </w:pPr>
          </w:p>
          <w:p w14:paraId="56320CD7" w14:textId="77777777" w:rsidR="00DD583B" w:rsidRPr="004D4BFB" w:rsidRDefault="00DD583B" w:rsidP="005D2A90">
            <w:pPr>
              <w:rPr>
                <w:lang w:val="fr-FR"/>
              </w:rPr>
            </w:pPr>
          </w:p>
          <w:p w14:paraId="59236F24" w14:textId="77777777" w:rsidR="00DD583B" w:rsidRPr="004D4BFB" w:rsidRDefault="00DD583B" w:rsidP="005D2A90">
            <w:pPr>
              <w:rPr>
                <w:lang w:val="fr-FR"/>
              </w:rPr>
            </w:pPr>
          </w:p>
        </w:tc>
        <w:tc>
          <w:tcPr>
            <w:tcW w:w="3077" w:type="dxa"/>
            <w:gridSpan w:val="2"/>
          </w:tcPr>
          <w:p w14:paraId="3F6BAC84" w14:textId="77777777" w:rsidR="00DD583B" w:rsidRPr="004D4BFB" w:rsidRDefault="00DD583B" w:rsidP="005D2A90">
            <w:pPr>
              <w:widowControl w:val="0"/>
              <w:snapToGrid w:val="0"/>
              <w:rPr>
                <w:rFonts w:cstheme="minorHAnsi"/>
                <w:sz w:val="18"/>
                <w:szCs w:val="18"/>
                <w:lang w:val="fr-FR"/>
              </w:rPr>
            </w:pPr>
            <w:r>
              <w:rPr>
                <w:rFonts w:cstheme="minorHAnsi"/>
                <w:sz w:val="18"/>
                <w:szCs w:val="18"/>
              </w:rPr>
              <w:t>Dégrada</w:t>
            </w:r>
            <w:r w:rsidRPr="004D4BFB">
              <w:rPr>
                <w:rFonts w:cstheme="minorHAnsi"/>
                <w:sz w:val="18"/>
                <w:szCs w:val="18"/>
              </w:rPr>
              <w:t>tion de la situation sécuritaire et développement de la logique de régionali</w:t>
            </w:r>
            <w:r>
              <w:rPr>
                <w:rFonts w:cstheme="minorHAnsi"/>
                <w:sz w:val="18"/>
                <w:szCs w:val="18"/>
              </w:rPr>
              <w:t>sation de la crise sécuritaire.</w:t>
            </w:r>
          </w:p>
          <w:p w14:paraId="20C62822" w14:textId="77777777" w:rsidR="00DD583B" w:rsidRPr="004D4BFB" w:rsidRDefault="00DD583B" w:rsidP="005D2A90">
            <w:pPr>
              <w:widowControl w:val="0"/>
              <w:snapToGrid w:val="0"/>
              <w:rPr>
                <w:rFonts w:cstheme="minorHAnsi"/>
                <w:sz w:val="18"/>
                <w:szCs w:val="18"/>
                <w:lang w:val="fr-FR"/>
              </w:rPr>
            </w:pPr>
          </w:p>
          <w:p w14:paraId="6CFE7492"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t xml:space="preserve">L’opérationalisation du G5 Sahel peut contribuer à diminuer l’insécurié au Mali; </w:t>
            </w:r>
          </w:p>
          <w:p w14:paraId="78CAE52B"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t>En revanche toute lenteur dans la mise en oeubre du G5 Sahel est un handicap de plus à la stabilisation du pays</w:t>
            </w:r>
            <w:r>
              <w:rPr>
                <w:rFonts w:cstheme="minorHAnsi"/>
                <w:sz w:val="18"/>
                <w:szCs w:val="18"/>
              </w:rPr>
              <w:t>.</w:t>
            </w:r>
          </w:p>
          <w:p w14:paraId="1AC6A4A0" w14:textId="77777777" w:rsidR="00DD583B" w:rsidRPr="004D4BFB" w:rsidRDefault="00DD583B" w:rsidP="005D2A90">
            <w:pPr>
              <w:rPr>
                <w:lang w:val="fr-FR"/>
              </w:rPr>
            </w:pPr>
          </w:p>
        </w:tc>
        <w:tc>
          <w:tcPr>
            <w:tcW w:w="1800" w:type="dxa"/>
          </w:tcPr>
          <w:p w14:paraId="51A6474B" w14:textId="77777777" w:rsidR="00DD583B" w:rsidRPr="002E5C18" w:rsidRDefault="00DD583B" w:rsidP="005D2A90">
            <w:pPr>
              <w:widowControl w:val="0"/>
              <w:snapToGrid w:val="0"/>
              <w:ind w:left="-2" w:right="-144"/>
              <w:rPr>
                <w:rFonts w:cstheme="minorHAnsi"/>
                <w:sz w:val="18"/>
                <w:szCs w:val="18"/>
                <w:lang w:val="fr-FR"/>
              </w:rPr>
            </w:pPr>
            <w:r>
              <w:rPr>
                <w:rFonts w:cstheme="minorHAnsi"/>
                <w:sz w:val="18"/>
                <w:szCs w:val="18"/>
              </w:rPr>
              <w:t xml:space="preserve">Mise en œuvre, </w:t>
            </w:r>
          </w:p>
          <w:p w14:paraId="7309F8C9" w14:textId="77777777" w:rsidR="00DD583B" w:rsidRPr="002E5C18" w:rsidRDefault="00DD583B" w:rsidP="005D2A90">
            <w:pPr>
              <w:widowControl w:val="0"/>
              <w:snapToGrid w:val="0"/>
              <w:ind w:left="-2" w:right="-144"/>
              <w:rPr>
                <w:rFonts w:cstheme="minorHAnsi"/>
                <w:sz w:val="18"/>
                <w:szCs w:val="18"/>
                <w:lang w:val="fr-FR"/>
              </w:rPr>
            </w:pPr>
            <w:r>
              <w:rPr>
                <w:rFonts w:cstheme="minorHAnsi"/>
                <w:sz w:val="18"/>
                <w:szCs w:val="18"/>
              </w:rPr>
              <w:t xml:space="preserve">Coordination, </w:t>
            </w:r>
          </w:p>
          <w:p w14:paraId="609A307A" w14:textId="77777777" w:rsidR="00DD583B" w:rsidRPr="002E5C18" w:rsidRDefault="00DD583B" w:rsidP="005D2A90">
            <w:pPr>
              <w:widowControl w:val="0"/>
              <w:snapToGrid w:val="0"/>
              <w:ind w:left="-2" w:right="-144"/>
              <w:rPr>
                <w:rFonts w:cstheme="minorHAnsi"/>
                <w:sz w:val="18"/>
                <w:szCs w:val="18"/>
                <w:lang w:val="fr-FR"/>
              </w:rPr>
            </w:pPr>
            <w:r>
              <w:rPr>
                <w:rFonts w:cstheme="minorHAnsi"/>
                <w:sz w:val="18"/>
                <w:szCs w:val="18"/>
              </w:rPr>
              <w:t>Infrastructure,</w:t>
            </w:r>
          </w:p>
          <w:p w14:paraId="1642A319" w14:textId="77777777" w:rsidR="00DD583B" w:rsidRDefault="00DD583B" w:rsidP="005D2A90">
            <w:pPr>
              <w:rPr>
                <w:rFonts w:cstheme="minorHAnsi"/>
                <w:sz w:val="18"/>
                <w:szCs w:val="18"/>
              </w:rPr>
            </w:pPr>
            <w:r>
              <w:rPr>
                <w:rFonts w:cstheme="minorHAnsi"/>
                <w:sz w:val="18"/>
                <w:szCs w:val="18"/>
              </w:rPr>
              <w:t>Financement,</w:t>
            </w:r>
          </w:p>
          <w:p w14:paraId="1577A357" w14:textId="77777777" w:rsidR="00DD583B" w:rsidRPr="002E5C18" w:rsidRDefault="00DD583B" w:rsidP="005D2A90">
            <w:pPr>
              <w:widowControl w:val="0"/>
              <w:snapToGrid w:val="0"/>
              <w:ind w:left="-2" w:right="-144"/>
              <w:rPr>
                <w:rFonts w:cstheme="minorHAnsi"/>
                <w:color w:val="FF0000"/>
                <w:sz w:val="18"/>
                <w:szCs w:val="18"/>
                <w:lang w:val="fr-FR"/>
              </w:rPr>
            </w:pPr>
            <w:r>
              <w:rPr>
                <w:rFonts w:cstheme="minorHAnsi"/>
                <w:sz w:val="18"/>
                <w:szCs w:val="18"/>
                <w:lang w:val="fr-FR"/>
              </w:rPr>
              <w:t>Suivi et R</w:t>
            </w:r>
            <w:r w:rsidRPr="00880F37">
              <w:rPr>
                <w:rFonts w:cstheme="minorHAnsi"/>
                <w:sz w:val="18"/>
                <w:szCs w:val="18"/>
                <w:lang w:val="fr-FR"/>
              </w:rPr>
              <w:t>apportage</w:t>
            </w:r>
            <w:r>
              <w:rPr>
                <w:rFonts w:cstheme="minorHAnsi"/>
                <w:sz w:val="18"/>
                <w:szCs w:val="18"/>
                <w:lang w:val="fr-FR"/>
              </w:rPr>
              <w:t>.</w:t>
            </w:r>
          </w:p>
          <w:p w14:paraId="29C20F5B" w14:textId="77777777" w:rsidR="00DD583B" w:rsidRPr="002E5C18" w:rsidRDefault="00DD583B" w:rsidP="005D2A90">
            <w:pPr>
              <w:rPr>
                <w:rFonts w:cstheme="minorHAnsi"/>
                <w:sz w:val="18"/>
                <w:szCs w:val="18"/>
                <w:lang w:val="fr-FR"/>
              </w:rPr>
            </w:pPr>
          </w:p>
          <w:p w14:paraId="14D3EC3B" w14:textId="77777777" w:rsidR="00DD583B" w:rsidRPr="002E5C18" w:rsidRDefault="00DD583B" w:rsidP="005D2A90">
            <w:pPr>
              <w:rPr>
                <w:rFonts w:cstheme="minorHAnsi"/>
                <w:sz w:val="18"/>
                <w:szCs w:val="18"/>
                <w:lang w:val="fr-FR"/>
              </w:rPr>
            </w:pPr>
          </w:p>
          <w:p w14:paraId="211A4291" w14:textId="77777777" w:rsidR="00DD583B" w:rsidRPr="002E5C18" w:rsidRDefault="00DD583B" w:rsidP="005D2A90">
            <w:pPr>
              <w:widowControl w:val="0"/>
              <w:snapToGrid w:val="0"/>
              <w:ind w:left="-2" w:right="-144"/>
              <w:rPr>
                <w:rFonts w:cstheme="minorHAnsi"/>
                <w:sz w:val="18"/>
                <w:szCs w:val="18"/>
                <w:lang w:val="fr-FR"/>
              </w:rPr>
            </w:pPr>
            <w:r>
              <w:rPr>
                <w:rFonts w:cstheme="minorHAnsi"/>
                <w:sz w:val="18"/>
                <w:szCs w:val="18"/>
              </w:rPr>
              <w:t>Contribution aux Renforcement des Capacités/ Formation</w:t>
            </w:r>
          </w:p>
          <w:p w14:paraId="077871D2" w14:textId="77777777" w:rsidR="00DD583B" w:rsidRPr="002E5C18" w:rsidRDefault="00DD583B" w:rsidP="005D2A90">
            <w:pPr>
              <w:widowControl w:val="0"/>
              <w:snapToGrid w:val="0"/>
              <w:ind w:left="-2" w:right="-144"/>
              <w:rPr>
                <w:rFonts w:cstheme="minorHAnsi"/>
                <w:sz w:val="18"/>
                <w:szCs w:val="18"/>
                <w:lang w:val="fr-FR"/>
              </w:rPr>
            </w:pPr>
          </w:p>
          <w:p w14:paraId="32B34128" w14:textId="77777777" w:rsidR="00DD583B" w:rsidRPr="002E5C18" w:rsidRDefault="00DD583B" w:rsidP="005D2A90">
            <w:pPr>
              <w:widowControl w:val="0"/>
              <w:snapToGrid w:val="0"/>
              <w:ind w:right="-144"/>
              <w:rPr>
                <w:rFonts w:cstheme="minorHAnsi"/>
                <w:color w:val="548DD4" w:themeColor="text2" w:themeTint="99"/>
                <w:sz w:val="18"/>
                <w:szCs w:val="18"/>
                <w:lang w:val="fr-FR"/>
              </w:rPr>
            </w:pPr>
          </w:p>
          <w:p w14:paraId="21D77A65" w14:textId="77777777" w:rsidR="00DD583B" w:rsidRPr="002E5C18" w:rsidRDefault="00DD583B" w:rsidP="005D2A90">
            <w:pPr>
              <w:widowControl w:val="0"/>
              <w:snapToGrid w:val="0"/>
              <w:ind w:left="-2" w:right="-144"/>
              <w:rPr>
                <w:rFonts w:cstheme="minorHAnsi"/>
                <w:sz w:val="18"/>
                <w:szCs w:val="18"/>
                <w:lang w:val="fr-FR"/>
              </w:rPr>
            </w:pPr>
            <w:r>
              <w:rPr>
                <w:rFonts w:cstheme="minorHAnsi"/>
                <w:sz w:val="18"/>
                <w:szCs w:val="18"/>
              </w:rPr>
              <w:t xml:space="preserve">WB, MISAHEL, EUTM/EUCAP, Ambassades, </w:t>
            </w:r>
          </w:p>
          <w:p w14:paraId="627F2684" w14:textId="77777777" w:rsidR="00DD583B" w:rsidRPr="002E5C18" w:rsidRDefault="00DD583B" w:rsidP="005D2A90">
            <w:pPr>
              <w:widowControl w:val="0"/>
              <w:snapToGrid w:val="0"/>
              <w:ind w:right="-144"/>
              <w:rPr>
                <w:rFonts w:cstheme="minorHAnsi"/>
                <w:color w:val="FF0000"/>
                <w:sz w:val="18"/>
                <w:szCs w:val="18"/>
                <w:lang w:val="fr-FR"/>
              </w:rPr>
            </w:pPr>
          </w:p>
          <w:p w14:paraId="42F58E23" w14:textId="77777777" w:rsidR="00DD583B" w:rsidRPr="002E5C18" w:rsidRDefault="00DD583B" w:rsidP="005D2A90">
            <w:pPr>
              <w:widowControl w:val="0"/>
              <w:snapToGrid w:val="0"/>
              <w:ind w:left="-2" w:right="-144"/>
              <w:rPr>
                <w:lang w:val="fr-FR"/>
              </w:rPr>
            </w:pPr>
          </w:p>
        </w:tc>
        <w:tc>
          <w:tcPr>
            <w:tcW w:w="995" w:type="dxa"/>
          </w:tcPr>
          <w:p w14:paraId="615ABC0A" w14:textId="77777777" w:rsidR="00DD583B" w:rsidRPr="002E5C18" w:rsidRDefault="00DD583B" w:rsidP="005D2A90">
            <w:pPr>
              <w:rPr>
                <w:lang w:val="fr-FR"/>
              </w:rPr>
            </w:pPr>
          </w:p>
        </w:tc>
      </w:tr>
      <w:tr w:rsidR="00DD583B" w:rsidRPr="002E5C18" w14:paraId="4B47AE97" w14:textId="77777777" w:rsidTr="00186DD5">
        <w:tc>
          <w:tcPr>
            <w:tcW w:w="2590" w:type="dxa"/>
            <w:vMerge/>
            <w:shd w:val="clear" w:color="auto" w:fill="8DB3E2" w:themeFill="text2" w:themeFillTint="66"/>
          </w:tcPr>
          <w:p w14:paraId="445AE4AF" w14:textId="77777777" w:rsidR="00DD583B" w:rsidRPr="002E5C18" w:rsidRDefault="00DD583B" w:rsidP="005D2A90">
            <w:pPr>
              <w:rPr>
                <w:lang w:val="fr-FR"/>
              </w:rPr>
            </w:pPr>
          </w:p>
        </w:tc>
        <w:tc>
          <w:tcPr>
            <w:tcW w:w="2583" w:type="dxa"/>
          </w:tcPr>
          <w:p w14:paraId="6E03F8F2" w14:textId="77777777" w:rsidR="00DD583B" w:rsidRDefault="00DD583B" w:rsidP="005D2A90">
            <w:pPr>
              <w:widowControl w:val="0"/>
              <w:snapToGrid w:val="0"/>
              <w:rPr>
                <w:rFonts w:ascii="Times New Roman" w:hAnsi="Times New Roman" w:cs="Times New Roman"/>
              </w:rPr>
            </w:pPr>
            <w:r w:rsidRPr="004D4BFB">
              <w:rPr>
                <w:rFonts w:ascii="Times New Roman" w:hAnsi="Times New Roman" w:cs="Times New Roman"/>
              </w:rPr>
              <w:t>Nombre de réfugiés/déplacés internes (désagrégés  par refugié/</w:t>
            </w:r>
            <w:r w:rsidRPr="001C6F7B">
              <w:rPr>
                <w:rFonts w:ascii="Times New Roman" w:hAnsi="Times New Roman" w:cs="Times New Roman"/>
              </w:rPr>
              <w:t>H/F</w:t>
            </w:r>
            <w:r>
              <w:rPr>
                <w:rFonts w:ascii="Times New Roman" w:hAnsi="Times New Roman" w:cs="Times New Roman"/>
              </w:rPr>
              <w:t>/</w:t>
            </w:r>
            <w:r w:rsidRPr="004D4BFB">
              <w:rPr>
                <w:rFonts w:ascii="Times New Roman" w:hAnsi="Times New Roman" w:cs="Times New Roman"/>
              </w:rPr>
              <w:t>PDI et par région)</w:t>
            </w:r>
          </w:p>
          <w:p w14:paraId="297240EB" w14:textId="77777777" w:rsidR="00DD583B" w:rsidRPr="004D4BFB" w:rsidRDefault="00DD583B" w:rsidP="005D2A90">
            <w:pPr>
              <w:widowControl w:val="0"/>
              <w:snapToGrid w:val="0"/>
              <w:rPr>
                <w:rFonts w:cstheme="minorHAnsi"/>
                <w:bCs/>
                <w:sz w:val="18"/>
                <w:szCs w:val="18"/>
                <w:lang w:val="fr-FR"/>
              </w:rPr>
            </w:pPr>
          </w:p>
          <w:p w14:paraId="1F314B85" w14:textId="77777777" w:rsidR="00DD583B" w:rsidRDefault="00DD583B" w:rsidP="005D2A90">
            <w:pPr>
              <w:snapToGrid w:val="0"/>
              <w:rPr>
                <w:rFonts w:cstheme="minorHAnsi"/>
                <w:bCs/>
                <w:sz w:val="18"/>
                <w:szCs w:val="18"/>
              </w:rPr>
            </w:pPr>
            <w:r w:rsidRPr="004D4BFB">
              <w:rPr>
                <w:rFonts w:cstheme="minorHAnsi"/>
                <w:bCs/>
                <w:sz w:val="18"/>
                <w:szCs w:val="18"/>
              </w:rPr>
              <w:t xml:space="preserve">Base: 140,033 réfugiés, 126,249 PDI (31 juillet 2014) </w:t>
            </w:r>
          </w:p>
          <w:p w14:paraId="412AE01E" w14:textId="77777777" w:rsidR="00DD583B" w:rsidRPr="005B2865" w:rsidRDefault="00DD583B" w:rsidP="005D2A90">
            <w:pPr>
              <w:snapToGrid w:val="0"/>
              <w:rPr>
                <w:rFonts w:ascii="Calibri" w:hAnsi="Calibri"/>
                <w:color w:val="FF0000"/>
                <w:sz w:val="18"/>
                <w:szCs w:val="18"/>
              </w:rPr>
            </w:pPr>
            <w:r w:rsidRPr="00CE2384">
              <w:rPr>
                <w:rFonts w:ascii="Calibri" w:hAnsi="Calibri"/>
                <w:color w:val="FF0000"/>
                <w:sz w:val="18"/>
                <w:szCs w:val="18"/>
              </w:rPr>
              <w:t xml:space="preserve">Situation en fin 2017: </w:t>
            </w:r>
            <w:r w:rsidRPr="005B2865">
              <w:rPr>
                <w:rFonts w:ascii="Calibri" w:hAnsi="Calibri"/>
                <w:color w:val="FF0000"/>
                <w:sz w:val="18"/>
                <w:szCs w:val="18"/>
              </w:rPr>
              <w:t xml:space="preserve">101,279  </w:t>
            </w:r>
          </w:p>
          <w:p w14:paraId="24E4BE95" w14:textId="77777777" w:rsidR="00DD583B" w:rsidRPr="005B2865" w:rsidRDefault="00DD583B" w:rsidP="005D2A90">
            <w:pPr>
              <w:snapToGrid w:val="0"/>
              <w:rPr>
                <w:rFonts w:ascii="Calibri" w:hAnsi="Calibri"/>
                <w:color w:val="FF0000"/>
                <w:sz w:val="18"/>
                <w:szCs w:val="18"/>
              </w:rPr>
            </w:pPr>
            <w:r>
              <w:rPr>
                <w:rFonts w:ascii="Calibri" w:hAnsi="Calibri"/>
                <w:color w:val="FF0000"/>
                <w:sz w:val="18"/>
                <w:szCs w:val="18"/>
              </w:rPr>
              <w:t>(</w:t>
            </w:r>
            <w:r w:rsidRPr="005B2865">
              <w:rPr>
                <w:rFonts w:ascii="Calibri" w:hAnsi="Calibri"/>
                <w:color w:val="FF0000"/>
                <w:sz w:val="18"/>
                <w:szCs w:val="18"/>
              </w:rPr>
              <w:t>54,691 femmes et 46,588 hommes).</w:t>
            </w:r>
          </w:p>
          <w:p w14:paraId="7670323E" w14:textId="77777777" w:rsidR="00DD583B" w:rsidRPr="005B2865" w:rsidRDefault="00DD583B" w:rsidP="005D2A90">
            <w:pPr>
              <w:snapToGrid w:val="0"/>
              <w:rPr>
                <w:rFonts w:ascii="Calibri" w:hAnsi="Calibri"/>
                <w:color w:val="FF0000"/>
                <w:sz w:val="18"/>
                <w:szCs w:val="18"/>
              </w:rPr>
            </w:pPr>
          </w:p>
          <w:p w14:paraId="494465BD" w14:textId="77777777" w:rsidR="00DD583B" w:rsidRPr="005B2865" w:rsidRDefault="00DD583B" w:rsidP="005D2A90">
            <w:pPr>
              <w:snapToGrid w:val="0"/>
              <w:rPr>
                <w:rFonts w:ascii="Calibri" w:hAnsi="Calibri"/>
                <w:b/>
                <w:color w:val="FF0000"/>
                <w:sz w:val="18"/>
                <w:szCs w:val="18"/>
              </w:rPr>
            </w:pPr>
            <w:r w:rsidRPr="005B2865">
              <w:rPr>
                <w:rFonts w:ascii="Calibri" w:hAnsi="Calibri"/>
                <w:b/>
                <w:color w:val="FF0000"/>
                <w:sz w:val="18"/>
                <w:szCs w:val="18"/>
              </w:rPr>
              <w:t>Refugi</w:t>
            </w:r>
            <w:r>
              <w:rPr>
                <w:rFonts w:ascii="Calibri" w:hAnsi="Calibri"/>
                <w:b/>
                <w:color w:val="FF0000"/>
                <w:sz w:val="18"/>
                <w:szCs w:val="18"/>
              </w:rPr>
              <w:t>és</w:t>
            </w:r>
            <w:r w:rsidRPr="005B2865">
              <w:rPr>
                <w:rFonts w:ascii="Calibri" w:hAnsi="Calibri"/>
                <w:b/>
                <w:color w:val="FF0000"/>
                <w:sz w:val="18"/>
                <w:szCs w:val="18"/>
              </w:rPr>
              <w:t>: 63,107</w:t>
            </w:r>
          </w:p>
          <w:p w14:paraId="5FFFEF2E" w14:textId="77777777" w:rsidR="00DD583B" w:rsidRPr="005B2865" w:rsidRDefault="00DD583B" w:rsidP="005D2A90">
            <w:pPr>
              <w:snapToGrid w:val="0"/>
              <w:rPr>
                <w:rFonts w:ascii="Calibri" w:hAnsi="Calibri"/>
                <w:color w:val="FF0000"/>
                <w:sz w:val="18"/>
                <w:szCs w:val="18"/>
              </w:rPr>
            </w:pPr>
            <w:r w:rsidRPr="005B2865">
              <w:rPr>
                <w:rFonts w:ascii="Calibri" w:hAnsi="Calibri"/>
                <w:color w:val="FF0000"/>
                <w:sz w:val="18"/>
                <w:szCs w:val="18"/>
              </w:rPr>
              <w:t>Bamako: 516 (</w:t>
            </w:r>
            <w:r>
              <w:rPr>
                <w:rFonts w:ascii="Calibri" w:hAnsi="Calibri"/>
                <w:color w:val="FF0000"/>
                <w:sz w:val="18"/>
                <w:szCs w:val="18"/>
              </w:rPr>
              <w:t>F:</w:t>
            </w:r>
            <w:r w:rsidRPr="005B2865">
              <w:rPr>
                <w:rFonts w:ascii="Calibri" w:hAnsi="Calibri"/>
                <w:color w:val="FF0000"/>
                <w:sz w:val="18"/>
                <w:szCs w:val="18"/>
              </w:rPr>
              <w:t xml:space="preserve">268 et </w:t>
            </w:r>
            <w:r>
              <w:rPr>
                <w:rFonts w:ascii="Calibri" w:hAnsi="Calibri"/>
                <w:color w:val="FF0000"/>
                <w:sz w:val="18"/>
                <w:szCs w:val="18"/>
              </w:rPr>
              <w:t>H:</w:t>
            </w:r>
            <w:r w:rsidRPr="005B2865">
              <w:rPr>
                <w:rFonts w:ascii="Calibri" w:hAnsi="Calibri"/>
                <w:color w:val="FF0000"/>
                <w:sz w:val="18"/>
                <w:szCs w:val="18"/>
              </w:rPr>
              <w:t>248)</w:t>
            </w:r>
          </w:p>
          <w:p w14:paraId="7887AAA6" w14:textId="77777777" w:rsidR="00DD583B" w:rsidRPr="005B2865" w:rsidRDefault="00DD583B" w:rsidP="005D2A90">
            <w:pPr>
              <w:snapToGrid w:val="0"/>
              <w:rPr>
                <w:rFonts w:ascii="Calibri" w:hAnsi="Calibri"/>
                <w:color w:val="FF0000"/>
                <w:sz w:val="18"/>
                <w:szCs w:val="18"/>
              </w:rPr>
            </w:pPr>
            <w:r w:rsidRPr="005B2865">
              <w:rPr>
                <w:rFonts w:ascii="Calibri" w:hAnsi="Calibri"/>
                <w:color w:val="FF0000"/>
                <w:sz w:val="18"/>
                <w:szCs w:val="18"/>
              </w:rPr>
              <w:t>Koulikoro:216 (</w:t>
            </w:r>
            <w:r>
              <w:rPr>
                <w:rFonts w:ascii="Calibri" w:hAnsi="Calibri"/>
                <w:color w:val="FF0000"/>
                <w:sz w:val="18"/>
                <w:szCs w:val="18"/>
              </w:rPr>
              <w:t>F:</w:t>
            </w:r>
            <w:r w:rsidRPr="005B2865">
              <w:rPr>
                <w:rFonts w:ascii="Calibri" w:hAnsi="Calibri"/>
                <w:color w:val="FF0000"/>
                <w:sz w:val="18"/>
                <w:szCs w:val="18"/>
              </w:rPr>
              <w:t xml:space="preserve">112 et </w:t>
            </w:r>
            <w:r>
              <w:rPr>
                <w:rFonts w:ascii="Calibri" w:hAnsi="Calibri"/>
                <w:color w:val="FF0000"/>
                <w:sz w:val="18"/>
                <w:szCs w:val="18"/>
              </w:rPr>
              <w:t>H:</w:t>
            </w:r>
            <w:r w:rsidRPr="005B2865">
              <w:rPr>
                <w:rFonts w:ascii="Calibri" w:hAnsi="Calibri"/>
                <w:color w:val="FF0000"/>
                <w:sz w:val="18"/>
                <w:szCs w:val="18"/>
              </w:rPr>
              <w:t>104)</w:t>
            </w:r>
          </w:p>
          <w:p w14:paraId="07AA9493" w14:textId="77777777" w:rsidR="00DD583B" w:rsidRPr="005B2865" w:rsidRDefault="00DD583B" w:rsidP="005D2A90">
            <w:pPr>
              <w:snapToGrid w:val="0"/>
              <w:rPr>
                <w:rFonts w:ascii="Calibri" w:hAnsi="Calibri"/>
                <w:color w:val="FF0000"/>
                <w:sz w:val="18"/>
                <w:szCs w:val="18"/>
              </w:rPr>
            </w:pPr>
            <w:r w:rsidRPr="005B2865">
              <w:rPr>
                <w:rFonts w:ascii="Calibri" w:hAnsi="Calibri"/>
                <w:color w:val="FF0000"/>
                <w:sz w:val="18"/>
                <w:szCs w:val="18"/>
              </w:rPr>
              <w:t>Segou: 1106 (</w:t>
            </w:r>
            <w:r>
              <w:rPr>
                <w:rFonts w:ascii="Calibri" w:hAnsi="Calibri"/>
                <w:color w:val="FF0000"/>
                <w:sz w:val="18"/>
                <w:szCs w:val="18"/>
              </w:rPr>
              <w:t>F:</w:t>
            </w:r>
            <w:r w:rsidRPr="005B2865">
              <w:rPr>
                <w:rFonts w:ascii="Calibri" w:hAnsi="Calibri"/>
                <w:color w:val="FF0000"/>
                <w:sz w:val="18"/>
                <w:szCs w:val="18"/>
              </w:rPr>
              <w:t xml:space="preserve">575 et </w:t>
            </w:r>
            <w:r>
              <w:rPr>
                <w:rFonts w:ascii="Calibri" w:hAnsi="Calibri"/>
                <w:color w:val="FF0000"/>
                <w:sz w:val="18"/>
                <w:szCs w:val="18"/>
              </w:rPr>
              <w:t>H:</w:t>
            </w:r>
            <w:r w:rsidRPr="005B2865">
              <w:rPr>
                <w:rFonts w:ascii="Calibri" w:hAnsi="Calibri"/>
                <w:color w:val="FF0000"/>
                <w:sz w:val="18"/>
                <w:szCs w:val="18"/>
              </w:rPr>
              <w:t>531)</w:t>
            </w:r>
          </w:p>
          <w:p w14:paraId="36127F07" w14:textId="77777777" w:rsidR="00DD583B" w:rsidRPr="005B2865" w:rsidRDefault="00DD583B" w:rsidP="005D2A90">
            <w:pPr>
              <w:snapToGrid w:val="0"/>
              <w:rPr>
                <w:rFonts w:ascii="Calibri" w:hAnsi="Calibri"/>
                <w:color w:val="FF0000"/>
                <w:sz w:val="18"/>
                <w:szCs w:val="18"/>
              </w:rPr>
            </w:pPr>
            <w:r w:rsidRPr="005B2865">
              <w:rPr>
                <w:rFonts w:ascii="Calibri" w:hAnsi="Calibri"/>
                <w:color w:val="FF0000"/>
                <w:sz w:val="18"/>
                <w:szCs w:val="18"/>
              </w:rPr>
              <w:t>Mopti: 3903 (</w:t>
            </w:r>
            <w:r>
              <w:rPr>
                <w:rFonts w:ascii="Calibri" w:hAnsi="Calibri"/>
                <w:color w:val="FF0000"/>
                <w:sz w:val="18"/>
                <w:szCs w:val="18"/>
              </w:rPr>
              <w:t>F:</w:t>
            </w:r>
            <w:r w:rsidRPr="005B2865">
              <w:rPr>
                <w:rFonts w:ascii="Calibri" w:hAnsi="Calibri"/>
                <w:color w:val="FF0000"/>
                <w:sz w:val="18"/>
                <w:szCs w:val="18"/>
              </w:rPr>
              <w:t xml:space="preserve">2030 et </w:t>
            </w:r>
            <w:r>
              <w:rPr>
                <w:rFonts w:ascii="Calibri" w:hAnsi="Calibri"/>
                <w:color w:val="FF0000"/>
                <w:sz w:val="18"/>
                <w:szCs w:val="18"/>
              </w:rPr>
              <w:t>H:</w:t>
            </w:r>
            <w:r w:rsidRPr="005B2865">
              <w:rPr>
                <w:rFonts w:ascii="Calibri" w:hAnsi="Calibri"/>
                <w:color w:val="FF0000"/>
                <w:sz w:val="18"/>
                <w:szCs w:val="18"/>
              </w:rPr>
              <w:t>1,873)</w:t>
            </w:r>
          </w:p>
          <w:p w14:paraId="7EA00F26" w14:textId="77777777" w:rsidR="00DD583B" w:rsidRPr="005B2865" w:rsidRDefault="00DD583B" w:rsidP="005D2A90">
            <w:pPr>
              <w:snapToGrid w:val="0"/>
              <w:rPr>
                <w:rFonts w:ascii="Calibri" w:hAnsi="Calibri"/>
                <w:color w:val="FF0000"/>
                <w:sz w:val="18"/>
                <w:szCs w:val="18"/>
              </w:rPr>
            </w:pPr>
            <w:r w:rsidRPr="005B2865">
              <w:rPr>
                <w:rFonts w:ascii="Calibri" w:hAnsi="Calibri"/>
                <w:color w:val="FF0000"/>
                <w:sz w:val="18"/>
                <w:szCs w:val="18"/>
              </w:rPr>
              <w:t>Gao:14035 (</w:t>
            </w:r>
            <w:r>
              <w:rPr>
                <w:rFonts w:ascii="Calibri" w:hAnsi="Calibri"/>
                <w:color w:val="FF0000"/>
                <w:sz w:val="18"/>
                <w:szCs w:val="18"/>
              </w:rPr>
              <w:t>F:</w:t>
            </w:r>
            <w:r w:rsidRPr="005B2865">
              <w:rPr>
                <w:rFonts w:ascii="Calibri" w:hAnsi="Calibri"/>
                <w:color w:val="FF0000"/>
                <w:sz w:val="18"/>
                <w:szCs w:val="18"/>
              </w:rPr>
              <w:t xml:space="preserve">7,298 et </w:t>
            </w:r>
            <w:r>
              <w:rPr>
                <w:rFonts w:ascii="Calibri" w:hAnsi="Calibri"/>
                <w:color w:val="FF0000"/>
                <w:sz w:val="18"/>
                <w:szCs w:val="18"/>
              </w:rPr>
              <w:t>H:</w:t>
            </w:r>
            <w:r w:rsidRPr="005B2865">
              <w:rPr>
                <w:rFonts w:ascii="Calibri" w:hAnsi="Calibri"/>
                <w:color w:val="FF0000"/>
                <w:sz w:val="18"/>
                <w:szCs w:val="18"/>
              </w:rPr>
              <w:t>6,737)</w:t>
            </w:r>
          </w:p>
          <w:p w14:paraId="5D721C50" w14:textId="77777777" w:rsidR="00DD583B" w:rsidRPr="005B2865" w:rsidRDefault="00DD583B" w:rsidP="005D2A90">
            <w:pPr>
              <w:snapToGrid w:val="0"/>
              <w:rPr>
                <w:rFonts w:ascii="Calibri" w:hAnsi="Calibri"/>
                <w:color w:val="FF0000"/>
                <w:sz w:val="18"/>
                <w:szCs w:val="18"/>
              </w:rPr>
            </w:pPr>
            <w:r w:rsidRPr="005B2865">
              <w:rPr>
                <w:rFonts w:ascii="Calibri" w:hAnsi="Calibri"/>
                <w:color w:val="FF0000"/>
                <w:sz w:val="18"/>
                <w:szCs w:val="18"/>
              </w:rPr>
              <w:t>Menaka:12,088 (</w:t>
            </w:r>
            <w:r>
              <w:rPr>
                <w:rFonts w:ascii="Calibri" w:hAnsi="Calibri"/>
                <w:color w:val="FF0000"/>
                <w:sz w:val="18"/>
                <w:szCs w:val="18"/>
              </w:rPr>
              <w:t>F:</w:t>
            </w:r>
            <w:r w:rsidRPr="005B2865">
              <w:rPr>
                <w:rFonts w:ascii="Calibri" w:hAnsi="Calibri"/>
                <w:color w:val="FF0000"/>
                <w:sz w:val="18"/>
                <w:szCs w:val="18"/>
              </w:rPr>
              <w:t xml:space="preserve">6,286 et </w:t>
            </w:r>
            <w:r>
              <w:rPr>
                <w:rFonts w:ascii="Calibri" w:hAnsi="Calibri"/>
                <w:color w:val="FF0000"/>
                <w:sz w:val="18"/>
                <w:szCs w:val="18"/>
              </w:rPr>
              <w:t>H:</w:t>
            </w:r>
            <w:r w:rsidRPr="005B2865">
              <w:rPr>
                <w:rFonts w:ascii="Calibri" w:hAnsi="Calibri"/>
                <w:color w:val="FF0000"/>
                <w:sz w:val="18"/>
                <w:szCs w:val="18"/>
              </w:rPr>
              <w:t>5,802)</w:t>
            </w:r>
          </w:p>
          <w:p w14:paraId="7DB51E79" w14:textId="77777777" w:rsidR="00DD583B" w:rsidRPr="005B2865" w:rsidRDefault="00DD583B" w:rsidP="005D2A90">
            <w:pPr>
              <w:snapToGrid w:val="0"/>
              <w:rPr>
                <w:rFonts w:ascii="Calibri" w:hAnsi="Calibri"/>
                <w:color w:val="FF0000"/>
                <w:sz w:val="18"/>
                <w:szCs w:val="18"/>
              </w:rPr>
            </w:pPr>
            <w:r w:rsidRPr="005B2865">
              <w:rPr>
                <w:rFonts w:ascii="Calibri" w:hAnsi="Calibri"/>
                <w:color w:val="FF0000"/>
                <w:sz w:val="18"/>
                <w:szCs w:val="18"/>
              </w:rPr>
              <w:t>Tombouctou:29,491 (</w:t>
            </w:r>
            <w:r>
              <w:rPr>
                <w:rFonts w:ascii="Calibri" w:hAnsi="Calibri"/>
                <w:color w:val="FF0000"/>
                <w:sz w:val="18"/>
                <w:szCs w:val="18"/>
              </w:rPr>
              <w:t>F:</w:t>
            </w:r>
            <w:r w:rsidRPr="005B2865">
              <w:rPr>
                <w:rFonts w:ascii="Calibri" w:hAnsi="Calibri"/>
                <w:color w:val="FF0000"/>
                <w:sz w:val="18"/>
                <w:szCs w:val="18"/>
              </w:rPr>
              <w:t xml:space="preserve">15,335 et </w:t>
            </w:r>
            <w:r>
              <w:rPr>
                <w:rFonts w:ascii="Calibri" w:hAnsi="Calibri"/>
                <w:color w:val="FF0000"/>
                <w:sz w:val="18"/>
                <w:szCs w:val="18"/>
              </w:rPr>
              <w:t>H:</w:t>
            </w:r>
            <w:r w:rsidRPr="005B2865">
              <w:rPr>
                <w:rFonts w:ascii="Calibri" w:hAnsi="Calibri"/>
                <w:color w:val="FF0000"/>
                <w:sz w:val="18"/>
                <w:szCs w:val="18"/>
              </w:rPr>
              <w:t xml:space="preserve">14,156) </w:t>
            </w:r>
          </w:p>
          <w:p w14:paraId="285EFA00" w14:textId="77777777" w:rsidR="00DD583B" w:rsidRPr="005B2865" w:rsidRDefault="00DD583B" w:rsidP="005D2A90">
            <w:pPr>
              <w:snapToGrid w:val="0"/>
              <w:rPr>
                <w:rFonts w:ascii="Calibri" w:hAnsi="Calibri"/>
                <w:color w:val="FF0000"/>
                <w:sz w:val="18"/>
                <w:szCs w:val="18"/>
              </w:rPr>
            </w:pPr>
            <w:r w:rsidRPr="005B2865">
              <w:rPr>
                <w:rFonts w:ascii="Calibri" w:hAnsi="Calibri"/>
                <w:color w:val="FF0000"/>
                <w:sz w:val="18"/>
                <w:szCs w:val="18"/>
              </w:rPr>
              <w:t>Kidal:1752 (946F et 806)</w:t>
            </w:r>
          </w:p>
          <w:p w14:paraId="5EA99728" w14:textId="77777777" w:rsidR="00DD583B" w:rsidRPr="005B2865" w:rsidRDefault="00DD583B" w:rsidP="005D2A90">
            <w:pPr>
              <w:snapToGrid w:val="0"/>
              <w:rPr>
                <w:rFonts w:ascii="Calibri" w:hAnsi="Calibri"/>
                <w:color w:val="FF0000"/>
                <w:sz w:val="18"/>
                <w:szCs w:val="18"/>
              </w:rPr>
            </w:pPr>
          </w:p>
          <w:p w14:paraId="2B18CC79" w14:textId="77777777" w:rsidR="00DD583B" w:rsidRPr="005B2865" w:rsidRDefault="00DD583B" w:rsidP="005D2A90">
            <w:pPr>
              <w:snapToGrid w:val="0"/>
              <w:rPr>
                <w:rFonts w:ascii="Calibri" w:hAnsi="Calibri"/>
                <w:color w:val="FF0000"/>
                <w:sz w:val="18"/>
                <w:szCs w:val="18"/>
              </w:rPr>
            </w:pPr>
            <w:r w:rsidRPr="005B2865">
              <w:rPr>
                <w:rFonts w:ascii="Calibri" w:hAnsi="Calibri"/>
                <w:b/>
                <w:color w:val="FF0000"/>
                <w:sz w:val="18"/>
                <w:szCs w:val="18"/>
              </w:rPr>
              <w:t>PDI: 38,172</w:t>
            </w:r>
          </w:p>
          <w:p w14:paraId="716909DB" w14:textId="77777777" w:rsidR="00DD583B" w:rsidRPr="005B2865" w:rsidRDefault="00DD583B" w:rsidP="005D2A90">
            <w:pPr>
              <w:snapToGrid w:val="0"/>
              <w:rPr>
                <w:rFonts w:ascii="Calibri" w:hAnsi="Calibri"/>
                <w:color w:val="FF0000"/>
                <w:sz w:val="18"/>
                <w:szCs w:val="18"/>
              </w:rPr>
            </w:pPr>
            <w:r w:rsidRPr="005B2865">
              <w:rPr>
                <w:rFonts w:ascii="Calibri" w:hAnsi="Calibri"/>
                <w:color w:val="FF0000"/>
                <w:sz w:val="18"/>
                <w:szCs w:val="18"/>
              </w:rPr>
              <w:t>Bamako : 2,901 (</w:t>
            </w:r>
            <w:r>
              <w:rPr>
                <w:rFonts w:ascii="Calibri" w:hAnsi="Calibri"/>
                <w:color w:val="FF0000"/>
                <w:sz w:val="18"/>
                <w:szCs w:val="18"/>
              </w:rPr>
              <w:t>F:</w:t>
            </w:r>
            <w:r w:rsidRPr="005B2865">
              <w:rPr>
                <w:rFonts w:ascii="Calibri" w:hAnsi="Calibri"/>
                <w:color w:val="FF0000"/>
                <w:sz w:val="18"/>
                <w:szCs w:val="18"/>
              </w:rPr>
              <w:t xml:space="preserve">1,845 et </w:t>
            </w:r>
            <w:r>
              <w:rPr>
                <w:rFonts w:ascii="Calibri" w:hAnsi="Calibri"/>
                <w:color w:val="FF0000"/>
                <w:sz w:val="18"/>
                <w:szCs w:val="18"/>
              </w:rPr>
              <w:t>H:</w:t>
            </w:r>
            <w:r w:rsidRPr="005B2865">
              <w:rPr>
                <w:rFonts w:ascii="Calibri" w:hAnsi="Calibri"/>
                <w:color w:val="FF0000"/>
                <w:sz w:val="18"/>
                <w:szCs w:val="18"/>
              </w:rPr>
              <w:t>1,572)</w:t>
            </w:r>
          </w:p>
          <w:p w14:paraId="65AC16D5" w14:textId="77777777" w:rsidR="00DD583B" w:rsidRPr="005B2865" w:rsidRDefault="00DD583B" w:rsidP="005D2A90">
            <w:pPr>
              <w:snapToGrid w:val="0"/>
              <w:rPr>
                <w:rFonts w:ascii="Calibri" w:hAnsi="Calibri"/>
                <w:color w:val="FF0000"/>
                <w:sz w:val="18"/>
                <w:szCs w:val="18"/>
              </w:rPr>
            </w:pPr>
            <w:r w:rsidRPr="005B2865">
              <w:rPr>
                <w:rFonts w:ascii="Calibri" w:hAnsi="Calibri"/>
                <w:color w:val="FF0000"/>
                <w:sz w:val="18"/>
                <w:szCs w:val="18"/>
              </w:rPr>
              <w:t>Kayes:14 (</w:t>
            </w:r>
            <w:r>
              <w:rPr>
                <w:rFonts w:ascii="Calibri" w:hAnsi="Calibri"/>
                <w:color w:val="FF0000"/>
                <w:sz w:val="18"/>
                <w:szCs w:val="18"/>
              </w:rPr>
              <w:t>F:</w:t>
            </w:r>
            <w:r w:rsidRPr="005B2865">
              <w:rPr>
                <w:rFonts w:ascii="Calibri" w:hAnsi="Calibri"/>
                <w:color w:val="FF0000"/>
                <w:sz w:val="18"/>
                <w:szCs w:val="18"/>
              </w:rPr>
              <w:t xml:space="preserve">8 </w:t>
            </w:r>
            <w:r>
              <w:rPr>
                <w:rFonts w:ascii="Calibri" w:hAnsi="Calibri"/>
                <w:color w:val="FF0000"/>
                <w:sz w:val="18"/>
                <w:szCs w:val="18"/>
              </w:rPr>
              <w:t xml:space="preserve"> et H:</w:t>
            </w:r>
            <w:r w:rsidRPr="005B2865">
              <w:rPr>
                <w:rFonts w:ascii="Calibri" w:hAnsi="Calibri"/>
                <w:color w:val="FF0000"/>
                <w:sz w:val="18"/>
                <w:szCs w:val="18"/>
              </w:rPr>
              <w:t>6)</w:t>
            </w:r>
          </w:p>
          <w:p w14:paraId="15F4E863" w14:textId="77777777" w:rsidR="00DD583B" w:rsidRPr="005B2865" w:rsidRDefault="00DD583B" w:rsidP="005D2A90">
            <w:pPr>
              <w:snapToGrid w:val="0"/>
              <w:rPr>
                <w:rFonts w:ascii="Calibri" w:hAnsi="Calibri"/>
                <w:color w:val="FF0000"/>
                <w:sz w:val="18"/>
                <w:szCs w:val="18"/>
              </w:rPr>
            </w:pPr>
            <w:r w:rsidRPr="005B2865">
              <w:rPr>
                <w:rFonts w:ascii="Calibri" w:hAnsi="Calibri"/>
                <w:color w:val="FF0000"/>
                <w:sz w:val="18"/>
                <w:szCs w:val="18"/>
              </w:rPr>
              <w:t>Koulikoro :786 (</w:t>
            </w:r>
            <w:r>
              <w:rPr>
                <w:rFonts w:ascii="Calibri" w:hAnsi="Calibri"/>
                <w:color w:val="FF0000"/>
                <w:sz w:val="18"/>
                <w:szCs w:val="18"/>
              </w:rPr>
              <w:t>F:</w:t>
            </w:r>
            <w:r w:rsidRPr="005B2865">
              <w:rPr>
                <w:rFonts w:ascii="Calibri" w:hAnsi="Calibri"/>
                <w:color w:val="FF0000"/>
                <w:sz w:val="18"/>
                <w:szCs w:val="18"/>
              </w:rPr>
              <w:t xml:space="preserve">541  et </w:t>
            </w:r>
            <w:r>
              <w:rPr>
                <w:rFonts w:ascii="Calibri" w:hAnsi="Calibri"/>
                <w:color w:val="FF0000"/>
                <w:sz w:val="18"/>
                <w:szCs w:val="18"/>
              </w:rPr>
              <w:t>H:</w:t>
            </w:r>
            <w:r w:rsidRPr="005B2865">
              <w:rPr>
                <w:rFonts w:ascii="Calibri" w:hAnsi="Calibri"/>
                <w:color w:val="FF0000"/>
                <w:sz w:val="18"/>
                <w:szCs w:val="18"/>
              </w:rPr>
              <w:t>461)</w:t>
            </w:r>
          </w:p>
          <w:p w14:paraId="6F83CCDE" w14:textId="77777777" w:rsidR="00DD583B" w:rsidRPr="005B2865" w:rsidRDefault="00DD583B" w:rsidP="005D2A90">
            <w:pPr>
              <w:snapToGrid w:val="0"/>
              <w:rPr>
                <w:rFonts w:ascii="Calibri" w:hAnsi="Calibri"/>
                <w:color w:val="FF0000"/>
                <w:sz w:val="18"/>
                <w:szCs w:val="18"/>
              </w:rPr>
            </w:pPr>
            <w:r w:rsidRPr="005B2865">
              <w:rPr>
                <w:rFonts w:ascii="Calibri" w:hAnsi="Calibri"/>
                <w:color w:val="FF0000"/>
                <w:sz w:val="18"/>
                <w:szCs w:val="18"/>
              </w:rPr>
              <w:t>Sikasso:20 (</w:t>
            </w:r>
            <w:r>
              <w:rPr>
                <w:rFonts w:ascii="Calibri" w:hAnsi="Calibri"/>
                <w:color w:val="FF0000"/>
                <w:sz w:val="18"/>
                <w:szCs w:val="18"/>
              </w:rPr>
              <w:t>F:</w:t>
            </w:r>
            <w:r w:rsidRPr="005B2865">
              <w:rPr>
                <w:rFonts w:ascii="Calibri" w:hAnsi="Calibri"/>
                <w:color w:val="FF0000"/>
                <w:sz w:val="18"/>
                <w:szCs w:val="18"/>
              </w:rPr>
              <w:t xml:space="preserve">11  et </w:t>
            </w:r>
            <w:r>
              <w:rPr>
                <w:rFonts w:ascii="Calibri" w:hAnsi="Calibri"/>
                <w:color w:val="FF0000"/>
                <w:sz w:val="18"/>
                <w:szCs w:val="18"/>
              </w:rPr>
              <w:t>H:</w:t>
            </w:r>
            <w:r w:rsidRPr="005B2865">
              <w:rPr>
                <w:rFonts w:ascii="Calibri" w:hAnsi="Calibri"/>
                <w:color w:val="FF0000"/>
                <w:sz w:val="18"/>
                <w:szCs w:val="18"/>
              </w:rPr>
              <w:t>9)</w:t>
            </w:r>
          </w:p>
          <w:p w14:paraId="2E57559D" w14:textId="77777777" w:rsidR="00DD583B" w:rsidRPr="005B2865" w:rsidRDefault="00DD583B" w:rsidP="005D2A90">
            <w:pPr>
              <w:snapToGrid w:val="0"/>
              <w:rPr>
                <w:rFonts w:ascii="Calibri" w:hAnsi="Calibri"/>
                <w:color w:val="FF0000"/>
                <w:sz w:val="18"/>
                <w:szCs w:val="18"/>
              </w:rPr>
            </w:pPr>
            <w:r w:rsidRPr="005B2865">
              <w:rPr>
                <w:rFonts w:ascii="Calibri" w:hAnsi="Calibri"/>
                <w:color w:val="FF0000"/>
                <w:sz w:val="18"/>
                <w:szCs w:val="18"/>
              </w:rPr>
              <w:t>Segou: 6,723 (</w:t>
            </w:r>
            <w:r>
              <w:rPr>
                <w:rFonts w:ascii="Calibri" w:hAnsi="Calibri"/>
                <w:color w:val="FF0000"/>
                <w:sz w:val="18"/>
                <w:szCs w:val="18"/>
              </w:rPr>
              <w:t>F:</w:t>
            </w:r>
            <w:r w:rsidRPr="005B2865">
              <w:rPr>
                <w:rFonts w:ascii="Calibri" w:hAnsi="Calibri"/>
                <w:color w:val="FF0000"/>
                <w:sz w:val="18"/>
                <w:szCs w:val="18"/>
              </w:rPr>
              <w:t xml:space="preserve">3,630 et </w:t>
            </w:r>
            <w:r>
              <w:rPr>
                <w:rFonts w:ascii="Calibri" w:hAnsi="Calibri"/>
                <w:color w:val="FF0000"/>
                <w:sz w:val="18"/>
                <w:szCs w:val="18"/>
              </w:rPr>
              <w:t>H:</w:t>
            </w:r>
            <w:r w:rsidRPr="005B2865">
              <w:rPr>
                <w:rFonts w:ascii="Calibri" w:hAnsi="Calibri"/>
                <w:color w:val="FF0000"/>
                <w:sz w:val="18"/>
                <w:szCs w:val="18"/>
              </w:rPr>
              <w:t>3,0923)</w:t>
            </w:r>
          </w:p>
          <w:p w14:paraId="677C3057" w14:textId="77777777" w:rsidR="00DD583B" w:rsidRPr="005B2865" w:rsidRDefault="00DD583B" w:rsidP="005D2A90">
            <w:pPr>
              <w:snapToGrid w:val="0"/>
              <w:rPr>
                <w:rFonts w:ascii="Calibri" w:hAnsi="Calibri"/>
                <w:color w:val="FF0000"/>
                <w:sz w:val="18"/>
                <w:szCs w:val="18"/>
              </w:rPr>
            </w:pPr>
            <w:r w:rsidRPr="005B2865">
              <w:rPr>
                <w:rFonts w:ascii="Calibri" w:hAnsi="Calibri"/>
                <w:color w:val="FF0000"/>
                <w:sz w:val="18"/>
                <w:szCs w:val="18"/>
              </w:rPr>
              <w:t>Mopti:2,151 (</w:t>
            </w:r>
            <w:r>
              <w:rPr>
                <w:rFonts w:ascii="Calibri" w:hAnsi="Calibri"/>
                <w:color w:val="FF0000"/>
                <w:sz w:val="18"/>
                <w:szCs w:val="18"/>
              </w:rPr>
              <w:t>F:</w:t>
            </w:r>
            <w:r w:rsidRPr="005B2865">
              <w:rPr>
                <w:rFonts w:ascii="Calibri" w:hAnsi="Calibri"/>
                <w:color w:val="FF0000"/>
                <w:sz w:val="18"/>
                <w:szCs w:val="18"/>
              </w:rPr>
              <w:t xml:space="preserve">1,162 et </w:t>
            </w:r>
            <w:r>
              <w:rPr>
                <w:rFonts w:ascii="Calibri" w:hAnsi="Calibri"/>
                <w:color w:val="FF0000"/>
                <w:sz w:val="18"/>
                <w:szCs w:val="18"/>
              </w:rPr>
              <w:t>H:</w:t>
            </w:r>
            <w:r w:rsidRPr="005B2865">
              <w:rPr>
                <w:rFonts w:ascii="Calibri" w:hAnsi="Calibri"/>
                <w:color w:val="FF0000"/>
                <w:sz w:val="18"/>
                <w:szCs w:val="18"/>
              </w:rPr>
              <w:t>989)</w:t>
            </w:r>
          </w:p>
          <w:p w14:paraId="22575E50" w14:textId="77777777" w:rsidR="00DD583B" w:rsidRPr="005B2865" w:rsidRDefault="00DD583B" w:rsidP="005D2A90">
            <w:pPr>
              <w:snapToGrid w:val="0"/>
              <w:rPr>
                <w:rFonts w:ascii="Calibri" w:hAnsi="Calibri"/>
                <w:color w:val="FF0000"/>
                <w:sz w:val="18"/>
                <w:szCs w:val="18"/>
              </w:rPr>
            </w:pPr>
            <w:r w:rsidRPr="005B2865">
              <w:rPr>
                <w:rFonts w:ascii="Calibri" w:hAnsi="Calibri"/>
                <w:color w:val="FF0000"/>
                <w:sz w:val="18"/>
                <w:szCs w:val="18"/>
              </w:rPr>
              <w:t>Gao:7,978 (</w:t>
            </w:r>
            <w:r>
              <w:rPr>
                <w:rFonts w:ascii="Calibri" w:hAnsi="Calibri"/>
                <w:color w:val="FF0000"/>
                <w:sz w:val="18"/>
                <w:szCs w:val="18"/>
              </w:rPr>
              <w:t>F:</w:t>
            </w:r>
            <w:r w:rsidRPr="005B2865">
              <w:rPr>
                <w:rFonts w:ascii="Calibri" w:hAnsi="Calibri"/>
                <w:color w:val="FF0000"/>
                <w:sz w:val="18"/>
                <w:szCs w:val="18"/>
              </w:rPr>
              <w:t xml:space="preserve">4,308 et </w:t>
            </w:r>
            <w:r>
              <w:rPr>
                <w:rFonts w:ascii="Calibri" w:hAnsi="Calibri"/>
                <w:color w:val="FF0000"/>
                <w:sz w:val="18"/>
                <w:szCs w:val="18"/>
              </w:rPr>
              <w:t>H:</w:t>
            </w:r>
            <w:r w:rsidRPr="005B2865">
              <w:rPr>
                <w:rFonts w:ascii="Calibri" w:hAnsi="Calibri"/>
                <w:color w:val="FF0000"/>
                <w:sz w:val="18"/>
                <w:szCs w:val="18"/>
              </w:rPr>
              <w:t>3,670)</w:t>
            </w:r>
          </w:p>
          <w:p w14:paraId="0CC9DB56" w14:textId="77777777" w:rsidR="00DD583B" w:rsidRPr="005B2865" w:rsidRDefault="00DD583B" w:rsidP="005D2A90">
            <w:pPr>
              <w:snapToGrid w:val="0"/>
              <w:rPr>
                <w:rFonts w:ascii="Calibri" w:hAnsi="Calibri"/>
                <w:color w:val="FF0000"/>
                <w:sz w:val="18"/>
                <w:szCs w:val="18"/>
              </w:rPr>
            </w:pPr>
            <w:r w:rsidRPr="005B2865">
              <w:rPr>
                <w:rFonts w:ascii="Calibri" w:hAnsi="Calibri"/>
                <w:color w:val="FF0000"/>
                <w:sz w:val="18"/>
                <w:szCs w:val="18"/>
              </w:rPr>
              <w:t>Menaka:7,291 (</w:t>
            </w:r>
            <w:r>
              <w:rPr>
                <w:rFonts w:ascii="Calibri" w:hAnsi="Calibri"/>
                <w:color w:val="FF0000"/>
                <w:sz w:val="18"/>
                <w:szCs w:val="18"/>
              </w:rPr>
              <w:t>F:</w:t>
            </w:r>
            <w:r w:rsidRPr="005B2865">
              <w:rPr>
                <w:rFonts w:ascii="Calibri" w:hAnsi="Calibri"/>
                <w:color w:val="FF0000"/>
                <w:sz w:val="18"/>
                <w:szCs w:val="18"/>
              </w:rPr>
              <w:t>3,937</w:t>
            </w:r>
            <w:r>
              <w:rPr>
                <w:rFonts w:ascii="Calibri" w:hAnsi="Calibri"/>
                <w:color w:val="FF0000"/>
                <w:sz w:val="18"/>
                <w:szCs w:val="18"/>
              </w:rPr>
              <w:t xml:space="preserve"> et H:</w:t>
            </w:r>
            <w:r w:rsidRPr="005B2865">
              <w:rPr>
                <w:rFonts w:ascii="Calibri" w:hAnsi="Calibri"/>
                <w:color w:val="FF0000"/>
                <w:sz w:val="18"/>
                <w:szCs w:val="18"/>
              </w:rPr>
              <w:t>3,3539)</w:t>
            </w:r>
          </w:p>
          <w:p w14:paraId="36F03587" w14:textId="77777777" w:rsidR="00DD583B" w:rsidRPr="005B2865" w:rsidRDefault="00DD583B" w:rsidP="005D2A90">
            <w:pPr>
              <w:snapToGrid w:val="0"/>
              <w:rPr>
                <w:rFonts w:ascii="Calibri" w:hAnsi="Calibri"/>
                <w:color w:val="FF0000"/>
                <w:sz w:val="18"/>
                <w:szCs w:val="18"/>
              </w:rPr>
            </w:pPr>
            <w:r w:rsidRPr="005B2865">
              <w:rPr>
                <w:rFonts w:ascii="Calibri" w:hAnsi="Calibri"/>
                <w:color w:val="FF0000"/>
                <w:sz w:val="18"/>
                <w:szCs w:val="18"/>
              </w:rPr>
              <w:t>Tombouctou:9,995 (</w:t>
            </w:r>
            <w:r>
              <w:rPr>
                <w:rFonts w:ascii="Calibri" w:hAnsi="Calibri"/>
                <w:color w:val="FF0000"/>
                <w:sz w:val="18"/>
                <w:szCs w:val="18"/>
              </w:rPr>
              <w:t>F:</w:t>
            </w:r>
            <w:r w:rsidRPr="005B2865">
              <w:rPr>
                <w:rFonts w:ascii="Calibri" w:hAnsi="Calibri"/>
                <w:color w:val="FF0000"/>
                <w:sz w:val="18"/>
                <w:szCs w:val="18"/>
              </w:rPr>
              <w:t xml:space="preserve">5,397 et </w:t>
            </w:r>
            <w:r>
              <w:rPr>
                <w:rFonts w:ascii="Calibri" w:hAnsi="Calibri"/>
                <w:color w:val="FF0000"/>
                <w:sz w:val="18"/>
                <w:szCs w:val="18"/>
              </w:rPr>
              <w:t>H:</w:t>
            </w:r>
            <w:r w:rsidRPr="005B2865">
              <w:rPr>
                <w:rFonts w:ascii="Calibri" w:hAnsi="Calibri"/>
                <w:color w:val="FF0000"/>
                <w:sz w:val="18"/>
                <w:szCs w:val="18"/>
              </w:rPr>
              <w:t>4,598)</w:t>
            </w:r>
          </w:p>
          <w:p w14:paraId="38425A3B" w14:textId="77777777" w:rsidR="00DD583B" w:rsidRPr="005B2865" w:rsidRDefault="00DD583B" w:rsidP="005D2A90">
            <w:pPr>
              <w:snapToGrid w:val="0"/>
              <w:rPr>
                <w:rFonts w:ascii="Calibri" w:hAnsi="Calibri"/>
                <w:color w:val="FF0000"/>
                <w:sz w:val="18"/>
                <w:szCs w:val="18"/>
              </w:rPr>
            </w:pPr>
            <w:r w:rsidRPr="005B2865">
              <w:rPr>
                <w:rFonts w:ascii="Calibri" w:hAnsi="Calibri"/>
                <w:color w:val="FF0000"/>
                <w:sz w:val="18"/>
                <w:szCs w:val="18"/>
              </w:rPr>
              <w:t>Kidal: 313 (</w:t>
            </w:r>
            <w:r>
              <w:rPr>
                <w:rFonts w:ascii="Calibri" w:hAnsi="Calibri"/>
                <w:color w:val="FF0000"/>
                <w:sz w:val="18"/>
                <w:szCs w:val="18"/>
              </w:rPr>
              <w:t>F:</w:t>
            </w:r>
            <w:r w:rsidRPr="005B2865">
              <w:rPr>
                <w:rFonts w:ascii="Calibri" w:hAnsi="Calibri"/>
                <w:color w:val="FF0000"/>
                <w:sz w:val="18"/>
                <w:szCs w:val="18"/>
              </w:rPr>
              <w:t xml:space="preserve">169 et </w:t>
            </w:r>
            <w:r>
              <w:rPr>
                <w:rFonts w:ascii="Calibri" w:hAnsi="Calibri"/>
                <w:color w:val="FF0000"/>
                <w:sz w:val="18"/>
                <w:szCs w:val="18"/>
              </w:rPr>
              <w:t>H:</w:t>
            </w:r>
            <w:r w:rsidRPr="005B2865">
              <w:rPr>
                <w:rFonts w:ascii="Calibri" w:hAnsi="Calibri"/>
                <w:color w:val="FF0000"/>
                <w:sz w:val="18"/>
                <w:szCs w:val="18"/>
              </w:rPr>
              <w:t>144)</w:t>
            </w:r>
          </w:p>
          <w:p w14:paraId="648C4945" w14:textId="77777777" w:rsidR="00DD583B" w:rsidRPr="005B2865" w:rsidRDefault="00DD583B" w:rsidP="005D2A90">
            <w:pPr>
              <w:snapToGrid w:val="0"/>
              <w:rPr>
                <w:rFonts w:ascii="Calibri" w:hAnsi="Calibri"/>
                <w:color w:val="FF0000"/>
                <w:sz w:val="18"/>
                <w:szCs w:val="18"/>
              </w:rPr>
            </w:pPr>
          </w:p>
          <w:p w14:paraId="74E3D2FA" w14:textId="77777777" w:rsidR="00DD583B" w:rsidRPr="005B2865" w:rsidRDefault="00DD583B" w:rsidP="005D2A90">
            <w:pPr>
              <w:snapToGrid w:val="0"/>
              <w:rPr>
                <w:rFonts w:ascii="Calibri" w:hAnsi="Calibri"/>
                <w:sz w:val="18"/>
                <w:szCs w:val="18"/>
              </w:rPr>
            </w:pPr>
            <w:r w:rsidRPr="005B2865">
              <w:rPr>
                <w:rFonts w:ascii="Calibri" w:hAnsi="Calibri"/>
                <w:sz w:val="18"/>
                <w:szCs w:val="18"/>
              </w:rPr>
              <w:t xml:space="preserve">Cible: </w:t>
            </w:r>
          </w:p>
          <w:p w14:paraId="6321A4C6" w14:textId="77777777" w:rsidR="00DD583B" w:rsidRPr="005B2865" w:rsidRDefault="00DD583B" w:rsidP="005D2A90">
            <w:pPr>
              <w:snapToGrid w:val="0"/>
              <w:rPr>
                <w:rFonts w:ascii="Calibri" w:hAnsi="Calibri"/>
                <w:sz w:val="18"/>
                <w:szCs w:val="18"/>
              </w:rPr>
            </w:pPr>
            <w:r w:rsidRPr="005B2865">
              <w:rPr>
                <w:rFonts w:ascii="Calibri" w:hAnsi="Calibri"/>
                <w:sz w:val="18"/>
                <w:szCs w:val="18"/>
              </w:rPr>
              <w:t>65,000</w:t>
            </w:r>
          </w:p>
          <w:p w14:paraId="1CBB25C2" w14:textId="77777777" w:rsidR="00DD583B" w:rsidRPr="005B2865" w:rsidRDefault="00DD583B" w:rsidP="005D2A90">
            <w:pPr>
              <w:snapToGrid w:val="0"/>
              <w:rPr>
                <w:rFonts w:ascii="Calibri" w:hAnsi="Calibri"/>
                <w:sz w:val="18"/>
                <w:szCs w:val="18"/>
              </w:rPr>
            </w:pPr>
            <w:r w:rsidRPr="005B2865">
              <w:rPr>
                <w:rFonts w:ascii="Calibri" w:hAnsi="Calibri"/>
                <w:sz w:val="18"/>
                <w:szCs w:val="18"/>
              </w:rPr>
              <w:t>(PDI 50,000</w:t>
            </w:r>
          </w:p>
          <w:p w14:paraId="05BF680F" w14:textId="478E3DA5" w:rsidR="00DD583B" w:rsidRPr="00186DD5" w:rsidRDefault="00DD583B" w:rsidP="00186DD5">
            <w:pPr>
              <w:snapToGrid w:val="0"/>
              <w:rPr>
                <w:rFonts w:ascii="Calibri" w:hAnsi="Calibri"/>
                <w:sz w:val="18"/>
                <w:szCs w:val="18"/>
                <w:lang w:val="fr-FR"/>
              </w:rPr>
            </w:pPr>
            <w:r w:rsidRPr="005B2865">
              <w:rPr>
                <w:rFonts w:ascii="Calibri" w:hAnsi="Calibri"/>
                <w:sz w:val="18"/>
                <w:szCs w:val="18"/>
              </w:rPr>
              <w:lastRenderedPageBreak/>
              <w:t>Refugies :15,000)</w:t>
            </w:r>
          </w:p>
        </w:tc>
        <w:tc>
          <w:tcPr>
            <w:tcW w:w="4123" w:type="dxa"/>
            <w:vAlign w:val="center"/>
          </w:tcPr>
          <w:p w14:paraId="1B07C4E5" w14:textId="77777777" w:rsidR="00DD583B" w:rsidRPr="004D4BFB" w:rsidRDefault="00DD583B" w:rsidP="005D2A90">
            <w:pPr>
              <w:numPr>
                <w:ilvl w:val="0"/>
                <w:numId w:val="10"/>
              </w:numPr>
              <w:suppressAutoHyphens/>
              <w:rPr>
                <w:rFonts w:ascii="Times New Roman" w:hAnsi="Times New Roman" w:cs="Times New Roman"/>
                <w:lang w:val="fr-FR"/>
              </w:rPr>
            </w:pPr>
            <w:r w:rsidRPr="004D4BFB">
              <w:rPr>
                <w:rFonts w:ascii="Times New Roman" w:hAnsi="Times New Roman" w:cs="Times New Roman"/>
              </w:rPr>
              <w:lastRenderedPageBreak/>
              <w:t>Mode de calcul : Dénombrement, auprès des entités qui les enregistrent, des violations DH&amp;D humanitaire, liées au conflit : décomposition H/F</w:t>
            </w:r>
          </w:p>
          <w:p w14:paraId="14193692" w14:textId="77777777" w:rsidR="00DD583B" w:rsidRPr="004D4BFB" w:rsidRDefault="00DD583B" w:rsidP="005D2A90">
            <w:pPr>
              <w:numPr>
                <w:ilvl w:val="0"/>
                <w:numId w:val="10"/>
              </w:numPr>
              <w:suppressAutoHyphens/>
              <w:rPr>
                <w:rFonts w:ascii="Times New Roman" w:hAnsi="Times New Roman" w:cs="Times New Roman"/>
                <w:lang w:val="fr-FR"/>
              </w:rPr>
            </w:pPr>
            <w:r w:rsidRPr="004D4BFB">
              <w:rPr>
                <w:rFonts w:ascii="Times New Roman" w:hAnsi="Times New Roman" w:cs="Times New Roman"/>
              </w:rPr>
              <w:t xml:space="preserve">Sources de données/Moyens de vérification: Données nationales; Plan décennal de la réconciliation </w:t>
            </w:r>
          </w:p>
          <w:p w14:paraId="264F4D6A" w14:textId="77777777" w:rsidR="00DD583B" w:rsidRPr="004D4BFB" w:rsidRDefault="00DD583B" w:rsidP="005D2A90">
            <w:pPr>
              <w:suppressAutoHyphens/>
              <w:ind w:left="360"/>
              <w:rPr>
                <w:rFonts w:ascii="Times New Roman" w:hAnsi="Times New Roman" w:cs="Times New Roman"/>
                <w:lang w:val="fr-FR"/>
              </w:rPr>
            </w:pPr>
            <w:r w:rsidRPr="004D4BFB">
              <w:rPr>
                <w:rFonts w:ascii="Times New Roman" w:hAnsi="Times New Roman" w:cs="Times New Roman"/>
              </w:rPr>
              <w:t>Plan d’action d’exécution de l’Accord ; revues</w:t>
            </w:r>
            <w:r>
              <w:rPr>
                <w:rFonts w:ascii="Times New Roman" w:hAnsi="Times New Roman" w:cs="Times New Roman"/>
              </w:rPr>
              <w:t>, rapport comission mouvement des populations, rapport annuel du UNHCR</w:t>
            </w:r>
          </w:p>
          <w:p w14:paraId="4B59B532" w14:textId="77777777" w:rsidR="00DD583B" w:rsidRPr="004D4BFB" w:rsidRDefault="00DD583B" w:rsidP="005D2A90">
            <w:pPr>
              <w:numPr>
                <w:ilvl w:val="0"/>
                <w:numId w:val="10"/>
              </w:numPr>
              <w:suppressAutoHyphens/>
              <w:rPr>
                <w:rFonts w:ascii="Times New Roman" w:hAnsi="Times New Roman" w:cs="Times New Roman"/>
                <w:lang w:val="fr-FR"/>
              </w:rPr>
            </w:pPr>
            <w:r w:rsidRPr="004D4BFB">
              <w:rPr>
                <w:rFonts w:ascii="Times New Roman" w:hAnsi="Times New Roman" w:cs="Times New Roman"/>
              </w:rPr>
              <w:t>Périodicité : Annuelle ou moins</w:t>
            </w:r>
          </w:p>
          <w:p w14:paraId="4B892943" w14:textId="77777777" w:rsidR="00DD583B" w:rsidRPr="004D4BFB" w:rsidRDefault="00DD583B" w:rsidP="005D2A90">
            <w:pPr>
              <w:pStyle w:val="Paragraphedeliste"/>
              <w:numPr>
                <w:ilvl w:val="0"/>
                <w:numId w:val="10"/>
              </w:numPr>
              <w:rPr>
                <w:lang w:val="fr-FR"/>
              </w:rPr>
            </w:pPr>
            <w:r w:rsidRPr="004D4BFB">
              <w:rPr>
                <w:rFonts w:ascii="Times New Roman" w:hAnsi="Times New Roman" w:cs="Times New Roman"/>
              </w:rPr>
              <w:t xml:space="preserve">Maître d’œuvre : Groupe de Résultat en rapport avec les structures nationales de justice et droits </w:t>
            </w:r>
            <w:r>
              <w:rPr>
                <w:rFonts w:ascii="Times New Roman" w:hAnsi="Times New Roman" w:cs="Times New Roman"/>
              </w:rPr>
              <w:t xml:space="preserve"> de l’Homme</w:t>
            </w:r>
          </w:p>
        </w:tc>
        <w:tc>
          <w:tcPr>
            <w:tcW w:w="3077" w:type="dxa"/>
            <w:gridSpan w:val="2"/>
          </w:tcPr>
          <w:p w14:paraId="6800D0F8" w14:textId="77777777" w:rsidR="00DD583B" w:rsidRPr="002E5C18" w:rsidRDefault="00DD583B" w:rsidP="005D2A90">
            <w:pPr>
              <w:rPr>
                <w:lang w:val="fr-FR"/>
              </w:rPr>
            </w:pPr>
          </w:p>
        </w:tc>
        <w:tc>
          <w:tcPr>
            <w:tcW w:w="1800" w:type="dxa"/>
          </w:tcPr>
          <w:p w14:paraId="025DADF0" w14:textId="77777777" w:rsidR="00DD583B" w:rsidRPr="002E5C18" w:rsidRDefault="00DD583B" w:rsidP="005D2A90">
            <w:pPr>
              <w:rPr>
                <w:lang w:val="fr-FR"/>
              </w:rPr>
            </w:pPr>
          </w:p>
        </w:tc>
        <w:tc>
          <w:tcPr>
            <w:tcW w:w="995" w:type="dxa"/>
          </w:tcPr>
          <w:p w14:paraId="5EE67C9E" w14:textId="77777777" w:rsidR="00DD583B" w:rsidRPr="002E5C18" w:rsidRDefault="00DD583B" w:rsidP="005D2A90">
            <w:pPr>
              <w:rPr>
                <w:lang w:val="fr-FR"/>
              </w:rPr>
            </w:pPr>
          </w:p>
        </w:tc>
      </w:tr>
      <w:tr w:rsidR="00DD583B" w:rsidRPr="002E5C18" w14:paraId="208CA29C" w14:textId="77777777" w:rsidTr="00186DD5">
        <w:tc>
          <w:tcPr>
            <w:tcW w:w="2590" w:type="dxa"/>
            <w:vMerge/>
            <w:shd w:val="clear" w:color="auto" w:fill="8DB3E2" w:themeFill="text2" w:themeFillTint="66"/>
          </w:tcPr>
          <w:p w14:paraId="1801A4A2" w14:textId="77777777" w:rsidR="00DD583B" w:rsidRPr="002E5C18" w:rsidRDefault="00DD583B" w:rsidP="005D2A90">
            <w:pPr>
              <w:rPr>
                <w:lang w:val="fr-FR"/>
              </w:rPr>
            </w:pPr>
          </w:p>
        </w:tc>
        <w:tc>
          <w:tcPr>
            <w:tcW w:w="2583" w:type="dxa"/>
          </w:tcPr>
          <w:p w14:paraId="1215A329" w14:textId="77777777" w:rsidR="00DD583B" w:rsidRDefault="00DD583B" w:rsidP="005D2A90">
            <w:pPr>
              <w:widowControl w:val="0"/>
              <w:snapToGrid w:val="0"/>
              <w:rPr>
                <w:rFonts w:ascii="Times New Roman" w:hAnsi="Times New Roman" w:cs="Times New Roman"/>
              </w:rPr>
            </w:pPr>
            <w:r w:rsidRPr="004D4BFB">
              <w:rPr>
                <w:rFonts w:ascii="Times New Roman" w:hAnsi="Times New Roman" w:cs="Times New Roman"/>
              </w:rPr>
              <w:t>Nombre de violations des droits de l'homme  et du droit international humanitaire enregistrées et liés à la situation sécuritaire au Mali (distinguer hommes, femmes, filles, garçons)"</w:t>
            </w:r>
          </w:p>
          <w:p w14:paraId="63211A3C" w14:textId="77777777" w:rsidR="00DD583B" w:rsidRPr="004D4BFB" w:rsidRDefault="00DD583B" w:rsidP="005D2A90">
            <w:pPr>
              <w:widowControl w:val="0"/>
              <w:snapToGrid w:val="0"/>
              <w:rPr>
                <w:rFonts w:cstheme="minorHAnsi"/>
                <w:bCs/>
                <w:sz w:val="18"/>
                <w:szCs w:val="18"/>
                <w:lang w:val="fr-FR"/>
              </w:rPr>
            </w:pPr>
          </w:p>
          <w:p w14:paraId="07F84E6F" w14:textId="77777777" w:rsidR="00DD583B" w:rsidRPr="00AB4E4C" w:rsidRDefault="00DD583B" w:rsidP="005D2A90">
            <w:pPr>
              <w:widowControl w:val="0"/>
              <w:snapToGrid w:val="0"/>
              <w:rPr>
                <w:rFonts w:cstheme="minorHAnsi"/>
                <w:bCs/>
                <w:sz w:val="18"/>
                <w:szCs w:val="18"/>
              </w:rPr>
            </w:pPr>
            <w:r w:rsidRPr="00AB4E4C">
              <w:rPr>
                <w:rFonts w:cstheme="minorHAnsi"/>
                <w:bCs/>
                <w:sz w:val="18"/>
                <w:szCs w:val="18"/>
              </w:rPr>
              <w:t>Base  : 114  ( 2012-2014, base de données section droits de l’home MINUSMA)</w:t>
            </w:r>
          </w:p>
          <w:p w14:paraId="5BE5BB9C"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 xml:space="preserve"> 426 (donnees de 2016)</w:t>
            </w:r>
          </w:p>
          <w:p w14:paraId="175B2DDC" w14:textId="77777777" w:rsidR="00DD583B" w:rsidRPr="00240F5D" w:rsidRDefault="00DD583B" w:rsidP="005D2A90">
            <w:pPr>
              <w:widowControl w:val="0"/>
              <w:snapToGrid w:val="0"/>
              <w:rPr>
                <w:rFonts w:cstheme="minorHAnsi"/>
                <w:bCs/>
                <w:color w:val="FF0000"/>
                <w:sz w:val="18"/>
                <w:szCs w:val="18"/>
              </w:rPr>
            </w:pPr>
          </w:p>
          <w:p w14:paraId="1FFB10C3" w14:textId="77777777" w:rsidR="00DD583B" w:rsidRPr="00240F5D" w:rsidRDefault="00DD583B" w:rsidP="005D2A90">
            <w:pPr>
              <w:widowControl w:val="0"/>
              <w:snapToGrid w:val="0"/>
              <w:rPr>
                <w:rFonts w:cstheme="minorHAnsi"/>
                <w:bCs/>
                <w:color w:val="FF0000"/>
                <w:sz w:val="18"/>
                <w:szCs w:val="18"/>
              </w:rPr>
            </w:pPr>
            <w:r w:rsidRPr="00240F5D">
              <w:rPr>
                <w:rFonts w:cstheme="minorHAnsi"/>
                <w:bCs/>
                <w:color w:val="FF0000"/>
                <w:sz w:val="18"/>
                <w:szCs w:val="18"/>
              </w:rPr>
              <w:t>Cible 2019 : 0</w:t>
            </w:r>
          </w:p>
          <w:p w14:paraId="7DBED962" w14:textId="77777777" w:rsidR="00DD583B" w:rsidRDefault="00DD583B" w:rsidP="005D2A90">
            <w:pPr>
              <w:widowControl w:val="0"/>
              <w:snapToGrid w:val="0"/>
              <w:rPr>
                <w:rFonts w:cstheme="minorHAnsi"/>
                <w:bCs/>
                <w:sz w:val="18"/>
                <w:szCs w:val="18"/>
              </w:rPr>
            </w:pPr>
          </w:p>
          <w:p w14:paraId="1DA68EEC" w14:textId="77777777" w:rsidR="00DD583B" w:rsidRPr="004D4BFB" w:rsidRDefault="00DD583B" w:rsidP="005D2A90">
            <w:pPr>
              <w:widowControl w:val="0"/>
              <w:snapToGrid w:val="0"/>
              <w:rPr>
                <w:rFonts w:cstheme="minorHAnsi"/>
                <w:bCs/>
                <w:sz w:val="18"/>
                <w:szCs w:val="18"/>
                <w:lang w:val="fr-FR"/>
              </w:rPr>
            </w:pPr>
          </w:p>
        </w:tc>
        <w:tc>
          <w:tcPr>
            <w:tcW w:w="4123" w:type="dxa"/>
            <w:vAlign w:val="center"/>
          </w:tcPr>
          <w:p w14:paraId="19C5B334" w14:textId="77777777" w:rsidR="00DD583B" w:rsidRPr="004D4BFB" w:rsidRDefault="00DD583B" w:rsidP="005D2A90">
            <w:pPr>
              <w:numPr>
                <w:ilvl w:val="0"/>
                <w:numId w:val="11"/>
              </w:numPr>
              <w:suppressAutoHyphens/>
              <w:rPr>
                <w:rFonts w:ascii="Times New Roman" w:hAnsi="Times New Roman" w:cs="Times New Roman"/>
                <w:lang w:val="fr-FR"/>
              </w:rPr>
            </w:pPr>
            <w:r w:rsidRPr="004D4BFB">
              <w:rPr>
                <w:rFonts w:ascii="Times New Roman" w:hAnsi="Times New Roman" w:cs="Times New Roman"/>
              </w:rPr>
              <w:t>Mode de calcul : Dénombrement, auprès des entités qui les enregistrent, des réfugiés et déplacés internes (H/F)</w:t>
            </w:r>
          </w:p>
          <w:p w14:paraId="50787F99" w14:textId="77777777" w:rsidR="00DD583B" w:rsidRPr="004D4BFB" w:rsidRDefault="00DD583B" w:rsidP="005D2A90">
            <w:pPr>
              <w:numPr>
                <w:ilvl w:val="0"/>
                <w:numId w:val="11"/>
              </w:numPr>
              <w:suppressAutoHyphens/>
              <w:rPr>
                <w:rFonts w:ascii="Times New Roman" w:hAnsi="Times New Roman" w:cs="Times New Roman"/>
                <w:lang w:val="fr-FR"/>
              </w:rPr>
            </w:pPr>
            <w:r w:rsidRPr="004D4BFB">
              <w:rPr>
                <w:rFonts w:ascii="Times New Roman" w:hAnsi="Times New Roman" w:cs="Times New Roman"/>
              </w:rPr>
              <w:t>Sources de données.Moyens de v</w:t>
            </w:r>
            <w:r>
              <w:rPr>
                <w:rFonts w:ascii="Times New Roman" w:hAnsi="Times New Roman" w:cs="Times New Roman"/>
              </w:rPr>
              <w:t>é</w:t>
            </w:r>
            <w:r w:rsidRPr="004D4BFB">
              <w:rPr>
                <w:rFonts w:ascii="Times New Roman" w:hAnsi="Times New Roman" w:cs="Times New Roman"/>
              </w:rPr>
              <w:t>rification : Données nationales et internationales; Base de données section des droits de l’homme</w:t>
            </w:r>
          </w:p>
          <w:p w14:paraId="39C3E2C7" w14:textId="77777777" w:rsidR="00DD583B" w:rsidRPr="004D4BFB" w:rsidRDefault="00DD583B" w:rsidP="005D2A90">
            <w:pPr>
              <w:numPr>
                <w:ilvl w:val="0"/>
                <w:numId w:val="11"/>
              </w:numPr>
              <w:suppressAutoHyphens/>
              <w:rPr>
                <w:rFonts w:ascii="Times New Roman" w:hAnsi="Times New Roman" w:cs="Times New Roman"/>
                <w:lang w:val="fr-FR"/>
              </w:rPr>
            </w:pPr>
            <w:r w:rsidRPr="004D4BFB">
              <w:rPr>
                <w:rFonts w:ascii="Times New Roman" w:hAnsi="Times New Roman" w:cs="Times New Roman"/>
              </w:rPr>
              <w:t>Périodicité : Annuelle ou moins</w:t>
            </w:r>
          </w:p>
          <w:p w14:paraId="2ADFD019" w14:textId="77777777" w:rsidR="00DD583B" w:rsidRPr="004D4BFB" w:rsidRDefault="00DD583B" w:rsidP="005D2A90">
            <w:pPr>
              <w:pStyle w:val="Paragraphedeliste"/>
              <w:numPr>
                <w:ilvl w:val="0"/>
                <w:numId w:val="11"/>
              </w:numPr>
              <w:rPr>
                <w:lang w:val="fr-FR"/>
              </w:rPr>
            </w:pPr>
            <w:r w:rsidRPr="004D4BFB">
              <w:rPr>
                <w:rFonts w:ascii="Times New Roman" w:hAnsi="Times New Roman" w:cs="Times New Roman"/>
              </w:rPr>
              <w:t>Maître d’œuvre : Groupe de Résultat en rapport avec les structures nationales et internationales en charge</w:t>
            </w:r>
          </w:p>
        </w:tc>
        <w:tc>
          <w:tcPr>
            <w:tcW w:w="3077" w:type="dxa"/>
            <w:gridSpan w:val="2"/>
          </w:tcPr>
          <w:p w14:paraId="673F26D2" w14:textId="77777777" w:rsidR="00DD583B" w:rsidRPr="002E5C18" w:rsidRDefault="00DD583B" w:rsidP="005D2A90">
            <w:pPr>
              <w:rPr>
                <w:lang w:val="fr-FR"/>
              </w:rPr>
            </w:pPr>
          </w:p>
        </w:tc>
        <w:tc>
          <w:tcPr>
            <w:tcW w:w="1800" w:type="dxa"/>
          </w:tcPr>
          <w:p w14:paraId="7CC13B06" w14:textId="77777777" w:rsidR="00DD583B" w:rsidRPr="002E5C18" w:rsidRDefault="00DD583B" w:rsidP="005D2A90">
            <w:pPr>
              <w:rPr>
                <w:lang w:val="fr-FR"/>
              </w:rPr>
            </w:pPr>
          </w:p>
        </w:tc>
        <w:tc>
          <w:tcPr>
            <w:tcW w:w="995" w:type="dxa"/>
          </w:tcPr>
          <w:p w14:paraId="1C02553C" w14:textId="77777777" w:rsidR="00DD583B" w:rsidRPr="002E5C18" w:rsidRDefault="00DD583B" w:rsidP="005D2A90">
            <w:pPr>
              <w:rPr>
                <w:lang w:val="fr-FR"/>
              </w:rPr>
            </w:pPr>
          </w:p>
        </w:tc>
      </w:tr>
      <w:tr w:rsidR="00DD583B" w:rsidRPr="002E5C18" w14:paraId="64BC7830" w14:textId="77777777" w:rsidTr="00186DD5">
        <w:tc>
          <w:tcPr>
            <w:tcW w:w="2590" w:type="dxa"/>
            <w:vMerge w:val="restart"/>
            <w:shd w:val="clear" w:color="auto" w:fill="DBE5F1" w:themeFill="accent1" w:themeFillTint="33"/>
          </w:tcPr>
          <w:p w14:paraId="4E46FCE8" w14:textId="77777777" w:rsidR="00DD583B" w:rsidRPr="002E5C18" w:rsidRDefault="00DD583B" w:rsidP="005D2A90">
            <w:pPr>
              <w:rPr>
                <w:lang w:val="fr-FR"/>
              </w:rPr>
            </w:pPr>
            <w:r>
              <w:rPr>
                <w:rFonts w:ascii="Times New Roman" w:hAnsi="Times New Roman" w:cs="Times New Roman"/>
              </w:rPr>
              <w:t>Produit 1.1.  Dialogue politique / médiation: Capacités techniques des institutions gouvernementales et des autres acteurs nationaux y compris les groupes armés, renforcées en vue de l’amélioration des mécanismes de dialogue politique et de médiation inclusifs sont améliorés à travers le renforcement</w:t>
            </w:r>
          </w:p>
        </w:tc>
        <w:tc>
          <w:tcPr>
            <w:tcW w:w="2583" w:type="dxa"/>
          </w:tcPr>
          <w:p w14:paraId="14614001" w14:textId="77777777" w:rsidR="00DD583B" w:rsidRPr="004D4BFB" w:rsidRDefault="00DD583B" w:rsidP="005D2A90">
            <w:pPr>
              <w:rPr>
                <w:rFonts w:ascii="Times New Roman" w:hAnsi="Times New Roman" w:cs="Times New Roman"/>
                <w:lang w:val="fr-FR"/>
              </w:rPr>
            </w:pPr>
            <w:r w:rsidRPr="004D4BFB">
              <w:rPr>
                <w:rFonts w:ascii="Times New Roman" w:hAnsi="Times New Roman" w:cs="Times New Roman"/>
                <w:b/>
                <w:bCs/>
              </w:rPr>
              <w:t>Indicateur 1.1.1</w:t>
            </w:r>
            <w:r w:rsidRPr="004D4BFB">
              <w:rPr>
                <w:rFonts w:ascii="Times New Roman" w:hAnsi="Times New Roman" w:cs="Times New Roman"/>
              </w:rPr>
              <w:t xml:space="preserve"> Nombre d’institutions régionales, nationales publiques ou parapubliques ayant reçu un renforcement pour la gestion des conflits</w:t>
            </w:r>
            <w:r>
              <w:rPr>
                <w:rFonts w:ascii="Times New Roman" w:hAnsi="Times New Roman" w:cs="Times New Roman"/>
              </w:rPr>
              <w:t>,</w:t>
            </w:r>
            <w:r w:rsidRPr="004D4BFB">
              <w:rPr>
                <w:rFonts w:ascii="Times New Roman" w:hAnsi="Times New Roman" w:cs="Times New Roman"/>
              </w:rPr>
              <w:t xml:space="preserve">  la promotion de la paix et la réconciliation</w:t>
            </w:r>
            <w:r w:rsidRPr="004D4BFB">
              <w:rPr>
                <w:rStyle w:val="Appelnotedebasdep"/>
                <w:rFonts w:ascii="Times New Roman" w:hAnsi="Times New Roman" w:cs="Times New Roman"/>
              </w:rPr>
              <w:footnoteReference w:id="3"/>
            </w:r>
          </w:p>
          <w:p w14:paraId="71E1132B" w14:textId="77777777" w:rsidR="00DD583B" w:rsidRPr="004D4BFB" w:rsidRDefault="00DD583B" w:rsidP="005D2A90">
            <w:pPr>
              <w:rPr>
                <w:rFonts w:ascii="Times New Roman" w:hAnsi="Times New Roman" w:cs="Times New Roman"/>
                <w:lang w:val="fr-FR"/>
              </w:rPr>
            </w:pPr>
          </w:p>
          <w:p w14:paraId="62A94A49" w14:textId="77777777" w:rsidR="00DD583B" w:rsidRDefault="00DD583B" w:rsidP="005D2A90">
            <w:pPr>
              <w:rPr>
                <w:rFonts w:ascii="Times New Roman" w:hAnsi="Times New Roman" w:cs="Times New Roman"/>
              </w:rPr>
            </w:pPr>
            <w:r w:rsidRPr="004D4BFB">
              <w:rPr>
                <w:rFonts w:ascii="Times New Roman" w:hAnsi="Times New Roman" w:cs="Times New Roman"/>
              </w:rPr>
              <w:t>Base: 0</w:t>
            </w:r>
          </w:p>
          <w:p w14:paraId="1393C17E"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4 (donnees de 2016)</w:t>
            </w:r>
          </w:p>
          <w:p w14:paraId="2672B2A0" w14:textId="77777777" w:rsidR="00DD583B" w:rsidRPr="004D4BFB" w:rsidRDefault="00DD583B" w:rsidP="005D2A90">
            <w:pPr>
              <w:rPr>
                <w:lang w:val="fr-FR"/>
              </w:rPr>
            </w:pPr>
            <w:r w:rsidRPr="004D4BFB">
              <w:rPr>
                <w:rFonts w:ascii="Times New Roman" w:hAnsi="Times New Roman" w:cs="Times New Roman"/>
              </w:rPr>
              <w:t>Cible: 10</w:t>
            </w:r>
          </w:p>
        </w:tc>
        <w:tc>
          <w:tcPr>
            <w:tcW w:w="4123" w:type="dxa"/>
            <w:vAlign w:val="center"/>
          </w:tcPr>
          <w:p w14:paraId="193B7247" w14:textId="77777777" w:rsidR="00DD583B" w:rsidRPr="004D4BFB" w:rsidRDefault="00DD583B" w:rsidP="005D2A90">
            <w:pPr>
              <w:numPr>
                <w:ilvl w:val="0"/>
                <w:numId w:val="8"/>
              </w:numPr>
              <w:ind w:left="357" w:hanging="357"/>
              <w:rPr>
                <w:rFonts w:ascii="Times New Roman" w:hAnsi="Times New Roman" w:cs="Times New Roman"/>
                <w:lang w:val="fr-FR"/>
              </w:rPr>
            </w:pPr>
            <w:r w:rsidRPr="004D4BFB">
              <w:rPr>
                <w:rFonts w:ascii="Times New Roman" w:hAnsi="Times New Roman" w:cs="Times New Roman"/>
              </w:rPr>
              <w:t>Mode de calcul : Dénombrement auprès des entités UN/Effet1 des institutions régionales, nationales publiques/parapubliques renforcées en gestion de conflit/paix/réconciliation</w:t>
            </w:r>
          </w:p>
          <w:p w14:paraId="189BD294" w14:textId="77777777" w:rsidR="00DD583B" w:rsidRPr="004D4BFB" w:rsidRDefault="00DD583B" w:rsidP="005D2A90">
            <w:pPr>
              <w:numPr>
                <w:ilvl w:val="0"/>
                <w:numId w:val="8"/>
              </w:numPr>
              <w:ind w:left="357" w:hanging="357"/>
              <w:rPr>
                <w:rFonts w:ascii="Times New Roman" w:hAnsi="Times New Roman" w:cs="Times New Roman"/>
                <w:lang w:val="fr-FR"/>
              </w:rPr>
            </w:pPr>
            <w:r w:rsidRPr="004D4BFB">
              <w:rPr>
                <w:rFonts w:ascii="Times New Roman" w:hAnsi="Times New Roman" w:cs="Times New Roman"/>
              </w:rPr>
              <w:t>Sources de données/Moyens de vérification : Données SNU/Effet1</w:t>
            </w:r>
            <w:r>
              <w:rPr>
                <w:rFonts w:ascii="Times New Roman" w:hAnsi="Times New Roman" w:cs="Times New Roman"/>
              </w:rPr>
              <w:t>, Données du MRN</w:t>
            </w:r>
          </w:p>
          <w:p w14:paraId="2CEA47DE" w14:textId="77777777" w:rsidR="00DD583B" w:rsidRPr="004D4BFB" w:rsidRDefault="00DD583B" w:rsidP="005D2A90">
            <w:pPr>
              <w:numPr>
                <w:ilvl w:val="0"/>
                <w:numId w:val="8"/>
              </w:numPr>
              <w:ind w:left="357" w:hanging="357"/>
              <w:rPr>
                <w:rFonts w:ascii="Times New Roman" w:hAnsi="Times New Roman" w:cs="Times New Roman"/>
                <w:lang w:val="fr-FR"/>
              </w:rPr>
            </w:pPr>
            <w:r w:rsidRPr="004D4BFB">
              <w:rPr>
                <w:rFonts w:ascii="Times New Roman" w:hAnsi="Times New Roman" w:cs="Times New Roman"/>
              </w:rPr>
              <w:t>Périodicité : Annuelle ou moins</w:t>
            </w:r>
          </w:p>
          <w:p w14:paraId="32D3C9CB" w14:textId="77777777" w:rsidR="00DD583B" w:rsidRPr="004D4BFB" w:rsidRDefault="00DD583B" w:rsidP="005D2A90">
            <w:pPr>
              <w:pStyle w:val="Paragraphedeliste"/>
              <w:numPr>
                <w:ilvl w:val="0"/>
                <w:numId w:val="8"/>
              </w:numPr>
              <w:ind w:left="357" w:hanging="357"/>
              <w:rPr>
                <w:lang w:val="fr-FR"/>
              </w:rPr>
            </w:pPr>
            <w:r w:rsidRPr="004D4BFB">
              <w:rPr>
                <w:rFonts w:ascii="Times New Roman" w:hAnsi="Times New Roman" w:cs="Times New Roman"/>
              </w:rPr>
              <w:t>Maître d’œuvre : Groupe de Résultat</w:t>
            </w:r>
            <w:r>
              <w:rPr>
                <w:rFonts w:ascii="Times New Roman" w:hAnsi="Times New Roman" w:cs="Times New Roman"/>
              </w:rPr>
              <w:t xml:space="preserve"> UNDAF (Axe 1)</w:t>
            </w:r>
          </w:p>
        </w:tc>
        <w:tc>
          <w:tcPr>
            <w:tcW w:w="3077" w:type="dxa"/>
            <w:gridSpan w:val="2"/>
            <w:vMerge w:val="restart"/>
          </w:tcPr>
          <w:p w14:paraId="01F148CA" w14:textId="77777777" w:rsidR="00DD583B" w:rsidRPr="00AA53AB" w:rsidRDefault="00DD583B" w:rsidP="005D2A90">
            <w:pPr>
              <w:widowControl w:val="0"/>
              <w:snapToGrid w:val="0"/>
              <w:rPr>
                <w:rFonts w:cstheme="minorHAnsi"/>
                <w:sz w:val="18"/>
                <w:szCs w:val="18"/>
                <w:lang w:val="fr-FR"/>
              </w:rPr>
            </w:pPr>
          </w:p>
          <w:p w14:paraId="20823145" w14:textId="77777777" w:rsidR="00DD583B" w:rsidRPr="00AA53AB" w:rsidRDefault="00DD583B" w:rsidP="005D2A90">
            <w:pPr>
              <w:widowControl w:val="0"/>
              <w:snapToGrid w:val="0"/>
              <w:rPr>
                <w:rFonts w:cstheme="minorHAnsi"/>
                <w:sz w:val="18"/>
                <w:szCs w:val="18"/>
                <w:lang w:val="fr-FR"/>
              </w:rPr>
            </w:pPr>
            <w:r w:rsidRPr="00AA53AB">
              <w:rPr>
                <w:rFonts w:cstheme="minorHAnsi"/>
                <w:sz w:val="18"/>
                <w:szCs w:val="18"/>
              </w:rPr>
              <w:t>Faible engagement des parties dans le cadre du processus de paix</w:t>
            </w:r>
          </w:p>
          <w:p w14:paraId="3DA8ED46" w14:textId="77777777" w:rsidR="00DD583B" w:rsidRPr="00AA53AB" w:rsidRDefault="00DD583B" w:rsidP="005D2A90">
            <w:pPr>
              <w:widowControl w:val="0"/>
              <w:snapToGrid w:val="0"/>
              <w:rPr>
                <w:rFonts w:cstheme="minorHAnsi"/>
                <w:sz w:val="18"/>
                <w:szCs w:val="18"/>
                <w:lang w:val="fr-FR"/>
              </w:rPr>
            </w:pPr>
          </w:p>
          <w:p w14:paraId="14A372AB" w14:textId="77777777" w:rsidR="00DD583B" w:rsidRPr="00AA53AB" w:rsidRDefault="00DD583B" w:rsidP="005D2A90">
            <w:pPr>
              <w:widowControl w:val="0"/>
              <w:snapToGrid w:val="0"/>
              <w:rPr>
                <w:rFonts w:cstheme="minorHAnsi"/>
                <w:sz w:val="18"/>
                <w:szCs w:val="18"/>
                <w:lang w:val="fr-FR"/>
              </w:rPr>
            </w:pPr>
            <w:r w:rsidRPr="00AA53AB">
              <w:rPr>
                <w:rFonts w:cstheme="minorHAnsi"/>
                <w:sz w:val="18"/>
                <w:szCs w:val="18"/>
              </w:rPr>
              <w:t>Détérioration de l'environnement politico-sécuritaire</w:t>
            </w:r>
          </w:p>
          <w:p w14:paraId="5D72D499" w14:textId="77777777" w:rsidR="00DD583B" w:rsidRPr="00AA53AB" w:rsidRDefault="00DD583B" w:rsidP="005D2A90">
            <w:pPr>
              <w:widowControl w:val="0"/>
              <w:snapToGrid w:val="0"/>
              <w:rPr>
                <w:rFonts w:cstheme="minorHAnsi"/>
                <w:sz w:val="18"/>
                <w:szCs w:val="18"/>
                <w:lang w:val="fr-FR"/>
              </w:rPr>
            </w:pPr>
          </w:p>
          <w:p w14:paraId="1952E08E" w14:textId="77777777" w:rsidR="00DD583B" w:rsidRPr="00AA53AB" w:rsidRDefault="00DD583B" w:rsidP="005D2A90">
            <w:pPr>
              <w:widowControl w:val="0"/>
              <w:snapToGrid w:val="0"/>
              <w:rPr>
                <w:rFonts w:cstheme="minorHAnsi"/>
                <w:sz w:val="18"/>
                <w:szCs w:val="18"/>
                <w:lang w:val="fr-FR"/>
              </w:rPr>
            </w:pPr>
            <w:r w:rsidRPr="00AA53AB">
              <w:rPr>
                <w:rFonts w:cstheme="minorHAnsi"/>
                <w:sz w:val="18"/>
                <w:szCs w:val="18"/>
              </w:rPr>
              <w:t>Exclusion de certains groupes du processus de dialogue inclusif</w:t>
            </w:r>
          </w:p>
          <w:p w14:paraId="1B7D5B70" w14:textId="77777777" w:rsidR="00DD583B" w:rsidRPr="00AA53AB" w:rsidRDefault="00DD583B" w:rsidP="005D2A90">
            <w:pPr>
              <w:widowControl w:val="0"/>
              <w:snapToGrid w:val="0"/>
              <w:rPr>
                <w:rFonts w:cstheme="minorHAnsi"/>
                <w:sz w:val="18"/>
                <w:szCs w:val="18"/>
                <w:lang w:val="fr-FR"/>
              </w:rPr>
            </w:pPr>
          </w:p>
          <w:p w14:paraId="3329A5D7" w14:textId="77777777" w:rsidR="00DD583B" w:rsidRPr="00AA53AB" w:rsidRDefault="00DD583B" w:rsidP="005D2A90">
            <w:pPr>
              <w:widowControl w:val="0"/>
              <w:snapToGrid w:val="0"/>
              <w:rPr>
                <w:rFonts w:cstheme="minorHAnsi"/>
                <w:sz w:val="18"/>
                <w:szCs w:val="18"/>
                <w:lang w:val="fr-FR"/>
              </w:rPr>
            </w:pPr>
          </w:p>
          <w:p w14:paraId="5FCBEDE3" w14:textId="77777777" w:rsidR="00DD583B" w:rsidRPr="00AA53AB" w:rsidRDefault="00DD583B" w:rsidP="005D2A90">
            <w:pPr>
              <w:widowControl w:val="0"/>
              <w:snapToGrid w:val="0"/>
              <w:rPr>
                <w:rFonts w:cstheme="minorHAnsi"/>
                <w:bCs/>
                <w:sz w:val="18"/>
                <w:szCs w:val="18"/>
                <w:lang w:val="fr-FR"/>
              </w:rPr>
            </w:pPr>
            <w:r w:rsidRPr="00AA53AB">
              <w:rPr>
                <w:rFonts w:cstheme="minorHAnsi"/>
                <w:bCs/>
                <w:sz w:val="18"/>
                <w:szCs w:val="18"/>
              </w:rPr>
              <w:t>Les organisations de la société civiles existantes sont politisées</w:t>
            </w:r>
          </w:p>
          <w:p w14:paraId="2D7213EE" w14:textId="77777777" w:rsidR="00DD583B" w:rsidRPr="00AA53AB" w:rsidRDefault="00DD583B" w:rsidP="005D2A90">
            <w:pPr>
              <w:widowControl w:val="0"/>
              <w:snapToGrid w:val="0"/>
              <w:rPr>
                <w:rFonts w:cstheme="minorHAnsi"/>
                <w:bCs/>
                <w:sz w:val="18"/>
                <w:szCs w:val="18"/>
                <w:lang w:val="fr-FR"/>
              </w:rPr>
            </w:pPr>
            <w:r w:rsidRPr="00AA53AB">
              <w:rPr>
                <w:rFonts w:cstheme="minorHAnsi"/>
                <w:bCs/>
                <w:sz w:val="18"/>
                <w:szCs w:val="18"/>
              </w:rPr>
              <w:t>L’accès aux communes est limité</w:t>
            </w:r>
          </w:p>
          <w:p w14:paraId="0C734B9C" w14:textId="77777777" w:rsidR="00DD583B" w:rsidRPr="00AA53AB" w:rsidRDefault="00DD583B" w:rsidP="005D2A90">
            <w:pPr>
              <w:widowControl w:val="0"/>
              <w:snapToGrid w:val="0"/>
              <w:rPr>
                <w:rFonts w:cstheme="minorHAnsi"/>
                <w:bCs/>
                <w:sz w:val="18"/>
                <w:szCs w:val="18"/>
                <w:lang w:val="fr-FR"/>
              </w:rPr>
            </w:pPr>
          </w:p>
          <w:p w14:paraId="3E28515A" w14:textId="77777777" w:rsidR="00DD583B" w:rsidRPr="00AA53AB" w:rsidRDefault="00DD583B" w:rsidP="005D2A90">
            <w:pPr>
              <w:widowControl w:val="0"/>
              <w:snapToGrid w:val="0"/>
              <w:rPr>
                <w:rFonts w:cstheme="minorHAnsi"/>
                <w:bCs/>
                <w:sz w:val="18"/>
                <w:szCs w:val="18"/>
                <w:lang w:val="fr-FR"/>
              </w:rPr>
            </w:pPr>
            <w:r w:rsidRPr="00AA53AB">
              <w:rPr>
                <w:rFonts w:cstheme="minorHAnsi"/>
                <w:bCs/>
                <w:sz w:val="18"/>
                <w:szCs w:val="18"/>
              </w:rPr>
              <w:t>La sécurité volatile</w:t>
            </w:r>
          </w:p>
          <w:p w14:paraId="2BC5AD95" w14:textId="77777777" w:rsidR="00DD583B" w:rsidRPr="00AA53AB" w:rsidRDefault="00DD583B" w:rsidP="005D2A90">
            <w:pPr>
              <w:widowControl w:val="0"/>
              <w:snapToGrid w:val="0"/>
              <w:rPr>
                <w:rFonts w:cstheme="minorHAnsi"/>
                <w:sz w:val="18"/>
                <w:szCs w:val="18"/>
                <w:lang w:val="fr-FR"/>
              </w:rPr>
            </w:pPr>
          </w:p>
          <w:p w14:paraId="59A0F655" w14:textId="77777777" w:rsidR="00DD583B" w:rsidRPr="00AA53AB" w:rsidRDefault="00DD583B" w:rsidP="005D2A90">
            <w:pPr>
              <w:rPr>
                <w:lang w:val="fr-FR"/>
              </w:rPr>
            </w:pPr>
          </w:p>
        </w:tc>
        <w:tc>
          <w:tcPr>
            <w:tcW w:w="1800" w:type="dxa"/>
            <w:vMerge w:val="restart"/>
          </w:tcPr>
          <w:p w14:paraId="0F17067B" w14:textId="77777777" w:rsidR="00DD583B" w:rsidRPr="00AA53AB" w:rsidRDefault="00DD583B" w:rsidP="005D2A90">
            <w:pPr>
              <w:widowControl w:val="0"/>
              <w:snapToGrid w:val="0"/>
              <w:rPr>
                <w:rFonts w:cstheme="minorHAnsi"/>
                <w:sz w:val="18"/>
                <w:szCs w:val="18"/>
                <w:lang w:val="fr-FR"/>
              </w:rPr>
            </w:pPr>
            <w:r w:rsidRPr="00AA53AB">
              <w:rPr>
                <w:rFonts w:cstheme="minorHAnsi"/>
                <w:sz w:val="18"/>
                <w:szCs w:val="18"/>
              </w:rPr>
              <w:t xml:space="preserve">Appui technique </w:t>
            </w:r>
          </w:p>
          <w:p w14:paraId="016049DF" w14:textId="77777777" w:rsidR="00DD583B" w:rsidRPr="00AA53AB" w:rsidRDefault="00DD583B" w:rsidP="005D2A90">
            <w:pPr>
              <w:widowControl w:val="0"/>
              <w:snapToGrid w:val="0"/>
              <w:rPr>
                <w:rFonts w:cstheme="minorHAnsi"/>
                <w:sz w:val="18"/>
                <w:szCs w:val="18"/>
                <w:lang w:val="fr-FR"/>
              </w:rPr>
            </w:pPr>
          </w:p>
          <w:p w14:paraId="65FE916E" w14:textId="77777777" w:rsidR="00DD583B" w:rsidRPr="00AA53AB" w:rsidRDefault="00DD583B" w:rsidP="005D2A90">
            <w:pPr>
              <w:widowControl w:val="0"/>
              <w:snapToGrid w:val="0"/>
              <w:rPr>
                <w:rFonts w:cstheme="minorHAnsi"/>
                <w:sz w:val="18"/>
                <w:szCs w:val="18"/>
                <w:lang w:val="fr-FR"/>
              </w:rPr>
            </w:pPr>
            <w:r w:rsidRPr="00AA53AB">
              <w:rPr>
                <w:rFonts w:cstheme="minorHAnsi"/>
                <w:sz w:val="18"/>
                <w:szCs w:val="18"/>
              </w:rPr>
              <w:t>Suivi et analyse indépendante</w:t>
            </w:r>
          </w:p>
          <w:p w14:paraId="721E033F" w14:textId="77777777" w:rsidR="00DD583B" w:rsidRPr="00AA53AB" w:rsidRDefault="00DD583B" w:rsidP="005D2A90">
            <w:pPr>
              <w:widowControl w:val="0"/>
              <w:snapToGrid w:val="0"/>
              <w:rPr>
                <w:rFonts w:cstheme="minorHAnsi"/>
                <w:sz w:val="18"/>
                <w:szCs w:val="18"/>
                <w:lang w:val="fr-FR"/>
              </w:rPr>
            </w:pPr>
          </w:p>
          <w:p w14:paraId="046F8ED6" w14:textId="77777777" w:rsidR="00DD583B" w:rsidRPr="00AA53AB" w:rsidRDefault="00DD583B" w:rsidP="005D2A90">
            <w:pPr>
              <w:widowControl w:val="0"/>
              <w:snapToGrid w:val="0"/>
              <w:rPr>
                <w:rFonts w:cstheme="minorHAnsi"/>
                <w:sz w:val="18"/>
                <w:szCs w:val="18"/>
                <w:lang w:val="fr-FR"/>
              </w:rPr>
            </w:pPr>
            <w:r w:rsidRPr="00AA53AB">
              <w:rPr>
                <w:rFonts w:cstheme="minorHAnsi"/>
                <w:sz w:val="18"/>
                <w:szCs w:val="18"/>
              </w:rPr>
              <w:t>Formations et appui logistique et technique OSC et MRN</w:t>
            </w:r>
          </w:p>
          <w:p w14:paraId="46C76076" w14:textId="77777777" w:rsidR="00DD583B" w:rsidRPr="00AA53AB" w:rsidRDefault="00DD583B" w:rsidP="005D2A90">
            <w:pPr>
              <w:rPr>
                <w:lang w:val="fr-FR"/>
              </w:rPr>
            </w:pPr>
          </w:p>
        </w:tc>
        <w:tc>
          <w:tcPr>
            <w:tcW w:w="995" w:type="dxa"/>
          </w:tcPr>
          <w:p w14:paraId="69CC7BF6" w14:textId="77777777" w:rsidR="00DD583B" w:rsidRPr="002E5C18" w:rsidRDefault="00DD583B" w:rsidP="005D2A90">
            <w:pPr>
              <w:rPr>
                <w:lang w:val="fr-FR"/>
              </w:rPr>
            </w:pPr>
          </w:p>
        </w:tc>
      </w:tr>
      <w:tr w:rsidR="00DD583B" w:rsidRPr="002E5C18" w14:paraId="573480FB" w14:textId="77777777" w:rsidTr="00186DD5">
        <w:tc>
          <w:tcPr>
            <w:tcW w:w="2590" w:type="dxa"/>
            <w:vMerge/>
            <w:shd w:val="clear" w:color="auto" w:fill="DBE5F1" w:themeFill="accent1" w:themeFillTint="33"/>
          </w:tcPr>
          <w:p w14:paraId="2D5BB1E4" w14:textId="77777777" w:rsidR="00DD583B" w:rsidRPr="002E5C18" w:rsidRDefault="00DD583B" w:rsidP="005D2A90">
            <w:pPr>
              <w:rPr>
                <w:lang w:val="fr-FR"/>
              </w:rPr>
            </w:pPr>
          </w:p>
        </w:tc>
        <w:tc>
          <w:tcPr>
            <w:tcW w:w="2583" w:type="dxa"/>
            <w:vAlign w:val="center"/>
          </w:tcPr>
          <w:p w14:paraId="31C4333F" w14:textId="77777777" w:rsidR="00DD583B" w:rsidRPr="0067771B" w:rsidRDefault="00DD583B" w:rsidP="005D2A90">
            <w:pPr>
              <w:rPr>
                <w:rFonts w:ascii="Times New Roman" w:hAnsi="Times New Roman" w:cs="Times New Roman"/>
              </w:rPr>
            </w:pPr>
            <w:r w:rsidRPr="0067771B">
              <w:rPr>
                <w:rFonts w:ascii="Times New Roman" w:hAnsi="Times New Roman" w:cs="Times New Roman"/>
                <w:b/>
                <w:bCs/>
              </w:rPr>
              <w:t>Indicateur 1.1.2</w:t>
            </w:r>
            <w:r w:rsidRPr="0067771B">
              <w:rPr>
                <w:rFonts w:ascii="Times New Roman" w:hAnsi="Times New Roman" w:cs="Times New Roman"/>
              </w:rPr>
              <w:t xml:space="preserve"> Nombre  d’acteurs nationaux non gouvernementaux</w:t>
            </w:r>
            <w:r>
              <w:rPr>
                <w:rFonts w:ascii="Times New Roman" w:hAnsi="Times New Roman" w:cs="Times New Roman"/>
              </w:rPr>
              <w:t xml:space="preserve"> (H/F)</w:t>
            </w:r>
            <w:r w:rsidRPr="0067771B">
              <w:rPr>
                <w:rFonts w:ascii="Times New Roman" w:hAnsi="Times New Roman" w:cs="Times New Roman"/>
              </w:rPr>
              <w:t>, y compris les groupes armés, ayant reçu un renforcement pour la gestion des conflits,  la promotion de la paix et la réconciliation</w:t>
            </w:r>
          </w:p>
          <w:p w14:paraId="4EEED34C" w14:textId="77777777" w:rsidR="00DD583B" w:rsidRPr="0067771B" w:rsidRDefault="00DD583B" w:rsidP="005D2A90">
            <w:pPr>
              <w:rPr>
                <w:rFonts w:ascii="Times New Roman" w:hAnsi="Times New Roman" w:cs="Times New Roman"/>
              </w:rPr>
            </w:pPr>
          </w:p>
          <w:p w14:paraId="3B2CFB87" w14:textId="77777777" w:rsidR="00DD583B" w:rsidRPr="0067771B" w:rsidRDefault="00DD583B" w:rsidP="005D2A90">
            <w:pPr>
              <w:rPr>
                <w:rFonts w:ascii="Times New Roman" w:hAnsi="Times New Roman" w:cs="Times New Roman"/>
              </w:rPr>
            </w:pPr>
            <w:r w:rsidRPr="0067771B">
              <w:rPr>
                <w:rFonts w:ascii="Times New Roman" w:hAnsi="Times New Roman" w:cs="Times New Roman"/>
              </w:rPr>
              <w:t>Base:0</w:t>
            </w:r>
          </w:p>
          <w:p w14:paraId="47BA399E" w14:textId="3D3C0E57" w:rsidR="00DD583B" w:rsidRPr="0067771B" w:rsidRDefault="00DD583B" w:rsidP="005D2A90">
            <w:pPr>
              <w:snapToGrid w:val="0"/>
              <w:rPr>
                <w:rFonts w:ascii="Calibri" w:hAnsi="Calibri"/>
                <w:color w:val="FF0000"/>
                <w:sz w:val="18"/>
                <w:szCs w:val="18"/>
              </w:rPr>
            </w:pPr>
            <w:r w:rsidRPr="0067771B">
              <w:rPr>
                <w:rFonts w:ascii="Calibri" w:hAnsi="Calibri"/>
                <w:color w:val="FF0000"/>
                <w:sz w:val="18"/>
                <w:szCs w:val="18"/>
              </w:rPr>
              <w:t xml:space="preserve">Situation en fin 2017: </w:t>
            </w:r>
            <w:r w:rsidR="00DA5AAC">
              <w:rPr>
                <w:rFonts w:ascii="Calibri" w:hAnsi="Calibri"/>
                <w:color w:val="FF0000"/>
                <w:sz w:val="18"/>
                <w:szCs w:val="18"/>
              </w:rPr>
              <w:t>1305</w:t>
            </w:r>
          </w:p>
          <w:p w14:paraId="4E41387E" w14:textId="10356AF4" w:rsidR="00DD583B" w:rsidRPr="00CE2384" w:rsidRDefault="00DD583B" w:rsidP="005D2A90">
            <w:pPr>
              <w:snapToGrid w:val="0"/>
              <w:rPr>
                <w:rFonts w:ascii="Calibri" w:hAnsi="Calibri"/>
                <w:color w:val="FF0000"/>
                <w:sz w:val="18"/>
                <w:szCs w:val="18"/>
                <w:lang w:val="fr-FR"/>
              </w:rPr>
            </w:pPr>
            <w:r w:rsidRPr="0067771B">
              <w:rPr>
                <w:rFonts w:ascii="Calibri" w:hAnsi="Calibri"/>
                <w:color w:val="FF0000"/>
                <w:sz w:val="18"/>
                <w:szCs w:val="18"/>
              </w:rPr>
              <w:t>Cible:</w:t>
            </w:r>
            <w:r w:rsidR="00DA5AAC">
              <w:rPr>
                <w:rFonts w:ascii="Calibri" w:hAnsi="Calibri"/>
                <w:color w:val="FF0000"/>
                <w:sz w:val="18"/>
                <w:szCs w:val="18"/>
              </w:rPr>
              <w:t xml:space="preserve"> N</w:t>
            </w:r>
            <w:r>
              <w:rPr>
                <w:rFonts w:ascii="Calibri" w:hAnsi="Calibri"/>
                <w:color w:val="FF0000"/>
                <w:sz w:val="18"/>
                <w:szCs w:val="18"/>
              </w:rPr>
              <w:t>D</w:t>
            </w:r>
          </w:p>
          <w:p w14:paraId="3721084D" w14:textId="77777777" w:rsidR="00DD583B" w:rsidRPr="002E5C18" w:rsidRDefault="00DD583B" w:rsidP="005D2A90">
            <w:pPr>
              <w:rPr>
                <w:lang w:val="fr-FR"/>
              </w:rPr>
            </w:pPr>
          </w:p>
        </w:tc>
        <w:tc>
          <w:tcPr>
            <w:tcW w:w="4123" w:type="dxa"/>
            <w:vAlign w:val="center"/>
          </w:tcPr>
          <w:p w14:paraId="0948333D" w14:textId="77777777" w:rsidR="00DD583B" w:rsidRDefault="00DD583B" w:rsidP="005D2A90">
            <w:pPr>
              <w:numPr>
                <w:ilvl w:val="0"/>
                <w:numId w:val="9"/>
              </w:numPr>
              <w:rPr>
                <w:rFonts w:ascii="Times New Roman" w:hAnsi="Times New Roman" w:cs="Times New Roman"/>
                <w:lang w:val="fr-FR"/>
              </w:rPr>
            </w:pPr>
            <w:r w:rsidRPr="00880F37">
              <w:rPr>
                <w:rFonts w:ascii="Times New Roman" w:hAnsi="Times New Roman" w:cs="Times New Roman"/>
              </w:rPr>
              <w:lastRenderedPageBreak/>
              <w:t>Mode de calcul : Dénombrement auprès des entités UN/Effet1 des acteurs non étatiques renforcés en gestion de conflit/paix/réconciliation</w:t>
            </w:r>
          </w:p>
          <w:p w14:paraId="31E266A8" w14:textId="77777777" w:rsidR="00DD583B" w:rsidRDefault="00DD583B" w:rsidP="005D2A90">
            <w:pPr>
              <w:numPr>
                <w:ilvl w:val="0"/>
                <w:numId w:val="9"/>
              </w:numPr>
              <w:rPr>
                <w:rFonts w:ascii="Times New Roman" w:hAnsi="Times New Roman" w:cs="Times New Roman"/>
                <w:lang w:val="fr-FR"/>
              </w:rPr>
            </w:pPr>
            <w:r w:rsidRPr="00880F37">
              <w:rPr>
                <w:rFonts w:ascii="Times New Roman" w:hAnsi="Times New Roman" w:cs="Times New Roman"/>
              </w:rPr>
              <w:t>Sources de données/Moyens de vérifiaction : Données SNU/Effet1</w:t>
            </w:r>
            <w:r>
              <w:rPr>
                <w:rFonts w:ascii="Times New Roman" w:hAnsi="Times New Roman" w:cs="Times New Roman"/>
              </w:rPr>
              <w:t>, Données du MRN</w:t>
            </w:r>
          </w:p>
          <w:p w14:paraId="5588F70C" w14:textId="77777777" w:rsidR="00DD583B" w:rsidRPr="009A716B" w:rsidRDefault="00DD583B" w:rsidP="005D2A90">
            <w:pPr>
              <w:numPr>
                <w:ilvl w:val="0"/>
                <w:numId w:val="9"/>
              </w:numPr>
              <w:rPr>
                <w:rFonts w:ascii="Times New Roman" w:hAnsi="Times New Roman" w:cs="Times New Roman"/>
                <w:lang w:val="fr-FR"/>
              </w:rPr>
            </w:pPr>
            <w:r w:rsidRPr="00880F37">
              <w:rPr>
                <w:rFonts w:ascii="Times New Roman" w:hAnsi="Times New Roman" w:cs="Times New Roman"/>
              </w:rPr>
              <w:t>Périodicité : Annuelle ou moins</w:t>
            </w:r>
          </w:p>
          <w:p w14:paraId="027A7429" w14:textId="77777777" w:rsidR="00DD583B" w:rsidRDefault="00DD583B" w:rsidP="005D2A90">
            <w:pPr>
              <w:ind w:left="360"/>
              <w:rPr>
                <w:rFonts w:ascii="Times New Roman" w:hAnsi="Times New Roman" w:cs="Times New Roman"/>
                <w:lang w:val="fr-FR"/>
              </w:rPr>
            </w:pPr>
          </w:p>
          <w:p w14:paraId="2EC6F27B" w14:textId="77777777" w:rsidR="00DD583B" w:rsidRDefault="00DD583B" w:rsidP="005D2A90">
            <w:pPr>
              <w:pStyle w:val="Paragraphedeliste"/>
              <w:numPr>
                <w:ilvl w:val="0"/>
                <w:numId w:val="9"/>
              </w:numPr>
              <w:rPr>
                <w:lang w:val="fr-FR"/>
              </w:rPr>
            </w:pPr>
            <w:r w:rsidRPr="00880F37">
              <w:rPr>
                <w:rFonts w:ascii="Times New Roman" w:hAnsi="Times New Roman" w:cs="Times New Roman"/>
              </w:rPr>
              <w:t>Maître d’œuvre : Groupe de Résultat</w:t>
            </w:r>
            <w:r>
              <w:rPr>
                <w:rFonts w:ascii="Times New Roman" w:hAnsi="Times New Roman" w:cs="Times New Roman"/>
              </w:rPr>
              <w:t xml:space="preserve"> UNDAF (Axe 1)</w:t>
            </w:r>
          </w:p>
        </w:tc>
        <w:tc>
          <w:tcPr>
            <w:tcW w:w="3077" w:type="dxa"/>
            <w:gridSpan w:val="2"/>
            <w:vMerge/>
          </w:tcPr>
          <w:p w14:paraId="21512B42" w14:textId="77777777" w:rsidR="00DD583B" w:rsidRPr="002E5C18" w:rsidRDefault="00DD583B" w:rsidP="005D2A90">
            <w:pPr>
              <w:rPr>
                <w:lang w:val="fr-FR"/>
              </w:rPr>
            </w:pPr>
          </w:p>
        </w:tc>
        <w:tc>
          <w:tcPr>
            <w:tcW w:w="1800" w:type="dxa"/>
            <w:vMerge/>
          </w:tcPr>
          <w:p w14:paraId="41F553E6" w14:textId="77777777" w:rsidR="00DD583B" w:rsidRPr="002E5C18" w:rsidRDefault="00DD583B" w:rsidP="005D2A90">
            <w:pPr>
              <w:rPr>
                <w:lang w:val="fr-FR"/>
              </w:rPr>
            </w:pPr>
          </w:p>
        </w:tc>
        <w:tc>
          <w:tcPr>
            <w:tcW w:w="995" w:type="dxa"/>
          </w:tcPr>
          <w:p w14:paraId="7BA07EFC" w14:textId="77777777" w:rsidR="00DD583B" w:rsidRPr="002E5C18" w:rsidRDefault="00DD583B" w:rsidP="005D2A90">
            <w:pPr>
              <w:rPr>
                <w:lang w:val="fr-FR"/>
              </w:rPr>
            </w:pPr>
          </w:p>
        </w:tc>
      </w:tr>
      <w:tr w:rsidR="0047116A" w:rsidRPr="002E5C18" w14:paraId="4A04078A" w14:textId="77777777" w:rsidTr="0047116A">
        <w:trPr>
          <w:gridAfter w:val="1"/>
          <w:wAfter w:w="995" w:type="dxa"/>
        </w:trPr>
        <w:tc>
          <w:tcPr>
            <w:tcW w:w="2590" w:type="dxa"/>
            <w:vMerge/>
            <w:shd w:val="clear" w:color="auto" w:fill="DBE5F1" w:themeFill="accent1" w:themeFillTint="33"/>
          </w:tcPr>
          <w:p w14:paraId="14450BB5" w14:textId="77777777" w:rsidR="0047116A" w:rsidRPr="002E5C18" w:rsidRDefault="0047116A" w:rsidP="005D2A90">
            <w:pPr>
              <w:rPr>
                <w:lang w:val="fr-FR"/>
              </w:rPr>
            </w:pPr>
          </w:p>
        </w:tc>
        <w:tc>
          <w:tcPr>
            <w:tcW w:w="2583" w:type="dxa"/>
          </w:tcPr>
          <w:p w14:paraId="7EAFA0DE" w14:textId="77777777" w:rsidR="0047116A" w:rsidRDefault="0047116A" w:rsidP="005D2A90">
            <w:pPr>
              <w:widowControl w:val="0"/>
              <w:snapToGrid w:val="0"/>
              <w:rPr>
                <w:rFonts w:cstheme="minorHAnsi"/>
                <w:sz w:val="18"/>
                <w:szCs w:val="18"/>
                <w:lang w:val="fr-FR"/>
              </w:rPr>
            </w:pPr>
          </w:p>
        </w:tc>
        <w:tc>
          <w:tcPr>
            <w:tcW w:w="4140" w:type="dxa"/>
            <w:gridSpan w:val="2"/>
          </w:tcPr>
          <w:p w14:paraId="32BB5A4A" w14:textId="77777777" w:rsidR="0047116A" w:rsidRPr="002E5C18" w:rsidRDefault="0047116A" w:rsidP="005D2A90">
            <w:pPr>
              <w:rPr>
                <w:lang w:val="fr-FR"/>
              </w:rPr>
            </w:pPr>
          </w:p>
        </w:tc>
        <w:tc>
          <w:tcPr>
            <w:tcW w:w="4860" w:type="dxa"/>
            <w:gridSpan w:val="2"/>
          </w:tcPr>
          <w:p w14:paraId="58838EA4" w14:textId="77777777" w:rsidR="0047116A" w:rsidRPr="002E5C18" w:rsidRDefault="0047116A" w:rsidP="005D2A90">
            <w:pPr>
              <w:rPr>
                <w:lang w:val="fr-FR"/>
              </w:rPr>
            </w:pPr>
          </w:p>
        </w:tc>
      </w:tr>
      <w:tr w:rsidR="00DD583B" w:rsidRPr="004C33CA" w14:paraId="4CA9E97F" w14:textId="77777777" w:rsidTr="00186DD5">
        <w:tc>
          <w:tcPr>
            <w:tcW w:w="2590" w:type="dxa"/>
            <w:vMerge w:val="restart"/>
            <w:shd w:val="clear" w:color="auto" w:fill="DBE5F1" w:themeFill="accent1" w:themeFillTint="33"/>
          </w:tcPr>
          <w:p w14:paraId="17A20A6F" w14:textId="77777777" w:rsidR="00DD583B" w:rsidRPr="002E5C18" w:rsidRDefault="00DD583B" w:rsidP="005D2A90">
            <w:pPr>
              <w:rPr>
                <w:lang w:val="fr-FR"/>
              </w:rPr>
            </w:pPr>
            <w:r w:rsidRPr="00880F37">
              <w:rPr>
                <w:rFonts w:ascii="Times New Roman" w:hAnsi="Times New Roman" w:cs="Times New Roman"/>
              </w:rPr>
              <w:t>Produit 1.2. Secteur de la sécurité : Le secteur de la sécurité est renforcé dans le cadre de  la mise en œuvre de la politique nationale de la réforme du secteur de la sécurité, y compris la lutte contre les crimes transnationaux</w:t>
            </w:r>
          </w:p>
        </w:tc>
        <w:tc>
          <w:tcPr>
            <w:tcW w:w="2583" w:type="dxa"/>
          </w:tcPr>
          <w:p w14:paraId="3E76FADF" w14:textId="77777777" w:rsidR="00DD583B" w:rsidRPr="002E5C18" w:rsidRDefault="00DD583B" w:rsidP="005D2A90">
            <w:pPr>
              <w:rPr>
                <w:rFonts w:ascii="Times New Roman" w:hAnsi="Times New Roman" w:cs="Times New Roman"/>
                <w:lang w:val="fr-FR"/>
              </w:rPr>
            </w:pPr>
            <w:r w:rsidRPr="00880F37">
              <w:rPr>
                <w:rFonts w:ascii="Times New Roman" w:hAnsi="Times New Roman" w:cs="Times New Roman"/>
                <w:b/>
                <w:bCs/>
              </w:rPr>
              <w:t>Indicateur 1.2.1</w:t>
            </w:r>
            <w:r w:rsidRPr="00880F37">
              <w:rPr>
                <w:rFonts w:ascii="Times New Roman" w:hAnsi="Times New Roman" w:cs="Times New Roman"/>
              </w:rPr>
              <w:t xml:space="preserve"> Taux d’exécution des actions inscrites dans le Plan National RSS  2015-2019</w:t>
            </w:r>
          </w:p>
          <w:p w14:paraId="75831FD7" w14:textId="77777777" w:rsidR="00DD583B" w:rsidRPr="002E5C18" w:rsidRDefault="00DD583B" w:rsidP="005D2A90">
            <w:pPr>
              <w:rPr>
                <w:rFonts w:ascii="Times New Roman" w:hAnsi="Times New Roman" w:cs="Times New Roman"/>
                <w:lang w:val="fr-FR"/>
              </w:rPr>
            </w:pPr>
          </w:p>
          <w:p w14:paraId="42696B59" w14:textId="77777777" w:rsidR="00DD583B" w:rsidRDefault="00DD583B" w:rsidP="005D2A90">
            <w:pPr>
              <w:rPr>
                <w:rFonts w:ascii="Times New Roman" w:hAnsi="Times New Roman" w:cs="Times New Roman"/>
              </w:rPr>
            </w:pPr>
            <w:r w:rsidRPr="00880F37">
              <w:rPr>
                <w:rFonts w:ascii="Times New Roman" w:hAnsi="Times New Roman" w:cs="Times New Roman"/>
              </w:rPr>
              <w:t>Base: 0%</w:t>
            </w:r>
          </w:p>
          <w:p w14:paraId="61481311"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 xml:space="preserve"> (Plan national non validé )</w:t>
            </w:r>
          </w:p>
          <w:p w14:paraId="251055EF" w14:textId="77777777" w:rsidR="00DD583B" w:rsidRPr="002E5C18" w:rsidRDefault="00DD583B" w:rsidP="005D2A90">
            <w:pPr>
              <w:rPr>
                <w:rFonts w:ascii="Times New Roman" w:hAnsi="Times New Roman" w:cs="Times New Roman"/>
                <w:lang w:val="fr-FR"/>
              </w:rPr>
            </w:pPr>
          </w:p>
          <w:p w14:paraId="7EBD74BB" w14:textId="77777777" w:rsidR="00DD583B" w:rsidRPr="002E5C18" w:rsidRDefault="00DD583B" w:rsidP="005D2A90">
            <w:pPr>
              <w:rPr>
                <w:lang w:val="fr-FR"/>
              </w:rPr>
            </w:pPr>
            <w:r w:rsidRPr="00880F37">
              <w:rPr>
                <w:rFonts w:ascii="Times New Roman" w:hAnsi="Times New Roman" w:cs="Times New Roman"/>
              </w:rPr>
              <w:t>Cible: 100%</w:t>
            </w:r>
          </w:p>
        </w:tc>
        <w:tc>
          <w:tcPr>
            <w:tcW w:w="4123" w:type="dxa"/>
          </w:tcPr>
          <w:p w14:paraId="45343201" w14:textId="77777777" w:rsidR="00DD583B" w:rsidRPr="002E5C18" w:rsidRDefault="00DD583B" w:rsidP="005D2A90">
            <w:pPr>
              <w:numPr>
                <w:ilvl w:val="0"/>
                <w:numId w:val="14"/>
              </w:numPr>
              <w:rPr>
                <w:lang w:val="fr-FR"/>
              </w:rPr>
            </w:pPr>
            <w:r w:rsidRPr="00880F37">
              <w:t>Mode de calcul : Rapport Nb d’actions du Plan RSS exécutées/ Nb global d’actions Plan RSS</w:t>
            </w:r>
          </w:p>
          <w:p w14:paraId="7E6F24CE" w14:textId="77777777" w:rsidR="00DD583B" w:rsidRPr="002E5C18" w:rsidRDefault="00DD583B" w:rsidP="005D2A90">
            <w:pPr>
              <w:numPr>
                <w:ilvl w:val="0"/>
                <w:numId w:val="13"/>
              </w:numPr>
              <w:rPr>
                <w:lang w:val="fr-FR"/>
              </w:rPr>
            </w:pPr>
            <w:r w:rsidRPr="00880F37">
              <w:t>Sources de données/Moyens de vérification : Données SNU/Effet1</w:t>
            </w:r>
            <w:r>
              <w:t>, Commissariat à la réforme du secteur de sécurité</w:t>
            </w:r>
          </w:p>
          <w:p w14:paraId="08E3E7E1" w14:textId="77777777" w:rsidR="00DD583B" w:rsidRPr="002E5C18" w:rsidRDefault="00DD583B" w:rsidP="005D2A90">
            <w:pPr>
              <w:numPr>
                <w:ilvl w:val="0"/>
                <w:numId w:val="13"/>
              </w:numPr>
              <w:rPr>
                <w:lang w:val="fr-FR"/>
              </w:rPr>
            </w:pPr>
            <w:r w:rsidRPr="00880F37">
              <w:t>Périodicité : Annuelle ou moins</w:t>
            </w:r>
          </w:p>
          <w:p w14:paraId="2A434BBA" w14:textId="77777777" w:rsidR="00DD583B" w:rsidRDefault="00DD583B" w:rsidP="005D2A90">
            <w:pPr>
              <w:pStyle w:val="Paragraphedeliste"/>
              <w:numPr>
                <w:ilvl w:val="0"/>
                <w:numId w:val="13"/>
              </w:numPr>
              <w:rPr>
                <w:lang w:val="fr-FR"/>
              </w:rPr>
            </w:pPr>
            <w:r w:rsidRPr="00880F37">
              <w:t>Maître d’œuvre : Groupe de Résultat</w:t>
            </w:r>
            <w:r>
              <w:t xml:space="preserve"> </w:t>
            </w:r>
            <w:r>
              <w:rPr>
                <w:rFonts w:ascii="Times New Roman" w:hAnsi="Times New Roman" w:cs="Times New Roman"/>
              </w:rPr>
              <w:t>UNDAF (Axe 1)</w:t>
            </w:r>
          </w:p>
        </w:tc>
        <w:tc>
          <w:tcPr>
            <w:tcW w:w="3077" w:type="dxa"/>
            <w:gridSpan w:val="2"/>
            <w:vMerge w:val="restart"/>
          </w:tcPr>
          <w:p w14:paraId="72BCDFC1" w14:textId="77777777" w:rsidR="00DD583B" w:rsidRPr="004D4BFB" w:rsidRDefault="00DD583B" w:rsidP="005D2A90">
            <w:pPr>
              <w:widowControl w:val="0"/>
              <w:snapToGrid w:val="0"/>
              <w:ind w:right="-144"/>
              <w:rPr>
                <w:rFonts w:ascii="Times New Roman" w:hAnsi="Times New Roman" w:cs="Times New Roman"/>
                <w:lang w:val="fr-FR"/>
              </w:rPr>
            </w:pPr>
            <w:r w:rsidRPr="004D4BFB">
              <w:rPr>
                <w:rFonts w:ascii="Times New Roman" w:hAnsi="Times New Roman" w:cs="Times New Roman"/>
                <w:sz w:val="22"/>
                <w:szCs w:val="22"/>
              </w:rPr>
              <w:t>Chaque Ministre met en œuvre un plan sectoriel RSS dans son département sans coordination avec les autres.</w:t>
            </w:r>
          </w:p>
          <w:p w14:paraId="52E0F05D" w14:textId="77777777" w:rsidR="00DD583B" w:rsidRPr="004D4BFB" w:rsidRDefault="00DD583B" w:rsidP="005D2A90">
            <w:pPr>
              <w:widowControl w:val="0"/>
              <w:snapToGrid w:val="0"/>
              <w:ind w:right="-144"/>
              <w:rPr>
                <w:rFonts w:ascii="Times New Roman" w:hAnsi="Times New Roman" w:cs="Times New Roman"/>
                <w:lang w:val="fr-FR"/>
              </w:rPr>
            </w:pPr>
          </w:p>
          <w:p w14:paraId="1A72065D" w14:textId="77777777" w:rsidR="00DD583B" w:rsidRPr="004D4BFB" w:rsidRDefault="00DD583B" w:rsidP="005D2A90">
            <w:pPr>
              <w:widowControl w:val="0"/>
              <w:snapToGrid w:val="0"/>
              <w:ind w:right="-144"/>
              <w:rPr>
                <w:rFonts w:ascii="Times New Roman" w:hAnsi="Times New Roman" w:cs="Times New Roman"/>
                <w:lang w:val="fr-FR"/>
              </w:rPr>
            </w:pPr>
            <w:r w:rsidRPr="004D4BFB">
              <w:rPr>
                <w:rFonts w:ascii="Times New Roman" w:hAnsi="Times New Roman" w:cs="Times New Roman"/>
                <w:sz w:val="22"/>
                <w:szCs w:val="22"/>
              </w:rPr>
              <w:t xml:space="preserve">Financements nationaux ou ceux des partenaires insuffisants  pour soutenir le processus RSS national. </w:t>
            </w:r>
          </w:p>
          <w:p w14:paraId="236AEAD0" w14:textId="77777777" w:rsidR="00DD583B" w:rsidRPr="004D4BFB" w:rsidRDefault="00DD583B" w:rsidP="005D2A90">
            <w:pPr>
              <w:widowControl w:val="0"/>
              <w:snapToGrid w:val="0"/>
              <w:ind w:right="-144"/>
              <w:rPr>
                <w:rFonts w:ascii="Times New Roman" w:hAnsi="Times New Roman" w:cs="Times New Roman"/>
                <w:lang w:val="fr-FR"/>
              </w:rPr>
            </w:pPr>
          </w:p>
          <w:p w14:paraId="57BEFCE9" w14:textId="77777777" w:rsidR="00DD583B" w:rsidRPr="004D4BFB" w:rsidRDefault="00DD583B" w:rsidP="005D2A90">
            <w:pPr>
              <w:widowControl w:val="0"/>
              <w:snapToGrid w:val="0"/>
              <w:ind w:right="-144"/>
              <w:rPr>
                <w:rFonts w:ascii="Times New Roman" w:hAnsi="Times New Roman" w:cs="Times New Roman"/>
                <w:lang w:val="fr-FR"/>
              </w:rPr>
            </w:pPr>
            <w:r w:rsidRPr="004D4BFB">
              <w:rPr>
                <w:rFonts w:ascii="Times New Roman" w:hAnsi="Times New Roman" w:cs="Times New Roman"/>
                <w:sz w:val="22"/>
                <w:szCs w:val="22"/>
              </w:rPr>
              <w:t xml:space="preserve">Bien que formés, les membres de la Commission Défense et Sécurité ne mettent en œuvre leurs prérogatives de contrôle parlementaire. </w:t>
            </w:r>
          </w:p>
          <w:p w14:paraId="54F95E32" w14:textId="77777777" w:rsidR="00DD583B" w:rsidRPr="004D4BFB" w:rsidRDefault="00DD583B" w:rsidP="005D2A90">
            <w:pPr>
              <w:widowControl w:val="0"/>
              <w:snapToGrid w:val="0"/>
              <w:ind w:right="-144"/>
              <w:rPr>
                <w:rFonts w:ascii="Times New Roman" w:hAnsi="Times New Roman" w:cs="Times New Roman"/>
                <w:lang w:val="fr-FR"/>
              </w:rPr>
            </w:pPr>
          </w:p>
          <w:p w14:paraId="7D9F7F0C" w14:textId="77777777" w:rsidR="00DD583B" w:rsidRPr="004D4BFB" w:rsidRDefault="00DD583B" w:rsidP="005D2A90">
            <w:pPr>
              <w:widowControl w:val="0"/>
              <w:snapToGrid w:val="0"/>
              <w:ind w:right="-144"/>
              <w:rPr>
                <w:rFonts w:ascii="Times New Roman" w:hAnsi="Times New Roman" w:cs="Times New Roman"/>
                <w:lang w:val="fr-FR"/>
              </w:rPr>
            </w:pPr>
            <w:r w:rsidRPr="004D4BFB">
              <w:rPr>
                <w:rFonts w:ascii="Times New Roman" w:hAnsi="Times New Roman" w:cs="Times New Roman"/>
                <w:sz w:val="22"/>
                <w:szCs w:val="22"/>
              </w:rPr>
              <w:t xml:space="preserve">Les forces de défense et de sécurité refusent de se soumettre au contrôle parlementaire. </w:t>
            </w:r>
          </w:p>
          <w:p w14:paraId="6AD9FC39" w14:textId="77777777" w:rsidR="00DD583B" w:rsidRPr="004D4BFB" w:rsidRDefault="00DD583B" w:rsidP="005D2A90">
            <w:pPr>
              <w:widowControl w:val="0"/>
              <w:snapToGrid w:val="0"/>
              <w:ind w:right="-144"/>
              <w:rPr>
                <w:rFonts w:ascii="Times New Roman" w:hAnsi="Times New Roman" w:cs="Times New Roman"/>
                <w:lang w:val="fr-FR"/>
              </w:rPr>
            </w:pPr>
            <w:r w:rsidRPr="004D4BFB">
              <w:rPr>
                <w:rFonts w:ascii="Times New Roman" w:hAnsi="Times New Roman" w:cs="Times New Roman"/>
                <w:sz w:val="22"/>
                <w:szCs w:val="22"/>
              </w:rPr>
              <w:t xml:space="preserve">Les résultats du contrôle parlementaires des forces de défense et de sécurité ne sont pas suivis de mesures et de recommandations concrètes pour le Gouvernement. </w:t>
            </w:r>
          </w:p>
          <w:p w14:paraId="47AE0321" w14:textId="77777777" w:rsidR="00DD583B" w:rsidRPr="004D4BFB" w:rsidRDefault="00DD583B" w:rsidP="005D2A90">
            <w:pPr>
              <w:widowControl w:val="0"/>
              <w:snapToGrid w:val="0"/>
              <w:ind w:right="-144"/>
              <w:rPr>
                <w:rFonts w:ascii="Times New Roman" w:hAnsi="Times New Roman" w:cs="Times New Roman"/>
                <w:lang w:val="fr-FR"/>
              </w:rPr>
            </w:pPr>
          </w:p>
          <w:p w14:paraId="79BADC88" w14:textId="77777777" w:rsidR="00DD583B" w:rsidRPr="004D4BFB" w:rsidRDefault="00DD583B" w:rsidP="005D2A90">
            <w:pPr>
              <w:widowControl w:val="0"/>
              <w:snapToGrid w:val="0"/>
              <w:ind w:right="-144"/>
              <w:rPr>
                <w:rFonts w:ascii="Times New Roman" w:hAnsi="Times New Roman" w:cs="Times New Roman"/>
                <w:lang w:val="fr-FR"/>
              </w:rPr>
            </w:pPr>
            <w:r w:rsidRPr="004D4BFB">
              <w:rPr>
                <w:rFonts w:ascii="Times New Roman" w:hAnsi="Times New Roman" w:cs="Times New Roman"/>
                <w:sz w:val="22"/>
                <w:szCs w:val="22"/>
              </w:rPr>
              <w:t>Réticence de certains services actuellement compétents de se dessaisir au profit du groupe d’investigation spécialisé, notamment en matière de terrorisme</w:t>
            </w:r>
          </w:p>
          <w:p w14:paraId="10AB3B8E" w14:textId="77777777" w:rsidR="00DD583B" w:rsidRPr="004D4BFB" w:rsidRDefault="00DD583B" w:rsidP="005D2A90">
            <w:pPr>
              <w:widowControl w:val="0"/>
              <w:snapToGrid w:val="0"/>
              <w:ind w:right="-144"/>
              <w:rPr>
                <w:rFonts w:ascii="Times New Roman" w:hAnsi="Times New Roman" w:cs="Times New Roman"/>
                <w:lang w:val="fr-FR"/>
              </w:rPr>
            </w:pPr>
          </w:p>
          <w:p w14:paraId="14186AAA" w14:textId="77777777" w:rsidR="00DD583B" w:rsidRPr="004D4BFB" w:rsidRDefault="00DD583B" w:rsidP="005D2A90">
            <w:pPr>
              <w:widowControl w:val="0"/>
              <w:snapToGrid w:val="0"/>
              <w:ind w:right="-144"/>
              <w:rPr>
                <w:rFonts w:ascii="Times New Roman" w:hAnsi="Times New Roman" w:cs="Times New Roman"/>
                <w:lang w:val="fr-FR"/>
              </w:rPr>
            </w:pPr>
            <w:r w:rsidRPr="004D4BFB">
              <w:rPr>
                <w:rFonts w:ascii="Times New Roman" w:hAnsi="Times New Roman" w:cs="Times New Roman"/>
                <w:sz w:val="22"/>
                <w:szCs w:val="22"/>
              </w:rPr>
              <w:t>La non disponibilité de locaux adéquats pour abriter ce laboratoire, sachant que les locaux de la PTS doivent être isolés selon des normes qui permettent la préservation des preuves</w:t>
            </w:r>
          </w:p>
          <w:p w14:paraId="07C0B874" w14:textId="77777777" w:rsidR="00DD583B" w:rsidRPr="004D4BFB" w:rsidRDefault="00DD583B" w:rsidP="005D2A90">
            <w:pPr>
              <w:widowControl w:val="0"/>
              <w:snapToGrid w:val="0"/>
              <w:rPr>
                <w:rFonts w:ascii="Times New Roman" w:hAnsi="Times New Roman" w:cs="Times New Roman"/>
                <w:lang w:val="fr-FR"/>
              </w:rPr>
            </w:pPr>
          </w:p>
          <w:p w14:paraId="0770F291" w14:textId="77777777" w:rsidR="00DD583B" w:rsidRPr="004D4BFB" w:rsidRDefault="00DD583B" w:rsidP="005D2A90">
            <w:pPr>
              <w:widowControl w:val="0"/>
              <w:snapToGrid w:val="0"/>
              <w:rPr>
                <w:rFonts w:ascii="Times New Roman" w:hAnsi="Times New Roman" w:cs="Times New Roman"/>
                <w:lang w:val="fr-FR"/>
              </w:rPr>
            </w:pPr>
            <w:r w:rsidRPr="004D4BFB">
              <w:rPr>
                <w:rFonts w:ascii="Times New Roman" w:hAnsi="Times New Roman" w:cs="Times New Roman"/>
                <w:sz w:val="22"/>
                <w:szCs w:val="22"/>
              </w:rPr>
              <w:t>Le risque que certains services ne veulent pas travailler dans le cadre d’équipes conjointes pour éviter la pluralité des contrôles</w:t>
            </w:r>
          </w:p>
        </w:tc>
        <w:tc>
          <w:tcPr>
            <w:tcW w:w="1800" w:type="dxa"/>
            <w:vMerge w:val="restart"/>
          </w:tcPr>
          <w:p w14:paraId="13164F8A" w14:textId="77777777" w:rsidR="00DD583B" w:rsidRPr="004D4BFB" w:rsidRDefault="00DD583B" w:rsidP="005D2A90">
            <w:pPr>
              <w:widowControl w:val="0"/>
              <w:snapToGrid w:val="0"/>
              <w:rPr>
                <w:rFonts w:ascii="Times New Roman" w:hAnsi="Times New Roman" w:cs="Times New Roman"/>
                <w:lang w:val="fr-FR"/>
              </w:rPr>
            </w:pPr>
            <w:r w:rsidRPr="004D4BFB">
              <w:rPr>
                <w:rFonts w:ascii="Times New Roman" w:hAnsi="Times New Roman" w:cs="Times New Roman"/>
                <w:sz w:val="22"/>
                <w:szCs w:val="22"/>
              </w:rPr>
              <w:lastRenderedPageBreak/>
              <w:t>Plaidoyer auprès du Gouvernement pour l’adoption d’un plan RSS national</w:t>
            </w:r>
          </w:p>
          <w:p w14:paraId="59F610B6" w14:textId="77777777" w:rsidR="00DD583B" w:rsidRPr="004D4BFB" w:rsidRDefault="00DD583B" w:rsidP="005D2A90">
            <w:pPr>
              <w:widowControl w:val="0"/>
              <w:snapToGrid w:val="0"/>
              <w:rPr>
                <w:rFonts w:ascii="Times New Roman" w:hAnsi="Times New Roman" w:cs="Times New Roman"/>
                <w:lang w:val="fr-FR"/>
              </w:rPr>
            </w:pPr>
          </w:p>
          <w:p w14:paraId="4FEBFD11" w14:textId="77777777" w:rsidR="00DD583B" w:rsidRPr="004D4BFB" w:rsidRDefault="00DD583B" w:rsidP="005D2A90">
            <w:pPr>
              <w:widowControl w:val="0"/>
              <w:snapToGrid w:val="0"/>
              <w:rPr>
                <w:rFonts w:ascii="Times New Roman" w:hAnsi="Times New Roman" w:cs="Times New Roman"/>
                <w:lang w:val="fr-FR"/>
              </w:rPr>
            </w:pPr>
            <w:r w:rsidRPr="004D4BFB">
              <w:rPr>
                <w:rFonts w:ascii="Times New Roman" w:hAnsi="Times New Roman" w:cs="Times New Roman"/>
                <w:sz w:val="22"/>
                <w:szCs w:val="22"/>
              </w:rPr>
              <w:t xml:space="preserve">Participation de la MINUSMA et des partenaires internationaux dans les groupes de travail sur la RSS mis en place par le Gouvernement. </w:t>
            </w:r>
          </w:p>
          <w:p w14:paraId="2B58650C" w14:textId="77777777" w:rsidR="00DD583B" w:rsidRPr="004D4BFB" w:rsidRDefault="00DD583B" w:rsidP="005D2A90">
            <w:pPr>
              <w:widowControl w:val="0"/>
              <w:snapToGrid w:val="0"/>
              <w:rPr>
                <w:rFonts w:ascii="Times New Roman" w:hAnsi="Times New Roman" w:cs="Times New Roman"/>
                <w:lang w:val="fr-FR"/>
              </w:rPr>
            </w:pPr>
          </w:p>
          <w:p w14:paraId="7929381A" w14:textId="77777777" w:rsidR="00DD583B" w:rsidRPr="004D4BFB" w:rsidRDefault="00DD583B" w:rsidP="005D2A90">
            <w:pPr>
              <w:widowControl w:val="0"/>
              <w:snapToGrid w:val="0"/>
              <w:rPr>
                <w:rFonts w:ascii="Times New Roman" w:hAnsi="Times New Roman" w:cs="Times New Roman"/>
                <w:lang w:val="fr-FR"/>
              </w:rPr>
            </w:pPr>
            <w:r w:rsidRPr="004D4BFB">
              <w:rPr>
                <w:rFonts w:ascii="Times New Roman" w:hAnsi="Times New Roman" w:cs="Times New Roman"/>
                <w:sz w:val="22"/>
                <w:szCs w:val="22"/>
              </w:rPr>
              <w:t xml:space="preserve">Financement </w:t>
            </w:r>
          </w:p>
          <w:p w14:paraId="3D5A26DF" w14:textId="77777777" w:rsidR="00DD583B" w:rsidRPr="004D4BFB" w:rsidRDefault="00DD583B" w:rsidP="005D2A90">
            <w:pPr>
              <w:widowControl w:val="0"/>
              <w:snapToGrid w:val="0"/>
              <w:rPr>
                <w:rFonts w:ascii="Times New Roman" w:hAnsi="Times New Roman" w:cs="Times New Roman"/>
                <w:lang w:val="fr-FR"/>
              </w:rPr>
            </w:pPr>
          </w:p>
          <w:p w14:paraId="4692025E" w14:textId="77777777" w:rsidR="00DD583B" w:rsidRPr="004D4BFB" w:rsidRDefault="00DD583B" w:rsidP="005D2A90">
            <w:pPr>
              <w:widowControl w:val="0"/>
              <w:snapToGrid w:val="0"/>
              <w:rPr>
                <w:rFonts w:ascii="Times New Roman" w:hAnsi="Times New Roman" w:cs="Times New Roman"/>
                <w:lang w:val="fr-FR"/>
              </w:rPr>
            </w:pPr>
            <w:r w:rsidRPr="004D4BFB">
              <w:rPr>
                <w:rFonts w:ascii="Times New Roman" w:hAnsi="Times New Roman" w:cs="Times New Roman"/>
                <w:sz w:val="22"/>
                <w:szCs w:val="22"/>
              </w:rPr>
              <w:t>Formation des parlementaires.</w:t>
            </w:r>
          </w:p>
          <w:p w14:paraId="6A71A351" w14:textId="77777777" w:rsidR="00DD583B" w:rsidRPr="004D4BFB" w:rsidRDefault="00DD583B" w:rsidP="005D2A90">
            <w:pPr>
              <w:widowControl w:val="0"/>
              <w:snapToGrid w:val="0"/>
              <w:rPr>
                <w:rFonts w:ascii="Times New Roman" w:hAnsi="Times New Roman" w:cs="Times New Roman"/>
                <w:lang w:val="fr-FR"/>
              </w:rPr>
            </w:pPr>
            <w:r w:rsidRPr="004D4BFB">
              <w:rPr>
                <w:rFonts w:ascii="Times New Roman" w:hAnsi="Times New Roman" w:cs="Times New Roman"/>
                <w:sz w:val="22"/>
                <w:szCs w:val="22"/>
              </w:rPr>
              <w:t xml:space="preserve">Appui budgétaire de la Commission pour la réalisation des missions de contrôle. </w:t>
            </w:r>
          </w:p>
          <w:p w14:paraId="24934C18" w14:textId="77777777" w:rsidR="00DD583B" w:rsidRPr="004D4BFB" w:rsidRDefault="00DD583B" w:rsidP="005D2A90">
            <w:pPr>
              <w:widowControl w:val="0"/>
              <w:snapToGrid w:val="0"/>
              <w:rPr>
                <w:rFonts w:ascii="Times New Roman" w:hAnsi="Times New Roman" w:cs="Times New Roman"/>
                <w:lang w:val="fr-FR"/>
              </w:rPr>
            </w:pPr>
            <w:r w:rsidRPr="004D4BFB">
              <w:rPr>
                <w:rFonts w:ascii="Times New Roman" w:hAnsi="Times New Roman" w:cs="Times New Roman"/>
                <w:sz w:val="22"/>
                <w:szCs w:val="22"/>
              </w:rPr>
              <w:t xml:space="preserve">Plaidoyer auprès du Gouvernement pour la lutte contre l’impunité. </w:t>
            </w:r>
          </w:p>
          <w:p w14:paraId="41DAFD40" w14:textId="77777777" w:rsidR="00DD583B" w:rsidRPr="004D4BFB" w:rsidRDefault="00DD583B" w:rsidP="005D2A90">
            <w:pPr>
              <w:widowControl w:val="0"/>
              <w:snapToGrid w:val="0"/>
              <w:rPr>
                <w:rFonts w:ascii="Times New Roman" w:hAnsi="Times New Roman" w:cs="Times New Roman"/>
                <w:lang w:val="fr-FR"/>
              </w:rPr>
            </w:pPr>
          </w:p>
          <w:p w14:paraId="09325380" w14:textId="77777777" w:rsidR="00DD583B" w:rsidRPr="004D4BFB" w:rsidRDefault="00DD583B" w:rsidP="005D2A90">
            <w:pPr>
              <w:widowControl w:val="0"/>
              <w:snapToGrid w:val="0"/>
              <w:ind w:right="-144"/>
              <w:rPr>
                <w:rFonts w:ascii="Times New Roman" w:hAnsi="Times New Roman" w:cs="Times New Roman"/>
                <w:lang w:val="fr-FR"/>
              </w:rPr>
            </w:pPr>
            <w:r w:rsidRPr="004D4BFB">
              <w:rPr>
                <w:rFonts w:ascii="Times New Roman" w:hAnsi="Times New Roman" w:cs="Times New Roman"/>
                <w:sz w:val="22"/>
                <w:szCs w:val="22"/>
              </w:rPr>
              <w:t xml:space="preserve">Appuyer cette </w:t>
            </w:r>
            <w:r w:rsidRPr="004D4BFB">
              <w:rPr>
                <w:rFonts w:ascii="Times New Roman" w:hAnsi="Times New Roman" w:cs="Times New Roman"/>
                <w:sz w:val="22"/>
                <w:szCs w:val="22"/>
              </w:rPr>
              <w:lastRenderedPageBreak/>
              <w:t>approche de la création de ces services spécialisés en raison de leur utilité.</w:t>
            </w:r>
          </w:p>
          <w:p w14:paraId="6ABA0168" w14:textId="77777777" w:rsidR="00DD583B" w:rsidRPr="004D4BFB" w:rsidRDefault="00DD583B" w:rsidP="005D2A90">
            <w:pPr>
              <w:widowControl w:val="0"/>
              <w:snapToGrid w:val="0"/>
              <w:ind w:right="-144"/>
              <w:rPr>
                <w:rFonts w:ascii="Times New Roman" w:hAnsi="Times New Roman" w:cs="Times New Roman"/>
                <w:lang w:val="fr-FR"/>
              </w:rPr>
            </w:pPr>
          </w:p>
          <w:p w14:paraId="7CD4DD8D" w14:textId="77777777" w:rsidR="00DD583B" w:rsidRPr="004D4BFB" w:rsidRDefault="00DD583B" w:rsidP="005D2A90">
            <w:pPr>
              <w:widowControl w:val="0"/>
              <w:snapToGrid w:val="0"/>
              <w:ind w:right="-144"/>
              <w:rPr>
                <w:rFonts w:ascii="Times New Roman" w:hAnsi="Times New Roman" w:cs="Times New Roman"/>
                <w:lang w:val="fr-FR"/>
              </w:rPr>
            </w:pPr>
            <w:r w:rsidRPr="004D4BFB">
              <w:rPr>
                <w:rFonts w:ascii="Times New Roman" w:hAnsi="Times New Roman" w:cs="Times New Roman"/>
                <w:sz w:val="22"/>
                <w:szCs w:val="22"/>
              </w:rPr>
              <w:t xml:space="preserve">Participer au financement de l’aménagement du local, de l’achat du matériel et la formation du personnel. </w:t>
            </w:r>
          </w:p>
          <w:p w14:paraId="0D446436" w14:textId="77777777" w:rsidR="00DD583B" w:rsidRPr="004D4BFB" w:rsidRDefault="00DD583B" w:rsidP="005D2A90">
            <w:pPr>
              <w:widowControl w:val="0"/>
              <w:snapToGrid w:val="0"/>
              <w:rPr>
                <w:rFonts w:ascii="Times New Roman" w:hAnsi="Times New Roman" w:cs="Times New Roman"/>
                <w:lang w:val="fr-FR"/>
              </w:rPr>
            </w:pPr>
          </w:p>
          <w:p w14:paraId="13C51402" w14:textId="77777777" w:rsidR="00DD583B" w:rsidRPr="004D4BFB" w:rsidRDefault="00DD583B" w:rsidP="005D2A90">
            <w:pPr>
              <w:widowControl w:val="0"/>
              <w:snapToGrid w:val="0"/>
              <w:rPr>
                <w:rFonts w:ascii="Times New Roman" w:hAnsi="Times New Roman" w:cs="Times New Roman"/>
                <w:lang w:val="fr-FR"/>
              </w:rPr>
            </w:pPr>
            <w:r w:rsidRPr="004D4BFB">
              <w:rPr>
                <w:rFonts w:ascii="Times New Roman" w:hAnsi="Times New Roman" w:cs="Times New Roman"/>
                <w:sz w:val="22"/>
                <w:szCs w:val="22"/>
              </w:rPr>
              <w:t xml:space="preserve">A défaut accréditer leurs experts pour la conception et le développement informatique de tels outils </w:t>
            </w:r>
          </w:p>
          <w:p w14:paraId="0A9D4089" w14:textId="77777777" w:rsidR="00DD583B" w:rsidRPr="004D4BFB" w:rsidRDefault="00DD583B" w:rsidP="005D2A90">
            <w:pPr>
              <w:rPr>
                <w:rFonts w:ascii="Times New Roman" w:hAnsi="Times New Roman" w:cs="Times New Roman"/>
                <w:lang w:val="fr-FR"/>
              </w:rPr>
            </w:pPr>
          </w:p>
        </w:tc>
        <w:tc>
          <w:tcPr>
            <w:tcW w:w="995" w:type="dxa"/>
            <w:vMerge w:val="restart"/>
          </w:tcPr>
          <w:p w14:paraId="4DC176E6" w14:textId="77777777" w:rsidR="00DD583B" w:rsidRPr="002E5C18" w:rsidRDefault="00DD583B" w:rsidP="005D2A90">
            <w:pPr>
              <w:pStyle w:val="Corpsdetexte"/>
              <w:widowControl w:val="0"/>
              <w:snapToGrid w:val="0"/>
              <w:spacing w:line="240" w:lineRule="auto"/>
              <w:jc w:val="left"/>
              <w:rPr>
                <w:rFonts w:ascii="Times New Roman" w:hAnsi="Times New Roman" w:cs="Times New Roman"/>
                <w:sz w:val="20"/>
                <w:szCs w:val="20"/>
                <w:lang w:val="fr-FR"/>
              </w:rPr>
            </w:pPr>
            <w:r w:rsidRPr="00880F37">
              <w:rPr>
                <w:rFonts w:ascii="Times New Roman" w:hAnsi="Times New Roman" w:cs="Times New Roman"/>
                <w:sz w:val="20"/>
                <w:szCs w:val="20"/>
              </w:rPr>
              <w:lastRenderedPageBreak/>
              <w:t>Budget RSS 2014-2015</w:t>
            </w:r>
          </w:p>
          <w:p w14:paraId="11FB3910" w14:textId="77777777" w:rsidR="00DD583B" w:rsidRPr="002E5C18" w:rsidRDefault="00DD583B" w:rsidP="005D2A90">
            <w:pPr>
              <w:pStyle w:val="Corpsdetexte"/>
              <w:widowControl w:val="0"/>
              <w:snapToGrid w:val="0"/>
              <w:spacing w:line="240" w:lineRule="auto"/>
              <w:jc w:val="left"/>
              <w:rPr>
                <w:rFonts w:ascii="Times New Roman" w:hAnsi="Times New Roman" w:cs="Times New Roman"/>
                <w:sz w:val="20"/>
                <w:szCs w:val="20"/>
                <w:lang w:val="fr-FR"/>
              </w:rPr>
            </w:pPr>
            <w:r w:rsidRPr="00880F37">
              <w:rPr>
                <w:rFonts w:ascii="Times New Roman" w:hAnsi="Times New Roman" w:cs="Times New Roman"/>
                <w:sz w:val="20"/>
                <w:szCs w:val="20"/>
              </w:rPr>
              <w:t>Financement des partenaires.</w:t>
            </w:r>
          </w:p>
          <w:p w14:paraId="6DC8D6AE" w14:textId="77777777" w:rsidR="00DD583B" w:rsidRPr="00FC2A60" w:rsidRDefault="00DD583B" w:rsidP="005D2A90">
            <w:pPr>
              <w:pStyle w:val="Corpsdetexte"/>
              <w:widowControl w:val="0"/>
              <w:snapToGrid w:val="0"/>
              <w:spacing w:line="240" w:lineRule="auto"/>
              <w:jc w:val="left"/>
              <w:rPr>
                <w:rFonts w:ascii="Times New Roman" w:hAnsi="Times New Roman" w:cs="Times New Roman"/>
                <w:sz w:val="20"/>
                <w:szCs w:val="20"/>
                <w:lang w:val="en-US"/>
              </w:rPr>
            </w:pPr>
            <w:r w:rsidRPr="00880F37">
              <w:rPr>
                <w:rFonts w:ascii="Times New Roman" w:hAnsi="Times New Roman" w:cs="Times New Roman"/>
                <w:sz w:val="20"/>
                <w:szCs w:val="20"/>
                <w:lang w:val="en-US"/>
              </w:rPr>
              <w:t>Fonds QIPs.</w:t>
            </w:r>
          </w:p>
          <w:p w14:paraId="4CE0B012" w14:textId="77777777" w:rsidR="00DD583B" w:rsidRPr="00FC2A60" w:rsidRDefault="00DD583B" w:rsidP="005D2A90">
            <w:pPr>
              <w:pStyle w:val="Corpsdetexte"/>
              <w:widowControl w:val="0"/>
              <w:snapToGrid w:val="0"/>
              <w:spacing w:line="240" w:lineRule="auto"/>
              <w:jc w:val="left"/>
              <w:rPr>
                <w:rFonts w:ascii="Times New Roman" w:hAnsi="Times New Roman" w:cs="Times New Roman"/>
                <w:sz w:val="20"/>
                <w:szCs w:val="20"/>
                <w:lang w:val="en-US"/>
              </w:rPr>
            </w:pPr>
            <w:r w:rsidRPr="00880F37">
              <w:rPr>
                <w:rFonts w:ascii="Times New Roman" w:hAnsi="Times New Roman" w:cs="Times New Roman"/>
                <w:sz w:val="20"/>
                <w:szCs w:val="20"/>
                <w:lang w:val="en-US"/>
              </w:rPr>
              <w:t>Fonds PBF</w:t>
            </w:r>
          </w:p>
          <w:p w14:paraId="62CF7AE1" w14:textId="77777777" w:rsidR="00DD583B" w:rsidRPr="00FC2A60" w:rsidRDefault="00DD583B" w:rsidP="005D2A90">
            <w:pPr>
              <w:rPr>
                <w:rFonts w:ascii="Times New Roman" w:hAnsi="Times New Roman" w:cs="Times New Roman"/>
                <w:lang w:val="en-US"/>
              </w:rPr>
            </w:pPr>
            <w:r w:rsidRPr="00880F37">
              <w:rPr>
                <w:rFonts w:ascii="Times New Roman" w:hAnsi="Times New Roman" w:cs="Times New Roman"/>
                <w:sz w:val="22"/>
                <w:szCs w:val="22"/>
                <w:lang w:val="en-US"/>
              </w:rPr>
              <w:t>Trust Funds</w:t>
            </w:r>
          </w:p>
        </w:tc>
      </w:tr>
      <w:tr w:rsidR="00DD583B" w:rsidRPr="002E5C18" w14:paraId="19FEC2D4" w14:textId="77777777" w:rsidTr="00186DD5">
        <w:tc>
          <w:tcPr>
            <w:tcW w:w="2590" w:type="dxa"/>
            <w:vMerge/>
            <w:shd w:val="clear" w:color="auto" w:fill="DBE5F1" w:themeFill="accent1" w:themeFillTint="33"/>
          </w:tcPr>
          <w:p w14:paraId="2D6F8C39" w14:textId="77777777" w:rsidR="00DD583B" w:rsidRPr="00FC2A60" w:rsidRDefault="00DD583B" w:rsidP="005D2A90">
            <w:pPr>
              <w:rPr>
                <w:lang w:val="en-US"/>
              </w:rPr>
            </w:pPr>
          </w:p>
        </w:tc>
        <w:tc>
          <w:tcPr>
            <w:tcW w:w="2583" w:type="dxa"/>
            <w:vAlign w:val="center"/>
          </w:tcPr>
          <w:p w14:paraId="2B632D71" w14:textId="77777777" w:rsidR="00DD583B" w:rsidRPr="002E5C18" w:rsidRDefault="00DD583B" w:rsidP="005D2A90">
            <w:pPr>
              <w:rPr>
                <w:rFonts w:ascii="Times New Roman" w:hAnsi="Times New Roman" w:cs="Times New Roman"/>
                <w:lang w:val="fr-FR"/>
              </w:rPr>
            </w:pPr>
            <w:r w:rsidRPr="00880F37">
              <w:rPr>
                <w:rFonts w:ascii="Times New Roman" w:hAnsi="Times New Roman" w:cs="Times New Roman"/>
                <w:b/>
                <w:bCs/>
              </w:rPr>
              <w:t>Indicateur 1.2.2</w:t>
            </w:r>
            <w:r w:rsidRPr="00880F37">
              <w:rPr>
                <w:rFonts w:ascii="Times New Roman" w:hAnsi="Times New Roman" w:cs="Times New Roman"/>
              </w:rPr>
              <w:t xml:space="preserve"> Nombre des postes frontières aériens, terrestres et maritimes (port sec de Bamako) dont les capacités ont été renforcées sur le plan opérationnel et technique.</w:t>
            </w:r>
          </w:p>
          <w:p w14:paraId="16D30D83" w14:textId="77777777" w:rsidR="00DD583B" w:rsidRPr="002E5C18" w:rsidRDefault="00DD583B" w:rsidP="005D2A90">
            <w:pPr>
              <w:rPr>
                <w:rFonts w:ascii="Times New Roman" w:hAnsi="Times New Roman" w:cs="Times New Roman"/>
                <w:lang w:val="fr-FR"/>
              </w:rPr>
            </w:pPr>
          </w:p>
          <w:p w14:paraId="39BA1CAD" w14:textId="77777777" w:rsidR="00DD583B" w:rsidRDefault="00DD583B" w:rsidP="005D2A90">
            <w:pPr>
              <w:rPr>
                <w:rFonts w:ascii="Times New Roman" w:hAnsi="Times New Roman" w:cs="Times New Roman"/>
              </w:rPr>
            </w:pPr>
            <w:r w:rsidRPr="00880F37">
              <w:rPr>
                <w:rFonts w:ascii="Times New Roman" w:hAnsi="Times New Roman" w:cs="Times New Roman"/>
              </w:rPr>
              <w:t>Base:  2</w:t>
            </w:r>
          </w:p>
          <w:p w14:paraId="33EAFAA1"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4 (donnees de 2016)</w:t>
            </w:r>
          </w:p>
          <w:p w14:paraId="589DCDE6" w14:textId="77777777" w:rsidR="00DD583B" w:rsidRPr="002E5C18" w:rsidRDefault="00DD583B" w:rsidP="005D2A90">
            <w:pPr>
              <w:rPr>
                <w:rFonts w:ascii="Times New Roman" w:hAnsi="Times New Roman" w:cs="Times New Roman"/>
                <w:lang w:val="fr-FR"/>
              </w:rPr>
            </w:pPr>
          </w:p>
          <w:p w14:paraId="38F0E179" w14:textId="77777777" w:rsidR="00DD583B" w:rsidRPr="002E5C18" w:rsidRDefault="00DD583B" w:rsidP="005D2A90">
            <w:pPr>
              <w:rPr>
                <w:rFonts w:ascii="Times New Roman" w:hAnsi="Times New Roman" w:cs="Times New Roman"/>
                <w:lang w:val="fr-FR"/>
              </w:rPr>
            </w:pPr>
            <w:r w:rsidRPr="00880F37">
              <w:rPr>
                <w:rFonts w:ascii="Times New Roman" w:hAnsi="Times New Roman" w:cs="Times New Roman"/>
              </w:rPr>
              <w:t>Cible : 9 postes frontières</w:t>
            </w:r>
          </w:p>
          <w:p w14:paraId="0C06AE89" w14:textId="77777777" w:rsidR="00DD583B" w:rsidRPr="002E5C18" w:rsidRDefault="00DD583B" w:rsidP="005D2A90">
            <w:pPr>
              <w:rPr>
                <w:rFonts w:ascii="Times New Roman" w:hAnsi="Times New Roman" w:cs="Times New Roman"/>
                <w:lang w:val="fr-FR"/>
              </w:rPr>
            </w:pPr>
          </w:p>
        </w:tc>
        <w:tc>
          <w:tcPr>
            <w:tcW w:w="4123" w:type="dxa"/>
            <w:vAlign w:val="center"/>
          </w:tcPr>
          <w:p w14:paraId="77626D7F" w14:textId="77777777" w:rsidR="00DD583B" w:rsidRDefault="00DD583B" w:rsidP="005D2A90">
            <w:pPr>
              <w:numPr>
                <w:ilvl w:val="0"/>
                <w:numId w:val="15"/>
              </w:numPr>
              <w:rPr>
                <w:rFonts w:ascii="Times New Roman" w:hAnsi="Times New Roman" w:cs="Times New Roman"/>
                <w:lang w:val="fr-FR"/>
              </w:rPr>
            </w:pPr>
            <w:r w:rsidRPr="00880F37">
              <w:rPr>
                <w:rFonts w:ascii="Times New Roman" w:hAnsi="Times New Roman" w:cs="Times New Roman"/>
              </w:rPr>
              <w:t xml:space="preserve">Mode de calcul : Dénombrement auprès des entités UN/Effet1 des  postes frontières aériens, terrestres et maritimes, renforcés sur le plan opérationnel </w:t>
            </w:r>
            <w:r>
              <w:rPr>
                <w:rFonts w:ascii="Times New Roman" w:hAnsi="Times New Roman" w:cs="Times New Roman"/>
              </w:rPr>
              <w:t xml:space="preserve"> et </w:t>
            </w:r>
            <w:r w:rsidRPr="00880F37">
              <w:rPr>
                <w:rFonts w:ascii="Times New Roman" w:hAnsi="Times New Roman" w:cs="Times New Roman"/>
              </w:rPr>
              <w:t>technique</w:t>
            </w:r>
          </w:p>
          <w:p w14:paraId="160F9607" w14:textId="77777777" w:rsidR="00DD583B" w:rsidRDefault="00DD583B" w:rsidP="005D2A90">
            <w:pPr>
              <w:numPr>
                <w:ilvl w:val="0"/>
                <w:numId w:val="15"/>
              </w:numPr>
              <w:rPr>
                <w:rFonts w:ascii="Times New Roman" w:hAnsi="Times New Roman" w:cs="Times New Roman"/>
                <w:lang w:val="fr-FR"/>
              </w:rPr>
            </w:pPr>
            <w:r w:rsidRPr="00880F37">
              <w:rPr>
                <w:rFonts w:ascii="Times New Roman" w:hAnsi="Times New Roman" w:cs="Times New Roman"/>
              </w:rPr>
              <w:t>Sources de données/Moyens de vérification : Données SNU/Effet1</w:t>
            </w:r>
            <w:r>
              <w:rPr>
                <w:rFonts w:ascii="Times New Roman" w:hAnsi="Times New Roman" w:cs="Times New Roman"/>
              </w:rPr>
              <w:t xml:space="preserve">, Direction Nationale des Frontières </w:t>
            </w:r>
          </w:p>
          <w:p w14:paraId="6EFB4BCE" w14:textId="77777777" w:rsidR="00DD583B" w:rsidRDefault="00DD583B" w:rsidP="005D2A90">
            <w:pPr>
              <w:numPr>
                <w:ilvl w:val="0"/>
                <w:numId w:val="15"/>
              </w:numPr>
              <w:rPr>
                <w:rFonts w:ascii="Times New Roman" w:hAnsi="Times New Roman" w:cs="Times New Roman"/>
                <w:lang w:val="fr-FR"/>
              </w:rPr>
            </w:pPr>
            <w:r w:rsidRPr="00880F37">
              <w:rPr>
                <w:rFonts w:ascii="Times New Roman" w:hAnsi="Times New Roman" w:cs="Times New Roman"/>
              </w:rPr>
              <w:t>Périodicité : Annuelle ou moins</w:t>
            </w:r>
          </w:p>
          <w:p w14:paraId="3997FFB1" w14:textId="77777777" w:rsidR="00DD583B" w:rsidRDefault="00DD583B" w:rsidP="005D2A90">
            <w:pPr>
              <w:pStyle w:val="Paragraphedeliste"/>
              <w:numPr>
                <w:ilvl w:val="0"/>
                <w:numId w:val="15"/>
              </w:numPr>
              <w:rPr>
                <w:lang w:val="fr-FR"/>
              </w:rPr>
            </w:pPr>
            <w:r w:rsidRPr="00880F37">
              <w:rPr>
                <w:rFonts w:ascii="Times New Roman" w:hAnsi="Times New Roman" w:cs="Times New Roman"/>
              </w:rPr>
              <w:t>Maître d’œuvre : Groupe de Résultat</w:t>
            </w:r>
            <w:r>
              <w:rPr>
                <w:rFonts w:ascii="Times New Roman" w:hAnsi="Times New Roman" w:cs="Times New Roman"/>
              </w:rPr>
              <w:t xml:space="preserve"> UNDAF (Axe 1)</w:t>
            </w:r>
          </w:p>
        </w:tc>
        <w:tc>
          <w:tcPr>
            <w:tcW w:w="3077" w:type="dxa"/>
            <w:gridSpan w:val="2"/>
            <w:vMerge/>
          </w:tcPr>
          <w:p w14:paraId="17390BD6" w14:textId="77777777" w:rsidR="00DD583B" w:rsidRPr="002E5C18" w:rsidRDefault="00DD583B" w:rsidP="005D2A90">
            <w:pPr>
              <w:rPr>
                <w:lang w:val="fr-FR"/>
              </w:rPr>
            </w:pPr>
          </w:p>
        </w:tc>
        <w:tc>
          <w:tcPr>
            <w:tcW w:w="1800" w:type="dxa"/>
            <w:vMerge/>
          </w:tcPr>
          <w:p w14:paraId="0287BEC1" w14:textId="77777777" w:rsidR="00DD583B" w:rsidRPr="002E5C18" w:rsidRDefault="00DD583B" w:rsidP="005D2A90">
            <w:pPr>
              <w:rPr>
                <w:lang w:val="fr-FR"/>
              </w:rPr>
            </w:pPr>
          </w:p>
        </w:tc>
        <w:tc>
          <w:tcPr>
            <w:tcW w:w="995" w:type="dxa"/>
            <w:vMerge/>
          </w:tcPr>
          <w:p w14:paraId="2CAD9375" w14:textId="77777777" w:rsidR="00DD583B" w:rsidRPr="002E5C18" w:rsidRDefault="00DD583B" w:rsidP="005D2A90">
            <w:pPr>
              <w:rPr>
                <w:lang w:val="fr-FR"/>
              </w:rPr>
            </w:pPr>
          </w:p>
        </w:tc>
      </w:tr>
      <w:tr w:rsidR="00DD583B" w:rsidRPr="002E5C18" w14:paraId="0650C210" w14:textId="77777777" w:rsidTr="00186DD5">
        <w:tc>
          <w:tcPr>
            <w:tcW w:w="2590" w:type="dxa"/>
            <w:vMerge/>
            <w:shd w:val="clear" w:color="auto" w:fill="DBE5F1" w:themeFill="accent1" w:themeFillTint="33"/>
          </w:tcPr>
          <w:p w14:paraId="5D8508E5" w14:textId="77777777" w:rsidR="00DD583B" w:rsidRPr="002E5C18" w:rsidRDefault="00DD583B" w:rsidP="005D2A90">
            <w:pPr>
              <w:rPr>
                <w:lang w:val="fr-FR"/>
              </w:rPr>
            </w:pPr>
          </w:p>
        </w:tc>
        <w:tc>
          <w:tcPr>
            <w:tcW w:w="2583" w:type="dxa"/>
            <w:vAlign w:val="center"/>
          </w:tcPr>
          <w:p w14:paraId="53B316C7" w14:textId="77777777" w:rsidR="00DD583B" w:rsidRPr="002E5C18" w:rsidRDefault="00DD583B" w:rsidP="005D2A90">
            <w:pPr>
              <w:rPr>
                <w:rFonts w:ascii="Times New Roman" w:hAnsi="Times New Roman" w:cs="Times New Roman"/>
                <w:lang w:val="fr-FR"/>
              </w:rPr>
            </w:pPr>
            <w:r w:rsidRPr="00880F37">
              <w:rPr>
                <w:rFonts w:ascii="Times New Roman" w:hAnsi="Times New Roman" w:cs="Times New Roman"/>
                <w:b/>
                <w:bCs/>
              </w:rPr>
              <w:t>Indicateur 1.2.3</w:t>
            </w:r>
            <w:r w:rsidRPr="00880F37">
              <w:rPr>
                <w:rFonts w:ascii="Times New Roman" w:hAnsi="Times New Roman" w:cs="Times New Roman"/>
              </w:rPr>
              <w:t xml:space="preserve"> Nombre de </w:t>
            </w:r>
            <w:r>
              <w:rPr>
                <w:rFonts w:ascii="Times New Roman" w:hAnsi="Times New Roman" w:cs="Times New Roman"/>
              </w:rPr>
              <w:t xml:space="preserve">personnes des </w:t>
            </w:r>
            <w:r w:rsidRPr="00880F37">
              <w:rPr>
                <w:rFonts w:ascii="Times New Roman" w:hAnsi="Times New Roman" w:cs="Times New Roman"/>
              </w:rPr>
              <w:t>forces armées et de sécurité maliennes</w:t>
            </w:r>
            <w:r>
              <w:rPr>
                <w:rFonts w:ascii="Times New Roman" w:hAnsi="Times New Roman" w:cs="Times New Roman"/>
              </w:rPr>
              <w:t xml:space="preserve"> ayant recu des </w:t>
            </w:r>
            <w:r w:rsidRPr="00880F37">
              <w:rPr>
                <w:rFonts w:ascii="Times New Roman" w:hAnsi="Times New Roman" w:cs="Times New Roman"/>
              </w:rPr>
              <w:t xml:space="preserve"> formations techniques</w:t>
            </w:r>
            <w:r>
              <w:rPr>
                <w:rFonts w:ascii="Times New Roman" w:hAnsi="Times New Roman" w:cs="Times New Roman"/>
              </w:rPr>
              <w:t xml:space="preserve">  et des formations </w:t>
            </w:r>
            <w:r w:rsidRPr="00880F37">
              <w:rPr>
                <w:rFonts w:ascii="Times New Roman" w:hAnsi="Times New Roman" w:cs="Times New Roman"/>
              </w:rPr>
              <w:t xml:space="preserve"> sur le droit international des droits de l’homme</w:t>
            </w:r>
            <w:r>
              <w:rPr>
                <w:rFonts w:ascii="Times New Roman" w:hAnsi="Times New Roman" w:cs="Times New Roman"/>
              </w:rPr>
              <w:t>, la résolution 1325</w:t>
            </w:r>
            <w:r w:rsidRPr="00880F37">
              <w:rPr>
                <w:rFonts w:ascii="Times New Roman" w:hAnsi="Times New Roman" w:cs="Times New Roman"/>
              </w:rPr>
              <w:t xml:space="preserve"> et </w:t>
            </w:r>
            <w:r>
              <w:rPr>
                <w:rFonts w:ascii="Times New Roman" w:hAnsi="Times New Roman" w:cs="Times New Roman"/>
              </w:rPr>
              <w:t xml:space="preserve"> les </w:t>
            </w:r>
            <w:r w:rsidRPr="00880F37">
              <w:rPr>
                <w:rFonts w:ascii="Times New Roman" w:hAnsi="Times New Roman" w:cs="Times New Roman"/>
              </w:rPr>
              <w:t xml:space="preserve">principes humanitaires </w:t>
            </w:r>
            <w:r>
              <w:rPr>
                <w:rFonts w:ascii="Times New Roman" w:hAnsi="Times New Roman" w:cs="Times New Roman"/>
              </w:rPr>
              <w:t xml:space="preserve"> (en H/F)</w:t>
            </w:r>
          </w:p>
          <w:p w14:paraId="187DA51D" w14:textId="77777777" w:rsidR="00DD583B" w:rsidRPr="002E5C18" w:rsidRDefault="00DD583B" w:rsidP="005D2A90">
            <w:pPr>
              <w:rPr>
                <w:rFonts w:ascii="Times New Roman" w:hAnsi="Times New Roman" w:cs="Times New Roman"/>
                <w:lang w:val="fr-FR"/>
              </w:rPr>
            </w:pPr>
          </w:p>
          <w:p w14:paraId="273414B1" w14:textId="77777777" w:rsidR="00DD583B" w:rsidRDefault="00DD583B" w:rsidP="005D2A90">
            <w:pPr>
              <w:rPr>
                <w:rFonts w:ascii="Times New Roman" w:hAnsi="Times New Roman" w:cs="Times New Roman"/>
              </w:rPr>
            </w:pPr>
            <w:r w:rsidRPr="00880F37">
              <w:rPr>
                <w:rFonts w:ascii="Times New Roman" w:hAnsi="Times New Roman" w:cs="Times New Roman"/>
              </w:rPr>
              <w:lastRenderedPageBreak/>
              <w:t>Base: 4100</w:t>
            </w:r>
          </w:p>
          <w:p w14:paraId="140A84E6" w14:textId="77777777" w:rsidR="00DD583B" w:rsidRDefault="00DD583B" w:rsidP="005D2A90">
            <w:pPr>
              <w:rPr>
                <w:rFonts w:ascii="Times New Roman" w:hAnsi="Times New Roman" w:cs="Times New Roman"/>
              </w:rPr>
            </w:pPr>
          </w:p>
          <w:p w14:paraId="729920AD" w14:textId="77777777" w:rsidR="00DD583B" w:rsidRPr="00CE2384" w:rsidRDefault="00DD583B" w:rsidP="005D2A90">
            <w:pPr>
              <w:snapToGrid w:val="0"/>
              <w:rPr>
                <w:rFonts w:ascii="Calibri" w:hAnsi="Calibri"/>
                <w:color w:val="FF0000"/>
                <w:sz w:val="18"/>
                <w:szCs w:val="18"/>
                <w:lang w:val="fr-FR"/>
              </w:rPr>
            </w:pPr>
            <w:r w:rsidRPr="00DD2F7F">
              <w:rPr>
                <w:rFonts w:ascii="Calibri" w:hAnsi="Calibri"/>
                <w:color w:val="FF0000"/>
                <w:sz w:val="18"/>
                <w:szCs w:val="18"/>
              </w:rPr>
              <w:t xml:space="preserve">Situation en fin 2017: 30 </w:t>
            </w:r>
            <w:r>
              <w:rPr>
                <w:rFonts w:ascii="Calibri" w:hAnsi="Calibri"/>
                <w:color w:val="FF0000"/>
                <w:sz w:val="18"/>
                <w:szCs w:val="18"/>
              </w:rPr>
              <w:t xml:space="preserve"> (</w:t>
            </w:r>
            <w:r w:rsidRPr="00DD2F7F">
              <w:rPr>
                <w:rFonts w:ascii="Calibri" w:hAnsi="Calibri"/>
                <w:color w:val="FF0000"/>
                <w:sz w:val="18"/>
                <w:szCs w:val="18"/>
              </w:rPr>
              <w:t>dont 17 hommes et 13 femmes</w:t>
            </w:r>
            <w:r>
              <w:rPr>
                <w:rFonts w:ascii="Calibri" w:hAnsi="Calibri"/>
                <w:color w:val="FF0000"/>
                <w:sz w:val="18"/>
                <w:szCs w:val="18"/>
              </w:rPr>
              <w:t>, Rapport PNUD)</w:t>
            </w:r>
          </w:p>
          <w:p w14:paraId="778784BB" w14:textId="77777777" w:rsidR="00DD583B" w:rsidRPr="002E5C18" w:rsidRDefault="00DD583B" w:rsidP="005D2A90">
            <w:pPr>
              <w:rPr>
                <w:rFonts w:ascii="Times New Roman" w:hAnsi="Times New Roman" w:cs="Times New Roman"/>
                <w:lang w:val="fr-FR"/>
              </w:rPr>
            </w:pPr>
          </w:p>
          <w:p w14:paraId="24FBEBC0" w14:textId="77777777" w:rsidR="00DD583B" w:rsidRPr="002E5C18" w:rsidRDefault="00DD583B" w:rsidP="005D2A90">
            <w:pPr>
              <w:rPr>
                <w:lang w:val="fr-FR"/>
              </w:rPr>
            </w:pPr>
            <w:r w:rsidRPr="00880F37">
              <w:rPr>
                <w:rFonts w:ascii="Times New Roman" w:hAnsi="Times New Roman" w:cs="Times New Roman"/>
              </w:rPr>
              <w:t>Ciblee: 10000</w:t>
            </w:r>
          </w:p>
        </w:tc>
        <w:tc>
          <w:tcPr>
            <w:tcW w:w="4123" w:type="dxa"/>
            <w:vAlign w:val="center"/>
          </w:tcPr>
          <w:p w14:paraId="6F8FFB4A" w14:textId="77777777" w:rsidR="00DD583B" w:rsidRDefault="00DD583B" w:rsidP="005D2A90">
            <w:pPr>
              <w:numPr>
                <w:ilvl w:val="0"/>
                <w:numId w:val="16"/>
              </w:numPr>
              <w:rPr>
                <w:rFonts w:ascii="Times New Roman" w:hAnsi="Times New Roman" w:cs="Times New Roman"/>
                <w:lang w:val="fr-FR"/>
              </w:rPr>
            </w:pPr>
            <w:r w:rsidRPr="00880F37">
              <w:rPr>
                <w:rFonts w:ascii="Times New Roman" w:hAnsi="Times New Roman" w:cs="Times New Roman"/>
              </w:rPr>
              <w:lastRenderedPageBreak/>
              <w:t>Mode de calcul : Dénombrement au près des entités UN/Eff1 des effectifs FSD maliennes formés en droit humain et droit humanitaire</w:t>
            </w:r>
          </w:p>
          <w:p w14:paraId="01A83E39" w14:textId="77777777" w:rsidR="00DD583B" w:rsidRDefault="00DD583B" w:rsidP="005D2A90">
            <w:pPr>
              <w:numPr>
                <w:ilvl w:val="0"/>
                <w:numId w:val="16"/>
              </w:numPr>
              <w:rPr>
                <w:rFonts w:ascii="Times New Roman" w:hAnsi="Times New Roman" w:cs="Times New Roman"/>
                <w:lang w:val="fr-FR"/>
              </w:rPr>
            </w:pPr>
            <w:r w:rsidRPr="00880F37">
              <w:rPr>
                <w:rFonts w:ascii="Times New Roman" w:hAnsi="Times New Roman" w:cs="Times New Roman"/>
              </w:rPr>
              <w:t>Sources de données/Moyens de vérification : Données SNU/Effet1</w:t>
            </w:r>
            <w:r>
              <w:rPr>
                <w:rFonts w:ascii="Times New Roman" w:hAnsi="Times New Roman" w:cs="Times New Roman"/>
              </w:rPr>
              <w:t>, Ecole de Maintien de la Paix</w:t>
            </w:r>
          </w:p>
          <w:p w14:paraId="2E67B965" w14:textId="77777777" w:rsidR="00DD583B" w:rsidRDefault="00DD583B" w:rsidP="005D2A90">
            <w:pPr>
              <w:numPr>
                <w:ilvl w:val="0"/>
                <w:numId w:val="16"/>
              </w:numPr>
              <w:rPr>
                <w:rFonts w:ascii="Times New Roman" w:hAnsi="Times New Roman" w:cs="Times New Roman"/>
                <w:lang w:val="fr-FR"/>
              </w:rPr>
            </w:pPr>
            <w:r w:rsidRPr="00880F37">
              <w:rPr>
                <w:rFonts w:ascii="Times New Roman" w:hAnsi="Times New Roman" w:cs="Times New Roman"/>
              </w:rPr>
              <w:t>Périodicité : Annuelle ou moins</w:t>
            </w:r>
          </w:p>
          <w:p w14:paraId="5C40235E" w14:textId="77777777" w:rsidR="00DD583B" w:rsidRDefault="00DD583B" w:rsidP="005D2A90">
            <w:pPr>
              <w:pStyle w:val="Paragraphedeliste"/>
              <w:numPr>
                <w:ilvl w:val="0"/>
                <w:numId w:val="16"/>
              </w:numPr>
              <w:rPr>
                <w:lang w:val="fr-FR"/>
              </w:rPr>
            </w:pPr>
            <w:r w:rsidRPr="00880F37">
              <w:rPr>
                <w:rFonts w:ascii="Times New Roman" w:hAnsi="Times New Roman" w:cs="Times New Roman"/>
              </w:rPr>
              <w:t>Maître d’œuvre : Groupe de Résultat</w:t>
            </w:r>
            <w:r>
              <w:rPr>
                <w:rFonts w:ascii="Times New Roman" w:hAnsi="Times New Roman" w:cs="Times New Roman"/>
              </w:rPr>
              <w:t xml:space="preserve"> UNDAF (Axe 1)</w:t>
            </w:r>
          </w:p>
        </w:tc>
        <w:tc>
          <w:tcPr>
            <w:tcW w:w="3077" w:type="dxa"/>
            <w:gridSpan w:val="2"/>
            <w:vMerge/>
          </w:tcPr>
          <w:p w14:paraId="2399C406" w14:textId="77777777" w:rsidR="00DD583B" w:rsidRPr="002E5C18" w:rsidRDefault="00DD583B" w:rsidP="005D2A90">
            <w:pPr>
              <w:rPr>
                <w:lang w:val="fr-FR"/>
              </w:rPr>
            </w:pPr>
          </w:p>
        </w:tc>
        <w:tc>
          <w:tcPr>
            <w:tcW w:w="1800" w:type="dxa"/>
            <w:vMerge/>
          </w:tcPr>
          <w:p w14:paraId="5D01E781" w14:textId="77777777" w:rsidR="00DD583B" w:rsidRPr="002E5C18" w:rsidRDefault="00DD583B" w:rsidP="005D2A90">
            <w:pPr>
              <w:rPr>
                <w:lang w:val="fr-FR"/>
              </w:rPr>
            </w:pPr>
          </w:p>
        </w:tc>
        <w:tc>
          <w:tcPr>
            <w:tcW w:w="995" w:type="dxa"/>
            <w:vMerge/>
          </w:tcPr>
          <w:p w14:paraId="2D1B2B16" w14:textId="77777777" w:rsidR="00DD583B" w:rsidRPr="002E5C18" w:rsidRDefault="00DD583B" w:rsidP="005D2A90">
            <w:pPr>
              <w:rPr>
                <w:lang w:val="fr-FR"/>
              </w:rPr>
            </w:pPr>
          </w:p>
        </w:tc>
      </w:tr>
      <w:tr w:rsidR="00DD583B" w:rsidRPr="002E5C18" w14:paraId="36CB4200" w14:textId="77777777" w:rsidTr="00836260">
        <w:trPr>
          <w:trHeight w:val="1509"/>
        </w:trPr>
        <w:tc>
          <w:tcPr>
            <w:tcW w:w="2590" w:type="dxa"/>
            <w:vMerge w:val="restart"/>
            <w:shd w:val="clear" w:color="auto" w:fill="DBE5F1" w:themeFill="accent1" w:themeFillTint="33"/>
          </w:tcPr>
          <w:p w14:paraId="633195D5" w14:textId="77777777" w:rsidR="00DD583B" w:rsidRPr="002E5C18" w:rsidRDefault="00DD583B" w:rsidP="005D2A90">
            <w:pPr>
              <w:rPr>
                <w:lang w:val="fr-FR"/>
              </w:rPr>
            </w:pPr>
            <w:r w:rsidRPr="00880F37">
              <w:t xml:space="preserve">Produit 1.3. DDR/Réinsertion : Les capacités techniques, logistiques et institutionnelles de la Commission nationale de DDR et des acteurs concernés sont renforcées pour la mise en œuvre d’une démobilisation et d’une réinsertion inclusive (ex-combattants, milices et groupes d’auto-défense, communautés et groupes vulnérables, notamment </w:t>
            </w:r>
            <w:r>
              <w:lastRenderedPageBreak/>
              <w:t xml:space="preserve">femmes et les </w:t>
            </w:r>
            <w:r w:rsidRPr="00880F37">
              <w:t>les enfants)</w:t>
            </w:r>
          </w:p>
          <w:p w14:paraId="004E0B29" w14:textId="77777777" w:rsidR="00DD583B" w:rsidRPr="002E5C18" w:rsidRDefault="00DD583B" w:rsidP="005D2A90">
            <w:pPr>
              <w:rPr>
                <w:lang w:val="fr-FR"/>
              </w:rPr>
            </w:pPr>
          </w:p>
        </w:tc>
        <w:tc>
          <w:tcPr>
            <w:tcW w:w="2583" w:type="dxa"/>
            <w:vAlign w:val="center"/>
          </w:tcPr>
          <w:p w14:paraId="4D0EE442" w14:textId="77777777" w:rsidR="00DD583B" w:rsidRPr="002E5C18" w:rsidRDefault="00DD583B" w:rsidP="005D2A90">
            <w:pPr>
              <w:rPr>
                <w:rFonts w:ascii="Times New Roman" w:hAnsi="Times New Roman" w:cs="Times New Roman"/>
                <w:lang w:val="fr-FR"/>
              </w:rPr>
            </w:pPr>
            <w:r w:rsidRPr="00880F37">
              <w:rPr>
                <w:rFonts w:ascii="Times New Roman" w:hAnsi="Times New Roman" w:cs="Times New Roman"/>
                <w:b/>
                <w:bCs/>
              </w:rPr>
              <w:lastRenderedPageBreak/>
              <w:t>Indicateur 1.3.2</w:t>
            </w:r>
            <w:r w:rsidRPr="00880F37">
              <w:rPr>
                <w:rFonts w:ascii="Times New Roman" w:hAnsi="Times New Roman" w:cs="Times New Roman"/>
              </w:rPr>
              <w:t xml:space="preserve"> Nombre d’ex éléments des groupes armés, personnes associées (y compris femmes, hommes, enfants, handicapés, et membres des communautés) ayant été enregistrés et ayant bénéficié des projets de Réinsertion, ou  relâchés/réunis avec leurs familles pour les enfants</w:t>
            </w:r>
          </w:p>
          <w:p w14:paraId="4F5792F1" w14:textId="77777777" w:rsidR="00DD583B" w:rsidRPr="002E5C18" w:rsidRDefault="00DD583B" w:rsidP="005D2A90">
            <w:pPr>
              <w:rPr>
                <w:rFonts w:ascii="Times New Roman" w:hAnsi="Times New Roman" w:cs="Times New Roman"/>
                <w:lang w:val="fr-FR"/>
              </w:rPr>
            </w:pPr>
          </w:p>
          <w:p w14:paraId="6DACFD0B" w14:textId="77777777" w:rsidR="00DD583B" w:rsidRDefault="00DD583B" w:rsidP="005D2A90">
            <w:pPr>
              <w:rPr>
                <w:rFonts w:ascii="Times New Roman" w:hAnsi="Times New Roman" w:cs="Times New Roman"/>
              </w:rPr>
            </w:pPr>
            <w:r w:rsidRPr="00880F37">
              <w:rPr>
                <w:rFonts w:ascii="Times New Roman" w:hAnsi="Times New Roman" w:cs="Times New Roman"/>
              </w:rPr>
              <w:t>Base : 0</w:t>
            </w:r>
          </w:p>
          <w:p w14:paraId="20747281"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0</w:t>
            </w:r>
          </w:p>
          <w:p w14:paraId="2E597ABB" w14:textId="77777777" w:rsidR="00DD583B" w:rsidRPr="002E5C18" w:rsidRDefault="00DD583B" w:rsidP="005D2A90">
            <w:pPr>
              <w:rPr>
                <w:rFonts w:ascii="Times New Roman" w:hAnsi="Times New Roman" w:cs="Times New Roman"/>
                <w:lang w:val="fr-FR"/>
              </w:rPr>
            </w:pPr>
          </w:p>
          <w:p w14:paraId="39C636CB" w14:textId="77777777" w:rsidR="00DD583B" w:rsidRPr="002E5C18" w:rsidRDefault="00DD583B" w:rsidP="005D2A90">
            <w:pPr>
              <w:rPr>
                <w:lang w:val="fr-FR"/>
              </w:rPr>
            </w:pPr>
            <w:r w:rsidRPr="00633278">
              <w:rPr>
                <w:rFonts w:ascii="Times New Roman" w:hAnsi="Times New Roman" w:cs="Times New Roman"/>
              </w:rPr>
              <w:t xml:space="preserve">Cible : 10000 </w:t>
            </w:r>
          </w:p>
        </w:tc>
        <w:tc>
          <w:tcPr>
            <w:tcW w:w="4123" w:type="dxa"/>
            <w:vAlign w:val="center"/>
          </w:tcPr>
          <w:p w14:paraId="0430E1F1" w14:textId="77777777" w:rsidR="00DD583B" w:rsidRDefault="00DD583B" w:rsidP="005D2A90">
            <w:pPr>
              <w:numPr>
                <w:ilvl w:val="0"/>
                <w:numId w:val="16"/>
              </w:numPr>
              <w:ind w:left="357" w:hanging="357"/>
              <w:rPr>
                <w:rFonts w:ascii="Times New Roman" w:hAnsi="Times New Roman" w:cs="Times New Roman"/>
                <w:lang w:val="fr-FR"/>
              </w:rPr>
            </w:pPr>
            <w:r>
              <w:rPr>
                <w:rFonts w:ascii="Times New Roman" w:hAnsi="Times New Roman" w:cs="Times New Roman"/>
              </w:rPr>
              <w:t xml:space="preserve">Mode de calcul: </w:t>
            </w:r>
            <w:r w:rsidRPr="00880F37">
              <w:rPr>
                <w:rFonts w:ascii="Times New Roman" w:hAnsi="Times New Roman" w:cs="Times New Roman"/>
              </w:rPr>
              <w:t>Dénombrement auprès des structures de cantonnement des ex-combattants effectivement cantonnés</w:t>
            </w:r>
          </w:p>
          <w:p w14:paraId="62588602" w14:textId="77777777" w:rsidR="00DD583B" w:rsidRDefault="00DD583B" w:rsidP="005D2A90">
            <w:pPr>
              <w:numPr>
                <w:ilvl w:val="0"/>
                <w:numId w:val="16"/>
              </w:numPr>
              <w:ind w:left="357" w:hanging="357"/>
              <w:rPr>
                <w:rFonts w:ascii="Times New Roman" w:hAnsi="Times New Roman" w:cs="Times New Roman"/>
                <w:lang w:val="fr-FR"/>
              </w:rPr>
            </w:pPr>
            <w:r w:rsidRPr="00880F37">
              <w:rPr>
                <w:rFonts w:ascii="Times New Roman" w:hAnsi="Times New Roman" w:cs="Times New Roman"/>
              </w:rPr>
              <w:t>Sources de données/Moyens de vérification: Données SNU/Effet1</w:t>
            </w:r>
            <w:r>
              <w:rPr>
                <w:rFonts w:ascii="Times New Roman" w:hAnsi="Times New Roman" w:cs="Times New Roman"/>
              </w:rPr>
              <w:t>, CNDDR</w:t>
            </w:r>
          </w:p>
          <w:p w14:paraId="7919E20D" w14:textId="77777777" w:rsidR="00DD583B" w:rsidRDefault="00DD583B" w:rsidP="005D2A90">
            <w:pPr>
              <w:numPr>
                <w:ilvl w:val="0"/>
                <w:numId w:val="16"/>
              </w:numPr>
              <w:ind w:left="357" w:hanging="357"/>
              <w:rPr>
                <w:rFonts w:ascii="Times New Roman" w:hAnsi="Times New Roman" w:cs="Times New Roman"/>
                <w:lang w:val="fr-FR"/>
              </w:rPr>
            </w:pPr>
            <w:r w:rsidRPr="00880F37">
              <w:rPr>
                <w:rFonts w:ascii="Times New Roman" w:hAnsi="Times New Roman" w:cs="Times New Roman"/>
              </w:rPr>
              <w:t>Périodicité : Annuelle ou moins</w:t>
            </w:r>
          </w:p>
          <w:p w14:paraId="7101F911" w14:textId="77777777" w:rsidR="00DD583B" w:rsidRDefault="00DD583B" w:rsidP="005D2A90">
            <w:pPr>
              <w:pStyle w:val="Paragraphedeliste"/>
              <w:numPr>
                <w:ilvl w:val="0"/>
                <w:numId w:val="16"/>
              </w:numPr>
              <w:ind w:left="357" w:hanging="357"/>
              <w:rPr>
                <w:lang w:val="fr-FR"/>
              </w:rPr>
            </w:pPr>
            <w:r w:rsidRPr="00880F37">
              <w:rPr>
                <w:rFonts w:ascii="Times New Roman" w:hAnsi="Times New Roman" w:cs="Times New Roman"/>
              </w:rPr>
              <w:t>Maître d’œuvre : Groupe de Résultat</w:t>
            </w:r>
            <w:r>
              <w:rPr>
                <w:rFonts w:ascii="Times New Roman" w:hAnsi="Times New Roman" w:cs="Times New Roman"/>
              </w:rPr>
              <w:t xml:space="preserve"> UNDAF (Axe 1)</w:t>
            </w:r>
          </w:p>
        </w:tc>
        <w:tc>
          <w:tcPr>
            <w:tcW w:w="3077" w:type="dxa"/>
            <w:gridSpan w:val="2"/>
          </w:tcPr>
          <w:p w14:paraId="73BCF430" w14:textId="77777777" w:rsidR="00DD583B" w:rsidRPr="004D4BFB" w:rsidRDefault="00DD583B" w:rsidP="005D2A90">
            <w:pPr>
              <w:widowControl w:val="0"/>
              <w:snapToGrid w:val="0"/>
              <w:ind w:right="-144"/>
              <w:rPr>
                <w:rFonts w:ascii="Times New Roman" w:hAnsi="Times New Roman" w:cs="Times New Roman"/>
                <w:lang w:val="fr-FR"/>
              </w:rPr>
            </w:pPr>
            <w:r w:rsidRPr="004D4BFB">
              <w:rPr>
                <w:rFonts w:ascii="Times New Roman" w:hAnsi="Times New Roman" w:cs="Times New Roman"/>
                <w:sz w:val="22"/>
                <w:szCs w:val="22"/>
              </w:rPr>
              <w:t xml:space="preserve">Faible volonté politique des parties pour sa mise en place/Non inclusion de certains groupes dans la commission </w:t>
            </w:r>
          </w:p>
          <w:p w14:paraId="32F0CEBF" w14:textId="77777777" w:rsidR="00DD583B" w:rsidRPr="004D4BFB" w:rsidRDefault="00DD583B" w:rsidP="005D2A90">
            <w:pPr>
              <w:widowControl w:val="0"/>
              <w:snapToGrid w:val="0"/>
              <w:ind w:right="-144"/>
              <w:rPr>
                <w:rFonts w:ascii="Times New Roman" w:eastAsiaTheme="minorEastAsia" w:hAnsi="Times New Roman" w:cs="Times New Roman"/>
                <w:lang w:val="fr-FR"/>
              </w:rPr>
            </w:pPr>
          </w:p>
          <w:p w14:paraId="5B385239" w14:textId="77777777" w:rsidR="00DD583B" w:rsidRPr="004D4BFB" w:rsidRDefault="00DD583B" w:rsidP="005D2A90">
            <w:pPr>
              <w:widowControl w:val="0"/>
              <w:snapToGrid w:val="0"/>
              <w:ind w:right="-144"/>
              <w:rPr>
                <w:rFonts w:ascii="Times New Roman" w:hAnsi="Times New Roman" w:cs="Times New Roman"/>
                <w:lang w:val="fr-FR"/>
              </w:rPr>
            </w:pPr>
            <w:r w:rsidRPr="004D4BFB">
              <w:rPr>
                <w:rFonts w:ascii="Times New Roman" w:hAnsi="Times New Roman" w:cs="Times New Roman"/>
                <w:sz w:val="22"/>
                <w:szCs w:val="22"/>
              </w:rPr>
              <w:t>L’exclusion de  la communauté dans la réinsertion</w:t>
            </w:r>
          </w:p>
          <w:p w14:paraId="1AB73092" w14:textId="77777777" w:rsidR="00DD583B" w:rsidRPr="004D4BFB" w:rsidRDefault="00DD583B" w:rsidP="005D2A90">
            <w:pPr>
              <w:widowControl w:val="0"/>
              <w:snapToGrid w:val="0"/>
              <w:ind w:right="-144"/>
              <w:rPr>
                <w:rFonts w:ascii="Times New Roman" w:hAnsi="Times New Roman" w:cs="Times New Roman"/>
                <w:lang w:val="fr-FR" w:eastAsia="ja-JP"/>
              </w:rPr>
            </w:pPr>
          </w:p>
          <w:p w14:paraId="00CF1F0B" w14:textId="77777777" w:rsidR="00DD583B" w:rsidRPr="004D4BFB" w:rsidRDefault="00DD583B" w:rsidP="005D2A90">
            <w:pPr>
              <w:widowControl w:val="0"/>
              <w:snapToGrid w:val="0"/>
              <w:ind w:right="-144"/>
              <w:rPr>
                <w:rFonts w:ascii="Times New Roman" w:hAnsi="Times New Roman" w:cs="Times New Roman"/>
                <w:lang w:val="fr-FR"/>
              </w:rPr>
            </w:pPr>
            <w:r w:rsidRPr="004D4BFB">
              <w:rPr>
                <w:rFonts w:ascii="Times New Roman" w:hAnsi="Times New Roman" w:cs="Times New Roman"/>
                <w:sz w:val="22"/>
                <w:szCs w:val="22"/>
              </w:rPr>
              <w:t>Absence d’accord entre les parties sur le DDR ou manque  de financement</w:t>
            </w:r>
          </w:p>
          <w:p w14:paraId="24E69FD8" w14:textId="77777777" w:rsidR="00DD583B" w:rsidRPr="004D4BFB" w:rsidRDefault="00DD583B" w:rsidP="005D2A90">
            <w:pPr>
              <w:widowControl w:val="0"/>
              <w:snapToGrid w:val="0"/>
              <w:ind w:right="-144"/>
              <w:rPr>
                <w:rFonts w:ascii="Times New Roman" w:hAnsi="Times New Roman" w:cs="Times New Roman"/>
                <w:lang w:val="fr-FR"/>
              </w:rPr>
            </w:pPr>
            <w:r w:rsidRPr="004D4BFB">
              <w:rPr>
                <w:rFonts w:ascii="Times New Roman" w:hAnsi="Times New Roman" w:cs="Times New Roman"/>
                <w:sz w:val="22"/>
                <w:szCs w:val="22"/>
              </w:rPr>
              <w:t>Les Groupes Armes ne présentent pas les vrais combattants et leur armement.</w:t>
            </w:r>
          </w:p>
          <w:p w14:paraId="3E8EF9D0" w14:textId="77777777" w:rsidR="00DD583B" w:rsidRPr="004D4BFB" w:rsidRDefault="00DD583B" w:rsidP="005D2A90">
            <w:pPr>
              <w:widowControl w:val="0"/>
              <w:snapToGrid w:val="0"/>
              <w:ind w:right="-144"/>
              <w:rPr>
                <w:rFonts w:ascii="Times New Roman" w:hAnsi="Times New Roman" w:cs="Times New Roman"/>
                <w:color w:val="000000"/>
                <w:lang w:val="fr-FR"/>
              </w:rPr>
            </w:pPr>
            <w:r w:rsidRPr="004D4BFB">
              <w:rPr>
                <w:rFonts w:ascii="Times New Roman" w:hAnsi="Times New Roman" w:cs="Times New Roman"/>
                <w:color w:val="000000"/>
                <w:sz w:val="22"/>
                <w:szCs w:val="22"/>
              </w:rPr>
              <w:t>Situation politique et sécuritaire instable</w:t>
            </w:r>
          </w:p>
          <w:p w14:paraId="0E126576" w14:textId="77777777" w:rsidR="00DD583B" w:rsidRPr="004D4BFB" w:rsidRDefault="00DD583B" w:rsidP="005D2A90">
            <w:pPr>
              <w:widowControl w:val="0"/>
              <w:snapToGrid w:val="0"/>
              <w:ind w:right="-144"/>
              <w:rPr>
                <w:rFonts w:ascii="Times New Roman" w:hAnsi="Times New Roman" w:cs="Times New Roman"/>
                <w:color w:val="000000"/>
                <w:lang w:val="fr-FR"/>
              </w:rPr>
            </w:pPr>
          </w:p>
          <w:p w14:paraId="72CB2732" w14:textId="77777777" w:rsidR="00DD583B" w:rsidRPr="004D4BFB" w:rsidRDefault="00DD583B" w:rsidP="005D2A90">
            <w:pPr>
              <w:rPr>
                <w:rFonts w:ascii="Times New Roman" w:hAnsi="Times New Roman" w:cs="Times New Roman"/>
                <w:lang w:val="fr-FR"/>
              </w:rPr>
            </w:pPr>
            <w:r w:rsidRPr="004D4BFB">
              <w:rPr>
                <w:rFonts w:ascii="Times New Roman" w:hAnsi="Times New Roman" w:cs="Times New Roman"/>
                <w:sz w:val="22"/>
                <w:szCs w:val="22"/>
              </w:rPr>
              <w:t>Faible taux de participation des populations cibles aux projets de réinsertion dû au manque/insuffisance de financement</w:t>
            </w:r>
          </w:p>
        </w:tc>
        <w:tc>
          <w:tcPr>
            <w:tcW w:w="1800" w:type="dxa"/>
          </w:tcPr>
          <w:p w14:paraId="76ABA65E" w14:textId="77777777" w:rsidR="00DD583B" w:rsidRPr="002E5C18" w:rsidRDefault="00DD583B" w:rsidP="005D2A90">
            <w:pPr>
              <w:rPr>
                <w:lang w:val="fr-FR"/>
              </w:rPr>
            </w:pPr>
          </w:p>
        </w:tc>
        <w:tc>
          <w:tcPr>
            <w:tcW w:w="995" w:type="dxa"/>
          </w:tcPr>
          <w:p w14:paraId="321A5212" w14:textId="77777777" w:rsidR="00DD583B" w:rsidRPr="002E5C18" w:rsidRDefault="00DD583B" w:rsidP="005D2A90">
            <w:pPr>
              <w:rPr>
                <w:lang w:val="fr-FR"/>
              </w:rPr>
            </w:pPr>
          </w:p>
        </w:tc>
      </w:tr>
      <w:tr w:rsidR="00836260" w:rsidRPr="002E5C18" w14:paraId="4ED4CF48" w14:textId="77777777" w:rsidTr="00186DD5">
        <w:trPr>
          <w:gridAfter w:val="6"/>
          <w:wAfter w:w="12578" w:type="dxa"/>
          <w:trHeight w:val="240"/>
        </w:trPr>
        <w:tc>
          <w:tcPr>
            <w:tcW w:w="2590" w:type="dxa"/>
            <w:vMerge/>
            <w:shd w:val="clear" w:color="auto" w:fill="DBE5F1" w:themeFill="accent1" w:themeFillTint="33"/>
          </w:tcPr>
          <w:p w14:paraId="2EAFBC17" w14:textId="77777777" w:rsidR="00836260" w:rsidRPr="002E5C18" w:rsidRDefault="00836260" w:rsidP="005D2A90">
            <w:pPr>
              <w:rPr>
                <w:lang w:val="fr-FR"/>
              </w:rPr>
            </w:pPr>
          </w:p>
        </w:tc>
      </w:tr>
      <w:tr w:rsidR="00DD583B" w:rsidRPr="002E5C18" w14:paraId="715251A0" w14:textId="77777777" w:rsidTr="00186DD5">
        <w:tc>
          <w:tcPr>
            <w:tcW w:w="2590" w:type="dxa"/>
            <w:vMerge w:val="restart"/>
            <w:shd w:val="clear" w:color="auto" w:fill="DBE5F1" w:themeFill="accent1" w:themeFillTint="33"/>
          </w:tcPr>
          <w:p w14:paraId="5520EF0C" w14:textId="77777777" w:rsidR="00DD583B" w:rsidRDefault="00DD583B" w:rsidP="005D2A90">
            <w:pPr>
              <w:rPr>
                <w:lang w:val="fr-FR"/>
              </w:rPr>
            </w:pPr>
            <w:r w:rsidRPr="00880F37">
              <w:rPr>
                <w:rFonts w:ascii="Times New Roman" w:hAnsi="Times New Roman" w:cs="Times New Roman"/>
              </w:rPr>
              <w:t>Produit 1.4 : Réduction des risques explosifs : Les risques explosifs sont réduits à travers une capacité nationale et communautaire renforcée</w:t>
            </w:r>
          </w:p>
        </w:tc>
        <w:tc>
          <w:tcPr>
            <w:tcW w:w="2583" w:type="dxa"/>
          </w:tcPr>
          <w:p w14:paraId="6B7F7CCB" w14:textId="77777777" w:rsidR="00DD583B" w:rsidRPr="002E5C18" w:rsidRDefault="00DD583B" w:rsidP="005D2A90">
            <w:pPr>
              <w:rPr>
                <w:rFonts w:ascii="Times New Roman" w:hAnsi="Times New Roman" w:cs="Times New Roman"/>
                <w:lang w:val="fr-FR"/>
              </w:rPr>
            </w:pPr>
            <w:r w:rsidRPr="00880F37">
              <w:rPr>
                <w:rFonts w:ascii="Times New Roman" w:hAnsi="Times New Roman" w:cs="Times New Roman"/>
                <w:b/>
                <w:bCs/>
              </w:rPr>
              <w:t>Indicateur 1.4.1</w:t>
            </w:r>
            <w:r w:rsidRPr="00880F37">
              <w:rPr>
                <w:rFonts w:ascii="Times New Roman" w:hAnsi="Times New Roman" w:cs="Times New Roman"/>
              </w:rPr>
              <w:t xml:space="preserve"> Nombre d’équipes/d’effectifs des FDSM formés et équipés en rapport avec le risque explosif</w:t>
            </w:r>
          </w:p>
          <w:p w14:paraId="14E364FF" w14:textId="77777777" w:rsidR="00DD583B" w:rsidRPr="002E5C18" w:rsidRDefault="00DD583B" w:rsidP="005D2A90">
            <w:pPr>
              <w:rPr>
                <w:rFonts w:ascii="Times New Roman" w:hAnsi="Times New Roman" w:cs="Times New Roman"/>
                <w:lang w:val="fr-FR"/>
              </w:rPr>
            </w:pPr>
          </w:p>
          <w:p w14:paraId="72A637D1" w14:textId="77777777" w:rsidR="00DD583B" w:rsidRDefault="00DD583B" w:rsidP="005D2A90">
            <w:pPr>
              <w:rPr>
                <w:rFonts w:ascii="Times New Roman" w:hAnsi="Times New Roman" w:cs="Times New Roman"/>
              </w:rPr>
            </w:pPr>
            <w:r w:rsidRPr="006756B7">
              <w:rPr>
                <w:rFonts w:ascii="Times New Roman" w:hAnsi="Times New Roman" w:cs="Times New Roman"/>
              </w:rPr>
              <w:t>Base (2014): 2  équipes de 6 membres (source: UNMAS)</w:t>
            </w:r>
          </w:p>
          <w:p w14:paraId="6DB83B11" w14:textId="77777777" w:rsidR="00DD583B" w:rsidRDefault="00DD583B" w:rsidP="005D2A90">
            <w:pPr>
              <w:rPr>
                <w:rFonts w:ascii="Times New Roman" w:hAnsi="Times New Roman" w:cs="Times New Roman"/>
              </w:rPr>
            </w:pPr>
          </w:p>
          <w:p w14:paraId="4FBEFBFA" w14:textId="77777777" w:rsidR="00DD583B" w:rsidRPr="001C4A80" w:rsidRDefault="00DD583B" w:rsidP="005D2A90">
            <w:pPr>
              <w:snapToGrid w:val="0"/>
              <w:rPr>
                <w:rFonts w:ascii="Calibri" w:hAnsi="Calibri"/>
                <w:sz w:val="18"/>
                <w:szCs w:val="18"/>
                <w:lang w:val="fr-FR"/>
              </w:rPr>
            </w:pPr>
            <w:r w:rsidRPr="009D22A0">
              <w:rPr>
                <w:rFonts w:ascii="Calibri" w:hAnsi="Calibri"/>
                <w:b/>
                <w:color w:val="FF0000"/>
                <w:sz w:val="18"/>
                <w:szCs w:val="18"/>
              </w:rPr>
              <w:t>Situation en fin 2017</w:t>
            </w:r>
            <w:r w:rsidRPr="0067771B">
              <w:rPr>
                <w:rFonts w:ascii="Calibri" w:hAnsi="Calibri"/>
                <w:color w:val="FF0000"/>
                <w:sz w:val="18"/>
                <w:szCs w:val="18"/>
              </w:rPr>
              <w:t>: 6 équipes de 6 membres et 8 équipes de 3 membres (Rapports UNMAS)</w:t>
            </w:r>
          </w:p>
          <w:p w14:paraId="6CD588F3" w14:textId="77777777" w:rsidR="00DD583B" w:rsidRPr="006756B7" w:rsidRDefault="00DD583B" w:rsidP="005D2A90">
            <w:pPr>
              <w:rPr>
                <w:rFonts w:ascii="Times New Roman" w:hAnsi="Times New Roman" w:cs="Times New Roman"/>
              </w:rPr>
            </w:pPr>
          </w:p>
          <w:p w14:paraId="56F3B807" w14:textId="77777777" w:rsidR="00DD583B" w:rsidRDefault="00DD583B" w:rsidP="005D2A90">
            <w:pPr>
              <w:rPr>
                <w:lang w:val="fr-FR"/>
              </w:rPr>
            </w:pPr>
            <w:r w:rsidRPr="006756B7">
              <w:rPr>
                <w:rFonts w:ascii="Times New Roman" w:hAnsi="Times New Roman" w:cs="Times New Roman"/>
              </w:rPr>
              <w:t>Cible : 12 équipes de 6 meembres</w:t>
            </w:r>
          </w:p>
        </w:tc>
        <w:tc>
          <w:tcPr>
            <w:tcW w:w="4123" w:type="dxa"/>
          </w:tcPr>
          <w:p w14:paraId="5EE7D828" w14:textId="77777777" w:rsidR="00DD583B" w:rsidRDefault="00DD583B" w:rsidP="005D2A90">
            <w:pPr>
              <w:numPr>
                <w:ilvl w:val="0"/>
                <w:numId w:val="16"/>
              </w:numPr>
              <w:ind w:left="357" w:hanging="357"/>
              <w:rPr>
                <w:rFonts w:ascii="Times New Roman" w:hAnsi="Times New Roman" w:cs="Times New Roman"/>
                <w:lang w:val="fr-FR"/>
              </w:rPr>
            </w:pPr>
            <w:r w:rsidRPr="00880F37">
              <w:rPr>
                <w:rFonts w:ascii="Times New Roman" w:hAnsi="Times New Roman" w:cs="Times New Roman"/>
              </w:rPr>
              <w:t>Mode de calcul : Dénombrement, auprès des entités UN/Effet1, des effectifs des FDSM qu’elles ont formés et équipés en matière de risque explosif</w:t>
            </w:r>
          </w:p>
          <w:p w14:paraId="7F5C5AC8" w14:textId="77777777" w:rsidR="00DD583B" w:rsidRDefault="00DD583B" w:rsidP="005D2A90">
            <w:pPr>
              <w:numPr>
                <w:ilvl w:val="0"/>
                <w:numId w:val="16"/>
              </w:numPr>
              <w:ind w:left="357" w:hanging="357"/>
              <w:rPr>
                <w:rFonts w:ascii="Times New Roman" w:hAnsi="Times New Roman" w:cs="Times New Roman"/>
                <w:lang w:val="fr-FR"/>
              </w:rPr>
            </w:pPr>
            <w:r w:rsidRPr="00880F37">
              <w:rPr>
                <w:rFonts w:ascii="Times New Roman" w:hAnsi="Times New Roman" w:cs="Times New Roman"/>
              </w:rPr>
              <w:t>Sources de données/Moyens de vérification : Données SNU/Effet1</w:t>
            </w:r>
            <w:r>
              <w:rPr>
                <w:rFonts w:ascii="Times New Roman" w:hAnsi="Times New Roman" w:cs="Times New Roman"/>
              </w:rPr>
              <w:t xml:space="preserve"> (UNMAS,UNPOL)</w:t>
            </w:r>
          </w:p>
          <w:p w14:paraId="1513AC36" w14:textId="77777777" w:rsidR="00DD583B" w:rsidRDefault="00DD583B" w:rsidP="005D2A90">
            <w:pPr>
              <w:numPr>
                <w:ilvl w:val="0"/>
                <w:numId w:val="16"/>
              </w:numPr>
              <w:ind w:left="357" w:hanging="357"/>
              <w:rPr>
                <w:rFonts w:ascii="Times New Roman" w:hAnsi="Times New Roman" w:cs="Times New Roman"/>
                <w:lang w:val="fr-FR"/>
              </w:rPr>
            </w:pPr>
            <w:r w:rsidRPr="00880F37">
              <w:rPr>
                <w:rFonts w:ascii="Times New Roman" w:hAnsi="Times New Roman" w:cs="Times New Roman"/>
              </w:rPr>
              <w:t>Périodicité : Annuelle ou moins</w:t>
            </w:r>
          </w:p>
          <w:p w14:paraId="2EC24958" w14:textId="77777777" w:rsidR="00DD583B" w:rsidRDefault="00DD583B" w:rsidP="005D2A90">
            <w:pPr>
              <w:pStyle w:val="Paragraphedeliste"/>
              <w:numPr>
                <w:ilvl w:val="0"/>
                <w:numId w:val="16"/>
              </w:numPr>
              <w:ind w:left="357" w:hanging="357"/>
              <w:rPr>
                <w:lang w:val="fr-FR"/>
              </w:rPr>
            </w:pPr>
            <w:r w:rsidRPr="00880F37">
              <w:rPr>
                <w:rFonts w:ascii="Times New Roman" w:hAnsi="Times New Roman" w:cs="Times New Roman"/>
              </w:rPr>
              <w:t>Maître d’œuvre : Groupe de Résultat</w:t>
            </w:r>
            <w:r>
              <w:rPr>
                <w:rFonts w:ascii="Times New Roman" w:hAnsi="Times New Roman" w:cs="Times New Roman"/>
              </w:rPr>
              <w:t xml:space="preserve"> UNDAF (Axe 1)</w:t>
            </w:r>
          </w:p>
        </w:tc>
        <w:tc>
          <w:tcPr>
            <w:tcW w:w="3077" w:type="dxa"/>
            <w:gridSpan w:val="2"/>
            <w:vMerge w:val="restart"/>
          </w:tcPr>
          <w:p w14:paraId="6E847182" w14:textId="77777777" w:rsidR="00DD583B" w:rsidRPr="004D4BFB" w:rsidRDefault="00DD583B" w:rsidP="005D2A90">
            <w:pPr>
              <w:widowControl w:val="0"/>
              <w:snapToGrid w:val="0"/>
              <w:rPr>
                <w:rFonts w:ascii="Times New Roman" w:hAnsi="Times New Roman" w:cs="Times New Roman"/>
                <w:lang w:val="fr-FR"/>
              </w:rPr>
            </w:pPr>
            <w:r w:rsidRPr="004D4BFB">
              <w:rPr>
                <w:rFonts w:ascii="Times New Roman" w:hAnsi="Times New Roman" w:cs="Times New Roman"/>
                <w:sz w:val="22"/>
                <w:szCs w:val="22"/>
              </w:rPr>
              <w:t>Situation sécuritaire dans le Nord</w:t>
            </w:r>
            <w:r>
              <w:rPr>
                <w:rFonts w:ascii="Times New Roman" w:hAnsi="Times New Roman" w:cs="Times New Roman"/>
                <w:sz w:val="22"/>
                <w:szCs w:val="22"/>
              </w:rPr>
              <w:t xml:space="preserve"> et Centre du pays</w:t>
            </w:r>
          </w:p>
          <w:p w14:paraId="6A037F6F" w14:textId="77777777" w:rsidR="00DD583B" w:rsidRPr="004D4BFB" w:rsidRDefault="00DD583B" w:rsidP="005D2A90">
            <w:pPr>
              <w:widowControl w:val="0"/>
              <w:snapToGrid w:val="0"/>
              <w:rPr>
                <w:rFonts w:ascii="Times New Roman" w:hAnsi="Times New Roman" w:cs="Times New Roman"/>
                <w:color w:val="000000"/>
                <w:lang w:val="fr-FR"/>
              </w:rPr>
            </w:pPr>
          </w:p>
          <w:p w14:paraId="233CC53B" w14:textId="77777777" w:rsidR="00DD583B" w:rsidRPr="004D4BFB" w:rsidRDefault="00DD583B" w:rsidP="005D2A90">
            <w:pPr>
              <w:widowControl w:val="0"/>
              <w:snapToGrid w:val="0"/>
              <w:rPr>
                <w:rFonts w:ascii="Times New Roman" w:hAnsi="Times New Roman" w:cs="Times New Roman"/>
                <w:color w:val="000000"/>
                <w:lang w:val="fr-FR"/>
              </w:rPr>
            </w:pPr>
            <w:r w:rsidRPr="004D4BFB">
              <w:rPr>
                <w:rFonts w:ascii="Times New Roman" w:hAnsi="Times New Roman" w:cs="Times New Roman"/>
                <w:color w:val="000000"/>
                <w:sz w:val="22"/>
                <w:szCs w:val="22"/>
              </w:rPr>
              <w:t>Engagement insuffisant des acteurs nationaux</w:t>
            </w:r>
          </w:p>
          <w:p w14:paraId="6D671E3B" w14:textId="77777777" w:rsidR="00DD583B" w:rsidRPr="004D4BFB" w:rsidRDefault="00DD583B" w:rsidP="005D2A90">
            <w:pPr>
              <w:widowControl w:val="0"/>
              <w:snapToGrid w:val="0"/>
              <w:rPr>
                <w:rFonts w:ascii="Times New Roman" w:hAnsi="Times New Roman" w:cs="Times New Roman"/>
                <w:color w:val="000000"/>
                <w:lang w:val="fr-FR"/>
              </w:rPr>
            </w:pPr>
          </w:p>
          <w:p w14:paraId="27FFA74F" w14:textId="77777777" w:rsidR="00DD583B" w:rsidRPr="004D4BFB" w:rsidRDefault="00DD583B" w:rsidP="005D2A90">
            <w:pPr>
              <w:widowControl w:val="0"/>
              <w:snapToGrid w:val="0"/>
              <w:rPr>
                <w:rFonts w:ascii="Times New Roman" w:hAnsi="Times New Roman" w:cs="Times New Roman"/>
                <w:color w:val="000000"/>
                <w:lang w:val="fr-FR"/>
              </w:rPr>
            </w:pPr>
            <w:r w:rsidRPr="004D4BFB">
              <w:rPr>
                <w:rFonts w:ascii="Times New Roman" w:hAnsi="Times New Roman" w:cs="Times New Roman"/>
                <w:color w:val="000000"/>
                <w:sz w:val="22"/>
                <w:szCs w:val="22"/>
              </w:rPr>
              <w:t xml:space="preserve">Manque de ressources pour la mise en œuvre des activités </w:t>
            </w:r>
          </w:p>
          <w:p w14:paraId="15C24E81" w14:textId="77777777" w:rsidR="00DD583B" w:rsidRPr="004D4BFB" w:rsidRDefault="00DD583B" w:rsidP="005D2A90">
            <w:pPr>
              <w:widowControl w:val="0"/>
              <w:snapToGrid w:val="0"/>
              <w:rPr>
                <w:rFonts w:ascii="Times New Roman" w:hAnsi="Times New Roman" w:cs="Times New Roman"/>
                <w:color w:val="000000"/>
                <w:lang w:val="fr-FR"/>
              </w:rPr>
            </w:pPr>
          </w:p>
          <w:p w14:paraId="5A4A654E" w14:textId="77777777" w:rsidR="00DD583B" w:rsidRPr="004D4BFB" w:rsidRDefault="00DD583B" w:rsidP="005D2A90">
            <w:pPr>
              <w:widowControl w:val="0"/>
              <w:snapToGrid w:val="0"/>
              <w:rPr>
                <w:rFonts w:ascii="Times New Roman" w:hAnsi="Times New Roman" w:cs="Times New Roman"/>
                <w:color w:val="000000"/>
                <w:lang w:val="fr-FR"/>
              </w:rPr>
            </w:pPr>
          </w:p>
        </w:tc>
        <w:tc>
          <w:tcPr>
            <w:tcW w:w="1800" w:type="dxa"/>
            <w:vMerge w:val="restart"/>
          </w:tcPr>
          <w:p w14:paraId="731D553F" w14:textId="77777777" w:rsidR="00DD583B" w:rsidRPr="004D4BFB" w:rsidRDefault="00DD583B" w:rsidP="005D2A90">
            <w:pPr>
              <w:widowControl w:val="0"/>
              <w:snapToGrid w:val="0"/>
              <w:rPr>
                <w:rFonts w:ascii="Times New Roman" w:hAnsi="Times New Roman" w:cs="Times New Roman"/>
                <w:lang w:val="fr-FR"/>
              </w:rPr>
            </w:pPr>
            <w:r w:rsidRPr="004D4BFB">
              <w:rPr>
                <w:rFonts w:ascii="Times New Roman" w:hAnsi="Times New Roman" w:cs="Times New Roman"/>
                <w:sz w:val="22"/>
                <w:szCs w:val="22"/>
              </w:rPr>
              <w:t>Financement pour les opérations de dépollution et de déminage; financement pour les activités de formation y compris les équipements; interventions de sensibilisation</w:t>
            </w:r>
          </w:p>
          <w:p w14:paraId="475C5204" w14:textId="77777777" w:rsidR="00DD583B" w:rsidRPr="004D4BFB" w:rsidRDefault="00DD583B" w:rsidP="005D2A90">
            <w:pPr>
              <w:widowControl w:val="0"/>
              <w:snapToGrid w:val="0"/>
              <w:rPr>
                <w:rFonts w:ascii="Times New Roman" w:hAnsi="Times New Roman" w:cs="Times New Roman"/>
                <w:lang w:val="fr-FR"/>
              </w:rPr>
            </w:pPr>
            <w:r w:rsidRPr="004D4BFB">
              <w:rPr>
                <w:rFonts w:ascii="Times New Roman" w:hAnsi="Times New Roman" w:cs="Times New Roman"/>
                <w:sz w:val="22"/>
                <w:szCs w:val="22"/>
              </w:rPr>
              <w:t xml:space="preserve">Assistance à la mise en œuvre, </w:t>
            </w:r>
          </w:p>
          <w:p w14:paraId="3BC32E4F" w14:textId="77777777" w:rsidR="00DD583B" w:rsidRPr="004D4BFB" w:rsidRDefault="00DD583B" w:rsidP="005D2A90">
            <w:pPr>
              <w:rPr>
                <w:rFonts w:ascii="Times New Roman" w:hAnsi="Times New Roman" w:cs="Times New Roman"/>
                <w:lang w:val="fr-FR"/>
              </w:rPr>
            </w:pPr>
            <w:r w:rsidRPr="004D4BFB">
              <w:rPr>
                <w:rFonts w:ascii="Times New Roman" w:hAnsi="Times New Roman" w:cs="Times New Roman"/>
                <w:sz w:val="22"/>
                <w:szCs w:val="22"/>
              </w:rPr>
              <w:t>Coordination</w:t>
            </w:r>
          </w:p>
        </w:tc>
        <w:tc>
          <w:tcPr>
            <w:tcW w:w="995" w:type="dxa"/>
          </w:tcPr>
          <w:p w14:paraId="49D451C8" w14:textId="77777777" w:rsidR="00DD583B" w:rsidRPr="002E5C18" w:rsidRDefault="00DD583B" w:rsidP="005D2A90">
            <w:pPr>
              <w:rPr>
                <w:lang w:val="fr-FR"/>
              </w:rPr>
            </w:pPr>
          </w:p>
        </w:tc>
      </w:tr>
      <w:tr w:rsidR="00DD583B" w:rsidRPr="002E5C18" w14:paraId="190B431A" w14:textId="77777777" w:rsidTr="00186DD5">
        <w:tc>
          <w:tcPr>
            <w:tcW w:w="2590" w:type="dxa"/>
            <w:vMerge/>
            <w:shd w:val="clear" w:color="auto" w:fill="DBE5F1" w:themeFill="accent1" w:themeFillTint="33"/>
          </w:tcPr>
          <w:p w14:paraId="7E125D82" w14:textId="77777777" w:rsidR="00DD583B" w:rsidRPr="002E5C18" w:rsidRDefault="00DD583B" w:rsidP="005D2A90">
            <w:pPr>
              <w:rPr>
                <w:lang w:val="fr-FR"/>
              </w:rPr>
            </w:pPr>
          </w:p>
        </w:tc>
        <w:tc>
          <w:tcPr>
            <w:tcW w:w="2583" w:type="dxa"/>
          </w:tcPr>
          <w:p w14:paraId="219A4422" w14:textId="77777777" w:rsidR="00DD583B" w:rsidRPr="002E5C18" w:rsidRDefault="00DD583B" w:rsidP="005D2A90">
            <w:pPr>
              <w:rPr>
                <w:rFonts w:ascii="Times New Roman" w:hAnsi="Times New Roman" w:cs="Times New Roman"/>
                <w:lang w:val="fr-FR"/>
              </w:rPr>
            </w:pPr>
            <w:r w:rsidRPr="001C4A80">
              <w:rPr>
                <w:rFonts w:ascii="Times New Roman" w:hAnsi="Times New Roman" w:cs="Times New Roman"/>
                <w:b/>
                <w:bCs/>
              </w:rPr>
              <w:t>Indicateur 1.4.2</w:t>
            </w:r>
            <w:r w:rsidRPr="001C4A80">
              <w:rPr>
                <w:rFonts w:ascii="Times New Roman" w:hAnsi="Times New Roman" w:cs="Times New Roman"/>
              </w:rPr>
              <w:t xml:space="preserve"> </w:t>
            </w:r>
            <w:r w:rsidRPr="006756B7">
              <w:rPr>
                <w:rFonts w:ascii="Times New Roman" w:hAnsi="Times New Roman" w:cs="Times New Roman"/>
              </w:rPr>
              <w:t>Nombre d’interventions des équipes FDSM sur terrain encadrées   en rapport avec le   risque explosif</w:t>
            </w:r>
            <w:r w:rsidRPr="00EA7029">
              <w:rPr>
                <w:rFonts w:ascii="Times New Roman" w:hAnsi="Times New Roman" w:cs="Times New Roman"/>
                <w:highlight w:val="yellow"/>
              </w:rPr>
              <w:t xml:space="preserve">  </w:t>
            </w:r>
          </w:p>
          <w:p w14:paraId="3634823A" w14:textId="77777777" w:rsidR="00DD583B" w:rsidRPr="002E5C18" w:rsidRDefault="00DD583B" w:rsidP="005D2A90">
            <w:pPr>
              <w:rPr>
                <w:rFonts w:ascii="Times New Roman" w:hAnsi="Times New Roman" w:cs="Times New Roman"/>
                <w:lang w:val="fr-FR"/>
              </w:rPr>
            </w:pPr>
          </w:p>
          <w:p w14:paraId="1774B58D" w14:textId="77777777" w:rsidR="00DD583B" w:rsidRDefault="00DD583B" w:rsidP="005D2A90">
            <w:pPr>
              <w:rPr>
                <w:rFonts w:ascii="Times New Roman" w:hAnsi="Times New Roman" w:cs="Times New Roman"/>
              </w:rPr>
            </w:pPr>
            <w:r w:rsidRPr="006756B7">
              <w:rPr>
                <w:rFonts w:ascii="Times New Roman" w:hAnsi="Times New Roman" w:cs="Times New Roman"/>
              </w:rPr>
              <w:t>Base (2014): 0 (source: UNMAS)</w:t>
            </w:r>
          </w:p>
          <w:p w14:paraId="7365AAD3" w14:textId="77777777" w:rsidR="00DD583B" w:rsidRDefault="00DD583B" w:rsidP="005D2A90">
            <w:pPr>
              <w:rPr>
                <w:rFonts w:ascii="Times New Roman" w:hAnsi="Times New Roman" w:cs="Times New Roman"/>
              </w:rPr>
            </w:pPr>
          </w:p>
          <w:p w14:paraId="1E57613B" w14:textId="77777777" w:rsidR="00DD583B" w:rsidRPr="0067771B" w:rsidRDefault="00DD583B" w:rsidP="005D2A90">
            <w:pPr>
              <w:snapToGrid w:val="0"/>
              <w:rPr>
                <w:rFonts w:ascii="Calibri" w:hAnsi="Calibri"/>
                <w:color w:val="FF0000"/>
                <w:sz w:val="18"/>
                <w:szCs w:val="18"/>
                <w:lang w:val="fr-FR"/>
              </w:rPr>
            </w:pPr>
            <w:r w:rsidRPr="009D22A0">
              <w:rPr>
                <w:rFonts w:ascii="Calibri" w:hAnsi="Calibri"/>
                <w:b/>
                <w:color w:val="FF0000"/>
                <w:sz w:val="18"/>
                <w:szCs w:val="18"/>
              </w:rPr>
              <w:t>Situation en fin 2017</w:t>
            </w:r>
            <w:r w:rsidRPr="001C4A80">
              <w:rPr>
                <w:rFonts w:ascii="Calibri" w:hAnsi="Calibri"/>
                <w:sz w:val="18"/>
                <w:szCs w:val="18"/>
              </w:rPr>
              <w:t xml:space="preserve">: </w:t>
            </w:r>
            <w:r w:rsidRPr="0067771B">
              <w:rPr>
                <w:rFonts w:ascii="Calibri" w:hAnsi="Calibri"/>
                <w:color w:val="FF0000"/>
                <w:sz w:val="18"/>
                <w:szCs w:val="18"/>
              </w:rPr>
              <w:t>57 interventions encadrées (Rapports UNMAS)</w:t>
            </w:r>
          </w:p>
          <w:p w14:paraId="1939E296" w14:textId="77777777" w:rsidR="00DD583B" w:rsidRPr="00AB4E4C" w:rsidRDefault="00DD583B" w:rsidP="005D2A90">
            <w:pPr>
              <w:rPr>
                <w:rFonts w:ascii="Times New Roman" w:hAnsi="Times New Roman" w:cs="Times New Roman"/>
                <w:lang w:val="fr-FR"/>
              </w:rPr>
            </w:pPr>
          </w:p>
          <w:p w14:paraId="5CB65946" w14:textId="77777777" w:rsidR="00DD583B" w:rsidRPr="002E5C18" w:rsidRDefault="00DD583B" w:rsidP="005D2A90">
            <w:pPr>
              <w:rPr>
                <w:lang w:val="fr-FR"/>
              </w:rPr>
            </w:pPr>
            <w:r w:rsidRPr="006756B7">
              <w:rPr>
                <w:rFonts w:ascii="Times New Roman" w:hAnsi="Times New Roman" w:cs="Times New Roman"/>
              </w:rPr>
              <w:lastRenderedPageBreak/>
              <w:t>Cible : 250 (50 par an)</w:t>
            </w:r>
          </w:p>
        </w:tc>
        <w:tc>
          <w:tcPr>
            <w:tcW w:w="4123" w:type="dxa"/>
          </w:tcPr>
          <w:p w14:paraId="5A8BC8E4" w14:textId="77777777" w:rsidR="00DD583B" w:rsidRPr="006756B7" w:rsidRDefault="00DD583B" w:rsidP="005D2A90">
            <w:pPr>
              <w:numPr>
                <w:ilvl w:val="0"/>
                <w:numId w:val="16"/>
              </w:numPr>
              <w:ind w:left="357" w:hanging="357"/>
              <w:rPr>
                <w:rFonts w:ascii="Times New Roman" w:hAnsi="Times New Roman" w:cs="Times New Roman"/>
                <w:lang w:val="fr-FR"/>
              </w:rPr>
            </w:pPr>
            <w:r w:rsidRPr="00880F37">
              <w:rPr>
                <w:rFonts w:ascii="Times New Roman" w:hAnsi="Times New Roman" w:cs="Times New Roman"/>
              </w:rPr>
              <w:lastRenderedPageBreak/>
              <w:t xml:space="preserve">Mode de calcul : </w:t>
            </w:r>
            <w:r w:rsidRPr="006756B7">
              <w:rPr>
                <w:rFonts w:ascii="Times New Roman" w:eastAsiaTheme="minorHAnsi" w:hAnsi="Times New Roman" w:cs="Times New Roman"/>
                <w:sz w:val="22"/>
                <w:szCs w:val="22"/>
                <w:lang w:val="fr-FR" w:eastAsia="en-US"/>
              </w:rPr>
              <w:t>Dénombrement, auprès des unités dédiées des FDSM encadrées dans des interventions de terrain</w:t>
            </w:r>
            <w:r w:rsidRPr="006756B7">
              <w:rPr>
                <w:rFonts w:ascii="Times New Roman" w:eastAsiaTheme="minorHAnsi" w:hAnsi="Times New Roman" w:cs="Times New Roman"/>
                <w:sz w:val="22"/>
                <w:szCs w:val="22"/>
                <w:vertAlign w:val="superscript"/>
                <w:lang w:val="fr-FR" w:eastAsia="en-US"/>
              </w:rPr>
              <w:footnoteReference w:id="4"/>
            </w:r>
            <w:r w:rsidRPr="006756B7">
              <w:rPr>
                <w:rFonts w:ascii="Times New Roman" w:eastAsiaTheme="minorHAnsi" w:hAnsi="Times New Roman" w:cs="Times New Roman"/>
                <w:sz w:val="22"/>
                <w:szCs w:val="22"/>
                <w:lang w:val="fr-FR" w:eastAsia="en-US"/>
              </w:rPr>
              <w:t xml:space="preserve"> effectuées en lien avec le risque explosif</w:t>
            </w:r>
          </w:p>
          <w:p w14:paraId="3FA6B356" w14:textId="77777777" w:rsidR="00DD583B" w:rsidRDefault="00DD583B" w:rsidP="005D2A90">
            <w:pPr>
              <w:numPr>
                <w:ilvl w:val="0"/>
                <w:numId w:val="16"/>
              </w:numPr>
              <w:ind w:left="357" w:hanging="357"/>
              <w:rPr>
                <w:rFonts w:ascii="Times New Roman" w:hAnsi="Times New Roman" w:cs="Times New Roman"/>
                <w:lang w:val="fr-FR"/>
              </w:rPr>
            </w:pPr>
            <w:r w:rsidRPr="00880F37">
              <w:rPr>
                <w:rFonts w:ascii="Times New Roman" w:hAnsi="Times New Roman" w:cs="Times New Roman"/>
              </w:rPr>
              <w:t>Sources de données/Moyens de vérification: Données nationales/FDSM</w:t>
            </w:r>
            <w:r>
              <w:rPr>
                <w:rFonts w:ascii="Times New Roman" w:hAnsi="Times New Roman" w:cs="Times New Roman"/>
              </w:rPr>
              <w:t xml:space="preserve"> et UNMAS</w:t>
            </w:r>
          </w:p>
          <w:p w14:paraId="793AC248" w14:textId="77777777" w:rsidR="00DD583B" w:rsidRDefault="00DD583B" w:rsidP="005D2A90">
            <w:pPr>
              <w:numPr>
                <w:ilvl w:val="0"/>
                <w:numId w:val="16"/>
              </w:numPr>
              <w:ind w:left="357" w:hanging="357"/>
              <w:rPr>
                <w:rFonts w:ascii="Times New Roman" w:hAnsi="Times New Roman" w:cs="Times New Roman"/>
                <w:lang w:val="fr-FR"/>
              </w:rPr>
            </w:pPr>
            <w:r w:rsidRPr="00880F37">
              <w:rPr>
                <w:rFonts w:ascii="Times New Roman" w:hAnsi="Times New Roman" w:cs="Times New Roman"/>
              </w:rPr>
              <w:t>Périodicité : Annuelle ou moins</w:t>
            </w:r>
          </w:p>
          <w:p w14:paraId="5E3C2E67" w14:textId="77777777" w:rsidR="00DD583B" w:rsidRDefault="00DD583B" w:rsidP="005D2A90">
            <w:pPr>
              <w:pStyle w:val="Paragraphedeliste"/>
              <w:numPr>
                <w:ilvl w:val="0"/>
                <w:numId w:val="16"/>
              </w:numPr>
              <w:ind w:left="357" w:hanging="357"/>
              <w:rPr>
                <w:lang w:val="fr-FR"/>
              </w:rPr>
            </w:pPr>
            <w:r w:rsidRPr="00880F37">
              <w:rPr>
                <w:rFonts w:ascii="Times New Roman" w:hAnsi="Times New Roman" w:cs="Times New Roman"/>
              </w:rPr>
              <w:t>Maître d’œuvre : Groupe de Résultat en rapport avec les FDSM</w:t>
            </w:r>
          </w:p>
        </w:tc>
        <w:tc>
          <w:tcPr>
            <w:tcW w:w="3077" w:type="dxa"/>
            <w:gridSpan w:val="2"/>
            <w:vMerge/>
          </w:tcPr>
          <w:p w14:paraId="45CD1523" w14:textId="77777777" w:rsidR="00DD583B" w:rsidRPr="002E5C18" w:rsidRDefault="00DD583B" w:rsidP="005D2A90">
            <w:pPr>
              <w:rPr>
                <w:lang w:val="fr-FR"/>
              </w:rPr>
            </w:pPr>
          </w:p>
        </w:tc>
        <w:tc>
          <w:tcPr>
            <w:tcW w:w="1800" w:type="dxa"/>
            <w:vMerge/>
          </w:tcPr>
          <w:p w14:paraId="67B0B2E2" w14:textId="77777777" w:rsidR="00DD583B" w:rsidRPr="002E5C18" w:rsidRDefault="00DD583B" w:rsidP="005D2A90">
            <w:pPr>
              <w:rPr>
                <w:lang w:val="fr-FR"/>
              </w:rPr>
            </w:pPr>
          </w:p>
        </w:tc>
        <w:tc>
          <w:tcPr>
            <w:tcW w:w="995" w:type="dxa"/>
          </w:tcPr>
          <w:p w14:paraId="00CB79C6" w14:textId="77777777" w:rsidR="00DD583B" w:rsidRPr="002E5C18" w:rsidRDefault="00DD583B" w:rsidP="005D2A90">
            <w:pPr>
              <w:rPr>
                <w:lang w:val="fr-FR"/>
              </w:rPr>
            </w:pPr>
          </w:p>
        </w:tc>
      </w:tr>
      <w:tr w:rsidR="00DD583B" w:rsidRPr="002E5C18" w14:paraId="0330FE3C" w14:textId="77777777" w:rsidTr="00186DD5">
        <w:tc>
          <w:tcPr>
            <w:tcW w:w="2590" w:type="dxa"/>
            <w:shd w:val="clear" w:color="auto" w:fill="DBE5F1" w:themeFill="accent1" w:themeFillTint="33"/>
          </w:tcPr>
          <w:p w14:paraId="6019E954" w14:textId="77777777" w:rsidR="00DD583B" w:rsidRPr="002E5C18" w:rsidRDefault="00DD583B" w:rsidP="005D2A90">
            <w:pPr>
              <w:rPr>
                <w:lang w:val="fr-FR"/>
              </w:rPr>
            </w:pPr>
          </w:p>
        </w:tc>
        <w:tc>
          <w:tcPr>
            <w:tcW w:w="2583" w:type="dxa"/>
          </w:tcPr>
          <w:p w14:paraId="5D191949" w14:textId="77777777" w:rsidR="00DD583B" w:rsidRDefault="00DD583B" w:rsidP="005D2A90">
            <w:pPr>
              <w:rPr>
                <w:rFonts w:ascii="Times New Roman" w:hAnsi="Times New Roman" w:cs="Times New Roman"/>
              </w:rPr>
            </w:pPr>
            <w:r w:rsidRPr="00880F37">
              <w:rPr>
                <w:rFonts w:ascii="Times New Roman" w:hAnsi="Times New Roman" w:cs="Times New Roman"/>
                <w:b/>
                <w:bCs/>
              </w:rPr>
              <w:t>Indicateur 1.4.3</w:t>
            </w:r>
            <w:r w:rsidRPr="00880F37">
              <w:rPr>
                <w:rFonts w:ascii="Times New Roman" w:hAnsi="Times New Roman" w:cs="Times New Roman"/>
              </w:rPr>
              <w:t xml:space="preserve"> </w:t>
            </w:r>
            <w:r w:rsidRPr="006756B7">
              <w:rPr>
                <w:rFonts w:ascii="Times New Roman" w:hAnsi="Times New Roman" w:cs="Times New Roman"/>
              </w:rPr>
              <w:t>Nombre de personnes ayant reçu une éducation au risque de mines et restes explosifs de guerre</w:t>
            </w:r>
          </w:p>
          <w:p w14:paraId="26EBFEE8" w14:textId="77777777" w:rsidR="00DD583B" w:rsidRDefault="00DD583B" w:rsidP="005D2A90">
            <w:pPr>
              <w:rPr>
                <w:rFonts w:ascii="Times New Roman" w:hAnsi="Times New Roman" w:cs="Times New Roman"/>
              </w:rPr>
            </w:pPr>
          </w:p>
          <w:p w14:paraId="469EC7A6" w14:textId="77777777" w:rsidR="00DD583B" w:rsidRPr="00CE2384" w:rsidRDefault="00DD583B" w:rsidP="005D2A90">
            <w:pPr>
              <w:snapToGrid w:val="0"/>
              <w:rPr>
                <w:rFonts w:ascii="Calibri" w:hAnsi="Calibri"/>
                <w:color w:val="FF0000"/>
                <w:sz w:val="18"/>
                <w:szCs w:val="18"/>
                <w:lang w:val="fr-FR"/>
              </w:rPr>
            </w:pPr>
            <w:r w:rsidRPr="009D22A0">
              <w:rPr>
                <w:rFonts w:ascii="Calibri" w:hAnsi="Calibri"/>
                <w:b/>
                <w:color w:val="FF0000"/>
                <w:sz w:val="18"/>
                <w:szCs w:val="18"/>
              </w:rPr>
              <w:t>Situation en fin 2017</w:t>
            </w:r>
            <w:r w:rsidRPr="00CE2384">
              <w:rPr>
                <w:rFonts w:ascii="Calibri" w:hAnsi="Calibri"/>
                <w:color w:val="FF0000"/>
                <w:sz w:val="18"/>
                <w:szCs w:val="18"/>
              </w:rPr>
              <w:t xml:space="preserve">: </w:t>
            </w:r>
            <w:r w:rsidRPr="009D22A0">
              <w:rPr>
                <w:rFonts w:ascii="Calibri" w:hAnsi="Calibri"/>
                <w:color w:val="FF0000"/>
                <w:sz w:val="18"/>
                <w:szCs w:val="18"/>
              </w:rPr>
              <w:t>758,015</w:t>
            </w:r>
            <w:r>
              <w:rPr>
                <w:rFonts w:ascii="Calibri" w:hAnsi="Calibri"/>
                <w:color w:val="FF0000"/>
                <w:sz w:val="18"/>
                <w:szCs w:val="18"/>
              </w:rPr>
              <w:t xml:space="preserve"> (Rapports UNMAS)</w:t>
            </w:r>
          </w:p>
          <w:p w14:paraId="545DFC14" w14:textId="77777777" w:rsidR="00DD583B" w:rsidRPr="002E5C18" w:rsidRDefault="00DD583B" w:rsidP="005D2A90">
            <w:pPr>
              <w:rPr>
                <w:rFonts w:ascii="Times New Roman" w:hAnsi="Times New Roman" w:cs="Times New Roman"/>
                <w:lang w:val="fr-FR"/>
              </w:rPr>
            </w:pPr>
          </w:p>
          <w:p w14:paraId="6DC5DB27" w14:textId="77777777" w:rsidR="00DD583B" w:rsidRPr="003E2B0F" w:rsidRDefault="00DD583B" w:rsidP="005D2A90">
            <w:pPr>
              <w:rPr>
                <w:rFonts w:ascii="Times New Roman" w:hAnsi="Times New Roman" w:cs="Times New Roman"/>
              </w:rPr>
            </w:pPr>
            <w:r w:rsidRPr="003E2B0F">
              <w:rPr>
                <w:rFonts w:ascii="Times New Roman" w:hAnsi="Times New Roman" w:cs="Times New Roman"/>
              </w:rPr>
              <w:t>Base (juillet 2014) : 228 959 (source: UNICEF et UNMAS)</w:t>
            </w:r>
          </w:p>
          <w:p w14:paraId="5A7554C9" w14:textId="77777777" w:rsidR="00DD583B" w:rsidRPr="002E5C18" w:rsidRDefault="00DD583B" w:rsidP="005D2A90">
            <w:pPr>
              <w:rPr>
                <w:lang w:val="fr-FR"/>
              </w:rPr>
            </w:pPr>
            <w:r w:rsidRPr="003E2B0F">
              <w:rPr>
                <w:rFonts w:ascii="Times New Roman" w:hAnsi="Times New Roman" w:cs="Times New Roman"/>
              </w:rPr>
              <w:t>Cible : 600 000</w:t>
            </w:r>
          </w:p>
        </w:tc>
        <w:tc>
          <w:tcPr>
            <w:tcW w:w="4123" w:type="dxa"/>
          </w:tcPr>
          <w:p w14:paraId="62429954" w14:textId="77777777" w:rsidR="00DD583B" w:rsidRDefault="00DD583B" w:rsidP="005D2A90">
            <w:pPr>
              <w:numPr>
                <w:ilvl w:val="0"/>
                <w:numId w:val="16"/>
              </w:numPr>
              <w:ind w:left="357" w:hanging="357"/>
              <w:rPr>
                <w:rFonts w:ascii="Times New Roman" w:hAnsi="Times New Roman" w:cs="Times New Roman"/>
                <w:lang w:val="fr-FR"/>
              </w:rPr>
            </w:pPr>
            <w:r w:rsidRPr="00880F37">
              <w:rPr>
                <w:rFonts w:ascii="Times New Roman" w:hAnsi="Times New Roman" w:cs="Times New Roman"/>
              </w:rPr>
              <w:t>Mode de calcul : Dénombrement auprès des entités UN/Effet1 des effectifs de la population générale qu’elles ont formés à la gestion du risque explosif</w:t>
            </w:r>
          </w:p>
          <w:p w14:paraId="30012474" w14:textId="77777777" w:rsidR="00DD583B" w:rsidRDefault="00DD583B" w:rsidP="005D2A90">
            <w:pPr>
              <w:numPr>
                <w:ilvl w:val="0"/>
                <w:numId w:val="16"/>
              </w:numPr>
              <w:ind w:left="357" w:hanging="357"/>
              <w:rPr>
                <w:rFonts w:ascii="Times New Roman" w:hAnsi="Times New Roman" w:cs="Times New Roman"/>
                <w:lang w:val="fr-FR"/>
              </w:rPr>
            </w:pPr>
            <w:r w:rsidRPr="00880F37">
              <w:rPr>
                <w:rFonts w:ascii="Times New Roman" w:hAnsi="Times New Roman" w:cs="Times New Roman"/>
              </w:rPr>
              <w:t>Sources de données/Moyens de vérification: Données SNU/Effet1</w:t>
            </w:r>
            <w:r>
              <w:rPr>
                <w:rFonts w:ascii="Times New Roman" w:hAnsi="Times New Roman" w:cs="Times New Roman"/>
              </w:rPr>
              <w:t xml:space="preserve"> (UNMAS)</w:t>
            </w:r>
          </w:p>
          <w:p w14:paraId="36E03010" w14:textId="77777777" w:rsidR="00DD583B" w:rsidRDefault="00DD583B" w:rsidP="005D2A90">
            <w:pPr>
              <w:numPr>
                <w:ilvl w:val="0"/>
                <w:numId w:val="16"/>
              </w:numPr>
              <w:ind w:left="357" w:hanging="357"/>
              <w:rPr>
                <w:rFonts w:ascii="Times New Roman" w:hAnsi="Times New Roman" w:cs="Times New Roman"/>
                <w:lang w:val="fr-FR"/>
              </w:rPr>
            </w:pPr>
            <w:r w:rsidRPr="00880F37">
              <w:rPr>
                <w:rFonts w:ascii="Times New Roman" w:hAnsi="Times New Roman" w:cs="Times New Roman"/>
              </w:rPr>
              <w:t>Périodicité : Annuelle ou moins</w:t>
            </w:r>
          </w:p>
          <w:p w14:paraId="51A098F3" w14:textId="77777777" w:rsidR="00DD583B" w:rsidRDefault="00DD583B" w:rsidP="005D2A90">
            <w:pPr>
              <w:pStyle w:val="Paragraphedeliste"/>
              <w:numPr>
                <w:ilvl w:val="0"/>
                <w:numId w:val="16"/>
              </w:numPr>
              <w:ind w:left="357" w:hanging="357"/>
              <w:rPr>
                <w:lang w:val="fr-FR"/>
              </w:rPr>
            </w:pPr>
            <w:r w:rsidRPr="00880F37">
              <w:rPr>
                <w:rFonts w:ascii="Times New Roman" w:hAnsi="Times New Roman" w:cs="Times New Roman"/>
              </w:rPr>
              <w:t>Maître d’œuvre : Groupe de Résultat</w:t>
            </w:r>
            <w:r>
              <w:rPr>
                <w:rFonts w:ascii="Times New Roman" w:hAnsi="Times New Roman" w:cs="Times New Roman"/>
              </w:rPr>
              <w:t xml:space="preserve"> </w:t>
            </w:r>
          </w:p>
        </w:tc>
        <w:tc>
          <w:tcPr>
            <w:tcW w:w="3077" w:type="dxa"/>
            <w:gridSpan w:val="2"/>
          </w:tcPr>
          <w:p w14:paraId="19187287" w14:textId="77777777" w:rsidR="00DD583B" w:rsidRPr="002E5C18" w:rsidRDefault="00DD583B" w:rsidP="005D2A90">
            <w:pPr>
              <w:rPr>
                <w:lang w:val="fr-FR"/>
              </w:rPr>
            </w:pPr>
          </w:p>
        </w:tc>
        <w:tc>
          <w:tcPr>
            <w:tcW w:w="1800" w:type="dxa"/>
          </w:tcPr>
          <w:p w14:paraId="59EE6D1F" w14:textId="77777777" w:rsidR="00DD583B" w:rsidRPr="002E5C18" w:rsidRDefault="00DD583B" w:rsidP="005D2A90">
            <w:pPr>
              <w:rPr>
                <w:lang w:val="fr-FR"/>
              </w:rPr>
            </w:pPr>
          </w:p>
        </w:tc>
        <w:tc>
          <w:tcPr>
            <w:tcW w:w="995" w:type="dxa"/>
          </w:tcPr>
          <w:p w14:paraId="2ADD346D" w14:textId="77777777" w:rsidR="00DD583B" w:rsidRPr="002E5C18" w:rsidRDefault="00DD583B" w:rsidP="005D2A90">
            <w:pPr>
              <w:rPr>
                <w:lang w:val="fr-FR"/>
              </w:rPr>
            </w:pPr>
          </w:p>
        </w:tc>
      </w:tr>
      <w:tr w:rsidR="00DD583B" w:rsidRPr="002E5C18" w14:paraId="46A0AC90" w14:textId="77777777" w:rsidTr="00186DD5">
        <w:tc>
          <w:tcPr>
            <w:tcW w:w="2590" w:type="dxa"/>
            <w:vMerge w:val="restart"/>
            <w:shd w:val="clear" w:color="auto" w:fill="8DB3E2" w:themeFill="text2" w:themeFillTint="66"/>
          </w:tcPr>
          <w:p w14:paraId="099605F6" w14:textId="77777777" w:rsidR="00DD583B" w:rsidRPr="002E5C18" w:rsidRDefault="00DD583B" w:rsidP="005D2A90">
            <w:pPr>
              <w:pStyle w:val="Corpsdetexte"/>
              <w:widowControl w:val="0"/>
              <w:snapToGrid w:val="0"/>
              <w:spacing w:line="240" w:lineRule="auto"/>
              <w:jc w:val="left"/>
              <w:rPr>
                <w:rFonts w:asciiTheme="minorHAnsi" w:hAnsiTheme="minorHAnsi" w:cstheme="minorHAnsi"/>
                <w:b/>
                <w:bCs/>
                <w:i/>
                <w:sz w:val="20"/>
                <w:szCs w:val="20"/>
                <w:lang w:val="fr-FR"/>
              </w:rPr>
            </w:pPr>
            <w:r w:rsidRPr="00880F37">
              <w:rPr>
                <w:rFonts w:asciiTheme="minorHAnsi" w:hAnsiTheme="minorHAnsi" w:cstheme="minorHAnsi"/>
                <w:b/>
                <w:bCs/>
                <w:i/>
                <w:sz w:val="20"/>
                <w:szCs w:val="20"/>
                <w:u w:val="single"/>
              </w:rPr>
              <w:t>Effet 2</w:t>
            </w:r>
            <w:r w:rsidRPr="00880F37">
              <w:rPr>
                <w:rFonts w:asciiTheme="minorHAnsi" w:hAnsiTheme="minorHAnsi" w:cstheme="minorHAnsi"/>
                <w:b/>
                <w:bCs/>
                <w:i/>
                <w:sz w:val="20"/>
                <w:szCs w:val="20"/>
              </w:rPr>
              <w:t xml:space="preserve">: </w:t>
            </w:r>
            <w:r w:rsidRPr="00880F37">
              <w:rPr>
                <w:rFonts w:asciiTheme="minorHAnsi" w:hAnsiTheme="minorHAnsi"/>
                <w:b/>
                <w:i/>
                <w:sz w:val="20"/>
                <w:szCs w:val="20"/>
              </w:rPr>
              <w:t>D’ici 2019, la cohésion sociale est facilitée par la justice transitionnelle, le dialogue communautaire inclusif, la culture et l’éducation pour la paix.</w:t>
            </w:r>
          </w:p>
          <w:p w14:paraId="5B6F70C1" w14:textId="77777777" w:rsidR="00DD583B" w:rsidRPr="002E5C18" w:rsidRDefault="00DD583B" w:rsidP="005D2A90">
            <w:pPr>
              <w:pStyle w:val="Corpsdetexte"/>
              <w:widowControl w:val="0"/>
              <w:snapToGrid w:val="0"/>
              <w:spacing w:line="240" w:lineRule="auto"/>
              <w:jc w:val="left"/>
              <w:rPr>
                <w:rFonts w:asciiTheme="minorHAnsi" w:hAnsiTheme="minorHAnsi" w:cstheme="minorHAnsi"/>
                <w:b/>
                <w:bCs/>
                <w:i/>
                <w:sz w:val="20"/>
                <w:szCs w:val="20"/>
                <w:u w:val="single"/>
                <w:lang w:val="fr-FR"/>
              </w:rPr>
            </w:pPr>
          </w:p>
          <w:p w14:paraId="5D458A66" w14:textId="77777777" w:rsidR="00DD583B" w:rsidRPr="00FC2A60" w:rsidRDefault="00DD583B" w:rsidP="005D2A90">
            <w:pPr>
              <w:pStyle w:val="Corpsdetexte"/>
              <w:widowControl w:val="0"/>
              <w:snapToGrid w:val="0"/>
              <w:spacing w:line="240" w:lineRule="auto"/>
              <w:jc w:val="left"/>
              <w:rPr>
                <w:rFonts w:asciiTheme="minorHAnsi" w:hAnsiTheme="minorHAnsi" w:cstheme="minorHAnsi"/>
                <w:b/>
                <w:sz w:val="20"/>
                <w:szCs w:val="20"/>
                <w:lang w:val="en-US"/>
              </w:rPr>
            </w:pPr>
            <w:r w:rsidRPr="00880F37">
              <w:rPr>
                <w:rFonts w:asciiTheme="minorHAnsi" w:hAnsiTheme="minorHAnsi" w:cstheme="minorHAnsi"/>
                <w:b/>
                <w:sz w:val="20"/>
                <w:szCs w:val="20"/>
                <w:u w:val="single"/>
                <w:lang w:val="en-US"/>
              </w:rPr>
              <w:t>Lead</w:t>
            </w:r>
            <w:r w:rsidRPr="00880F37">
              <w:rPr>
                <w:rFonts w:asciiTheme="minorHAnsi" w:hAnsiTheme="minorHAnsi" w:cstheme="minorHAnsi"/>
                <w:b/>
                <w:sz w:val="20"/>
                <w:szCs w:val="20"/>
                <w:lang w:val="en-US"/>
              </w:rPr>
              <w:t> : Gouvernement</w:t>
            </w:r>
          </w:p>
          <w:p w14:paraId="4FDB43FE" w14:textId="77777777" w:rsidR="00DD583B" w:rsidRPr="00FC2A60" w:rsidRDefault="00DD583B" w:rsidP="005D2A90">
            <w:pPr>
              <w:pStyle w:val="Corpsdetexte"/>
              <w:widowControl w:val="0"/>
              <w:snapToGrid w:val="0"/>
              <w:spacing w:line="240" w:lineRule="auto"/>
              <w:jc w:val="left"/>
              <w:rPr>
                <w:rFonts w:asciiTheme="minorHAnsi" w:hAnsiTheme="minorHAnsi" w:cstheme="minorHAnsi"/>
                <w:b/>
                <w:sz w:val="20"/>
                <w:szCs w:val="20"/>
                <w:lang w:val="en-US"/>
              </w:rPr>
            </w:pPr>
            <w:r w:rsidRPr="00880F37">
              <w:rPr>
                <w:rFonts w:asciiTheme="minorHAnsi" w:hAnsiTheme="minorHAnsi" w:cstheme="minorHAnsi"/>
                <w:b/>
                <w:sz w:val="20"/>
                <w:szCs w:val="20"/>
                <w:u w:val="single"/>
                <w:lang w:val="en-US"/>
              </w:rPr>
              <w:t>Co-lead</w:t>
            </w:r>
            <w:r w:rsidRPr="00880F37">
              <w:rPr>
                <w:rFonts w:asciiTheme="minorHAnsi" w:hAnsiTheme="minorHAnsi" w:cstheme="minorHAnsi"/>
                <w:b/>
                <w:sz w:val="20"/>
                <w:szCs w:val="20"/>
                <w:lang w:val="en-US"/>
              </w:rPr>
              <w:t xml:space="preserve"> : MINUSMA/PNUD </w:t>
            </w:r>
          </w:p>
          <w:p w14:paraId="29CC586B" w14:textId="77777777" w:rsidR="00DD583B" w:rsidRPr="00FC2A60" w:rsidRDefault="00DD583B" w:rsidP="005D2A90">
            <w:pPr>
              <w:pStyle w:val="Corpsdetexte"/>
              <w:widowControl w:val="0"/>
              <w:snapToGrid w:val="0"/>
              <w:spacing w:line="240" w:lineRule="auto"/>
              <w:jc w:val="left"/>
              <w:rPr>
                <w:rFonts w:asciiTheme="minorHAnsi" w:hAnsiTheme="minorHAnsi" w:cstheme="minorHAnsi"/>
                <w:b/>
                <w:sz w:val="20"/>
                <w:szCs w:val="20"/>
                <w:lang w:val="en-US"/>
              </w:rPr>
            </w:pPr>
          </w:p>
          <w:p w14:paraId="1F68BEFD" w14:textId="77777777" w:rsidR="00DD583B" w:rsidRPr="002E5C18" w:rsidRDefault="00DD583B" w:rsidP="005D2A90">
            <w:pPr>
              <w:rPr>
                <w:lang w:val="fr-FR"/>
              </w:rPr>
            </w:pPr>
            <w:r w:rsidRPr="00880F37">
              <w:rPr>
                <w:rFonts w:cstheme="minorHAnsi"/>
                <w:b/>
                <w:u w:val="single"/>
              </w:rPr>
              <w:t>Autres</w:t>
            </w:r>
            <w:r w:rsidRPr="00880F37">
              <w:rPr>
                <w:rFonts w:cstheme="minorHAnsi"/>
              </w:rPr>
              <w:t xml:space="preserve"> : UNESCO, Affaires Civiles, UNICEF, HRD, ONU-FEMMES, ECU, </w:t>
            </w:r>
            <w:r w:rsidRPr="00880F37">
              <w:t>UNHCR, IOM, ONUDI</w:t>
            </w:r>
          </w:p>
        </w:tc>
        <w:tc>
          <w:tcPr>
            <w:tcW w:w="2583" w:type="dxa"/>
            <w:vAlign w:val="center"/>
          </w:tcPr>
          <w:p w14:paraId="1073B9A5" w14:textId="77777777" w:rsidR="00DD583B" w:rsidRPr="002E5C18" w:rsidRDefault="00DD583B" w:rsidP="005D2A90">
            <w:pPr>
              <w:rPr>
                <w:rFonts w:ascii="Times New Roman" w:hAnsi="Times New Roman" w:cs="Times New Roman"/>
                <w:lang w:val="fr-FR"/>
              </w:rPr>
            </w:pPr>
            <w:r w:rsidRPr="00880F37">
              <w:rPr>
                <w:rFonts w:ascii="Times New Roman" w:hAnsi="Times New Roman" w:cs="Times New Roman"/>
              </w:rPr>
              <w:t xml:space="preserve">Nombre de </w:t>
            </w:r>
            <w:r>
              <w:rPr>
                <w:rFonts w:ascii="Times New Roman" w:hAnsi="Times New Roman" w:cs="Times New Roman"/>
              </w:rPr>
              <w:t xml:space="preserve">dossiers transmis et officiellement instruits </w:t>
            </w:r>
            <w:r w:rsidRPr="00880F37">
              <w:rPr>
                <w:rFonts w:ascii="Times New Roman" w:hAnsi="Times New Roman" w:cs="Times New Roman"/>
              </w:rPr>
              <w:t xml:space="preserve"> dans le cadre de la justice transitionnelle</w:t>
            </w:r>
          </w:p>
          <w:p w14:paraId="42A5983A" w14:textId="77777777" w:rsidR="00DD583B" w:rsidRPr="002E5C18" w:rsidRDefault="00DD583B" w:rsidP="005D2A90">
            <w:pPr>
              <w:rPr>
                <w:rFonts w:ascii="Times New Roman" w:hAnsi="Times New Roman" w:cs="Times New Roman"/>
                <w:lang w:val="fr-FR"/>
              </w:rPr>
            </w:pPr>
          </w:p>
          <w:p w14:paraId="65CDC621" w14:textId="77777777" w:rsidR="00DD583B" w:rsidRPr="00DD2F7F" w:rsidRDefault="00DD583B" w:rsidP="005D2A90">
            <w:pPr>
              <w:rPr>
                <w:rFonts w:ascii="Times New Roman" w:hAnsi="Times New Roman" w:cs="Times New Roman"/>
                <w:lang w:val="fr-FR"/>
              </w:rPr>
            </w:pPr>
            <w:r w:rsidRPr="00DD2F7F">
              <w:rPr>
                <w:rFonts w:ascii="Times New Roman" w:hAnsi="Times New Roman" w:cs="Times New Roman"/>
                <w:lang w:val="fr-FR"/>
              </w:rPr>
              <w:t>Base: 0</w:t>
            </w:r>
          </w:p>
          <w:p w14:paraId="2236D0C2" w14:textId="77777777" w:rsidR="00DD583B" w:rsidRPr="00DD2F7F" w:rsidRDefault="00DD583B" w:rsidP="005D2A90">
            <w:pPr>
              <w:rPr>
                <w:rFonts w:ascii="Times New Roman" w:hAnsi="Times New Roman" w:cs="Times New Roman"/>
                <w:lang w:val="fr-FR"/>
              </w:rPr>
            </w:pPr>
            <w:r w:rsidRPr="00DD2F7F">
              <w:rPr>
                <w:rFonts w:ascii="Times New Roman" w:hAnsi="Times New Roman" w:cs="Times New Roman"/>
                <w:color w:val="FF0000"/>
                <w:lang w:val="fr-FR"/>
              </w:rPr>
              <w:t>Situation en fin 2017:8789</w:t>
            </w:r>
          </w:p>
          <w:p w14:paraId="2BF3641E" w14:textId="77777777" w:rsidR="00DD583B" w:rsidRPr="002E5C18" w:rsidRDefault="00DD583B" w:rsidP="005D2A90">
            <w:pPr>
              <w:rPr>
                <w:rFonts w:ascii="Times New Roman" w:hAnsi="Times New Roman" w:cs="Times New Roman"/>
                <w:b/>
                <w:bCs/>
                <w:lang w:val="fr-FR"/>
              </w:rPr>
            </w:pPr>
            <w:r w:rsidRPr="00DD2F7F">
              <w:rPr>
                <w:rFonts w:ascii="Times New Roman" w:hAnsi="Times New Roman" w:cs="Times New Roman"/>
                <w:lang w:val="fr-FR"/>
              </w:rPr>
              <w:t>Cible: 10 000</w:t>
            </w:r>
          </w:p>
        </w:tc>
        <w:tc>
          <w:tcPr>
            <w:tcW w:w="4123" w:type="dxa"/>
            <w:vAlign w:val="center"/>
          </w:tcPr>
          <w:p w14:paraId="33548ADF" w14:textId="77777777" w:rsidR="00DD583B" w:rsidRPr="002E5C18" w:rsidRDefault="00DD583B" w:rsidP="005D2A90">
            <w:pPr>
              <w:numPr>
                <w:ilvl w:val="0"/>
                <w:numId w:val="17"/>
              </w:numPr>
              <w:suppressAutoHyphens/>
              <w:rPr>
                <w:rFonts w:ascii="Times New Roman" w:hAnsi="Times New Roman" w:cs="Times New Roman"/>
                <w:lang w:val="fr-FR"/>
              </w:rPr>
            </w:pPr>
            <w:r w:rsidRPr="00880F37">
              <w:rPr>
                <w:rFonts w:ascii="Times New Roman" w:hAnsi="Times New Roman" w:cs="Times New Roman"/>
              </w:rPr>
              <w:t xml:space="preserve">Mode de calcul : Dénombrement auprès de la CVJR des </w:t>
            </w:r>
            <w:r>
              <w:rPr>
                <w:rFonts w:ascii="Times New Roman" w:hAnsi="Times New Roman" w:cs="Times New Roman"/>
              </w:rPr>
              <w:t xml:space="preserve">dossiers transmis et officiellement instruits </w:t>
            </w:r>
          </w:p>
          <w:p w14:paraId="4D605AC9" w14:textId="77777777" w:rsidR="00DD583B" w:rsidRPr="002E5C18" w:rsidRDefault="00DD583B" w:rsidP="005D2A90">
            <w:pPr>
              <w:numPr>
                <w:ilvl w:val="0"/>
                <w:numId w:val="17"/>
              </w:numPr>
              <w:suppressAutoHyphens/>
              <w:rPr>
                <w:rFonts w:ascii="Times New Roman" w:hAnsi="Times New Roman" w:cs="Times New Roman"/>
                <w:lang w:val="fr-FR"/>
              </w:rPr>
            </w:pPr>
            <w:r w:rsidRPr="00880F37">
              <w:rPr>
                <w:rFonts w:ascii="Times New Roman" w:hAnsi="Times New Roman" w:cs="Times New Roman"/>
              </w:rPr>
              <w:t>Sources de données.Moyens de vérificaion : Données nationales/CVJR</w:t>
            </w:r>
            <w:r>
              <w:rPr>
                <w:rFonts w:ascii="Times New Roman" w:hAnsi="Times New Roman" w:cs="Times New Roman"/>
              </w:rPr>
              <w:t>, PNUD,MINUSMA</w:t>
            </w:r>
          </w:p>
          <w:p w14:paraId="0487BFB1" w14:textId="77777777" w:rsidR="00DD583B" w:rsidRPr="002E5C18" w:rsidRDefault="00DD583B" w:rsidP="005D2A90">
            <w:pPr>
              <w:numPr>
                <w:ilvl w:val="0"/>
                <w:numId w:val="17"/>
              </w:numPr>
              <w:suppressAutoHyphens/>
              <w:rPr>
                <w:rFonts w:ascii="Times New Roman" w:hAnsi="Times New Roman" w:cs="Times New Roman"/>
                <w:lang w:val="fr-FR"/>
              </w:rPr>
            </w:pPr>
            <w:r w:rsidRPr="00880F37">
              <w:rPr>
                <w:rFonts w:ascii="Times New Roman" w:hAnsi="Times New Roman" w:cs="Times New Roman"/>
              </w:rPr>
              <w:t>Périodicité : Annuelle ou moins</w:t>
            </w:r>
          </w:p>
          <w:p w14:paraId="66D1A7A4" w14:textId="77777777" w:rsidR="00DD583B" w:rsidRPr="002E5C18" w:rsidRDefault="00DD583B" w:rsidP="005D2A90">
            <w:pPr>
              <w:numPr>
                <w:ilvl w:val="0"/>
                <w:numId w:val="16"/>
              </w:numPr>
              <w:ind w:left="357" w:hanging="357"/>
              <w:rPr>
                <w:rFonts w:ascii="Times New Roman" w:hAnsi="Times New Roman" w:cs="Times New Roman"/>
                <w:lang w:val="fr-FR"/>
              </w:rPr>
            </w:pPr>
            <w:r w:rsidRPr="00880F37">
              <w:rPr>
                <w:rFonts w:ascii="Times New Roman" w:hAnsi="Times New Roman" w:cs="Times New Roman"/>
              </w:rPr>
              <w:t>Maître d’œuvre : Groupe de Résultat</w:t>
            </w:r>
            <w:r>
              <w:rPr>
                <w:rFonts w:ascii="Times New Roman" w:hAnsi="Times New Roman" w:cs="Times New Roman"/>
              </w:rPr>
              <w:t xml:space="preserve"> UNDAF (Axe1)</w:t>
            </w:r>
            <w:r w:rsidRPr="00880F37">
              <w:rPr>
                <w:rFonts w:ascii="Times New Roman" w:hAnsi="Times New Roman" w:cs="Times New Roman"/>
              </w:rPr>
              <w:t xml:space="preserve"> en rapport avec la CVJR</w:t>
            </w:r>
          </w:p>
        </w:tc>
        <w:tc>
          <w:tcPr>
            <w:tcW w:w="3077" w:type="dxa"/>
            <w:gridSpan w:val="2"/>
            <w:vMerge w:val="restart"/>
          </w:tcPr>
          <w:p w14:paraId="14191D37" w14:textId="77777777" w:rsidR="00DD583B" w:rsidRPr="004D4BFB" w:rsidRDefault="00DD583B" w:rsidP="005D2A90">
            <w:pPr>
              <w:widowControl w:val="0"/>
              <w:snapToGrid w:val="0"/>
              <w:rPr>
                <w:rFonts w:cstheme="minorHAnsi"/>
                <w:lang w:val="fr-FR"/>
              </w:rPr>
            </w:pPr>
          </w:p>
          <w:p w14:paraId="22828A45"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t>La sécurité volatile</w:t>
            </w:r>
          </w:p>
          <w:p w14:paraId="04FF30E4"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t xml:space="preserve">L’accès limité aux régions reculées </w:t>
            </w:r>
          </w:p>
          <w:p w14:paraId="4D035AAB" w14:textId="77777777" w:rsidR="00DD583B" w:rsidRPr="004D4BFB" w:rsidRDefault="00DD583B" w:rsidP="005D2A90">
            <w:pPr>
              <w:widowControl w:val="0"/>
              <w:snapToGrid w:val="0"/>
              <w:rPr>
                <w:rFonts w:cstheme="minorHAnsi"/>
                <w:sz w:val="18"/>
                <w:szCs w:val="18"/>
                <w:lang w:val="fr-FR"/>
              </w:rPr>
            </w:pPr>
          </w:p>
          <w:p w14:paraId="14BA22AC" w14:textId="77777777" w:rsidR="00DD583B" w:rsidRPr="004D4BFB" w:rsidRDefault="00DD583B" w:rsidP="005D2A90">
            <w:pPr>
              <w:widowControl w:val="0"/>
              <w:snapToGrid w:val="0"/>
              <w:rPr>
                <w:rFonts w:cstheme="minorHAnsi"/>
                <w:sz w:val="18"/>
                <w:szCs w:val="18"/>
              </w:rPr>
            </w:pPr>
            <w:r w:rsidRPr="004D4BFB">
              <w:rPr>
                <w:rFonts w:cstheme="minorHAnsi"/>
                <w:sz w:val="18"/>
                <w:szCs w:val="18"/>
              </w:rPr>
              <w:t>Duplication des projets</w:t>
            </w:r>
          </w:p>
          <w:p w14:paraId="43D0DE13"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t>Lenteur dans le déploiement de la CVJR</w:t>
            </w:r>
          </w:p>
          <w:p w14:paraId="3EE46495" w14:textId="77777777" w:rsidR="00DD583B" w:rsidRPr="004D4BFB" w:rsidRDefault="00DD583B" w:rsidP="005D2A90">
            <w:pPr>
              <w:rPr>
                <w:lang w:val="fr-FR"/>
              </w:rPr>
            </w:pPr>
          </w:p>
        </w:tc>
        <w:tc>
          <w:tcPr>
            <w:tcW w:w="1800" w:type="dxa"/>
            <w:vMerge w:val="restart"/>
          </w:tcPr>
          <w:p w14:paraId="5AF36E43"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t xml:space="preserve">Coordination avec les partenaires nationaux, UNCT et les PTF </w:t>
            </w:r>
          </w:p>
          <w:p w14:paraId="47D9DAC7"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t>Identification et Analyse et des conflits</w:t>
            </w:r>
          </w:p>
          <w:p w14:paraId="0BAAE75A" w14:textId="77777777" w:rsidR="00DD583B" w:rsidRPr="004D4BFB" w:rsidRDefault="00DD583B" w:rsidP="005D2A90">
            <w:pPr>
              <w:widowControl w:val="0"/>
              <w:snapToGrid w:val="0"/>
              <w:rPr>
                <w:rFonts w:cstheme="minorHAnsi"/>
                <w:sz w:val="18"/>
                <w:szCs w:val="18"/>
                <w:lang w:val="fr-FR"/>
              </w:rPr>
            </w:pPr>
          </w:p>
          <w:p w14:paraId="367A201E"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t>Renforcement des capacités</w:t>
            </w:r>
          </w:p>
          <w:p w14:paraId="062EF020"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t>Financement</w:t>
            </w:r>
          </w:p>
          <w:p w14:paraId="51BEAB34" w14:textId="77777777" w:rsidR="00DD583B" w:rsidRPr="004D4BFB" w:rsidRDefault="00DD583B" w:rsidP="005D2A90">
            <w:pPr>
              <w:widowControl w:val="0"/>
              <w:snapToGrid w:val="0"/>
              <w:rPr>
                <w:rFonts w:cstheme="minorHAnsi"/>
                <w:lang w:val="fr-FR"/>
              </w:rPr>
            </w:pPr>
            <w:r w:rsidRPr="004D4BFB">
              <w:rPr>
                <w:rFonts w:cstheme="minorHAnsi"/>
                <w:sz w:val="18"/>
                <w:szCs w:val="18"/>
              </w:rPr>
              <w:t>Suivi et évaluation</w:t>
            </w:r>
          </w:p>
          <w:p w14:paraId="1ABAD0D8" w14:textId="77777777" w:rsidR="00DD583B" w:rsidRPr="004D4BFB" w:rsidRDefault="00DD583B" w:rsidP="005D2A90">
            <w:pPr>
              <w:rPr>
                <w:lang w:val="fr-FR"/>
              </w:rPr>
            </w:pPr>
          </w:p>
        </w:tc>
        <w:tc>
          <w:tcPr>
            <w:tcW w:w="995" w:type="dxa"/>
            <w:vMerge w:val="restart"/>
          </w:tcPr>
          <w:p w14:paraId="0BEAB7FA" w14:textId="77777777" w:rsidR="00DD583B" w:rsidRPr="002E5C18" w:rsidRDefault="00DD583B" w:rsidP="005D2A90">
            <w:pPr>
              <w:rPr>
                <w:lang w:val="fr-FR"/>
              </w:rPr>
            </w:pPr>
          </w:p>
        </w:tc>
      </w:tr>
      <w:tr w:rsidR="00DD583B" w:rsidRPr="002E5C18" w14:paraId="122FDEFE" w14:textId="77777777" w:rsidTr="00186DD5">
        <w:tc>
          <w:tcPr>
            <w:tcW w:w="2590" w:type="dxa"/>
            <w:vMerge/>
            <w:shd w:val="clear" w:color="auto" w:fill="8DB3E2" w:themeFill="text2" w:themeFillTint="66"/>
          </w:tcPr>
          <w:p w14:paraId="1D08F9BD" w14:textId="77777777" w:rsidR="00DD583B" w:rsidRPr="002E5C18" w:rsidRDefault="00DD583B" w:rsidP="005D2A90">
            <w:pPr>
              <w:rPr>
                <w:lang w:val="fr-FR"/>
              </w:rPr>
            </w:pPr>
          </w:p>
        </w:tc>
        <w:tc>
          <w:tcPr>
            <w:tcW w:w="2583" w:type="dxa"/>
            <w:vAlign w:val="center"/>
          </w:tcPr>
          <w:p w14:paraId="7C6190F0" w14:textId="77777777" w:rsidR="00DD583B" w:rsidRPr="002E5C18" w:rsidRDefault="00DD583B" w:rsidP="005D2A90">
            <w:pPr>
              <w:rPr>
                <w:rFonts w:ascii="Times New Roman" w:hAnsi="Times New Roman" w:cs="Times New Roman"/>
                <w:lang w:val="fr-FR"/>
              </w:rPr>
            </w:pPr>
            <w:r w:rsidRPr="00880F37">
              <w:rPr>
                <w:rFonts w:ascii="Times New Roman" w:hAnsi="Times New Roman" w:cs="Times New Roman"/>
              </w:rPr>
              <w:t>% de personnes retournées dans les communautés cibles qui sont restées dans ces communautés</w:t>
            </w:r>
          </w:p>
          <w:p w14:paraId="460239C1" w14:textId="77777777" w:rsidR="00DD583B" w:rsidRPr="002E5C18" w:rsidRDefault="00DD583B" w:rsidP="005D2A90">
            <w:pPr>
              <w:rPr>
                <w:rFonts w:ascii="Times New Roman" w:hAnsi="Times New Roman" w:cs="Times New Roman"/>
                <w:lang w:val="fr-FR"/>
              </w:rPr>
            </w:pPr>
          </w:p>
          <w:p w14:paraId="5E6E709C" w14:textId="77777777" w:rsidR="00DD583B" w:rsidRDefault="00DD583B" w:rsidP="005D2A90">
            <w:pPr>
              <w:rPr>
                <w:rFonts w:ascii="Times New Roman" w:hAnsi="Times New Roman" w:cs="Times New Roman"/>
              </w:rPr>
            </w:pPr>
            <w:r w:rsidRPr="00880F37">
              <w:rPr>
                <w:rFonts w:ascii="Times New Roman" w:hAnsi="Times New Roman" w:cs="Times New Roman"/>
              </w:rPr>
              <w:t xml:space="preserve">Base: </w:t>
            </w:r>
            <w:r>
              <w:rPr>
                <w:rFonts w:ascii="Times New Roman" w:hAnsi="Times New Roman" w:cs="Times New Roman"/>
              </w:rPr>
              <w:t xml:space="preserve">297, 578 </w:t>
            </w:r>
          </w:p>
          <w:p w14:paraId="4DE30629" w14:textId="77777777" w:rsidR="00DD583B" w:rsidRPr="002E5C18" w:rsidRDefault="00DD583B" w:rsidP="005D2A90">
            <w:pPr>
              <w:snapToGrid w:val="0"/>
              <w:rPr>
                <w:rFonts w:ascii="Times New Roman" w:hAnsi="Times New Roman" w:cs="Times New Roman"/>
                <w:lang w:val="fr-FR"/>
              </w:rPr>
            </w:pPr>
            <w:r w:rsidRPr="00CE2384">
              <w:rPr>
                <w:rFonts w:ascii="Calibri" w:hAnsi="Calibri"/>
                <w:color w:val="FF0000"/>
                <w:sz w:val="18"/>
                <w:szCs w:val="18"/>
              </w:rPr>
              <w:t xml:space="preserve">Situation en fin 2017: </w:t>
            </w:r>
            <w:r>
              <w:rPr>
                <w:rFonts w:ascii="Calibri" w:hAnsi="Calibri"/>
                <w:color w:val="FF0000"/>
                <w:sz w:val="18"/>
                <w:szCs w:val="18"/>
              </w:rPr>
              <w:t>129,129  (soit 43% retournees )</w:t>
            </w:r>
          </w:p>
          <w:p w14:paraId="1970258B" w14:textId="77777777" w:rsidR="00DD583B" w:rsidRDefault="00DD583B" w:rsidP="005D2A90">
            <w:pPr>
              <w:rPr>
                <w:rFonts w:ascii="Times New Roman" w:hAnsi="Times New Roman" w:cs="Times New Roman"/>
              </w:rPr>
            </w:pPr>
            <w:r w:rsidRPr="00880F37">
              <w:rPr>
                <w:rFonts w:ascii="Times New Roman" w:hAnsi="Times New Roman" w:cs="Times New Roman"/>
              </w:rPr>
              <w:t xml:space="preserve">Cible: </w:t>
            </w:r>
            <w:r>
              <w:rPr>
                <w:rFonts w:ascii="Times New Roman" w:hAnsi="Times New Roman" w:cs="Times New Roman"/>
              </w:rPr>
              <w:t xml:space="preserve">70,000 </w:t>
            </w:r>
            <w:r w:rsidRPr="00880F37">
              <w:rPr>
                <w:rFonts w:ascii="Times New Roman" w:hAnsi="Times New Roman" w:cs="Times New Roman"/>
              </w:rPr>
              <w:t xml:space="preserve">AD </w:t>
            </w:r>
          </w:p>
          <w:p w14:paraId="7E5D0661" w14:textId="77777777" w:rsidR="00DD583B" w:rsidRPr="002E5C18" w:rsidRDefault="00DD583B" w:rsidP="005D2A90">
            <w:pPr>
              <w:rPr>
                <w:rFonts w:ascii="Times New Roman" w:hAnsi="Times New Roman" w:cs="Times New Roman"/>
                <w:b/>
                <w:bCs/>
                <w:lang w:val="fr-FR"/>
              </w:rPr>
            </w:pPr>
          </w:p>
        </w:tc>
        <w:tc>
          <w:tcPr>
            <w:tcW w:w="4123" w:type="dxa"/>
            <w:vAlign w:val="center"/>
          </w:tcPr>
          <w:p w14:paraId="51CAC2FB" w14:textId="77777777" w:rsidR="00DD583B" w:rsidRPr="002E5C18" w:rsidRDefault="00DD583B" w:rsidP="005D2A90">
            <w:pPr>
              <w:numPr>
                <w:ilvl w:val="0"/>
                <w:numId w:val="18"/>
              </w:numPr>
              <w:suppressAutoHyphens/>
              <w:rPr>
                <w:rFonts w:ascii="Times New Roman" w:hAnsi="Times New Roman" w:cs="Times New Roman"/>
                <w:lang w:val="fr-FR"/>
              </w:rPr>
            </w:pPr>
            <w:r w:rsidRPr="00880F37">
              <w:rPr>
                <w:rFonts w:ascii="Times New Roman" w:hAnsi="Times New Roman" w:cs="Times New Roman"/>
              </w:rPr>
              <w:t>Mode de calcul : Rapport Nb de personnes retournées et restées dans leurs communautés/Nb de personnes retournées (restées+reparties)</w:t>
            </w:r>
          </w:p>
          <w:p w14:paraId="6AA6E7E1" w14:textId="77777777" w:rsidR="00DD583B" w:rsidRPr="002E5C18" w:rsidRDefault="00DD583B" w:rsidP="005D2A90">
            <w:pPr>
              <w:numPr>
                <w:ilvl w:val="0"/>
                <w:numId w:val="18"/>
              </w:numPr>
              <w:suppressAutoHyphens/>
              <w:rPr>
                <w:rFonts w:ascii="Times New Roman" w:hAnsi="Times New Roman" w:cs="Times New Roman"/>
                <w:lang w:val="fr-FR"/>
              </w:rPr>
            </w:pPr>
            <w:r w:rsidRPr="00880F37">
              <w:rPr>
                <w:rFonts w:ascii="Times New Roman" w:hAnsi="Times New Roman" w:cs="Times New Roman"/>
              </w:rPr>
              <w:t>Sources de données.Moyens de vérificaion : Données nationales et internationales</w:t>
            </w:r>
            <w:r>
              <w:rPr>
                <w:rFonts w:ascii="Times New Roman" w:hAnsi="Times New Roman" w:cs="Times New Roman"/>
              </w:rPr>
              <w:t xml:space="preserve">, UNHCR, </w:t>
            </w:r>
            <w:r w:rsidRPr="00764681">
              <w:rPr>
                <w:rFonts w:ascii="Times New Roman" w:hAnsi="Times New Roman" w:cs="Times New Roman"/>
              </w:rPr>
              <w:t>Rapport Commission Mouvement - de Populations</w:t>
            </w:r>
          </w:p>
          <w:p w14:paraId="201A94A2" w14:textId="77777777" w:rsidR="00DD583B" w:rsidRPr="002E5C18" w:rsidRDefault="00DD583B" w:rsidP="005D2A90">
            <w:pPr>
              <w:numPr>
                <w:ilvl w:val="0"/>
                <w:numId w:val="18"/>
              </w:numPr>
              <w:suppressAutoHyphens/>
              <w:rPr>
                <w:rFonts w:ascii="Times New Roman" w:hAnsi="Times New Roman" w:cs="Times New Roman"/>
                <w:lang w:val="fr-FR"/>
              </w:rPr>
            </w:pPr>
            <w:r w:rsidRPr="00880F37">
              <w:rPr>
                <w:rFonts w:ascii="Times New Roman" w:hAnsi="Times New Roman" w:cs="Times New Roman"/>
              </w:rPr>
              <w:t>Périodicité : Annuelle ou moins</w:t>
            </w:r>
          </w:p>
          <w:p w14:paraId="36C4C1ED" w14:textId="77777777" w:rsidR="00DD583B" w:rsidRPr="002E5C18" w:rsidRDefault="00DD583B" w:rsidP="005D2A90">
            <w:pPr>
              <w:numPr>
                <w:ilvl w:val="0"/>
                <w:numId w:val="16"/>
              </w:numPr>
              <w:ind w:left="357" w:hanging="357"/>
              <w:rPr>
                <w:rFonts w:ascii="Times New Roman" w:hAnsi="Times New Roman" w:cs="Times New Roman"/>
                <w:lang w:val="fr-FR"/>
              </w:rPr>
            </w:pPr>
            <w:r w:rsidRPr="00880F37">
              <w:rPr>
                <w:rFonts w:ascii="Times New Roman" w:hAnsi="Times New Roman" w:cs="Times New Roman"/>
              </w:rPr>
              <w:t>Maître d’œuvre : Groupe de Résultat en rapport avec les structures nationales et internationales en charge</w:t>
            </w:r>
          </w:p>
        </w:tc>
        <w:tc>
          <w:tcPr>
            <w:tcW w:w="3077" w:type="dxa"/>
            <w:gridSpan w:val="2"/>
            <w:vMerge/>
          </w:tcPr>
          <w:p w14:paraId="355067FB" w14:textId="77777777" w:rsidR="00DD583B" w:rsidRPr="002E5C18" w:rsidRDefault="00DD583B" w:rsidP="005D2A90">
            <w:pPr>
              <w:rPr>
                <w:lang w:val="fr-FR"/>
              </w:rPr>
            </w:pPr>
          </w:p>
        </w:tc>
        <w:tc>
          <w:tcPr>
            <w:tcW w:w="1800" w:type="dxa"/>
            <w:vMerge/>
          </w:tcPr>
          <w:p w14:paraId="68B1DB94" w14:textId="77777777" w:rsidR="00DD583B" w:rsidRPr="002E5C18" w:rsidRDefault="00DD583B" w:rsidP="005D2A90">
            <w:pPr>
              <w:rPr>
                <w:lang w:val="fr-FR"/>
              </w:rPr>
            </w:pPr>
          </w:p>
        </w:tc>
        <w:tc>
          <w:tcPr>
            <w:tcW w:w="995" w:type="dxa"/>
            <w:vMerge/>
          </w:tcPr>
          <w:p w14:paraId="0A419CFA" w14:textId="77777777" w:rsidR="00DD583B" w:rsidRPr="002E5C18" w:rsidRDefault="00DD583B" w:rsidP="005D2A90">
            <w:pPr>
              <w:rPr>
                <w:lang w:val="fr-FR"/>
              </w:rPr>
            </w:pPr>
          </w:p>
        </w:tc>
      </w:tr>
      <w:tr w:rsidR="00DD583B" w:rsidRPr="002E5C18" w14:paraId="63AC77A8" w14:textId="77777777" w:rsidTr="00186DD5">
        <w:tc>
          <w:tcPr>
            <w:tcW w:w="2590" w:type="dxa"/>
            <w:vMerge w:val="restart"/>
            <w:shd w:val="clear" w:color="auto" w:fill="DBE5F1" w:themeFill="accent1" w:themeFillTint="33"/>
          </w:tcPr>
          <w:p w14:paraId="518A6447" w14:textId="77777777" w:rsidR="00DD583B" w:rsidRPr="002E5C18" w:rsidRDefault="00DD583B" w:rsidP="005D2A90">
            <w:pPr>
              <w:rPr>
                <w:lang w:val="fr-FR"/>
              </w:rPr>
            </w:pPr>
            <w:r w:rsidRPr="00880F37">
              <w:rPr>
                <w:rFonts w:ascii="Times New Roman" w:hAnsi="Times New Roman" w:cs="Times New Roman"/>
              </w:rPr>
              <w:t xml:space="preserve">Produit 2.1. Justice transitionnelle : Les capacités techniques des institutions en charge du processus de réconciliation et de justice transitionnelle et de la société civile sont renforcées </w:t>
            </w:r>
            <w:r w:rsidRPr="00880F37">
              <w:rPr>
                <w:rFonts w:ascii="Times New Roman" w:hAnsi="Times New Roman" w:cs="Times New Roman"/>
              </w:rPr>
              <w:lastRenderedPageBreak/>
              <w:t>pour promouvoir la réconciliation, le droit à la vérité, à la justice et à la réparation des victimes, y compris les femmes</w:t>
            </w:r>
          </w:p>
        </w:tc>
        <w:tc>
          <w:tcPr>
            <w:tcW w:w="2583" w:type="dxa"/>
            <w:vAlign w:val="center"/>
          </w:tcPr>
          <w:p w14:paraId="4535E5DD" w14:textId="77777777" w:rsidR="00DD583B" w:rsidRPr="002E5C18" w:rsidRDefault="00DD583B" w:rsidP="005D2A90">
            <w:pPr>
              <w:rPr>
                <w:rFonts w:ascii="Times New Roman" w:hAnsi="Times New Roman" w:cs="Times New Roman"/>
                <w:lang w:val="fr-FR"/>
              </w:rPr>
            </w:pPr>
            <w:r>
              <w:rPr>
                <w:rFonts w:ascii="Times New Roman" w:hAnsi="Times New Roman" w:cs="Times New Roman"/>
                <w:bCs/>
              </w:rPr>
              <w:lastRenderedPageBreak/>
              <w:t xml:space="preserve"> Indicateur </w:t>
            </w:r>
            <w:r w:rsidRPr="00880F37">
              <w:rPr>
                <w:rFonts w:ascii="Times New Roman" w:hAnsi="Times New Roman" w:cs="Times New Roman"/>
                <w:bCs/>
              </w:rPr>
              <w:t xml:space="preserve">2.1.1. Nombre d’initiatives et d’actions d’appui à l’opérationnalisation de la </w:t>
            </w:r>
            <w:r w:rsidRPr="00880F37">
              <w:rPr>
                <w:rFonts w:ascii="Times New Roman" w:hAnsi="Times New Roman" w:cs="Times New Roman"/>
              </w:rPr>
              <w:t xml:space="preserve"> CVJR</w:t>
            </w:r>
          </w:p>
          <w:p w14:paraId="3FC0229B" w14:textId="77777777" w:rsidR="00DD583B" w:rsidRPr="002E5C18" w:rsidRDefault="00DD583B" w:rsidP="005D2A90">
            <w:pPr>
              <w:rPr>
                <w:rFonts w:ascii="Times New Roman" w:hAnsi="Times New Roman" w:cs="Times New Roman"/>
                <w:lang w:val="fr-FR"/>
              </w:rPr>
            </w:pPr>
          </w:p>
          <w:p w14:paraId="48FC6D8C" w14:textId="77777777" w:rsidR="00DD583B" w:rsidRPr="001A4ACD" w:rsidRDefault="00DD583B" w:rsidP="005D2A90">
            <w:pPr>
              <w:rPr>
                <w:rFonts w:ascii="Times New Roman" w:eastAsiaTheme="minorHAnsi" w:hAnsi="Times New Roman" w:cs="Times New Roman"/>
                <w:sz w:val="22"/>
                <w:szCs w:val="22"/>
                <w:lang w:val="fr-FR" w:eastAsia="en-US"/>
              </w:rPr>
            </w:pPr>
            <w:r w:rsidRPr="001A4ACD">
              <w:rPr>
                <w:rFonts w:ascii="Times New Roman" w:eastAsiaTheme="minorHAnsi" w:hAnsi="Times New Roman" w:cs="Times New Roman"/>
                <w:sz w:val="22"/>
                <w:szCs w:val="22"/>
                <w:lang w:val="fr-FR" w:eastAsia="en-US"/>
              </w:rPr>
              <w:t xml:space="preserve">Base : 0 </w:t>
            </w:r>
          </w:p>
          <w:p w14:paraId="17037A84" w14:textId="77777777" w:rsidR="00DD583B" w:rsidRPr="001A4ACD" w:rsidRDefault="00DD583B" w:rsidP="005D2A90">
            <w:pPr>
              <w:snapToGrid w:val="0"/>
              <w:rPr>
                <w:rFonts w:ascii="Times New Roman" w:eastAsiaTheme="minorHAnsi" w:hAnsi="Times New Roman" w:cs="Times New Roman"/>
                <w:sz w:val="22"/>
                <w:szCs w:val="22"/>
                <w:lang w:val="fr-FR" w:eastAsia="en-US"/>
              </w:rPr>
            </w:pPr>
            <w:r w:rsidRPr="001A4ACD">
              <w:rPr>
                <w:rFonts w:ascii="Calibri" w:eastAsiaTheme="minorHAnsi" w:hAnsi="Calibri" w:cstheme="minorBidi"/>
                <w:color w:val="FF0000"/>
                <w:sz w:val="18"/>
                <w:szCs w:val="18"/>
                <w:lang w:val="fr-FR" w:eastAsia="en-US"/>
              </w:rPr>
              <w:lastRenderedPageBreak/>
              <w:t>Situation en fin 2017: 7</w:t>
            </w:r>
          </w:p>
          <w:p w14:paraId="7B7FC795" w14:textId="77777777" w:rsidR="00DD583B" w:rsidRPr="002E5C18" w:rsidRDefault="00DD583B" w:rsidP="005D2A90">
            <w:pPr>
              <w:rPr>
                <w:rFonts w:ascii="Times New Roman" w:hAnsi="Times New Roman" w:cs="Times New Roman"/>
                <w:b/>
                <w:bCs/>
                <w:lang w:val="fr-FR"/>
              </w:rPr>
            </w:pPr>
            <w:r w:rsidRPr="001A4ACD">
              <w:rPr>
                <w:rFonts w:ascii="Times New Roman" w:eastAsiaTheme="minorHAnsi" w:hAnsi="Times New Roman" w:cs="Times New Roman"/>
                <w:sz w:val="22"/>
                <w:szCs w:val="22"/>
                <w:lang w:val="fr-FR" w:eastAsia="en-US"/>
              </w:rPr>
              <w:t>Cible: 10</w:t>
            </w:r>
          </w:p>
        </w:tc>
        <w:tc>
          <w:tcPr>
            <w:tcW w:w="4123" w:type="dxa"/>
            <w:vAlign w:val="center"/>
          </w:tcPr>
          <w:p w14:paraId="701890B8" w14:textId="77777777" w:rsidR="00DD583B" w:rsidRPr="002E5C18" w:rsidRDefault="00DD583B" w:rsidP="005D2A90">
            <w:pPr>
              <w:numPr>
                <w:ilvl w:val="0"/>
                <w:numId w:val="14"/>
              </w:numPr>
              <w:suppressAutoHyphens/>
              <w:rPr>
                <w:rFonts w:ascii="Times New Roman" w:hAnsi="Times New Roman" w:cs="Times New Roman"/>
                <w:lang w:val="fr-FR"/>
              </w:rPr>
            </w:pPr>
            <w:r w:rsidRPr="00880F37">
              <w:rPr>
                <w:rFonts w:ascii="Times New Roman" w:hAnsi="Times New Roman" w:cs="Times New Roman"/>
              </w:rPr>
              <w:lastRenderedPageBreak/>
              <w:t>Mode de calcul : Dénombre auprès des entités UN/Effet2 des initiatives d’appui dont elles ont fait bénéficier la CVJR</w:t>
            </w:r>
          </w:p>
          <w:p w14:paraId="7974CAC4" w14:textId="77777777" w:rsidR="00DD583B" w:rsidRPr="002E5C18" w:rsidRDefault="00DD583B" w:rsidP="005D2A90">
            <w:pPr>
              <w:numPr>
                <w:ilvl w:val="0"/>
                <w:numId w:val="14"/>
              </w:numPr>
              <w:suppressAutoHyphens/>
              <w:rPr>
                <w:rFonts w:ascii="Times New Roman" w:hAnsi="Times New Roman" w:cs="Times New Roman"/>
                <w:lang w:val="fr-FR"/>
              </w:rPr>
            </w:pPr>
            <w:r w:rsidRPr="00880F37">
              <w:rPr>
                <w:rFonts w:ascii="Times New Roman" w:hAnsi="Times New Roman" w:cs="Times New Roman"/>
              </w:rPr>
              <w:t>Sources de données/Moyens de vérification : Données SNU et CVJR</w:t>
            </w:r>
          </w:p>
          <w:p w14:paraId="1093BF03" w14:textId="77777777" w:rsidR="00DD583B" w:rsidRPr="002E5C18" w:rsidRDefault="00DD583B" w:rsidP="005D2A90">
            <w:pPr>
              <w:numPr>
                <w:ilvl w:val="0"/>
                <w:numId w:val="14"/>
              </w:numPr>
              <w:suppressAutoHyphens/>
              <w:rPr>
                <w:rFonts w:ascii="Times New Roman" w:hAnsi="Times New Roman" w:cs="Times New Roman"/>
                <w:lang w:val="fr-FR"/>
              </w:rPr>
            </w:pPr>
            <w:r w:rsidRPr="00880F37">
              <w:rPr>
                <w:rFonts w:ascii="Times New Roman" w:hAnsi="Times New Roman" w:cs="Times New Roman"/>
              </w:rPr>
              <w:t>Périodicité : Annuelle ou moins</w:t>
            </w:r>
          </w:p>
          <w:p w14:paraId="0F1388AB" w14:textId="77777777" w:rsidR="00DD583B" w:rsidRPr="002E5C18" w:rsidRDefault="00DD583B" w:rsidP="005D2A90">
            <w:pPr>
              <w:numPr>
                <w:ilvl w:val="0"/>
                <w:numId w:val="16"/>
              </w:numPr>
              <w:ind w:left="357" w:hanging="357"/>
              <w:rPr>
                <w:rFonts w:ascii="Times New Roman" w:hAnsi="Times New Roman" w:cs="Times New Roman"/>
                <w:lang w:val="fr-FR"/>
              </w:rPr>
            </w:pPr>
            <w:r w:rsidRPr="00880F37">
              <w:rPr>
                <w:rFonts w:ascii="Times New Roman" w:hAnsi="Times New Roman" w:cs="Times New Roman"/>
              </w:rPr>
              <w:lastRenderedPageBreak/>
              <w:t>Maître d’œuvre : Groupe de Résultat en rapport avec la CVJR</w:t>
            </w:r>
          </w:p>
        </w:tc>
        <w:tc>
          <w:tcPr>
            <w:tcW w:w="3077" w:type="dxa"/>
            <w:gridSpan w:val="2"/>
            <w:vMerge w:val="restart"/>
          </w:tcPr>
          <w:p w14:paraId="7B6ED2E5"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lastRenderedPageBreak/>
              <w:t>Risque de la non reconnaissance des animateurs de l’institution par les mouvements armés en tant que parties au processus de négociation ;</w:t>
            </w:r>
          </w:p>
          <w:p w14:paraId="659DA608" w14:textId="77777777" w:rsidR="00DD583B" w:rsidRPr="004D4BFB" w:rsidRDefault="00DD583B" w:rsidP="005D2A90">
            <w:pPr>
              <w:widowControl w:val="0"/>
              <w:snapToGrid w:val="0"/>
              <w:rPr>
                <w:rFonts w:cstheme="minorHAnsi"/>
                <w:sz w:val="18"/>
                <w:szCs w:val="18"/>
                <w:lang w:val="fr-FR"/>
              </w:rPr>
            </w:pPr>
          </w:p>
          <w:p w14:paraId="6BF77112" w14:textId="77777777" w:rsidR="00DD583B" w:rsidRPr="004D4BFB" w:rsidRDefault="00DD583B" w:rsidP="005D2A90">
            <w:pPr>
              <w:widowControl w:val="0"/>
              <w:snapToGrid w:val="0"/>
              <w:rPr>
                <w:rFonts w:cstheme="minorHAnsi"/>
                <w:sz w:val="18"/>
                <w:szCs w:val="18"/>
                <w:lang w:val="fr-FR"/>
              </w:rPr>
            </w:pPr>
            <w:r w:rsidRPr="004D4BFB">
              <w:rPr>
                <w:sz w:val="18"/>
                <w:szCs w:val="18"/>
              </w:rPr>
              <w:t xml:space="preserve">Faible volonté politique des </w:t>
            </w:r>
            <w:r w:rsidRPr="004D4BFB">
              <w:rPr>
                <w:sz w:val="18"/>
                <w:szCs w:val="18"/>
              </w:rPr>
              <w:lastRenderedPageBreak/>
              <w:t>parties pour sa mise en place</w:t>
            </w:r>
            <w:r w:rsidRPr="004D4BFB">
              <w:rPr>
                <w:rFonts w:cstheme="minorHAnsi"/>
                <w:sz w:val="18"/>
                <w:szCs w:val="18"/>
              </w:rPr>
              <w:t xml:space="preserve"> </w:t>
            </w:r>
          </w:p>
          <w:p w14:paraId="0EB9BC86"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t>Lenteur dans le déploiement de la CVJR</w:t>
            </w:r>
          </w:p>
          <w:p w14:paraId="06821343" w14:textId="77777777" w:rsidR="00DD583B" w:rsidRPr="004D4BFB" w:rsidRDefault="00DD583B" w:rsidP="005D2A90">
            <w:pPr>
              <w:widowControl w:val="0"/>
              <w:snapToGrid w:val="0"/>
              <w:rPr>
                <w:rFonts w:cstheme="minorHAnsi"/>
                <w:sz w:val="18"/>
                <w:szCs w:val="18"/>
                <w:lang w:val="fr-FR"/>
              </w:rPr>
            </w:pPr>
          </w:p>
          <w:p w14:paraId="472995C1"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t>Non applications des recommandations de la CVJR par le gouvernement</w:t>
            </w:r>
          </w:p>
          <w:p w14:paraId="2162F198" w14:textId="77777777" w:rsidR="00DD583B" w:rsidRPr="004D4BFB" w:rsidRDefault="00DD583B" w:rsidP="005D2A90">
            <w:pPr>
              <w:widowControl w:val="0"/>
              <w:snapToGrid w:val="0"/>
              <w:rPr>
                <w:rFonts w:cstheme="minorHAnsi"/>
                <w:sz w:val="18"/>
                <w:szCs w:val="18"/>
                <w:lang w:val="fr-FR"/>
              </w:rPr>
            </w:pPr>
          </w:p>
          <w:p w14:paraId="6BDB1DF2"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t xml:space="preserve">Manque de ressources pour la mise en œuvre des activités </w:t>
            </w:r>
          </w:p>
          <w:p w14:paraId="5018C2ED" w14:textId="77777777" w:rsidR="00DD583B" w:rsidRPr="004D4BFB" w:rsidRDefault="00DD583B" w:rsidP="005D2A90">
            <w:pPr>
              <w:widowControl w:val="0"/>
              <w:snapToGrid w:val="0"/>
              <w:rPr>
                <w:rFonts w:cstheme="minorHAnsi"/>
                <w:sz w:val="18"/>
                <w:szCs w:val="18"/>
                <w:lang w:val="fr-FR"/>
              </w:rPr>
            </w:pPr>
          </w:p>
          <w:p w14:paraId="60FADB3B"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t>Engagement insuffisant des acteurs nationaux</w:t>
            </w:r>
          </w:p>
          <w:p w14:paraId="12B95E2C" w14:textId="77777777" w:rsidR="00DD583B" w:rsidRPr="004D4BFB" w:rsidRDefault="00DD583B" w:rsidP="005D2A90">
            <w:pPr>
              <w:widowControl w:val="0"/>
              <w:snapToGrid w:val="0"/>
              <w:rPr>
                <w:rFonts w:cstheme="minorHAnsi"/>
                <w:sz w:val="18"/>
                <w:szCs w:val="18"/>
                <w:lang w:val="fr-FR"/>
              </w:rPr>
            </w:pPr>
          </w:p>
          <w:p w14:paraId="6C5E7B80"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t>Le processus de nomination des membres n’est pas transparent</w:t>
            </w:r>
          </w:p>
          <w:p w14:paraId="7FB4BC35" w14:textId="77777777" w:rsidR="00DD583B" w:rsidRPr="004D4BFB" w:rsidRDefault="00DD583B" w:rsidP="005D2A90">
            <w:pPr>
              <w:widowControl w:val="0"/>
              <w:snapToGrid w:val="0"/>
              <w:rPr>
                <w:rFonts w:cstheme="minorHAnsi"/>
                <w:lang w:val="fr-FR"/>
              </w:rPr>
            </w:pPr>
          </w:p>
          <w:p w14:paraId="53A52DDF"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t>Emprise politique du Ministère de tutelle sur la CVJR</w:t>
            </w:r>
          </w:p>
          <w:p w14:paraId="02DD9E28" w14:textId="77777777" w:rsidR="00DD583B" w:rsidRPr="004D4BFB" w:rsidRDefault="00DD583B" w:rsidP="005D2A90">
            <w:pPr>
              <w:widowControl w:val="0"/>
              <w:snapToGrid w:val="0"/>
              <w:rPr>
                <w:rFonts w:cstheme="minorHAnsi"/>
                <w:sz w:val="18"/>
                <w:szCs w:val="18"/>
                <w:lang w:val="fr-FR"/>
              </w:rPr>
            </w:pPr>
          </w:p>
          <w:p w14:paraId="0B09055A"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t xml:space="preserve">Le rejet de la CVJR par les bénéficiaires / communautés </w:t>
            </w:r>
          </w:p>
          <w:p w14:paraId="741F169A" w14:textId="77777777" w:rsidR="00DD583B" w:rsidRPr="004D4BFB" w:rsidRDefault="00DD583B" w:rsidP="005D2A90">
            <w:pPr>
              <w:widowControl w:val="0"/>
              <w:snapToGrid w:val="0"/>
              <w:rPr>
                <w:rFonts w:cstheme="minorHAnsi"/>
                <w:sz w:val="18"/>
                <w:szCs w:val="18"/>
                <w:lang w:val="fr-FR"/>
              </w:rPr>
            </w:pPr>
          </w:p>
          <w:p w14:paraId="67B2F8A9"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t>La lourdeur administrative qui ralentie le décaissement des fonds</w:t>
            </w:r>
          </w:p>
          <w:p w14:paraId="57FA5D82" w14:textId="77777777" w:rsidR="00DD583B" w:rsidRPr="004D4BFB" w:rsidRDefault="00DD583B" w:rsidP="005D2A90">
            <w:pPr>
              <w:rPr>
                <w:lang w:val="fr-FR"/>
              </w:rPr>
            </w:pPr>
          </w:p>
        </w:tc>
        <w:tc>
          <w:tcPr>
            <w:tcW w:w="1800" w:type="dxa"/>
            <w:vMerge w:val="restart"/>
          </w:tcPr>
          <w:p w14:paraId="3AE23691" w14:textId="77777777" w:rsidR="00DD583B" w:rsidRPr="002E5C18" w:rsidRDefault="00DD583B" w:rsidP="005D2A90">
            <w:pPr>
              <w:widowControl w:val="0"/>
              <w:snapToGrid w:val="0"/>
              <w:rPr>
                <w:rFonts w:cstheme="minorHAnsi"/>
                <w:sz w:val="18"/>
                <w:szCs w:val="18"/>
                <w:lang w:val="fr-FR"/>
              </w:rPr>
            </w:pPr>
            <w:r w:rsidRPr="00880F37">
              <w:rPr>
                <w:rFonts w:cstheme="minorHAnsi"/>
                <w:sz w:val="18"/>
                <w:szCs w:val="18"/>
              </w:rPr>
              <w:lastRenderedPageBreak/>
              <w:t>Plaidoyer</w:t>
            </w:r>
          </w:p>
          <w:p w14:paraId="13543990" w14:textId="77777777" w:rsidR="00DD583B" w:rsidRPr="002E5C18" w:rsidRDefault="00DD583B" w:rsidP="005D2A90">
            <w:pPr>
              <w:widowControl w:val="0"/>
              <w:snapToGrid w:val="0"/>
              <w:rPr>
                <w:rFonts w:cstheme="minorHAnsi"/>
                <w:sz w:val="18"/>
                <w:szCs w:val="18"/>
                <w:lang w:val="fr-FR"/>
              </w:rPr>
            </w:pPr>
          </w:p>
          <w:p w14:paraId="2130F778" w14:textId="77777777" w:rsidR="00DD583B" w:rsidRPr="002E5C18" w:rsidRDefault="00DD583B" w:rsidP="005D2A90">
            <w:pPr>
              <w:widowControl w:val="0"/>
              <w:snapToGrid w:val="0"/>
              <w:rPr>
                <w:rFonts w:cstheme="minorHAnsi"/>
                <w:sz w:val="18"/>
                <w:szCs w:val="18"/>
                <w:lang w:val="fr-FR"/>
              </w:rPr>
            </w:pPr>
            <w:r w:rsidRPr="00880F37">
              <w:rPr>
                <w:rFonts w:cstheme="minorHAnsi"/>
                <w:sz w:val="18"/>
                <w:szCs w:val="18"/>
              </w:rPr>
              <w:t>Assistance technique en expertise et consultation</w:t>
            </w:r>
          </w:p>
          <w:p w14:paraId="6E928C3C" w14:textId="77777777" w:rsidR="00DD583B" w:rsidRPr="002E5C18" w:rsidRDefault="00DD583B" w:rsidP="005D2A90">
            <w:pPr>
              <w:widowControl w:val="0"/>
              <w:snapToGrid w:val="0"/>
              <w:rPr>
                <w:rFonts w:cstheme="minorHAnsi"/>
                <w:lang w:val="fr-FR"/>
              </w:rPr>
            </w:pPr>
          </w:p>
          <w:p w14:paraId="071ACB3E" w14:textId="77777777" w:rsidR="00DD583B" w:rsidRPr="002E5C18" w:rsidRDefault="00DD583B" w:rsidP="005D2A90">
            <w:pPr>
              <w:widowControl w:val="0"/>
              <w:snapToGrid w:val="0"/>
              <w:rPr>
                <w:rFonts w:cstheme="minorHAnsi"/>
                <w:lang w:val="fr-FR"/>
              </w:rPr>
            </w:pPr>
          </w:p>
          <w:p w14:paraId="29F3BD4D" w14:textId="77777777" w:rsidR="00DD583B" w:rsidRPr="002E5C18" w:rsidRDefault="00DD583B" w:rsidP="005D2A90">
            <w:pPr>
              <w:widowControl w:val="0"/>
              <w:snapToGrid w:val="0"/>
              <w:rPr>
                <w:rFonts w:cstheme="minorHAnsi"/>
                <w:lang w:val="fr-FR"/>
              </w:rPr>
            </w:pPr>
          </w:p>
          <w:p w14:paraId="06B1FA29" w14:textId="77777777" w:rsidR="00DD583B" w:rsidRPr="002E5C18" w:rsidRDefault="00DD583B" w:rsidP="005D2A90">
            <w:pPr>
              <w:widowControl w:val="0"/>
              <w:snapToGrid w:val="0"/>
              <w:rPr>
                <w:rFonts w:cstheme="minorHAnsi"/>
                <w:lang w:val="fr-FR"/>
              </w:rPr>
            </w:pPr>
          </w:p>
          <w:p w14:paraId="74D6996F" w14:textId="77777777" w:rsidR="00DD583B" w:rsidRPr="002E5C18" w:rsidRDefault="00DD583B" w:rsidP="005D2A90">
            <w:pPr>
              <w:widowControl w:val="0"/>
              <w:snapToGrid w:val="0"/>
              <w:rPr>
                <w:rFonts w:cstheme="minorHAnsi"/>
                <w:lang w:val="fr-FR"/>
              </w:rPr>
            </w:pPr>
          </w:p>
          <w:p w14:paraId="67C92D69" w14:textId="77777777" w:rsidR="00DD583B" w:rsidRPr="002E5C18" w:rsidRDefault="00DD583B" w:rsidP="005D2A90">
            <w:pPr>
              <w:widowControl w:val="0"/>
              <w:snapToGrid w:val="0"/>
              <w:rPr>
                <w:rFonts w:cstheme="minorHAnsi"/>
                <w:lang w:val="fr-FR"/>
              </w:rPr>
            </w:pPr>
          </w:p>
          <w:p w14:paraId="2BDFF92D" w14:textId="77777777" w:rsidR="00DD583B" w:rsidRPr="002E5C18" w:rsidRDefault="00DD583B" w:rsidP="005D2A90">
            <w:pPr>
              <w:widowControl w:val="0"/>
              <w:snapToGrid w:val="0"/>
              <w:rPr>
                <w:rFonts w:cstheme="minorHAnsi"/>
                <w:lang w:val="fr-FR"/>
              </w:rPr>
            </w:pPr>
          </w:p>
          <w:p w14:paraId="4A66F9A1" w14:textId="77777777" w:rsidR="00DD583B" w:rsidRPr="002E5C18" w:rsidRDefault="00DD583B" w:rsidP="005D2A90">
            <w:pPr>
              <w:widowControl w:val="0"/>
              <w:snapToGrid w:val="0"/>
              <w:rPr>
                <w:rFonts w:cstheme="minorHAnsi"/>
                <w:sz w:val="18"/>
                <w:szCs w:val="18"/>
                <w:lang w:val="fr-FR"/>
              </w:rPr>
            </w:pPr>
            <w:r w:rsidRPr="00880F37">
              <w:rPr>
                <w:rFonts w:cstheme="minorHAnsi"/>
                <w:sz w:val="18"/>
                <w:szCs w:val="18"/>
              </w:rPr>
              <w:t>Plaidoyer</w:t>
            </w:r>
          </w:p>
          <w:p w14:paraId="6B837DDC" w14:textId="77777777" w:rsidR="00DD583B" w:rsidRPr="002E5C18" w:rsidRDefault="00DD583B" w:rsidP="005D2A90">
            <w:pPr>
              <w:widowControl w:val="0"/>
              <w:snapToGrid w:val="0"/>
              <w:rPr>
                <w:rFonts w:cstheme="minorHAnsi"/>
                <w:sz w:val="18"/>
                <w:szCs w:val="18"/>
                <w:lang w:val="fr-FR"/>
              </w:rPr>
            </w:pPr>
          </w:p>
          <w:p w14:paraId="2E80621A" w14:textId="77777777" w:rsidR="00DD583B" w:rsidRPr="002E5C18" w:rsidRDefault="00DD583B" w:rsidP="005D2A90">
            <w:pPr>
              <w:widowControl w:val="0"/>
              <w:snapToGrid w:val="0"/>
              <w:rPr>
                <w:rFonts w:cstheme="minorHAnsi"/>
                <w:sz w:val="18"/>
                <w:szCs w:val="18"/>
                <w:lang w:val="fr-FR"/>
              </w:rPr>
            </w:pPr>
            <w:r w:rsidRPr="00880F37">
              <w:rPr>
                <w:rFonts w:cstheme="minorHAnsi"/>
                <w:sz w:val="18"/>
                <w:szCs w:val="18"/>
              </w:rPr>
              <w:t>Appui technique et logistique</w:t>
            </w:r>
          </w:p>
          <w:p w14:paraId="0E40389E" w14:textId="77777777" w:rsidR="00DD583B" w:rsidRPr="002E5C18" w:rsidRDefault="00DD583B" w:rsidP="005D2A90">
            <w:pPr>
              <w:widowControl w:val="0"/>
              <w:snapToGrid w:val="0"/>
              <w:rPr>
                <w:rFonts w:cstheme="minorHAnsi"/>
                <w:lang w:val="fr-FR"/>
              </w:rPr>
            </w:pPr>
          </w:p>
          <w:p w14:paraId="50C8CF94" w14:textId="77777777" w:rsidR="00DD583B" w:rsidRPr="002E5C18" w:rsidRDefault="00DD583B" w:rsidP="005D2A90">
            <w:pPr>
              <w:widowControl w:val="0"/>
              <w:snapToGrid w:val="0"/>
              <w:rPr>
                <w:rFonts w:cstheme="minorHAnsi"/>
                <w:lang w:val="fr-FR"/>
              </w:rPr>
            </w:pPr>
          </w:p>
          <w:p w14:paraId="42D033DC" w14:textId="77777777" w:rsidR="00DD583B" w:rsidRPr="002E5C18" w:rsidRDefault="00DD583B" w:rsidP="005D2A90">
            <w:pPr>
              <w:widowControl w:val="0"/>
              <w:snapToGrid w:val="0"/>
              <w:rPr>
                <w:rFonts w:cstheme="minorHAnsi"/>
                <w:lang w:val="fr-FR"/>
              </w:rPr>
            </w:pPr>
          </w:p>
          <w:p w14:paraId="4862699F" w14:textId="77777777" w:rsidR="00DD583B" w:rsidRPr="002E5C18" w:rsidRDefault="00DD583B" w:rsidP="005D2A90">
            <w:pPr>
              <w:widowControl w:val="0"/>
              <w:snapToGrid w:val="0"/>
              <w:rPr>
                <w:rFonts w:cstheme="minorHAnsi"/>
                <w:lang w:val="fr-FR"/>
              </w:rPr>
            </w:pPr>
          </w:p>
          <w:p w14:paraId="027AC56B" w14:textId="77777777" w:rsidR="00DD583B" w:rsidRPr="002E5C18" w:rsidRDefault="00DD583B" w:rsidP="005D2A90">
            <w:pPr>
              <w:widowControl w:val="0"/>
              <w:snapToGrid w:val="0"/>
              <w:rPr>
                <w:rFonts w:cstheme="minorHAnsi"/>
                <w:lang w:val="fr-FR"/>
              </w:rPr>
            </w:pPr>
          </w:p>
          <w:p w14:paraId="3AF44661" w14:textId="77777777" w:rsidR="00DD583B" w:rsidRPr="002E5C18" w:rsidRDefault="00DD583B" w:rsidP="005D2A90">
            <w:pPr>
              <w:widowControl w:val="0"/>
              <w:snapToGrid w:val="0"/>
              <w:rPr>
                <w:rFonts w:cstheme="minorHAnsi"/>
                <w:lang w:val="fr-FR"/>
              </w:rPr>
            </w:pPr>
          </w:p>
          <w:p w14:paraId="483CCD09" w14:textId="77777777" w:rsidR="00DD583B" w:rsidRPr="002E5C18" w:rsidRDefault="00DD583B" w:rsidP="005D2A90">
            <w:pPr>
              <w:widowControl w:val="0"/>
              <w:snapToGrid w:val="0"/>
              <w:ind w:left="-2" w:right="-144"/>
              <w:rPr>
                <w:rFonts w:cstheme="minorHAnsi"/>
                <w:sz w:val="18"/>
                <w:szCs w:val="18"/>
                <w:lang w:val="fr-FR"/>
              </w:rPr>
            </w:pPr>
            <w:r w:rsidRPr="00880F37">
              <w:rPr>
                <w:rFonts w:cstheme="minorHAnsi"/>
                <w:sz w:val="18"/>
                <w:szCs w:val="18"/>
              </w:rPr>
              <w:t xml:space="preserve">Mise en œuvre, </w:t>
            </w:r>
          </w:p>
          <w:p w14:paraId="5F929BEC" w14:textId="77777777" w:rsidR="00DD583B" w:rsidRPr="002E5C18" w:rsidRDefault="00DD583B" w:rsidP="005D2A90">
            <w:pPr>
              <w:widowControl w:val="0"/>
              <w:snapToGrid w:val="0"/>
              <w:ind w:left="-2" w:right="-144"/>
              <w:rPr>
                <w:rFonts w:cstheme="minorHAnsi"/>
                <w:sz w:val="18"/>
                <w:szCs w:val="18"/>
                <w:lang w:val="fr-FR"/>
              </w:rPr>
            </w:pPr>
          </w:p>
          <w:p w14:paraId="16749BC8" w14:textId="77777777" w:rsidR="00DD583B" w:rsidRPr="002E5C18" w:rsidRDefault="00DD583B" w:rsidP="005D2A90">
            <w:pPr>
              <w:widowControl w:val="0"/>
              <w:snapToGrid w:val="0"/>
              <w:ind w:left="-2" w:right="-144"/>
              <w:rPr>
                <w:rFonts w:cstheme="minorHAnsi"/>
                <w:sz w:val="18"/>
                <w:szCs w:val="18"/>
                <w:lang w:val="fr-FR"/>
              </w:rPr>
            </w:pPr>
            <w:r w:rsidRPr="00880F37">
              <w:rPr>
                <w:rFonts w:cstheme="minorHAnsi"/>
                <w:sz w:val="18"/>
                <w:szCs w:val="18"/>
              </w:rPr>
              <w:t xml:space="preserve">Coordination, </w:t>
            </w:r>
          </w:p>
          <w:p w14:paraId="1289027A" w14:textId="77777777" w:rsidR="00DD583B" w:rsidRPr="002E5C18" w:rsidRDefault="00DD583B" w:rsidP="005D2A90">
            <w:pPr>
              <w:widowControl w:val="0"/>
              <w:snapToGrid w:val="0"/>
              <w:ind w:right="-144"/>
              <w:rPr>
                <w:rFonts w:cstheme="minorHAnsi"/>
                <w:sz w:val="18"/>
                <w:szCs w:val="18"/>
                <w:lang w:val="fr-FR"/>
              </w:rPr>
            </w:pPr>
          </w:p>
          <w:p w14:paraId="2D30CC5A" w14:textId="77777777" w:rsidR="00DD583B" w:rsidRPr="002E5C18" w:rsidRDefault="00DD583B" w:rsidP="005D2A90">
            <w:pPr>
              <w:widowControl w:val="0"/>
              <w:snapToGrid w:val="0"/>
              <w:ind w:left="-2" w:right="-144"/>
              <w:rPr>
                <w:rFonts w:cstheme="minorHAnsi"/>
                <w:sz w:val="18"/>
                <w:szCs w:val="18"/>
                <w:lang w:val="fr-FR"/>
              </w:rPr>
            </w:pPr>
            <w:r w:rsidRPr="00880F37">
              <w:rPr>
                <w:rFonts w:cstheme="minorHAnsi"/>
                <w:sz w:val="18"/>
                <w:szCs w:val="18"/>
              </w:rPr>
              <w:t xml:space="preserve">Financement, </w:t>
            </w:r>
          </w:p>
          <w:p w14:paraId="441C5DDB" w14:textId="77777777" w:rsidR="00DD583B" w:rsidRPr="002E5C18" w:rsidRDefault="00DD583B" w:rsidP="005D2A90">
            <w:pPr>
              <w:widowControl w:val="0"/>
              <w:snapToGrid w:val="0"/>
              <w:ind w:left="-2" w:right="-144"/>
              <w:rPr>
                <w:rFonts w:cstheme="minorHAnsi"/>
                <w:sz w:val="18"/>
                <w:szCs w:val="18"/>
                <w:lang w:val="fr-FR"/>
              </w:rPr>
            </w:pPr>
            <w:r w:rsidRPr="00880F37">
              <w:rPr>
                <w:rFonts w:cstheme="minorHAnsi"/>
                <w:sz w:val="18"/>
                <w:szCs w:val="18"/>
              </w:rPr>
              <w:t>Suivi et rapportage</w:t>
            </w:r>
          </w:p>
          <w:p w14:paraId="0F496723" w14:textId="77777777" w:rsidR="00DD583B" w:rsidRPr="002E5C18" w:rsidRDefault="00DD583B" w:rsidP="005D2A90">
            <w:pPr>
              <w:widowControl w:val="0"/>
              <w:snapToGrid w:val="0"/>
              <w:ind w:left="-2" w:right="-144"/>
              <w:rPr>
                <w:rFonts w:cstheme="minorHAnsi"/>
                <w:sz w:val="18"/>
                <w:szCs w:val="18"/>
                <w:lang w:val="fr-FR"/>
              </w:rPr>
            </w:pPr>
          </w:p>
          <w:p w14:paraId="0E06759F" w14:textId="77777777" w:rsidR="00DD583B" w:rsidRPr="002E5C18" w:rsidRDefault="00DD583B" w:rsidP="005D2A90">
            <w:pPr>
              <w:widowControl w:val="0"/>
              <w:snapToGrid w:val="0"/>
              <w:rPr>
                <w:rFonts w:cstheme="minorHAnsi"/>
                <w:lang w:val="fr-FR"/>
              </w:rPr>
            </w:pPr>
            <w:r w:rsidRPr="00880F37">
              <w:rPr>
                <w:rFonts w:cstheme="minorHAnsi"/>
                <w:sz w:val="18"/>
                <w:szCs w:val="18"/>
              </w:rPr>
              <w:t>Evaluation des capacités des collectivités territoriales</w:t>
            </w:r>
          </w:p>
          <w:p w14:paraId="28DB0850" w14:textId="77777777" w:rsidR="00DD583B" w:rsidRPr="002E5C18" w:rsidRDefault="00DD583B" w:rsidP="005D2A90">
            <w:pPr>
              <w:rPr>
                <w:lang w:val="fr-FR"/>
              </w:rPr>
            </w:pPr>
          </w:p>
        </w:tc>
        <w:tc>
          <w:tcPr>
            <w:tcW w:w="995" w:type="dxa"/>
            <w:vMerge w:val="restart"/>
          </w:tcPr>
          <w:p w14:paraId="75DABDB3" w14:textId="77777777" w:rsidR="00DD583B" w:rsidRPr="002E5C18" w:rsidRDefault="00DD583B" w:rsidP="005D2A90">
            <w:pPr>
              <w:rPr>
                <w:lang w:val="fr-FR"/>
              </w:rPr>
            </w:pPr>
          </w:p>
        </w:tc>
      </w:tr>
      <w:tr w:rsidR="00DD583B" w:rsidRPr="002E5C18" w14:paraId="77B6CA29" w14:textId="77777777" w:rsidTr="00186DD5">
        <w:tc>
          <w:tcPr>
            <w:tcW w:w="2590" w:type="dxa"/>
            <w:vMerge/>
            <w:shd w:val="clear" w:color="auto" w:fill="DBE5F1" w:themeFill="accent1" w:themeFillTint="33"/>
          </w:tcPr>
          <w:p w14:paraId="6A775D24" w14:textId="77777777" w:rsidR="00DD583B" w:rsidRPr="002E5C18" w:rsidRDefault="00DD583B" w:rsidP="005D2A90">
            <w:pPr>
              <w:rPr>
                <w:lang w:val="fr-FR"/>
              </w:rPr>
            </w:pPr>
          </w:p>
        </w:tc>
        <w:tc>
          <w:tcPr>
            <w:tcW w:w="2583" w:type="dxa"/>
            <w:vAlign w:val="center"/>
          </w:tcPr>
          <w:p w14:paraId="003D2A9D" w14:textId="77777777" w:rsidR="00DD583B" w:rsidRPr="002E5C18" w:rsidRDefault="00DD583B" w:rsidP="005D2A90">
            <w:pPr>
              <w:rPr>
                <w:rFonts w:ascii="Times New Roman" w:hAnsi="Times New Roman" w:cs="Times New Roman"/>
                <w:lang w:val="fr-FR"/>
              </w:rPr>
            </w:pPr>
            <w:r>
              <w:rPr>
                <w:rFonts w:ascii="Times New Roman" w:hAnsi="Times New Roman" w:cs="Times New Roman"/>
                <w:bCs/>
              </w:rPr>
              <w:t xml:space="preserve">Indicateur </w:t>
            </w:r>
            <w:r w:rsidRPr="00880F37">
              <w:rPr>
                <w:rFonts w:ascii="Times New Roman" w:hAnsi="Times New Roman" w:cs="Times New Roman"/>
              </w:rPr>
              <w:t>2.1.2. Nombre de structures de la société civile qui sont appuyées pour participer au sein de la coalition pour la justice transitionnelle</w:t>
            </w:r>
            <w:r>
              <w:rPr>
                <w:rFonts w:ascii="Times New Roman" w:hAnsi="Times New Roman" w:cs="Times New Roman"/>
              </w:rPr>
              <w:t xml:space="preserve"> (desagreger en structure feminine et  mixte)</w:t>
            </w:r>
          </w:p>
          <w:p w14:paraId="4598782A" w14:textId="77777777" w:rsidR="00DD583B" w:rsidRPr="002E5C18" w:rsidRDefault="00DD583B" w:rsidP="005D2A90">
            <w:pPr>
              <w:rPr>
                <w:rFonts w:ascii="Times New Roman" w:hAnsi="Times New Roman" w:cs="Times New Roman"/>
                <w:lang w:val="fr-FR"/>
              </w:rPr>
            </w:pPr>
          </w:p>
          <w:p w14:paraId="0546C6C5" w14:textId="77777777" w:rsidR="00DD583B" w:rsidRPr="001A4ACD" w:rsidRDefault="00DD583B" w:rsidP="005D2A90">
            <w:pPr>
              <w:rPr>
                <w:rFonts w:ascii="Times New Roman" w:hAnsi="Times New Roman" w:cs="Times New Roman"/>
                <w:lang w:val="fr-FR"/>
              </w:rPr>
            </w:pPr>
            <w:r w:rsidRPr="001A4ACD">
              <w:rPr>
                <w:rFonts w:ascii="Times New Roman" w:hAnsi="Times New Roman" w:cs="Times New Roman"/>
                <w:lang w:val="fr-FR"/>
              </w:rPr>
              <w:t>Base : 0</w:t>
            </w:r>
          </w:p>
          <w:p w14:paraId="07441776" w14:textId="77777777" w:rsidR="00DD583B" w:rsidRPr="001A4ACD" w:rsidRDefault="00DD583B" w:rsidP="005D2A90">
            <w:pPr>
              <w:rPr>
                <w:rFonts w:ascii="Times New Roman" w:hAnsi="Times New Roman" w:cs="Times New Roman"/>
                <w:color w:val="FF0000"/>
                <w:lang w:val="fr-FR"/>
              </w:rPr>
            </w:pPr>
            <w:r w:rsidRPr="001A4ACD">
              <w:rPr>
                <w:rFonts w:ascii="Times New Roman" w:hAnsi="Times New Roman" w:cs="Times New Roman"/>
                <w:color w:val="FF0000"/>
                <w:lang w:val="fr-FR"/>
              </w:rPr>
              <w:t>Situation en fin 2017: 21</w:t>
            </w:r>
          </w:p>
          <w:p w14:paraId="5A44BD91" w14:textId="77777777" w:rsidR="00DD583B" w:rsidRPr="002E5C18" w:rsidRDefault="00DD583B" w:rsidP="005D2A90">
            <w:pPr>
              <w:rPr>
                <w:rFonts w:ascii="Times New Roman" w:hAnsi="Times New Roman" w:cs="Times New Roman"/>
                <w:b/>
                <w:bCs/>
                <w:lang w:val="fr-FR"/>
              </w:rPr>
            </w:pPr>
            <w:r w:rsidRPr="001A4ACD">
              <w:rPr>
                <w:rFonts w:ascii="Times New Roman" w:hAnsi="Times New Roman" w:cs="Times New Roman"/>
                <w:lang w:val="fr-FR"/>
              </w:rPr>
              <w:t>Cible: 50</w:t>
            </w:r>
          </w:p>
        </w:tc>
        <w:tc>
          <w:tcPr>
            <w:tcW w:w="4123" w:type="dxa"/>
            <w:vAlign w:val="center"/>
          </w:tcPr>
          <w:p w14:paraId="1A294A41" w14:textId="77777777" w:rsidR="00DD583B" w:rsidRPr="002E5C18" w:rsidRDefault="00DD583B" w:rsidP="005D2A90">
            <w:pPr>
              <w:numPr>
                <w:ilvl w:val="0"/>
                <w:numId w:val="14"/>
              </w:numPr>
              <w:suppressAutoHyphens/>
              <w:rPr>
                <w:rFonts w:ascii="Times New Roman" w:hAnsi="Times New Roman" w:cs="Times New Roman"/>
                <w:lang w:val="fr-FR"/>
              </w:rPr>
            </w:pPr>
            <w:r w:rsidRPr="00880F37">
              <w:rPr>
                <w:rFonts w:ascii="Times New Roman" w:hAnsi="Times New Roman" w:cs="Times New Roman"/>
              </w:rPr>
              <w:t>Mode de calcul : Dénombrement auprès des entités UN/Effet2 des structures de la société civile qu’elles ont appuyées pour participer à la coalition pour la justice transitionnelle</w:t>
            </w:r>
          </w:p>
          <w:p w14:paraId="3D126CA4" w14:textId="77777777" w:rsidR="00DD583B" w:rsidRPr="002E5C18" w:rsidRDefault="00DD583B" w:rsidP="005D2A90">
            <w:pPr>
              <w:numPr>
                <w:ilvl w:val="0"/>
                <w:numId w:val="14"/>
              </w:numPr>
              <w:suppressAutoHyphens/>
              <w:rPr>
                <w:rFonts w:ascii="Times New Roman" w:hAnsi="Times New Roman" w:cs="Times New Roman"/>
                <w:lang w:val="fr-FR"/>
              </w:rPr>
            </w:pPr>
            <w:r w:rsidRPr="00880F37">
              <w:rPr>
                <w:rFonts w:ascii="Times New Roman" w:hAnsi="Times New Roman" w:cs="Times New Roman"/>
              </w:rPr>
              <w:t>Sources de données/Moyens de vérification : Données SNU et Société civile</w:t>
            </w:r>
          </w:p>
          <w:p w14:paraId="06DE9EEE" w14:textId="77777777" w:rsidR="00DD583B" w:rsidRPr="002E5C18" w:rsidRDefault="00DD583B" w:rsidP="005D2A90">
            <w:pPr>
              <w:numPr>
                <w:ilvl w:val="0"/>
                <w:numId w:val="14"/>
              </w:numPr>
              <w:suppressAutoHyphens/>
              <w:rPr>
                <w:rFonts w:ascii="Times New Roman" w:hAnsi="Times New Roman" w:cs="Times New Roman"/>
                <w:lang w:val="fr-FR"/>
              </w:rPr>
            </w:pPr>
            <w:r w:rsidRPr="00880F37">
              <w:rPr>
                <w:rFonts w:ascii="Times New Roman" w:hAnsi="Times New Roman" w:cs="Times New Roman"/>
              </w:rPr>
              <w:t>Périodicité : Annuelle ou moins</w:t>
            </w:r>
          </w:p>
          <w:p w14:paraId="2583D1A7" w14:textId="77777777" w:rsidR="00DD583B" w:rsidRPr="002E5C18" w:rsidRDefault="00DD583B" w:rsidP="005D2A90">
            <w:pPr>
              <w:numPr>
                <w:ilvl w:val="0"/>
                <w:numId w:val="16"/>
              </w:numPr>
              <w:ind w:left="357" w:hanging="357"/>
              <w:rPr>
                <w:rFonts w:ascii="Times New Roman" w:hAnsi="Times New Roman" w:cs="Times New Roman"/>
                <w:lang w:val="fr-FR"/>
              </w:rPr>
            </w:pPr>
            <w:r w:rsidRPr="00880F37">
              <w:rPr>
                <w:rFonts w:ascii="Times New Roman" w:hAnsi="Times New Roman" w:cs="Times New Roman"/>
              </w:rPr>
              <w:t>Maître d’œuvre : Groupe de Résultat en rapport avec les structures faîtière de la société civile</w:t>
            </w:r>
          </w:p>
        </w:tc>
        <w:tc>
          <w:tcPr>
            <w:tcW w:w="3077" w:type="dxa"/>
            <w:gridSpan w:val="2"/>
            <w:vMerge/>
          </w:tcPr>
          <w:p w14:paraId="4D0EA831" w14:textId="77777777" w:rsidR="00DD583B" w:rsidRPr="002E5C18" w:rsidRDefault="00DD583B" w:rsidP="005D2A90">
            <w:pPr>
              <w:rPr>
                <w:lang w:val="fr-FR"/>
              </w:rPr>
            </w:pPr>
          </w:p>
        </w:tc>
        <w:tc>
          <w:tcPr>
            <w:tcW w:w="1800" w:type="dxa"/>
            <w:vMerge/>
          </w:tcPr>
          <w:p w14:paraId="4657464D" w14:textId="77777777" w:rsidR="00DD583B" w:rsidRPr="002E5C18" w:rsidRDefault="00DD583B" w:rsidP="005D2A90">
            <w:pPr>
              <w:rPr>
                <w:lang w:val="fr-FR"/>
              </w:rPr>
            </w:pPr>
          </w:p>
        </w:tc>
        <w:tc>
          <w:tcPr>
            <w:tcW w:w="995" w:type="dxa"/>
            <w:vMerge/>
          </w:tcPr>
          <w:p w14:paraId="1D30E465" w14:textId="77777777" w:rsidR="00DD583B" w:rsidRPr="002E5C18" w:rsidRDefault="00DD583B" w:rsidP="005D2A90">
            <w:pPr>
              <w:rPr>
                <w:lang w:val="fr-FR"/>
              </w:rPr>
            </w:pPr>
          </w:p>
        </w:tc>
      </w:tr>
      <w:tr w:rsidR="00DD583B" w:rsidRPr="002E5C18" w14:paraId="33FB6D93" w14:textId="77777777" w:rsidTr="00186DD5">
        <w:tc>
          <w:tcPr>
            <w:tcW w:w="2590" w:type="dxa"/>
            <w:vMerge w:val="restart"/>
            <w:shd w:val="clear" w:color="auto" w:fill="DBE5F1" w:themeFill="accent1" w:themeFillTint="33"/>
            <w:vAlign w:val="center"/>
          </w:tcPr>
          <w:p w14:paraId="3A766E12" w14:textId="77777777" w:rsidR="00DD583B" w:rsidRPr="002E5C18" w:rsidRDefault="00DD583B" w:rsidP="005D2A90">
            <w:pPr>
              <w:rPr>
                <w:lang w:val="fr-FR"/>
              </w:rPr>
            </w:pPr>
            <w:r w:rsidRPr="00880F37">
              <w:rPr>
                <w:rFonts w:ascii="Times New Roman" w:hAnsi="Times New Roman" w:cs="Times New Roman"/>
              </w:rPr>
              <w:t>Produit 2.2. Dialogue inter-/intra-communautaire : Les communautés disposent des capacités techniques nécessaires à la prévention et à la gestion des conflits communautaires, au renforcement de la cohésion sociale, et de créer les conditions de retour des réfugiés et déplacés</w:t>
            </w:r>
          </w:p>
        </w:tc>
        <w:tc>
          <w:tcPr>
            <w:tcW w:w="2583" w:type="dxa"/>
            <w:vAlign w:val="center"/>
          </w:tcPr>
          <w:p w14:paraId="6C698705" w14:textId="77777777" w:rsidR="00DD583B" w:rsidRPr="002E5C18" w:rsidRDefault="00DD583B" w:rsidP="005D2A90">
            <w:pPr>
              <w:rPr>
                <w:rFonts w:ascii="Times New Roman" w:hAnsi="Times New Roman" w:cs="Times New Roman"/>
                <w:lang w:val="fr-FR"/>
              </w:rPr>
            </w:pPr>
            <w:r w:rsidRPr="00880F37">
              <w:rPr>
                <w:rFonts w:ascii="Times New Roman" w:hAnsi="Times New Roman" w:cs="Times New Roman"/>
                <w:bCs/>
              </w:rPr>
              <w:t>Indicateur 2.2.1</w:t>
            </w:r>
            <w:r w:rsidRPr="00880F37">
              <w:rPr>
                <w:rFonts w:ascii="Times New Roman" w:hAnsi="Times New Roman" w:cs="Times New Roman"/>
              </w:rPr>
              <w:t xml:space="preserve"> Nombre de Cercles appuyés pour former et opérationnaliser des mécanismes de dialogue intercommunautaire et intracommunautaire mis en place. </w:t>
            </w:r>
          </w:p>
          <w:p w14:paraId="276DCCE5" w14:textId="77777777" w:rsidR="00DD583B" w:rsidRPr="002E5C18" w:rsidRDefault="00DD583B" w:rsidP="005D2A90">
            <w:pPr>
              <w:rPr>
                <w:rFonts w:ascii="Times New Roman" w:hAnsi="Times New Roman" w:cs="Times New Roman"/>
                <w:lang w:val="fr-FR"/>
              </w:rPr>
            </w:pPr>
          </w:p>
          <w:p w14:paraId="3A5A2D41" w14:textId="77777777" w:rsidR="00DD583B" w:rsidRPr="001A4ACD" w:rsidRDefault="00DD583B" w:rsidP="005D2A90">
            <w:pPr>
              <w:rPr>
                <w:rFonts w:ascii="Times New Roman" w:hAnsi="Times New Roman" w:cs="Times New Roman"/>
                <w:lang w:val="fr-FR"/>
              </w:rPr>
            </w:pPr>
            <w:r w:rsidRPr="001A4ACD">
              <w:rPr>
                <w:rFonts w:ascii="Times New Roman" w:hAnsi="Times New Roman" w:cs="Times New Roman"/>
                <w:lang w:val="fr-FR"/>
              </w:rPr>
              <w:t>Base : 0</w:t>
            </w:r>
          </w:p>
          <w:p w14:paraId="3086FC11" w14:textId="77777777" w:rsidR="00DD583B" w:rsidRDefault="00DD583B" w:rsidP="005D2A90">
            <w:pPr>
              <w:rPr>
                <w:rFonts w:ascii="Times New Roman" w:hAnsi="Times New Roman" w:cs="Times New Roman"/>
                <w:lang w:val="fr-FR"/>
              </w:rPr>
            </w:pPr>
            <w:r w:rsidRPr="001A4ACD">
              <w:rPr>
                <w:rFonts w:ascii="Times New Roman" w:hAnsi="Times New Roman" w:cs="Times New Roman"/>
                <w:color w:val="FF0000"/>
                <w:lang w:val="fr-FR"/>
              </w:rPr>
              <w:t xml:space="preserve">Situation en fin 2017: 6 </w:t>
            </w:r>
          </w:p>
          <w:p w14:paraId="4580EFC4" w14:textId="77777777" w:rsidR="00DD583B" w:rsidRPr="002E5C18" w:rsidRDefault="00DD583B" w:rsidP="005D2A90">
            <w:pPr>
              <w:rPr>
                <w:rFonts w:ascii="Times New Roman" w:hAnsi="Times New Roman" w:cs="Times New Roman"/>
                <w:b/>
                <w:bCs/>
                <w:lang w:val="fr-FR"/>
              </w:rPr>
            </w:pPr>
            <w:r w:rsidRPr="001A4ACD">
              <w:rPr>
                <w:rFonts w:ascii="Times New Roman" w:hAnsi="Times New Roman" w:cs="Times New Roman"/>
                <w:lang w:val="fr-FR"/>
              </w:rPr>
              <w:t>Cible: 16</w:t>
            </w:r>
          </w:p>
        </w:tc>
        <w:tc>
          <w:tcPr>
            <w:tcW w:w="4123" w:type="dxa"/>
            <w:vAlign w:val="center"/>
          </w:tcPr>
          <w:p w14:paraId="7E7B1900" w14:textId="77777777" w:rsidR="00DD583B" w:rsidRPr="002E5C18" w:rsidRDefault="00DD583B" w:rsidP="005D2A90">
            <w:pPr>
              <w:numPr>
                <w:ilvl w:val="0"/>
                <w:numId w:val="21"/>
              </w:numPr>
              <w:suppressAutoHyphens/>
              <w:rPr>
                <w:rFonts w:ascii="Times New Roman" w:hAnsi="Times New Roman" w:cs="Times New Roman"/>
                <w:lang w:val="fr-FR"/>
              </w:rPr>
            </w:pPr>
            <w:r w:rsidRPr="00880F37">
              <w:rPr>
                <w:rFonts w:ascii="Times New Roman" w:hAnsi="Times New Roman" w:cs="Times New Roman"/>
              </w:rPr>
              <w:t>Mode de calcul : Dénombrement des Cercles appuyés par les entités UN/Effet2 pour former et opérationnaliser des mécanismes de dialogue intercommunautaire et intracommunautaire mis en place.</w:t>
            </w:r>
          </w:p>
          <w:p w14:paraId="537B1D4B" w14:textId="77777777" w:rsidR="00DD583B" w:rsidRPr="002E5C18" w:rsidRDefault="00DD583B" w:rsidP="005D2A90">
            <w:pPr>
              <w:numPr>
                <w:ilvl w:val="0"/>
                <w:numId w:val="21"/>
              </w:numPr>
              <w:suppressAutoHyphens/>
              <w:rPr>
                <w:rFonts w:ascii="Times New Roman" w:hAnsi="Times New Roman" w:cs="Times New Roman"/>
                <w:lang w:val="fr-FR"/>
              </w:rPr>
            </w:pPr>
            <w:r w:rsidRPr="00880F37">
              <w:rPr>
                <w:rFonts w:ascii="Times New Roman" w:hAnsi="Times New Roman" w:cs="Times New Roman"/>
              </w:rPr>
              <w:t>Sources de données/Moyens de vérification : Données SNU</w:t>
            </w:r>
          </w:p>
          <w:p w14:paraId="351FAFAC" w14:textId="77777777" w:rsidR="00DD583B" w:rsidRPr="002E5C18" w:rsidRDefault="00DD583B" w:rsidP="005D2A90">
            <w:pPr>
              <w:numPr>
                <w:ilvl w:val="0"/>
                <w:numId w:val="21"/>
              </w:numPr>
              <w:suppressAutoHyphens/>
              <w:rPr>
                <w:rFonts w:ascii="Times New Roman" w:hAnsi="Times New Roman" w:cs="Times New Roman"/>
                <w:lang w:val="fr-FR"/>
              </w:rPr>
            </w:pPr>
            <w:r w:rsidRPr="00880F37">
              <w:rPr>
                <w:rFonts w:ascii="Times New Roman" w:hAnsi="Times New Roman" w:cs="Times New Roman"/>
              </w:rPr>
              <w:t>Périodicité : Annuelle ou moins</w:t>
            </w:r>
          </w:p>
          <w:p w14:paraId="1BA322C4" w14:textId="77777777" w:rsidR="00DD583B" w:rsidRPr="002E5C18" w:rsidRDefault="00DD583B" w:rsidP="005D2A90">
            <w:pPr>
              <w:numPr>
                <w:ilvl w:val="0"/>
                <w:numId w:val="16"/>
              </w:numPr>
              <w:ind w:left="357" w:hanging="357"/>
              <w:rPr>
                <w:rFonts w:ascii="Times New Roman" w:hAnsi="Times New Roman" w:cs="Times New Roman"/>
                <w:lang w:val="fr-FR"/>
              </w:rPr>
            </w:pPr>
            <w:r w:rsidRPr="00880F37">
              <w:rPr>
                <w:rFonts w:ascii="Times New Roman" w:hAnsi="Times New Roman" w:cs="Times New Roman"/>
              </w:rPr>
              <w:t>Maître d’œuvre : Groupe de Résultat</w:t>
            </w:r>
          </w:p>
        </w:tc>
        <w:tc>
          <w:tcPr>
            <w:tcW w:w="3077" w:type="dxa"/>
            <w:gridSpan w:val="2"/>
            <w:vMerge w:val="restart"/>
          </w:tcPr>
          <w:p w14:paraId="5C798567" w14:textId="77777777" w:rsidR="00DD583B" w:rsidRPr="002E5C18" w:rsidRDefault="00DD583B" w:rsidP="005D2A90">
            <w:pPr>
              <w:widowControl w:val="0"/>
              <w:snapToGrid w:val="0"/>
              <w:rPr>
                <w:rFonts w:cstheme="minorHAnsi"/>
                <w:lang w:val="fr-FR"/>
              </w:rPr>
            </w:pPr>
          </w:p>
          <w:p w14:paraId="3CFFB635" w14:textId="77777777" w:rsidR="00DD583B" w:rsidRPr="002E5C18" w:rsidRDefault="00DD583B" w:rsidP="005D2A90">
            <w:pPr>
              <w:widowControl w:val="0"/>
              <w:snapToGrid w:val="0"/>
              <w:rPr>
                <w:rFonts w:cstheme="minorHAnsi"/>
                <w:lang w:val="fr-FR"/>
              </w:rPr>
            </w:pPr>
          </w:p>
          <w:p w14:paraId="38FDD769" w14:textId="77777777" w:rsidR="00DD583B" w:rsidRPr="002E5C18" w:rsidRDefault="00DD583B" w:rsidP="005D2A90">
            <w:pPr>
              <w:widowControl w:val="0"/>
              <w:snapToGrid w:val="0"/>
              <w:rPr>
                <w:rFonts w:cstheme="minorHAnsi"/>
                <w:lang w:val="fr-FR"/>
              </w:rPr>
            </w:pPr>
          </w:p>
          <w:p w14:paraId="7D3DADE8" w14:textId="77777777" w:rsidR="00DD583B" w:rsidRPr="002E5C18" w:rsidRDefault="00DD583B" w:rsidP="005D2A90">
            <w:pPr>
              <w:widowControl w:val="0"/>
              <w:snapToGrid w:val="0"/>
              <w:rPr>
                <w:rFonts w:cstheme="minorHAnsi"/>
                <w:lang w:val="fr-FR"/>
              </w:rPr>
            </w:pPr>
          </w:p>
          <w:p w14:paraId="4245AA85" w14:textId="77777777" w:rsidR="00DD583B" w:rsidRPr="002E5C18" w:rsidRDefault="00DD583B" w:rsidP="005D2A90">
            <w:pPr>
              <w:widowControl w:val="0"/>
              <w:snapToGrid w:val="0"/>
              <w:rPr>
                <w:rFonts w:cstheme="minorHAnsi"/>
                <w:lang w:val="fr-FR"/>
              </w:rPr>
            </w:pPr>
          </w:p>
          <w:p w14:paraId="05AB994B" w14:textId="77777777" w:rsidR="00DD583B" w:rsidRPr="002E5C18" w:rsidRDefault="00DD583B" w:rsidP="005D2A90">
            <w:pPr>
              <w:widowControl w:val="0"/>
              <w:snapToGrid w:val="0"/>
              <w:rPr>
                <w:rFonts w:cstheme="minorHAnsi"/>
                <w:lang w:val="fr-FR"/>
              </w:rPr>
            </w:pPr>
          </w:p>
          <w:p w14:paraId="23249815" w14:textId="77777777" w:rsidR="00DD583B" w:rsidRPr="002E5C18" w:rsidRDefault="00DD583B" w:rsidP="005D2A90">
            <w:pPr>
              <w:widowControl w:val="0"/>
              <w:snapToGrid w:val="0"/>
              <w:rPr>
                <w:rFonts w:cstheme="minorHAnsi"/>
                <w:lang w:val="fr-FR"/>
              </w:rPr>
            </w:pPr>
          </w:p>
          <w:p w14:paraId="4DEB1C32" w14:textId="77777777" w:rsidR="00DD583B" w:rsidRPr="002E5C18" w:rsidRDefault="00DD583B" w:rsidP="005D2A90">
            <w:pPr>
              <w:widowControl w:val="0"/>
              <w:snapToGrid w:val="0"/>
              <w:rPr>
                <w:rFonts w:cstheme="minorHAnsi"/>
                <w:lang w:val="fr-FR"/>
              </w:rPr>
            </w:pPr>
          </w:p>
          <w:p w14:paraId="4FA57757" w14:textId="77777777" w:rsidR="00DD583B" w:rsidRPr="002E5C18" w:rsidRDefault="00DD583B" w:rsidP="005D2A90">
            <w:pPr>
              <w:widowControl w:val="0"/>
              <w:snapToGrid w:val="0"/>
              <w:rPr>
                <w:rFonts w:cstheme="minorHAnsi"/>
                <w:lang w:val="fr-FR"/>
              </w:rPr>
            </w:pPr>
          </w:p>
          <w:p w14:paraId="19E021E5" w14:textId="77777777" w:rsidR="00DD583B" w:rsidRPr="002E5C18" w:rsidRDefault="00DD583B" w:rsidP="005D2A90">
            <w:pPr>
              <w:widowControl w:val="0"/>
              <w:snapToGrid w:val="0"/>
              <w:rPr>
                <w:rFonts w:cstheme="minorHAnsi"/>
                <w:lang w:val="fr-FR"/>
              </w:rPr>
            </w:pPr>
          </w:p>
          <w:p w14:paraId="46810723" w14:textId="77777777" w:rsidR="00DD583B" w:rsidRPr="002E5C18" w:rsidRDefault="00DD583B" w:rsidP="005D2A90">
            <w:pPr>
              <w:widowControl w:val="0"/>
              <w:snapToGrid w:val="0"/>
              <w:rPr>
                <w:rFonts w:cstheme="minorHAnsi"/>
                <w:lang w:val="fr-FR"/>
              </w:rPr>
            </w:pPr>
          </w:p>
          <w:p w14:paraId="5EFBA55A" w14:textId="77777777" w:rsidR="00DD583B" w:rsidRPr="002E5C18" w:rsidRDefault="00DD583B" w:rsidP="005D2A90">
            <w:pPr>
              <w:widowControl w:val="0"/>
              <w:snapToGrid w:val="0"/>
              <w:rPr>
                <w:rFonts w:cstheme="minorHAnsi"/>
                <w:lang w:val="fr-FR"/>
              </w:rPr>
            </w:pPr>
          </w:p>
          <w:p w14:paraId="77034D27" w14:textId="77777777" w:rsidR="00DD583B" w:rsidRPr="002E5C18" w:rsidRDefault="00DD583B" w:rsidP="005D2A90">
            <w:pPr>
              <w:widowControl w:val="0"/>
              <w:snapToGrid w:val="0"/>
              <w:rPr>
                <w:rFonts w:cstheme="minorHAnsi"/>
                <w:lang w:val="fr-FR"/>
              </w:rPr>
            </w:pPr>
          </w:p>
          <w:p w14:paraId="54B3BABE" w14:textId="77777777" w:rsidR="00DD583B" w:rsidRPr="002E5C18" w:rsidRDefault="00DD583B" w:rsidP="005D2A90">
            <w:pPr>
              <w:widowControl w:val="0"/>
              <w:snapToGrid w:val="0"/>
              <w:rPr>
                <w:rFonts w:cstheme="minorHAnsi"/>
                <w:lang w:val="fr-FR"/>
              </w:rPr>
            </w:pPr>
          </w:p>
          <w:p w14:paraId="0E0FE251" w14:textId="77777777" w:rsidR="00DD583B" w:rsidRPr="002E5C18" w:rsidRDefault="00DD583B" w:rsidP="005D2A90">
            <w:pPr>
              <w:widowControl w:val="0"/>
              <w:snapToGrid w:val="0"/>
              <w:rPr>
                <w:rFonts w:cstheme="minorHAnsi"/>
                <w:lang w:val="fr-FR"/>
              </w:rPr>
            </w:pPr>
          </w:p>
          <w:p w14:paraId="126A085B" w14:textId="77777777" w:rsidR="00DD583B" w:rsidRPr="002E5C18" w:rsidRDefault="00DD583B" w:rsidP="005D2A90">
            <w:pPr>
              <w:widowControl w:val="0"/>
              <w:snapToGrid w:val="0"/>
              <w:rPr>
                <w:rFonts w:cstheme="minorHAnsi"/>
                <w:lang w:val="fr-FR"/>
              </w:rPr>
            </w:pPr>
          </w:p>
          <w:p w14:paraId="08CF571D" w14:textId="77777777" w:rsidR="00DD583B" w:rsidRPr="002E5C18" w:rsidRDefault="00DD583B" w:rsidP="005D2A90">
            <w:pPr>
              <w:widowControl w:val="0"/>
              <w:snapToGrid w:val="0"/>
              <w:rPr>
                <w:rFonts w:cstheme="minorHAnsi"/>
                <w:sz w:val="18"/>
                <w:szCs w:val="18"/>
                <w:lang w:val="fr-FR"/>
              </w:rPr>
            </w:pPr>
            <w:r w:rsidRPr="00880F37">
              <w:rPr>
                <w:rFonts w:cstheme="minorHAnsi"/>
                <w:sz w:val="18"/>
                <w:szCs w:val="18"/>
              </w:rPr>
              <w:t>Lourdeur organisationnelle  qui entrave la tenue régulière des réunions</w:t>
            </w:r>
          </w:p>
          <w:p w14:paraId="154DB507" w14:textId="77777777" w:rsidR="00DD583B" w:rsidRPr="002E5C18" w:rsidRDefault="00DD583B" w:rsidP="005D2A90">
            <w:pPr>
              <w:rPr>
                <w:lang w:val="fr-FR"/>
              </w:rPr>
            </w:pPr>
          </w:p>
        </w:tc>
        <w:tc>
          <w:tcPr>
            <w:tcW w:w="1800" w:type="dxa"/>
            <w:vMerge w:val="restart"/>
          </w:tcPr>
          <w:p w14:paraId="61267793" w14:textId="77777777" w:rsidR="00DD583B" w:rsidRPr="002E5C18" w:rsidRDefault="00DD583B" w:rsidP="005D2A90">
            <w:pPr>
              <w:widowControl w:val="0"/>
              <w:snapToGrid w:val="0"/>
              <w:rPr>
                <w:rFonts w:cstheme="minorHAnsi"/>
                <w:sz w:val="18"/>
                <w:szCs w:val="18"/>
                <w:lang w:val="fr-FR"/>
              </w:rPr>
            </w:pPr>
            <w:r w:rsidRPr="00880F37">
              <w:rPr>
                <w:rFonts w:cstheme="minorHAnsi"/>
                <w:sz w:val="18"/>
                <w:szCs w:val="18"/>
              </w:rPr>
              <w:lastRenderedPageBreak/>
              <w:t>Plaidoyer</w:t>
            </w:r>
          </w:p>
          <w:p w14:paraId="1BC63EC9" w14:textId="77777777" w:rsidR="00DD583B" w:rsidRPr="002E5C18" w:rsidRDefault="00DD583B" w:rsidP="005D2A90">
            <w:pPr>
              <w:widowControl w:val="0"/>
              <w:snapToGrid w:val="0"/>
              <w:rPr>
                <w:rFonts w:cstheme="minorHAnsi"/>
                <w:sz w:val="18"/>
                <w:szCs w:val="18"/>
                <w:lang w:val="fr-FR"/>
              </w:rPr>
            </w:pPr>
          </w:p>
          <w:p w14:paraId="1F636C94" w14:textId="77777777" w:rsidR="00DD583B" w:rsidRPr="002E5C18" w:rsidRDefault="00DD583B" w:rsidP="005D2A90">
            <w:pPr>
              <w:widowControl w:val="0"/>
              <w:snapToGrid w:val="0"/>
              <w:rPr>
                <w:rFonts w:cstheme="minorHAnsi"/>
                <w:sz w:val="18"/>
                <w:szCs w:val="18"/>
                <w:lang w:val="fr-FR"/>
              </w:rPr>
            </w:pPr>
            <w:r w:rsidRPr="00880F37">
              <w:rPr>
                <w:rFonts w:cstheme="minorHAnsi"/>
                <w:sz w:val="18"/>
                <w:szCs w:val="18"/>
              </w:rPr>
              <w:t>Assistance technique en expertise et consultation</w:t>
            </w:r>
          </w:p>
          <w:p w14:paraId="44492F26" w14:textId="77777777" w:rsidR="00DD583B" w:rsidRPr="002E5C18" w:rsidRDefault="00DD583B" w:rsidP="005D2A90">
            <w:pPr>
              <w:widowControl w:val="0"/>
              <w:snapToGrid w:val="0"/>
              <w:rPr>
                <w:rFonts w:cstheme="minorHAnsi"/>
                <w:lang w:val="fr-FR"/>
              </w:rPr>
            </w:pPr>
          </w:p>
          <w:p w14:paraId="46A2A649" w14:textId="77777777" w:rsidR="00DD583B" w:rsidRPr="002E5C18" w:rsidRDefault="00DD583B" w:rsidP="005D2A90">
            <w:pPr>
              <w:widowControl w:val="0"/>
              <w:snapToGrid w:val="0"/>
              <w:rPr>
                <w:rFonts w:cstheme="minorHAnsi"/>
                <w:lang w:val="fr-FR"/>
              </w:rPr>
            </w:pPr>
          </w:p>
          <w:p w14:paraId="68D2246B" w14:textId="77777777" w:rsidR="00DD583B" w:rsidRPr="002E5C18" w:rsidRDefault="00DD583B" w:rsidP="005D2A90">
            <w:pPr>
              <w:widowControl w:val="0"/>
              <w:snapToGrid w:val="0"/>
              <w:rPr>
                <w:rFonts w:cstheme="minorHAnsi"/>
                <w:lang w:val="fr-FR"/>
              </w:rPr>
            </w:pPr>
          </w:p>
          <w:p w14:paraId="60CC1E45" w14:textId="77777777" w:rsidR="00DD583B" w:rsidRPr="002E5C18" w:rsidRDefault="00DD583B" w:rsidP="005D2A90">
            <w:pPr>
              <w:widowControl w:val="0"/>
              <w:snapToGrid w:val="0"/>
              <w:rPr>
                <w:rFonts w:cstheme="minorHAnsi"/>
                <w:lang w:val="fr-FR"/>
              </w:rPr>
            </w:pPr>
          </w:p>
          <w:p w14:paraId="11B23182" w14:textId="77777777" w:rsidR="00DD583B" w:rsidRPr="002E5C18" w:rsidRDefault="00DD583B" w:rsidP="005D2A90">
            <w:pPr>
              <w:widowControl w:val="0"/>
              <w:snapToGrid w:val="0"/>
              <w:rPr>
                <w:rFonts w:cstheme="minorHAnsi"/>
                <w:lang w:val="fr-FR"/>
              </w:rPr>
            </w:pPr>
          </w:p>
          <w:p w14:paraId="7C22060A" w14:textId="77777777" w:rsidR="00DD583B" w:rsidRPr="002E5C18" w:rsidRDefault="00DD583B" w:rsidP="005D2A90">
            <w:pPr>
              <w:widowControl w:val="0"/>
              <w:snapToGrid w:val="0"/>
              <w:rPr>
                <w:rFonts w:cstheme="minorHAnsi"/>
                <w:lang w:val="fr-FR"/>
              </w:rPr>
            </w:pPr>
          </w:p>
          <w:p w14:paraId="404EA837" w14:textId="77777777" w:rsidR="00DD583B" w:rsidRPr="002E5C18" w:rsidRDefault="00DD583B" w:rsidP="005D2A90">
            <w:pPr>
              <w:widowControl w:val="0"/>
              <w:snapToGrid w:val="0"/>
              <w:rPr>
                <w:rFonts w:cstheme="minorHAnsi"/>
                <w:lang w:val="fr-FR"/>
              </w:rPr>
            </w:pPr>
          </w:p>
          <w:p w14:paraId="2498261E" w14:textId="77777777" w:rsidR="00DD583B" w:rsidRPr="002E5C18" w:rsidRDefault="00DD583B" w:rsidP="005D2A90">
            <w:pPr>
              <w:widowControl w:val="0"/>
              <w:snapToGrid w:val="0"/>
              <w:rPr>
                <w:rFonts w:cstheme="minorHAnsi"/>
                <w:lang w:val="fr-FR"/>
              </w:rPr>
            </w:pPr>
          </w:p>
          <w:p w14:paraId="7BFB0218" w14:textId="77777777" w:rsidR="00DD583B" w:rsidRPr="002E5C18" w:rsidRDefault="00DD583B" w:rsidP="005D2A90">
            <w:pPr>
              <w:widowControl w:val="0"/>
              <w:snapToGrid w:val="0"/>
              <w:rPr>
                <w:rFonts w:cstheme="minorHAnsi"/>
                <w:lang w:val="fr-FR"/>
              </w:rPr>
            </w:pPr>
          </w:p>
          <w:p w14:paraId="678C5192" w14:textId="77777777" w:rsidR="00DD583B" w:rsidRPr="002E5C18" w:rsidRDefault="00DD583B" w:rsidP="005D2A90">
            <w:pPr>
              <w:widowControl w:val="0"/>
              <w:snapToGrid w:val="0"/>
              <w:rPr>
                <w:rFonts w:cstheme="minorHAnsi"/>
                <w:lang w:val="fr-FR"/>
              </w:rPr>
            </w:pPr>
          </w:p>
          <w:p w14:paraId="0D223BD0" w14:textId="77777777" w:rsidR="00DD583B" w:rsidRPr="002E5C18" w:rsidRDefault="00DD583B" w:rsidP="005D2A90">
            <w:pPr>
              <w:widowControl w:val="0"/>
              <w:snapToGrid w:val="0"/>
              <w:rPr>
                <w:rFonts w:cstheme="minorHAnsi"/>
                <w:lang w:val="fr-FR"/>
              </w:rPr>
            </w:pPr>
          </w:p>
          <w:p w14:paraId="755D5202" w14:textId="77777777" w:rsidR="00DD583B" w:rsidRPr="002E5C18" w:rsidRDefault="00DD583B" w:rsidP="005D2A90">
            <w:pPr>
              <w:widowControl w:val="0"/>
              <w:snapToGrid w:val="0"/>
              <w:rPr>
                <w:rFonts w:cstheme="minorHAnsi"/>
                <w:lang w:val="fr-FR"/>
              </w:rPr>
            </w:pPr>
          </w:p>
          <w:p w14:paraId="18200074" w14:textId="77777777" w:rsidR="00DD583B" w:rsidRPr="002E5C18" w:rsidRDefault="00DD583B" w:rsidP="005D2A90">
            <w:pPr>
              <w:widowControl w:val="0"/>
              <w:snapToGrid w:val="0"/>
              <w:rPr>
                <w:rFonts w:cstheme="minorHAnsi"/>
                <w:lang w:val="fr-FR"/>
              </w:rPr>
            </w:pPr>
          </w:p>
          <w:p w14:paraId="1EBE2102" w14:textId="77777777" w:rsidR="00DD583B" w:rsidRPr="002E5C18" w:rsidRDefault="00DD583B" w:rsidP="005D2A90">
            <w:pPr>
              <w:widowControl w:val="0"/>
              <w:snapToGrid w:val="0"/>
              <w:rPr>
                <w:rFonts w:cstheme="minorHAnsi"/>
                <w:lang w:val="fr-FR"/>
              </w:rPr>
            </w:pPr>
          </w:p>
          <w:p w14:paraId="7F050C69" w14:textId="77777777" w:rsidR="00DD583B" w:rsidRPr="002E5C18" w:rsidRDefault="00DD583B" w:rsidP="005D2A90">
            <w:pPr>
              <w:widowControl w:val="0"/>
              <w:snapToGrid w:val="0"/>
              <w:rPr>
                <w:rFonts w:cstheme="minorHAnsi"/>
                <w:lang w:val="fr-FR"/>
              </w:rPr>
            </w:pPr>
          </w:p>
          <w:p w14:paraId="7FBA0B4E" w14:textId="77777777" w:rsidR="00DD583B" w:rsidRPr="002E5C18" w:rsidRDefault="00DD583B" w:rsidP="005D2A90">
            <w:pPr>
              <w:widowControl w:val="0"/>
              <w:snapToGrid w:val="0"/>
              <w:rPr>
                <w:rFonts w:cstheme="minorHAnsi"/>
                <w:lang w:val="fr-FR"/>
              </w:rPr>
            </w:pPr>
          </w:p>
          <w:p w14:paraId="1F50B695" w14:textId="77777777" w:rsidR="00DD583B" w:rsidRPr="002E5C18" w:rsidRDefault="00DD583B" w:rsidP="005D2A90">
            <w:pPr>
              <w:widowControl w:val="0"/>
              <w:snapToGrid w:val="0"/>
              <w:rPr>
                <w:rFonts w:cstheme="minorHAnsi"/>
                <w:lang w:val="fr-FR"/>
              </w:rPr>
            </w:pPr>
          </w:p>
          <w:p w14:paraId="767946B8" w14:textId="77777777" w:rsidR="00DD583B" w:rsidRPr="002E5C18" w:rsidRDefault="00DD583B" w:rsidP="005D2A90">
            <w:pPr>
              <w:widowControl w:val="0"/>
              <w:snapToGrid w:val="0"/>
              <w:rPr>
                <w:rFonts w:cstheme="minorHAnsi"/>
                <w:lang w:val="fr-FR"/>
              </w:rPr>
            </w:pPr>
          </w:p>
          <w:p w14:paraId="259B03D2" w14:textId="77777777" w:rsidR="00DD583B" w:rsidRPr="002E5C18" w:rsidRDefault="00DD583B" w:rsidP="005D2A90">
            <w:pPr>
              <w:widowControl w:val="0"/>
              <w:snapToGrid w:val="0"/>
              <w:rPr>
                <w:rFonts w:cstheme="minorHAnsi"/>
                <w:lang w:val="fr-FR"/>
              </w:rPr>
            </w:pPr>
          </w:p>
          <w:p w14:paraId="46EE563F" w14:textId="77777777" w:rsidR="00DD583B" w:rsidRPr="002E5C18" w:rsidRDefault="00DD583B" w:rsidP="005D2A90">
            <w:pPr>
              <w:widowControl w:val="0"/>
              <w:snapToGrid w:val="0"/>
              <w:rPr>
                <w:rFonts w:cstheme="minorHAnsi"/>
                <w:lang w:val="fr-FR"/>
              </w:rPr>
            </w:pPr>
          </w:p>
          <w:p w14:paraId="406F8940" w14:textId="77777777" w:rsidR="00DD583B" w:rsidRPr="002E5C18" w:rsidRDefault="00DD583B" w:rsidP="005D2A90">
            <w:pPr>
              <w:widowControl w:val="0"/>
              <w:snapToGrid w:val="0"/>
              <w:rPr>
                <w:rFonts w:cstheme="minorHAnsi"/>
                <w:lang w:val="fr-FR"/>
              </w:rPr>
            </w:pPr>
          </w:p>
          <w:p w14:paraId="11F13857" w14:textId="77777777" w:rsidR="00DD583B" w:rsidRPr="002E5C18" w:rsidRDefault="00DD583B" w:rsidP="005D2A90">
            <w:pPr>
              <w:widowControl w:val="0"/>
              <w:snapToGrid w:val="0"/>
              <w:rPr>
                <w:rFonts w:cstheme="minorHAnsi"/>
                <w:sz w:val="18"/>
                <w:szCs w:val="18"/>
                <w:lang w:val="fr-FR"/>
              </w:rPr>
            </w:pPr>
            <w:r w:rsidRPr="00880F37">
              <w:rPr>
                <w:rFonts w:cstheme="minorHAnsi"/>
                <w:sz w:val="18"/>
                <w:szCs w:val="18"/>
              </w:rPr>
              <w:t>Plaidoyer</w:t>
            </w:r>
          </w:p>
          <w:p w14:paraId="6E0B1E25" w14:textId="77777777" w:rsidR="00DD583B" w:rsidRPr="002E5C18" w:rsidRDefault="00DD583B" w:rsidP="005D2A90">
            <w:pPr>
              <w:widowControl w:val="0"/>
              <w:snapToGrid w:val="0"/>
              <w:rPr>
                <w:rFonts w:cstheme="minorHAnsi"/>
                <w:sz w:val="18"/>
                <w:szCs w:val="18"/>
                <w:lang w:val="fr-FR"/>
              </w:rPr>
            </w:pPr>
          </w:p>
          <w:p w14:paraId="3B9068A7" w14:textId="77777777" w:rsidR="00DD583B" w:rsidRPr="002E5C18" w:rsidRDefault="00DD583B" w:rsidP="005D2A90">
            <w:pPr>
              <w:widowControl w:val="0"/>
              <w:snapToGrid w:val="0"/>
              <w:rPr>
                <w:rFonts w:cstheme="minorHAnsi"/>
                <w:sz w:val="18"/>
                <w:szCs w:val="18"/>
                <w:lang w:val="fr-FR"/>
              </w:rPr>
            </w:pPr>
            <w:r w:rsidRPr="00880F37">
              <w:rPr>
                <w:rFonts w:cstheme="minorHAnsi"/>
                <w:sz w:val="18"/>
                <w:szCs w:val="18"/>
              </w:rPr>
              <w:t>Appui technique et logistique</w:t>
            </w:r>
          </w:p>
          <w:p w14:paraId="2E0BA835" w14:textId="77777777" w:rsidR="00DD583B" w:rsidRPr="002E5C18" w:rsidRDefault="00DD583B" w:rsidP="005D2A90">
            <w:pPr>
              <w:widowControl w:val="0"/>
              <w:snapToGrid w:val="0"/>
              <w:rPr>
                <w:rFonts w:cstheme="minorHAnsi"/>
                <w:lang w:val="fr-FR"/>
              </w:rPr>
            </w:pPr>
          </w:p>
          <w:p w14:paraId="793D798F" w14:textId="77777777" w:rsidR="00DD583B" w:rsidRPr="002E5C18" w:rsidRDefault="00DD583B" w:rsidP="005D2A90">
            <w:pPr>
              <w:widowControl w:val="0"/>
              <w:snapToGrid w:val="0"/>
              <w:ind w:left="-2" w:right="-144"/>
              <w:rPr>
                <w:rFonts w:cstheme="minorHAnsi"/>
                <w:sz w:val="18"/>
                <w:szCs w:val="18"/>
                <w:lang w:val="fr-FR"/>
              </w:rPr>
            </w:pPr>
            <w:r w:rsidRPr="00880F37">
              <w:rPr>
                <w:rFonts w:cstheme="minorHAnsi"/>
                <w:sz w:val="18"/>
                <w:szCs w:val="18"/>
              </w:rPr>
              <w:t xml:space="preserve">Mise en œuvre, </w:t>
            </w:r>
          </w:p>
          <w:p w14:paraId="6B933728" w14:textId="77777777" w:rsidR="00DD583B" w:rsidRPr="002E5C18" w:rsidRDefault="00DD583B" w:rsidP="005D2A90">
            <w:pPr>
              <w:widowControl w:val="0"/>
              <w:snapToGrid w:val="0"/>
              <w:ind w:left="-2" w:right="-144"/>
              <w:rPr>
                <w:rFonts w:cstheme="minorHAnsi"/>
                <w:sz w:val="18"/>
                <w:szCs w:val="18"/>
                <w:lang w:val="fr-FR"/>
              </w:rPr>
            </w:pPr>
            <w:r w:rsidRPr="00880F37">
              <w:rPr>
                <w:rFonts w:cstheme="minorHAnsi"/>
                <w:sz w:val="18"/>
                <w:szCs w:val="18"/>
              </w:rPr>
              <w:t xml:space="preserve">Coordination, </w:t>
            </w:r>
          </w:p>
          <w:p w14:paraId="09B7EC2D" w14:textId="77777777" w:rsidR="00DD583B" w:rsidRPr="002E5C18" w:rsidRDefault="00DD583B" w:rsidP="005D2A90">
            <w:pPr>
              <w:widowControl w:val="0"/>
              <w:snapToGrid w:val="0"/>
              <w:ind w:right="-144"/>
              <w:rPr>
                <w:rFonts w:cstheme="minorHAnsi"/>
                <w:sz w:val="18"/>
                <w:szCs w:val="18"/>
                <w:lang w:val="fr-FR"/>
              </w:rPr>
            </w:pPr>
          </w:p>
          <w:p w14:paraId="6FEC2A86" w14:textId="77777777" w:rsidR="00DD583B" w:rsidRPr="002E5C18" w:rsidRDefault="00DD583B" w:rsidP="005D2A90">
            <w:pPr>
              <w:widowControl w:val="0"/>
              <w:snapToGrid w:val="0"/>
              <w:ind w:left="-2" w:right="-144"/>
              <w:rPr>
                <w:rFonts w:cstheme="minorHAnsi"/>
                <w:sz w:val="18"/>
                <w:szCs w:val="18"/>
                <w:lang w:val="fr-FR"/>
              </w:rPr>
            </w:pPr>
            <w:r w:rsidRPr="00880F37">
              <w:rPr>
                <w:rFonts w:cstheme="minorHAnsi"/>
                <w:sz w:val="18"/>
                <w:szCs w:val="18"/>
              </w:rPr>
              <w:t xml:space="preserve">Financement, </w:t>
            </w:r>
          </w:p>
          <w:p w14:paraId="52284F04" w14:textId="77777777" w:rsidR="00DD583B" w:rsidRPr="002E5C18" w:rsidRDefault="00DD583B" w:rsidP="005D2A90">
            <w:pPr>
              <w:widowControl w:val="0"/>
              <w:snapToGrid w:val="0"/>
              <w:ind w:left="-2" w:right="-144"/>
              <w:rPr>
                <w:rFonts w:cstheme="minorHAnsi"/>
                <w:sz w:val="18"/>
                <w:szCs w:val="18"/>
                <w:lang w:val="fr-FR"/>
              </w:rPr>
            </w:pPr>
            <w:r w:rsidRPr="00880F37">
              <w:rPr>
                <w:rFonts w:cstheme="minorHAnsi"/>
                <w:sz w:val="18"/>
                <w:szCs w:val="18"/>
              </w:rPr>
              <w:t>Suivi et rapportage</w:t>
            </w:r>
          </w:p>
          <w:p w14:paraId="6F6C1B80" w14:textId="77777777" w:rsidR="00DD583B" w:rsidRPr="002E5C18" w:rsidRDefault="00DD583B" w:rsidP="005D2A90">
            <w:pPr>
              <w:widowControl w:val="0"/>
              <w:snapToGrid w:val="0"/>
              <w:ind w:left="-2" w:right="-144"/>
              <w:rPr>
                <w:rFonts w:cstheme="minorHAnsi"/>
                <w:sz w:val="18"/>
                <w:szCs w:val="18"/>
                <w:lang w:val="fr-FR"/>
              </w:rPr>
            </w:pPr>
          </w:p>
          <w:p w14:paraId="2B5D6CA8" w14:textId="6374A4E0" w:rsidR="00DD583B" w:rsidRPr="00186DD5" w:rsidRDefault="00DD583B" w:rsidP="00186DD5">
            <w:pPr>
              <w:widowControl w:val="0"/>
              <w:snapToGrid w:val="0"/>
              <w:rPr>
                <w:rFonts w:cstheme="minorHAnsi"/>
                <w:lang w:val="fr-FR"/>
              </w:rPr>
            </w:pPr>
            <w:r w:rsidRPr="00880F37">
              <w:rPr>
                <w:rFonts w:cstheme="minorHAnsi"/>
                <w:sz w:val="18"/>
                <w:szCs w:val="18"/>
              </w:rPr>
              <w:t>Evaluation des capacités des collectivités territoriales</w:t>
            </w:r>
          </w:p>
        </w:tc>
        <w:tc>
          <w:tcPr>
            <w:tcW w:w="995" w:type="dxa"/>
            <w:vMerge w:val="restart"/>
          </w:tcPr>
          <w:p w14:paraId="3A1E359C" w14:textId="77777777" w:rsidR="00DD583B" w:rsidRPr="002E5C18" w:rsidRDefault="00DD583B" w:rsidP="005D2A90">
            <w:pPr>
              <w:rPr>
                <w:lang w:val="fr-FR"/>
              </w:rPr>
            </w:pPr>
          </w:p>
        </w:tc>
      </w:tr>
      <w:tr w:rsidR="00DD583B" w:rsidRPr="002E5C18" w14:paraId="67196E39" w14:textId="77777777" w:rsidTr="00186DD5">
        <w:tc>
          <w:tcPr>
            <w:tcW w:w="2590" w:type="dxa"/>
            <w:vMerge/>
            <w:shd w:val="clear" w:color="auto" w:fill="DBE5F1" w:themeFill="accent1" w:themeFillTint="33"/>
            <w:vAlign w:val="center"/>
          </w:tcPr>
          <w:p w14:paraId="4FA77A51" w14:textId="77777777" w:rsidR="00DD583B" w:rsidRPr="002E5C18" w:rsidRDefault="00DD583B" w:rsidP="005D2A90">
            <w:pPr>
              <w:rPr>
                <w:lang w:val="fr-FR"/>
              </w:rPr>
            </w:pPr>
          </w:p>
        </w:tc>
        <w:tc>
          <w:tcPr>
            <w:tcW w:w="2583" w:type="dxa"/>
            <w:vAlign w:val="center"/>
          </w:tcPr>
          <w:p w14:paraId="670C4E10" w14:textId="77777777" w:rsidR="00DD583B" w:rsidRPr="002E5C18" w:rsidRDefault="00DD583B" w:rsidP="005D2A90">
            <w:pPr>
              <w:rPr>
                <w:rFonts w:ascii="Times New Roman" w:hAnsi="Times New Roman" w:cs="Times New Roman"/>
                <w:lang w:val="fr-FR"/>
              </w:rPr>
            </w:pPr>
            <w:r w:rsidRPr="00880F37">
              <w:rPr>
                <w:rFonts w:ascii="Times New Roman" w:hAnsi="Times New Roman" w:cs="Times New Roman"/>
                <w:bCs/>
              </w:rPr>
              <w:t>Indicateur 2.2.2</w:t>
            </w:r>
            <w:r w:rsidRPr="00880F37">
              <w:rPr>
                <w:rFonts w:ascii="Times New Roman" w:hAnsi="Times New Roman" w:cs="Times New Roman"/>
              </w:rPr>
              <w:t xml:space="preserve"> Nombre de médiateurs (communautaires issus de l’administration </w:t>
            </w:r>
            <w:r w:rsidRPr="00880F37">
              <w:rPr>
                <w:rFonts w:ascii="Times New Roman" w:hAnsi="Times New Roman" w:cs="Times New Roman"/>
              </w:rPr>
              <w:lastRenderedPageBreak/>
              <w:t>locale, de la société civile, et des communautés religieuses) formés en prévention/gestion des conflits à l’échelle communautaire</w:t>
            </w:r>
          </w:p>
          <w:p w14:paraId="5E1BB771" w14:textId="77777777" w:rsidR="00DD583B" w:rsidRPr="002E5C18" w:rsidRDefault="00DD583B" w:rsidP="005D2A90">
            <w:pPr>
              <w:rPr>
                <w:rFonts w:ascii="Times New Roman" w:hAnsi="Times New Roman" w:cs="Times New Roman"/>
                <w:lang w:val="fr-FR"/>
              </w:rPr>
            </w:pPr>
          </w:p>
          <w:p w14:paraId="68595F03" w14:textId="77777777" w:rsidR="00DD583B" w:rsidRPr="001A4ACD" w:rsidRDefault="00DD583B" w:rsidP="005D2A90">
            <w:pPr>
              <w:rPr>
                <w:rFonts w:ascii="Times New Roman" w:hAnsi="Times New Roman" w:cs="Times New Roman"/>
                <w:lang w:val="fr-FR"/>
              </w:rPr>
            </w:pPr>
            <w:r w:rsidRPr="001A4ACD">
              <w:rPr>
                <w:rFonts w:ascii="Times New Roman" w:hAnsi="Times New Roman" w:cs="Times New Roman"/>
                <w:lang w:val="fr-FR"/>
              </w:rPr>
              <w:t>Base : 0</w:t>
            </w:r>
          </w:p>
          <w:p w14:paraId="479EE4AF" w14:textId="77777777" w:rsidR="00DD583B" w:rsidRPr="001A4ACD" w:rsidRDefault="00DD583B" w:rsidP="005D2A90">
            <w:pPr>
              <w:rPr>
                <w:rFonts w:ascii="Times New Roman" w:hAnsi="Times New Roman" w:cs="Times New Roman"/>
                <w:color w:val="FF0000"/>
                <w:lang w:val="fr-FR"/>
              </w:rPr>
            </w:pPr>
            <w:r w:rsidRPr="001A4ACD">
              <w:rPr>
                <w:rFonts w:ascii="Times New Roman" w:hAnsi="Times New Roman" w:cs="Times New Roman"/>
                <w:color w:val="FF0000"/>
                <w:lang w:val="fr-FR"/>
              </w:rPr>
              <w:t>Situation en fin 2017: 200</w:t>
            </w:r>
          </w:p>
          <w:p w14:paraId="35B7EB4F" w14:textId="77777777" w:rsidR="00DD583B" w:rsidRPr="002E5C18" w:rsidRDefault="00DD583B" w:rsidP="005D2A90">
            <w:pPr>
              <w:rPr>
                <w:rFonts w:ascii="Times New Roman" w:hAnsi="Times New Roman" w:cs="Times New Roman"/>
                <w:b/>
                <w:bCs/>
                <w:lang w:val="fr-FR"/>
              </w:rPr>
            </w:pPr>
            <w:r w:rsidRPr="001A4ACD">
              <w:rPr>
                <w:rFonts w:ascii="Times New Roman" w:hAnsi="Times New Roman" w:cs="Times New Roman"/>
                <w:lang w:val="fr-FR"/>
              </w:rPr>
              <w:t>Cible: 200</w:t>
            </w:r>
          </w:p>
        </w:tc>
        <w:tc>
          <w:tcPr>
            <w:tcW w:w="4123" w:type="dxa"/>
            <w:vAlign w:val="center"/>
          </w:tcPr>
          <w:p w14:paraId="6BCB1874" w14:textId="77777777" w:rsidR="00DD583B" w:rsidRPr="002E5C18" w:rsidRDefault="00DD583B" w:rsidP="005D2A90">
            <w:pPr>
              <w:numPr>
                <w:ilvl w:val="0"/>
                <w:numId w:val="22"/>
              </w:numPr>
              <w:suppressAutoHyphens/>
              <w:rPr>
                <w:rFonts w:ascii="Times New Roman" w:hAnsi="Times New Roman" w:cs="Times New Roman"/>
                <w:lang w:val="fr-FR"/>
              </w:rPr>
            </w:pPr>
            <w:r w:rsidRPr="00880F37">
              <w:rPr>
                <w:rFonts w:ascii="Times New Roman" w:hAnsi="Times New Roman" w:cs="Times New Roman"/>
              </w:rPr>
              <w:lastRenderedPageBreak/>
              <w:t xml:space="preserve">Mode de calcul : Dénombrement, auprès des entités UN/Effet2,  des  médiateurs (communautaires issus de l’administration </w:t>
            </w:r>
            <w:r w:rsidRPr="00880F37">
              <w:rPr>
                <w:rFonts w:ascii="Times New Roman" w:hAnsi="Times New Roman" w:cs="Times New Roman"/>
              </w:rPr>
              <w:lastRenderedPageBreak/>
              <w:t>locale, de la société civile, et des communautés religieuses) qu’elles ont formés en prévention/gestion des conflits à l’échelle communautaire</w:t>
            </w:r>
          </w:p>
          <w:p w14:paraId="6976036A" w14:textId="77777777" w:rsidR="00DD583B" w:rsidRPr="002E5C18" w:rsidRDefault="00DD583B" w:rsidP="005D2A90">
            <w:pPr>
              <w:numPr>
                <w:ilvl w:val="0"/>
                <w:numId w:val="22"/>
              </w:numPr>
              <w:suppressAutoHyphens/>
              <w:rPr>
                <w:rFonts w:ascii="Times New Roman" w:hAnsi="Times New Roman" w:cs="Times New Roman"/>
                <w:lang w:val="fr-FR"/>
              </w:rPr>
            </w:pPr>
            <w:r w:rsidRPr="00880F37">
              <w:rPr>
                <w:rFonts w:ascii="Times New Roman" w:hAnsi="Times New Roman" w:cs="Times New Roman"/>
              </w:rPr>
              <w:t>Sources de données/Moyens de vérification : Données SNU/Effet</w:t>
            </w:r>
            <w:r>
              <w:rPr>
                <w:rFonts w:ascii="Times New Roman" w:hAnsi="Times New Roman" w:cs="Times New Roman"/>
              </w:rPr>
              <w:t>2</w:t>
            </w:r>
          </w:p>
          <w:p w14:paraId="6F6DDB49" w14:textId="77777777" w:rsidR="00DD583B" w:rsidRPr="002E5C18" w:rsidRDefault="00DD583B" w:rsidP="005D2A90">
            <w:pPr>
              <w:numPr>
                <w:ilvl w:val="0"/>
                <w:numId w:val="22"/>
              </w:numPr>
              <w:suppressAutoHyphens/>
              <w:rPr>
                <w:rFonts w:ascii="Times New Roman" w:hAnsi="Times New Roman" w:cs="Times New Roman"/>
                <w:lang w:val="fr-FR"/>
              </w:rPr>
            </w:pPr>
            <w:r w:rsidRPr="00880F37">
              <w:rPr>
                <w:rFonts w:ascii="Times New Roman" w:hAnsi="Times New Roman" w:cs="Times New Roman"/>
              </w:rPr>
              <w:t>Périodicité : Annuelle ou moins</w:t>
            </w:r>
          </w:p>
          <w:p w14:paraId="6482814B" w14:textId="77777777" w:rsidR="00DD583B" w:rsidRPr="002E5C18" w:rsidRDefault="00DD583B" w:rsidP="005D2A90">
            <w:pPr>
              <w:numPr>
                <w:ilvl w:val="0"/>
                <w:numId w:val="16"/>
              </w:numPr>
              <w:ind w:left="357" w:hanging="357"/>
              <w:rPr>
                <w:rFonts w:ascii="Times New Roman" w:hAnsi="Times New Roman" w:cs="Times New Roman"/>
                <w:lang w:val="fr-FR"/>
              </w:rPr>
            </w:pPr>
            <w:r w:rsidRPr="00880F37">
              <w:rPr>
                <w:rFonts w:ascii="Times New Roman" w:hAnsi="Times New Roman" w:cs="Times New Roman"/>
              </w:rPr>
              <w:t>Maître d’œuvre : Groupe de Résultat</w:t>
            </w:r>
          </w:p>
        </w:tc>
        <w:tc>
          <w:tcPr>
            <w:tcW w:w="3077" w:type="dxa"/>
            <w:gridSpan w:val="2"/>
            <w:vMerge/>
          </w:tcPr>
          <w:p w14:paraId="7DA70B29" w14:textId="77777777" w:rsidR="00DD583B" w:rsidRPr="002E5C18" w:rsidRDefault="00DD583B" w:rsidP="005D2A90">
            <w:pPr>
              <w:rPr>
                <w:lang w:val="fr-FR"/>
              </w:rPr>
            </w:pPr>
          </w:p>
        </w:tc>
        <w:tc>
          <w:tcPr>
            <w:tcW w:w="1800" w:type="dxa"/>
            <w:vMerge/>
          </w:tcPr>
          <w:p w14:paraId="0C6419D6" w14:textId="77777777" w:rsidR="00DD583B" w:rsidRPr="002E5C18" w:rsidRDefault="00DD583B" w:rsidP="005D2A90">
            <w:pPr>
              <w:rPr>
                <w:lang w:val="fr-FR"/>
              </w:rPr>
            </w:pPr>
          </w:p>
        </w:tc>
        <w:tc>
          <w:tcPr>
            <w:tcW w:w="995" w:type="dxa"/>
            <w:vMerge/>
          </w:tcPr>
          <w:p w14:paraId="773FD69E" w14:textId="77777777" w:rsidR="00DD583B" w:rsidRPr="002E5C18" w:rsidRDefault="00DD583B" w:rsidP="005D2A90">
            <w:pPr>
              <w:rPr>
                <w:lang w:val="fr-FR"/>
              </w:rPr>
            </w:pPr>
          </w:p>
        </w:tc>
      </w:tr>
      <w:tr w:rsidR="00DD583B" w:rsidRPr="002E5C18" w14:paraId="5A1FCECE" w14:textId="77777777" w:rsidTr="00186DD5">
        <w:tc>
          <w:tcPr>
            <w:tcW w:w="2590" w:type="dxa"/>
            <w:vMerge/>
            <w:shd w:val="clear" w:color="auto" w:fill="DBE5F1" w:themeFill="accent1" w:themeFillTint="33"/>
            <w:vAlign w:val="center"/>
          </w:tcPr>
          <w:p w14:paraId="55A6603D" w14:textId="77777777" w:rsidR="00DD583B" w:rsidRPr="002E5C18" w:rsidRDefault="00DD583B" w:rsidP="005D2A90">
            <w:pPr>
              <w:rPr>
                <w:lang w:val="fr-FR"/>
              </w:rPr>
            </w:pPr>
          </w:p>
        </w:tc>
        <w:tc>
          <w:tcPr>
            <w:tcW w:w="2583" w:type="dxa"/>
            <w:vAlign w:val="center"/>
          </w:tcPr>
          <w:p w14:paraId="6AC6F4B3" w14:textId="77777777" w:rsidR="00DD583B" w:rsidRPr="002E5C18" w:rsidRDefault="00DD583B" w:rsidP="005D2A90">
            <w:pPr>
              <w:rPr>
                <w:rFonts w:ascii="Times New Roman" w:hAnsi="Times New Roman" w:cs="Times New Roman"/>
                <w:lang w:val="fr-FR"/>
              </w:rPr>
            </w:pPr>
            <w:r w:rsidRPr="001C4A80">
              <w:rPr>
                <w:rFonts w:ascii="Times New Roman" w:hAnsi="Times New Roman" w:cs="Times New Roman"/>
                <w:bCs/>
              </w:rPr>
              <w:t>Indicateur</w:t>
            </w:r>
            <w:r w:rsidRPr="001C4A80" w:rsidDel="001C4A80">
              <w:rPr>
                <w:rFonts w:ascii="Times New Roman" w:hAnsi="Times New Roman" w:cs="Times New Roman"/>
                <w:bCs/>
              </w:rPr>
              <w:t xml:space="preserve"> </w:t>
            </w:r>
            <w:r w:rsidRPr="00880F37">
              <w:rPr>
                <w:rFonts w:ascii="Times New Roman" w:hAnsi="Times New Roman" w:cs="Times New Roman"/>
                <w:bCs/>
              </w:rPr>
              <w:t xml:space="preserve">2.2.3. Proportion de femmes parmi les </w:t>
            </w:r>
            <w:r w:rsidRPr="00880F37">
              <w:rPr>
                <w:rFonts w:ascii="Times New Roman" w:hAnsi="Times New Roman" w:cs="Times New Roman"/>
              </w:rPr>
              <w:t>médiateurs (communautaires issus de l’administration locale, de la société civile, et des communautés religieuses) formés en prévention/gestion des conflits à l’échelle communautaire</w:t>
            </w:r>
          </w:p>
          <w:p w14:paraId="6DA6707C" w14:textId="77777777" w:rsidR="00DD583B" w:rsidRPr="002E5C18" w:rsidRDefault="00DD583B" w:rsidP="005D2A90">
            <w:pPr>
              <w:rPr>
                <w:rFonts w:ascii="Times New Roman" w:hAnsi="Times New Roman" w:cs="Times New Roman"/>
                <w:lang w:val="fr-FR"/>
              </w:rPr>
            </w:pPr>
          </w:p>
          <w:p w14:paraId="25362FD2" w14:textId="77777777" w:rsidR="00DD583B" w:rsidRPr="000518CD" w:rsidRDefault="00DD583B" w:rsidP="005D2A90">
            <w:pPr>
              <w:rPr>
                <w:rFonts w:ascii="Times New Roman" w:eastAsiaTheme="minorHAnsi" w:hAnsi="Times New Roman" w:cs="Times New Roman"/>
                <w:lang w:val="fr-FR" w:eastAsia="en-US"/>
              </w:rPr>
            </w:pPr>
            <w:r w:rsidRPr="000518CD">
              <w:rPr>
                <w:rFonts w:ascii="Times New Roman" w:eastAsiaTheme="minorHAnsi" w:hAnsi="Times New Roman" w:cs="Times New Roman"/>
                <w:lang w:val="fr-FR" w:eastAsia="en-US"/>
              </w:rPr>
              <w:t>Base : 0</w:t>
            </w:r>
          </w:p>
          <w:p w14:paraId="2AD55EFC" w14:textId="77777777" w:rsidR="00DD583B" w:rsidRPr="000518CD" w:rsidRDefault="00DD583B" w:rsidP="005D2A90">
            <w:pPr>
              <w:snapToGrid w:val="0"/>
              <w:rPr>
                <w:rFonts w:ascii="Calibri" w:eastAsiaTheme="minorHAnsi" w:hAnsi="Calibri" w:cstheme="minorBidi"/>
                <w:color w:val="FF0000"/>
                <w:lang w:val="fr-FR" w:eastAsia="en-US"/>
              </w:rPr>
            </w:pPr>
            <w:r w:rsidRPr="000518CD">
              <w:rPr>
                <w:rFonts w:ascii="Calibri" w:eastAsiaTheme="minorHAnsi" w:hAnsi="Calibri" w:cstheme="minorBidi"/>
                <w:color w:val="FF0000"/>
                <w:lang w:val="fr-FR" w:eastAsia="en-US"/>
              </w:rPr>
              <w:t>Situation en fin 2017: 43%</w:t>
            </w:r>
          </w:p>
          <w:p w14:paraId="56A9BF44" w14:textId="77777777" w:rsidR="00DD583B" w:rsidRPr="002E5C18" w:rsidRDefault="00DD583B" w:rsidP="005D2A90">
            <w:pPr>
              <w:rPr>
                <w:rFonts w:ascii="Times New Roman" w:hAnsi="Times New Roman" w:cs="Times New Roman"/>
                <w:b/>
                <w:bCs/>
                <w:lang w:val="fr-FR"/>
              </w:rPr>
            </w:pPr>
            <w:r w:rsidRPr="000518CD">
              <w:rPr>
                <w:rFonts w:ascii="Times New Roman" w:eastAsiaTheme="minorHAnsi" w:hAnsi="Times New Roman" w:cs="Times New Roman"/>
                <w:lang w:val="fr-FR" w:eastAsia="en-US"/>
              </w:rPr>
              <w:t>Cible: 80%</w:t>
            </w:r>
          </w:p>
        </w:tc>
        <w:tc>
          <w:tcPr>
            <w:tcW w:w="4123" w:type="dxa"/>
            <w:vAlign w:val="center"/>
          </w:tcPr>
          <w:p w14:paraId="491B65C0" w14:textId="77777777" w:rsidR="00DD583B" w:rsidRPr="002E5C18" w:rsidRDefault="00DD583B" w:rsidP="005D2A90">
            <w:pPr>
              <w:numPr>
                <w:ilvl w:val="0"/>
                <w:numId w:val="23"/>
              </w:numPr>
              <w:suppressAutoHyphens/>
              <w:rPr>
                <w:rFonts w:ascii="Times New Roman" w:hAnsi="Times New Roman" w:cs="Times New Roman"/>
                <w:lang w:val="fr-FR"/>
              </w:rPr>
            </w:pPr>
            <w:r w:rsidRPr="00880F37">
              <w:rPr>
                <w:rFonts w:ascii="Times New Roman" w:hAnsi="Times New Roman" w:cs="Times New Roman"/>
              </w:rPr>
              <w:t>Mode de calcul : Rapport Nb de femmes formées par les entités UN/Effe2 en prévention des conflits à l’échelle communautaire/Nb global de   médiateurs (communautaires issus de l’administration locale, de la société civile, et des communautés religieuses) formés par les entités UN/Effet2 en prévention/gestion des conflits à l’échelle communautaire</w:t>
            </w:r>
          </w:p>
          <w:p w14:paraId="3B1B4C9E" w14:textId="77777777" w:rsidR="00DD583B" w:rsidRPr="002E5C18" w:rsidRDefault="00DD583B" w:rsidP="005D2A90">
            <w:pPr>
              <w:numPr>
                <w:ilvl w:val="0"/>
                <w:numId w:val="23"/>
              </w:numPr>
              <w:suppressAutoHyphens/>
              <w:rPr>
                <w:rFonts w:ascii="Times New Roman" w:hAnsi="Times New Roman" w:cs="Times New Roman"/>
                <w:lang w:val="fr-FR"/>
              </w:rPr>
            </w:pPr>
            <w:r w:rsidRPr="00880F37">
              <w:rPr>
                <w:rFonts w:ascii="Times New Roman" w:hAnsi="Times New Roman" w:cs="Times New Roman"/>
              </w:rPr>
              <w:t>Sources de données/Moyens de vérification : Données SNU/Effet</w:t>
            </w:r>
            <w:r>
              <w:rPr>
                <w:rFonts w:ascii="Times New Roman" w:hAnsi="Times New Roman" w:cs="Times New Roman"/>
              </w:rPr>
              <w:t>2</w:t>
            </w:r>
          </w:p>
          <w:p w14:paraId="21572962" w14:textId="77777777" w:rsidR="00DD583B" w:rsidRPr="002E5C18" w:rsidRDefault="00DD583B" w:rsidP="005D2A90">
            <w:pPr>
              <w:numPr>
                <w:ilvl w:val="0"/>
                <w:numId w:val="23"/>
              </w:numPr>
              <w:suppressAutoHyphens/>
              <w:rPr>
                <w:rFonts w:ascii="Times New Roman" w:hAnsi="Times New Roman" w:cs="Times New Roman"/>
                <w:lang w:val="fr-FR"/>
              </w:rPr>
            </w:pPr>
            <w:r w:rsidRPr="00880F37">
              <w:rPr>
                <w:rFonts w:ascii="Times New Roman" w:hAnsi="Times New Roman" w:cs="Times New Roman"/>
              </w:rPr>
              <w:t>Périodicité : Annuelle ou moins</w:t>
            </w:r>
          </w:p>
          <w:p w14:paraId="27DB623B" w14:textId="77777777" w:rsidR="00DD583B" w:rsidRPr="002E5C18" w:rsidRDefault="00DD583B" w:rsidP="005D2A90">
            <w:pPr>
              <w:numPr>
                <w:ilvl w:val="0"/>
                <w:numId w:val="16"/>
              </w:numPr>
              <w:ind w:left="357" w:hanging="357"/>
              <w:rPr>
                <w:rFonts w:ascii="Times New Roman" w:hAnsi="Times New Roman" w:cs="Times New Roman"/>
                <w:lang w:val="fr-FR"/>
              </w:rPr>
            </w:pPr>
            <w:r w:rsidRPr="00880F37">
              <w:rPr>
                <w:rFonts w:ascii="Times New Roman" w:hAnsi="Times New Roman" w:cs="Times New Roman"/>
              </w:rPr>
              <w:t>Maître d’œuvre : Groupe de Résultat</w:t>
            </w:r>
          </w:p>
        </w:tc>
        <w:tc>
          <w:tcPr>
            <w:tcW w:w="3077" w:type="dxa"/>
            <w:gridSpan w:val="2"/>
            <w:vMerge/>
          </w:tcPr>
          <w:p w14:paraId="26542BCE" w14:textId="77777777" w:rsidR="00DD583B" w:rsidRPr="002E5C18" w:rsidRDefault="00DD583B" w:rsidP="005D2A90">
            <w:pPr>
              <w:rPr>
                <w:lang w:val="fr-FR"/>
              </w:rPr>
            </w:pPr>
          </w:p>
        </w:tc>
        <w:tc>
          <w:tcPr>
            <w:tcW w:w="1800" w:type="dxa"/>
            <w:vMerge/>
          </w:tcPr>
          <w:p w14:paraId="0621446C" w14:textId="77777777" w:rsidR="00DD583B" w:rsidRPr="002E5C18" w:rsidRDefault="00DD583B" w:rsidP="005D2A90">
            <w:pPr>
              <w:rPr>
                <w:lang w:val="fr-FR"/>
              </w:rPr>
            </w:pPr>
          </w:p>
        </w:tc>
        <w:tc>
          <w:tcPr>
            <w:tcW w:w="995" w:type="dxa"/>
            <w:vMerge/>
          </w:tcPr>
          <w:p w14:paraId="454A9AC2" w14:textId="77777777" w:rsidR="00DD583B" w:rsidRPr="002E5C18" w:rsidRDefault="00DD583B" w:rsidP="005D2A90">
            <w:pPr>
              <w:rPr>
                <w:lang w:val="fr-FR"/>
              </w:rPr>
            </w:pPr>
          </w:p>
        </w:tc>
      </w:tr>
      <w:tr w:rsidR="00DD583B" w:rsidRPr="002E5C18" w14:paraId="29F4F887" w14:textId="77777777" w:rsidTr="00186DD5">
        <w:trPr>
          <w:trHeight w:val="2784"/>
        </w:trPr>
        <w:tc>
          <w:tcPr>
            <w:tcW w:w="2590" w:type="dxa"/>
            <w:vMerge w:val="restart"/>
            <w:shd w:val="clear" w:color="auto" w:fill="DBE5F1" w:themeFill="accent1" w:themeFillTint="33"/>
            <w:vAlign w:val="center"/>
          </w:tcPr>
          <w:p w14:paraId="114D95DF" w14:textId="77777777" w:rsidR="00DD583B" w:rsidRPr="002E5C18" w:rsidRDefault="00DD583B" w:rsidP="005D2A90">
            <w:pPr>
              <w:rPr>
                <w:lang w:val="fr-FR"/>
              </w:rPr>
            </w:pPr>
            <w:r w:rsidRPr="00880F37">
              <w:rPr>
                <w:rFonts w:ascii="Times New Roman" w:hAnsi="Times New Roman" w:cs="Times New Roman"/>
              </w:rPr>
              <w:t>Produit 2.3. Education à la culture de la paix : Les capacités techniques et matérielles des institutions</w:t>
            </w:r>
            <w:r>
              <w:rPr>
                <w:rFonts w:ascii="Times New Roman" w:hAnsi="Times New Roman" w:cs="Times New Roman"/>
              </w:rPr>
              <w:t xml:space="preserve"> en charge de l’education</w:t>
            </w:r>
            <w:r w:rsidRPr="00880F37">
              <w:rPr>
                <w:rFonts w:ascii="Times New Roman" w:hAnsi="Times New Roman" w:cs="Times New Roman"/>
              </w:rPr>
              <w:t xml:space="preserve"> (</w:t>
            </w:r>
            <w:r>
              <w:rPr>
                <w:rFonts w:ascii="Times New Roman" w:hAnsi="Times New Roman" w:cs="Times New Roman"/>
              </w:rPr>
              <w:t>et les Organisations de la</w:t>
            </w:r>
            <w:r w:rsidRPr="00880F37">
              <w:rPr>
                <w:rFonts w:ascii="Times New Roman" w:hAnsi="Times New Roman" w:cs="Times New Roman"/>
              </w:rPr>
              <w:t xml:space="preserve"> </w:t>
            </w:r>
            <w:r>
              <w:rPr>
                <w:rFonts w:ascii="Times New Roman" w:hAnsi="Times New Roman" w:cs="Times New Roman"/>
              </w:rPr>
              <w:t xml:space="preserve">Societe Civile </w:t>
            </w:r>
            <w:r w:rsidRPr="00880F37">
              <w:rPr>
                <w:rFonts w:ascii="Times New Roman" w:hAnsi="Times New Roman" w:cs="Times New Roman"/>
              </w:rPr>
              <w:t>sont renforcées pour la promotion de l’éducation à la culture de la paix et droits de l’homme.</w:t>
            </w:r>
          </w:p>
        </w:tc>
        <w:tc>
          <w:tcPr>
            <w:tcW w:w="2583" w:type="dxa"/>
            <w:vAlign w:val="center"/>
          </w:tcPr>
          <w:p w14:paraId="7BBADCC7" w14:textId="77777777" w:rsidR="00F43836" w:rsidRDefault="00DD583B" w:rsidP="005D2A90">
            <w:pPr>
              <w:rPr>
                <w:rFonts w:ascii="Times New Roman" w:hAnsi="Times New Roman" w:cs="Times New Roman"/>
                <w:bCs/>
              </w:rPr>
            </w:pPr>
            <w:r w:rsidRPr="00880F37">
              <w:rPr>
                <w:rFonts w:ascii="Times New Roman" w:hAnsi="Times New Roman" w:cs="Times New Roman"/>
                <w:bCs/>
              </w:rPr>
              <w:t>Indicateur 2.3.2</w:t>
            </w:r>
            <w:r w:rsidR="00E15BF1">
              <w:rPr>
                <w:rFonts w:ascii="Times New Roman" w:hAnsi="Times New Roman" w:cs="Times New Roman"/>
                <w:bCs/>
              </w:rPr>
              <w:t>:</w:t>
            </w:r>
            <w:r w:rsidR="00F43836">
              <w:rPr>
                <w:rFonts w:ascii="Times New Roman" w:hAnsi="Times New Roman" w:cs="Times New Roman"/>
                <w:bCs/>
              </w:rPr>
              <w:t xml:space="preserve"> Nombre d’enseignants formés sur le sujet de l’éducation à la culture de la paix</w:t>
            </w:r>
          </w:p>
          <w:p w14:paraId="355D4072" w14:textId="2FEEEB05" w:rsidR="00DD583B" w:rsidRDefault="00DD583B" w:rsidP="005D2A90">
            <w:pPr>
              <w:rPr>
                <w:rFonts w:ascii="Times New Roman" w:hAnsi="Times New Roman" w:cs="Times New Roman"/>
              </w:rPr>
            </w:pPr>
            <w:r w:rsidRPr="00880F37">
              <w:rPr>
                <w:rFonts w:ascii="Times New Roman" w:hAnsi="Times New Roman" w:cs="Times New Roman"/>
              </w:rPr>
              <w:t>Base : 0</w:t>
            </w:r>
          </w:p>
          <w:p w14:paraId="63DF2E2E" w14:textId="664D9B09" w:rsidR="00DD583B" w:rsidRPr="002E5C18" w:rsidRDefault="00DD583B" w:rsidP="005D2A90">
            <w:pPr>
              <w:rPr>
                <w:rFonts w:ascii="Times New Roman" w:hAnsi="Times New Roman" w:cs="Times New Roman"/>
                <w:b/>
                <w:bCs/>
                <w:lang w:val="fr-FR"/>
              </w:rPr>
            </w:pPr>
            <w:r w:rsidRPr="00880F37">
              <w:rPr>
                <w:rFonts w:ascii="Times New Roman" w:hAnsi="Times New Roman" w:cs="Times New Roman"/>
              </w:rPr>
              <w:t>C</w:t>
            </w:r>
            <w:r w:rsidR="00F43836">
              <w:rPr>
                <w:rFonts w:ascii="Times New Roman" w:hAnsi="Times New Roman" w:cs="Times New Roman"/>
              </w:rPr>
              <w:t>ible: 3000</w:t>
            </w:r>
          </w:p>
        </w:tc>
        <w:tc>
          <w:tcPr>
            <w:tcW w:w="4123" w:type="dxa"/>
            <w:vAlign w:val="center"/>
          </w:tcPr>
          <w:p w14:paraId="702EA3D0" w14:textId="72BB49DF" w:rsidR="00DD583B" w:rsidRPr="002E5C18" w:rsidRDefault="00DD583B" w:rsidP="00F43836">
            <w:pPr>
              <w:ind w:left="357"/>
              <w:rPr>
                <w:rFonts w:ascii="Times New Roman" w:hAnsi="Times New Roman" w:cs="Times New Roman"/>
                <w:lang w:val="fr-FR"/>
              </w:rPr>
            </w:pPr>
            <w:bookmarkStart w:id="20" w:name="_GoBack"/>
            <w:bookmarkEnd w:id="20"/>
          </w:p>
        </w:tc>
        <w:tc>
          <w:tcPr>
            <w:tcW w:w="3077" w:type="dxa"/>
            <w:gridSpan w:val="2"/>
            <w:vMerge w:val="restart"/>
          </w:tcPr>
          <w:p w14:paraId="484F64CA" w14:textId="77777777" w:rsidR="00DD583B" w:rsidRDefault="00DD583B" w:rsidP="005D2A90">
            <w:pPr>
              <w:widowControl w:val="0"/>
              <w:snapToGrid w:val="0"/>
              <w:rPr>
                <w:rFonts w:cstheme="minorHAnsi"/>
                <w:sz w:val="18"/>
                <w:szCs w:val="18"/>
              </w:rPr>
            </w:pPr>
          </w:p>
          <w:p w14:paraId="28DA6789" w14:textId="77777777" w:rsidR="00DD583B" w:rsidRDefault="00DD583B" w:rsidP="005D2A90">
            <w:pPr>
              <w:widowControl w:val="0"/>
              <w:snapToGrid w:val="0"/>
              <w:rPr>
                <w:rFonts w:cstheme="minorHAnsi"/>
                <w:sz w:val="18"/>
                <w:szCs w:val="18"/>
              </w:rPr>
            </w:pPr>
          </w:p>
          <w:p w14:paraId="5DC2B78D" w14:textId="77777777" w:rsidR="00DD583B" w:rsidRDefault="00DD583B" w:rsidP="005D2A90">
            <w:pPr>
              <w:widowControl w:val="0"/>
              <w:snapToGrid w:val="0"/>
              <w:rPr>
                <w:rFonts w:cstheme="minorHAnsi"/>
                <w:sz w:val="18"/>
                <w:szCs w:val="18"/>
              </w:rPr>
            </w:pPr>
          </w:p>
          <w:p w14:paraId="120892B0" w14:textId="77777777" w:rsidR="00DD583B" w:rsidRDefault="00DD583B" w:rsidP="005D2A90">
            <w:pPr>
              <w:widowControl w:val="0"/>
              <w:snapToGrid w:val="0"/>
              <w:rPr>
                <w:rFonts w:cstheme="minorHAnsi"/>
                <w:sz w:val="18"/>
                <w:szCs w:val="18"/>
              </w:rPr>
            </w:pPr>
          </w:p>
          <w:p w14:paraId="6DF02414" w14:textId="77777777" w:rsidR="00DD583B" w:rsidRDefault="00DD583B" w:rsidP="005D2A90">
            <w:pPr>
              <w:widowControl w:val="0"/>
              <w:snapToGrid w:val="0"/>
              <w:rPr>
                <w:rFonts w:cstheme="minorHAnsi"/>
                <w:sz w:val="18"/>
                <w:szCs w:val="18"/>
              </w:rPr>
            </w:pPr>
          </w:p>
          <w:p w14:paraId="30A511AC" w14:textId="77777777" w:rsidR="00DD583B" w:rsidRDefault="00DD583B" w:rsidP="005D2A90">
            <w:pPr>
              <w:widowControl w:val="0"/>
              <w:snapToGrid w:val="0"/>
              <w:rPr>
                <w:rFonts w:cstheme="minorHAnsi"/>
                <w:sz w:val="18"/>
                <w:szCs w:val="18"/>
              </w:rPr>
            </w:pPr>
          </w:p>
          <w:p w14:paraId="47A3B772" w14:textId="77777777" w:rsidR="00DD583B" w:rsidRDefault="00DD583B" w:rsidP="005D2A90">
            <w:pPr>
              <w:widowControl w:val="0"/>
              <w:snapToGrid w:val="0"/>
              <w:rPr>
                <w:rFonts w:cstheme="minorHAnsi"/>
                <w:sz w:val="18"/>
                <w:szCs w:val="18"/>
              </w:rPr>
            </w:pPr>
          </w:p>
          <w:p w14:paraId="6EC16096" w14:textId="77777777" w:rsidR="00DD583B" w:rsidRDefault="00DD583B" w:rsidP="005D2A90">
            <w:pPr>
              <w:widowControl w:val="0"/>
              <w:snapToGrid w:val="0"/>
              <w:rPr>
                <w:rFonts w:cstheme="minorHAnsi"/>
                <w:sz w:val="18"/>
                <w:szCs w:val="18"/>
              </w:rPr>
            </w:pPr>
          </w:p>
          <w:p w14:paraId="0BA341F9" w14:textId="77777777" w:rsidR="00DD583B" w:rsidRDefault="00DD583B" w:rsidP="005D2A90">
            <w:pPr>
              <w:widowControl w:val="0"/>
              <w:snapToGrid w:val="0"/>
              <w:rPr>
                <w:rFonts w:cstheme="minorHAnsi"/>
                <w:sz w:val="18"/>
                <w:szCs w:val="18"/>
              </w:rPr>
            </w:pPr>
          </w:p>
          <w:p w14:paraId="11269B17" w14:textId="77777777" w:rsidR="00DD583B" w:rsidRDefault="00DD583B" w:rsidP="005D2A90">
            <w:pPr>
              <w:widowControl w:val="0"/>
              <w:snapToGrid w:val="0"/>
              <w:rPr>
                <w:rFonts w:cstheme="minorHAnsi"/>
                <w:sz w:val="18"/>
                <w:szCs w:val="18"/>
              </w:rPr>
            </w:pPr>
          </w:p>
          <w:p w14:paraId="11188C96" w14:textId="77777777" w:rsidR="00DD583B" w:rsidRDefault="00DD583B" w:rsidP="005D2A90">
            <w:pPr>
              <w:widowControl w:val="0"/>
              <w:snapToGrid w:val="0"/>
              <w:rPr>
                <w:rFonts w:cstheme="minorHAnsi"/>
                <w:sz w:val="18"/>
                <w:szCs w:val="18"/>
              </w:rPr>
            </w:pPr>
          </w:p>
          <w:p w14:paraId="75D6180D" w14:textId="77777777" w:rsidR="00DD583B" w:rsidRDefault="00DD583B" w:rsidP="005D2A90">
            <w:pPr>
              <w:widowControl w:val="0"/>
              <w:snapToGrid w:val="0"/>
              <w:rPr>
                <w:rFonts w:cstheme="minorHAnsi"/>
                <w:sz w:val="18"/>
                <w:szCs w:val="18"/>
              </w:rPr>
            </w:pPr>
          </w:p>
          <w:p w14:paraId="3165A874" w14:textId="77777777" w:rsidR="00DD583B" w:rsidRDefault="00DD583B" w:rsidP="005D2A90">
            <w:pPr>
              <w:widowControl w:val="0"/>
              <w:snapToGrid w:val="0"/>
              <w:rPr>
                <w:rFonts w:cstheme="minorHAnsi"/>
                <w:sz w:val="18"/>
                <w:szCs w:val="18"/>
              </w:rPr>
            </w:pPr>
          </w:p>
          <w:p w14:paraId="23FC3C30" w14:textId="77777777" w:rsidR="00DD583B" w:rsidRDefault="00DD583B" w:rsidP="005D2A90">
            <w:pPr>
              <w:widowControl w:val="0"/>
              <w:snapToGrid w:val="0"/>
              <w:rPr>
                <w:rFonts w:cstheme="minorHAnsi"/>
                <w:sz w:val="18"/>
                <w:szCs w:val="18"/>
              </w:rPr>
            </w:pPr>
          </w:p>
          <w:p w14:paraId="1E9DD34F" w14:textId="77777777" w:rsidR="00DD583B" w:rsidRPr="002E5C18" w:rsidRDefault="00DD583B" w:rsidP="005D2A90">
            <w:pPr>
              <w:widowControl w:val="0"/>
              <w:snapToGrid w:val="0"/>
              <w:rPr>
                <w:rFonts w:cstheme="minorHAnsi"/>
                <w:color w:val="000000"/>
                <w:sz w:val="18"/>
                <w:szCs w:val="18"/>
                <w:lang w:val="fr-FR"/>
              </w:rPr>
            </w:pPr>
            <w:r w:rsidRPr="00880F37">
              <w:rPr>
                <w:rFonts w:cstheme="minorHAnsi"/>
                <w:sz w:val="18"/>
                <w:szCs w:val="18"/>
              </w:rPr>
              <w:t>Situation sécuritaire dans le Nord</w:t>
            </w:r>
            <w:r w:rsidRPr="00880F37">
              <w:rPr>
                <w:rFonts w:cstheme="minorHAnsi"/>
                <w:color w:val="000000"/>
                <w:sz w:val="18"/>
                <w:szCs w:val="18"/>
              </w:rPr>
              <w:t>1 – Faible engagement des acteurs nationaux</w:t>
            </w:r>
          </w:p>
          <w:p w14:paraId="27C03752" w14:textId="77777777" w:rsidR="00DD583B" w:rsidRPr="002E5C18" w:rsidRDefault="00DD583B" w:rsidP="005D2A90">
            <w:pPr>
              <w:widowControl w:val="0"/>
              <w:snapToGrid w:val="0"/>
              <w:rPr>
                <w:rFonts w:cstheme="minorHAnsi"/>
                <w:color w:val="000000"/>
                <w:sz w:val="18"/>
                <w:szCs w:val="18"/>
                <w:lang w:val="fr-FR"/>
              </w:rPr>
            </w:pPr>
          </w:p>
          <w:p w14:paraId="1417126B" w14:textId="77777777" w:rsidR="00DD583B" w:rsidRPr="002E5C18" w:rsidRDefault="00DD583B" w:rsidP="005D2A90">
            <w:pPr>
              <w:widowControl w:val="0"/>
              <w:snapToGrid w:val="0"/>
              <w:rPr>
                <w:rFonts w:cstheme="minorHAnsi"/>
                <w:color w:val="000000"/>
                <w:sz w:val="18"/>
                <w:szCs w:val="18"/>
                <w:lang w:val="fr-FR"/>
              </w:rPr>
            </w:pPr>
            <w:r w:rsidRPr="00880F37">
              <w:rPr>
                <w:rFonts w:cstheme="minorHAnsi"/>
                <w:color w:val="000000"/>
                <w:sz w:val="18"/>
                <w:szCs w:val="18"/>
              </w:rPr>
              <w:t>Manque de confiance entre les acteurs de mise en œuvre</w:t>
            </w:r>
          </w:p>
          <w:p w14:paraId="542A4D3D" w14:textId="77777777" w:rsidR="00DD583B" w:rsidRPr="002E5C18" w:rsidRDefault="00DD583B" w:rsidP="005D2A90">
            <w:pPr>
              <w:widowControl w:val="0"/>
              <w:snapToGrid w:val="0"/>
              <w:rPr>
                <w:rFonts w:cstheme="minorHAnsi"/>
                <w:color w:val="000000"/>
                <w:sz w:val="18"/>
                <w:szCs w:val="18"/>
                <w:lang w:val="fr-FR"/>
              </w:rPr>
            </w:pPr>
          </w:p>
          <w:p w14:paraId="75E20A1A" w14:textId="77777777" w:rsidR="00DD583B" w:rsidRPr="002E5C18" w:rsidRDefault="00DD583B" w:rsidP="005D2A90">
            <w:pPr>
              <w:widowControl w:val="0"/>
              <w:snapToGrid w:val="0"/>
              <w:rPr>
                <w:rFonts w:cstheme="minorHAnsi"/>
                <w:color w:val="000000"/>
                <w:sz w:val="18"/>
                <w:szCs w:val="18"/>
                <w:lang w:val="fr-FR"/>
              </w:rPr>
            </w:pPr>
            <w:r w:rsidRPr="00880F37">
              <w:rPr>
                <w:rFonts w:cstheme="minorHAnsi"/>
                <w:color w:val="000000"/>
                <w:sz w:val="18"/>
                <w:szCs w:val="18"/>
              </w:rPr>
              <w:t>Manque de capacités d’analyse en matière de conflits</w:t>
            </w:r>
          </w:p>
          <w:p w14:paraId="7BAA8BB1" w14:textId="77777777" w:rsidR="00DD583B" w:rsidRPr="002E5C18" w:rsidRDefault="00DD583B" w:rsidP="005D2A90">
            <w:pPr>
              <w:widowControl w:val="0"/>
              <w:snapToGrid w:val="0"/>
              <w:rPr>
                <w:rFonts w:cstheme="minorHAnsi"/>
                <w:color w:val="000000"/>
                <w:sz w:val="18"/>
                <w:szCs w:val="18"/>
                <w:lang w:val="fr-FR"/>
              </w:rPr>
            </w:pPr>
            <w:r w:rsidRPr="00880F37">
              <w:rPr>
                <w:rFonts w:cstheme="minorHAnsi"/>
                <w:color w:val="000000"/>
                <w:sz w:val="18"/>
                <w:szCs w:val="18"/>
              </w:rPr>
              <w:t>Manque de ressources pour la préparation et la mise en œuvre de la plateforme</w:t>
            </w:r>
          </w:p>
          <w:p w14:paraId="58BDF611" w14:textId="77777777" w:rsidR="00DD583B" w:rsidRPr="002E5C18" w:rsidRDefault="00DD583B" w:rsidP="005D2A90">
            <w:pPr>
              <w:rPr>
                <w:lang w:val="fr-FR"/>
              </w:rPr>
            </w:pPr>
            <w:r w:rsidRPr="00880F37">
              <w:rPr>
                <w:rFonts w:cstheme="minorHAnsi"/>
                <w:color w:val="000000"/>
                <w:sz w:val="18"/>
                <w:szCs w:val="18"/>
              </w:rPr>
              <w:t>Reprise de la belligérance</w:t>
            </w:r>
          </w:p>
        </w:tc>
        <w:tc>
          <w:tcPr>
            <w:tcW w:w="1800" w:type="dxa"/>
            <w:vMerge w:val="restart"/>
          </w:tcPr>
          <w:p w14:paraId="0A95D241" w14:textId="77777777" w:rsidR="00DD583B" w:rsidRDefault="00DD583B" w:rsidP="005D2A90">
            <w:pPr>
              <w:rPr>
                <w:lang w:val="fr-FR"/>
              </w:rPr>
            </w:pPr>
          </w:p>
          <w:p w14:paraId="30AFC68E" w14:textId="77777777" w:rsidR="00DD583B" w:rsidRDefault="00DD583B" w:rsidP="005D2A90">
            <w:pPr>
              <w:rPr>
                <w:lang w:val="fr-FR"/>
              </w:rPr>
            </w:pPr>
          </w:p>
          <w:p w14:paraId="6260FF3D" w14:textId="77777777" w:rsidR="00DD583B" w:rsidRDefault="00DD583B" w:rsidP="005D2A90">
            <w:pPr>
              <w:rPr>
                <w:lang w:val="fr-FR"/>
              </w:rPr>
            </w:pPr>
          </w:p>
          <w:p w14:paraId="3E2CB634" w14:textId="77777777" w:rsidR="00DD583B" w:rsidRDefault="00DD583B" w:rsidP="005D2A90">
            <w:pPr>
              <w:rPr>
                <w:lang w:val="fr-FR"/>
              </w:rPr>
            </w:pPr>
          </w:p>
          <w:p w14:paraId="5456CA12" w14:textId="77777777" w:rsidR="00DD583B" w:rsidRDefault="00DD583B" w:rsidP="005D2A90">
            <w:pPr>
              <w:rPr>
                <w:lang w:val="fr-FR"/>
              </w:rPr>
            </w:pPr>
          </w:p>
          <w:p w14:paraId="209304EF" w14:textId="77777777" w:rsidR="00DD583B" w:rsidRDefault="00DD583B" w:rsidP="005D2A90">
            <w:pPr>
              <w:rPr>
                <w:lang w:val="fr-FR"/>
              </w:rPr>
            </w:pPr>
          </w:p>
          <w:p w14:paraId="433109FC" w14:textId="77777777" w:rsidR="00DD583B" w:rsidRPr="002E5C18" w:rsidRDefault="00DD583B" w:rsidP="005D2A90">
            <w:pPr>
              <w:rPr>
                <w:lang w:val="fr-FR"/>
              </w:rPr>
            </w:pPr>
          </w:p>
        </w:tc>
        <w:tc>
          <w:tcPr>
            <w:tcW w:w="995" w:type="dxa"/>
            <w:vMerge w:val="restart"/>
          </w:tcPr>
          <w:p w14:paraId="4B58D520" w14:textId="77777777" w:rsidR="00DD583B" w:rsidRPr="002E5C18" w:rsidRDefault="00DD583B" w:rsidP="005D2A90">
            <w:pPr>
              <w:rPr>
                <w:lang w:val="fr-FR"/>
              </w:rPr>
            </w:pPr>
          </w:p>
        </w:tc>
      </w:tr>
      <w:tr w:rsidR="00DD583B" w:rsidRPr="002E5C18" w14:paraId="210520BF" w14:textId="77777777" w:rsidTr="00186DD5">
        <w:tc>
          <w:tcPr>
            <w:tcW w:w="2590" w:type="dxa"/>
            <w:vMerge/>
            <w:shd w:val="clear" w:color="auto" w:fill="DBE5F1" w:themeFill="accent1" w:themeFillTint="33"/>
          </w:tcPr>
          <w:p w14:paraId="35EF2CF5" w14:textId="77777777" w:rsidR="00DD583B" w:rsidRPr="002E5C18" w:rsidRDefault="00DD583B" w:rsidP="005D2A90">
            <w:pPr>
              <w:rPr>
                <w:lang w:val="fr-FR"/>
              </w:rPr>
            </w:pPr>
          </w:p>
        </w:tc>
        <w:tc>
          <w:tcPr>
            <w:tcW w:w="2583" w:type="dxa"/>
            <w:vAlign w:val="center"/>
          </w:tcPr>
          <w:p w14:paraId="339C8BA5" w14:textId="77777777" w:rsidR="00DD583B" w:rsidRPr="002E5C18" w:rsidRDefault="00DD583B" w:rsidP="005D2A90">
            <w:pPr>
              <w:rPr>
                <w:rFonts w:ascii="Times New Roman" w:hAnsi="Times New Roman" w:cs="Times New Roman"/>
                <w:lang w:val="fr-FR"/>
              </w:rPr>
            </w:pPr>
            <w:r w:rsidRPr="00880F37">
              <w:rPr>
                <w:rFonts w:ascii="Times New Roman" w:hAnsi="Times New Roman" w:cs="Times New Roman"/>
                <w:bCs/>
              </w:rPr>
              <w:t>Indicateur 2.3.3</w:t>
            </w:r>
            <w:r w:rsidRPr="00880F37">
              <w:rPr>
                <w:rFonts w:ascii="Times New Roman" w:hAnsi="Times New Roman" w:cs="Times New Roman"/>
              </w:rPr>
              <w:t xml:space="preserve">  </w:t>
            </w:r>
            <w:r>
              <w:rPr>
                <w:rFonts w:ascii="Times New Roman" w:hAnsi="Times New Roman" w:cs="Times New Roman"/>
              </w:rPr>
              <w:t xml:space="preserve"> Nombre d’acteurs du système éducatif  et de la Société Civile</w:t>
            </w:r>
            <w:r w:rsidRPr="00880F37">
              <w:rPr>
                <w:rFonts w:ascii="Times New Roman" w:hAnsi="Times New Roman" w:cs="Times New Roman"/>
              </w:rPr>
              <w:t xml:space="preserve">  formés sur la gestion des conflits, la tolérance et la promotion de la paix.</w:t>
            </w:r>
          </w:p>
          <w:p w14:paraId="17A60E36" w14:textId="77777777" w:rsidR="00DD583B" w:rsidRPr="002E5C18" w:rsidRDefault="00DD583B" w:rsidP="005D2A90">
            <w:pPr>
              <w:rPr>
                <w:rFonts w:ascii="Times New Roman" w:hAnsi="Times New Roman" w:cs="Times New Roman"/>
                <w:lang w:val="fr-FR"/>
              </w:rPr>
            </w:pPr>
          </w:p>
          <w:p w14:paraId="587BFC37" w14:textId="77777777" w:rsidR="00DD583B" w:rsidRDefault="00DD583B" w:rsidP="005D2A90">
            <w:r w:rsidRPr="00880F37">
              <w:rPr>
                <w:rFonts w:ascii="Times New Roman" w:hAnsi="Times New Roman" w:cs="Times New Roman"/>
              </w:rPr>
              <w:t>Base :</w:t>
            </w:r>
            <w:r w:rsidRPr="00880F37">
              <w:t xml:space="preserve"> </w:t>
            </w:r>
            <w:r>
              <w:t>135 (2015)</w:t>
            </w:r>
          </w:p>
          <w:p w14:paraId="2787B894" w14:textId="77777777" w:rsidR="00DD583B" w:rsidRPr="002E5C18" w:rsidRDefault="00DD583B" w:rsidP="005D2A90">
            <w:pPr>
              <w:snapToGrid w:val="0"/>
              <w:rPr>
                <w:lang w:val="fr-FR"/>
              </w:rPr>
            </w:pPr>
            <w:r w:rsidRPr="00A36465">
              <w:rPr>
                <w:rFonts w:ascii="Calibri" w:hAnsi="Calibri"/>
                <w:color w:val="FF0000"/>
                <w:sz w:val="18"/>
                <w:szCs w:val="18"/>
              </w:rPr>
              <w:t>Situation en fin 2017:</w:t>
            </w:r>
            <w:r w:rsidRPr="00CE2384">
              <w:rPr>
                <w:rFonts w:ascii="Calibri" w:hAnsi="Calibri"/>
                <w:color w:val="FF0000"/>
                <w:sz w:val="18"/>
                <w:szCs w:val="18"/>
              </w:rPr>
              <w:t xml:space="preserve"> </w:t>
            </w:r>
            <w:r>
              <w:rPr>
                <w:rFonts w:ascii="Calibri" w:hAnsi="Calibri"/>
                <w:color w:val="FF0000"/>
                <w:sz w:val="18"/>
                <w:szCs w:val="18"/>
              </w:rPr>
              <w:t>135</w:t>
            </w:r>
          </w:p>
          <w:p w14:paraId="1CC0BD24" w14:textId="77777777" w:rsidR="00DD583B" w:rsidRPr="002E5C18" w:rsidRDefault="00DD583B" w:rsidP="005D2A90">
            <w:pPr>
              <w:rPr>
                <w:rFonts w:ascii="Times New Roman" w:hAnsi="Times New Roman" w:cs="Times New Roman"/>
                <w:lang w:val="fr-FR"/>
              </w:rPr>
            </w:pPr>
            <w:r w:rsidRPr="00880F37">
              <w:rPr>
                <w:rFonts w:ascii="Times New Roman" w:hAnsi="Times New Roman" w:cs="Times New Roman"/>
              </w:rPr>
              <w:t xml:space="preserve">Cible: </w:t>
            </w:r>
            <w:r>
              <w:rPr>
                <w:rFonts w:ascii="Times New Roman" w:hAnsi="Times New Roman" w:cs="Times New Roman"/>
              </w:rPr>
              <w:t>3000 (1200 femmes et 1800 hommes)</w:t>
            </w:r>
          </w:p>
          <w:p w14:paraId="2924CA79" w14:textId="77777777" w:rsidR="00DD583B" w:rsidRPr="002E5C18" w:rsidRDefault="00DD583B" w:rsidP="005D2A90">
            <w:pPr>
              <w:rPr>
                <w:rFonts w:ascii="Times New Roman" w:hAnsi="Times New Roman" w:cs="Times New Roman"/>
                <w:b/>
                <w:bCs/>
                <w:lang w:val="fr-FR"/>
              </w:rPr>
            </w:pPr>
          </w:p>
        </w:tc>
        <w:tc>
          <w:tcPr>
            <w:tcW w:w="4123" w:type="dxa"/>
            <w:vAlign w:val="center"/>
          </w:tcPr>
          <w:p w14:paraId="037846DF" w14:textId="77777777" w:rsidR="00DD583B" w:rsidRPr="002E5C18" w:rsidRDefault="00DD583B" w:rsidP="005D2A90">
            <w:pPr>
              <w:numPr>
                <w:ilvl w:val="0"/>
                <w:numId w:val="26"/>
              </w:numPr>
              <w:suppressAutoHyphens/>
              <w:rPr>
                <w:rFonts w:ascii="Times New Roman" w:hAnsi="Times New Roman" w:cs="Times New Roman"/>
                <w:lang w:val="fr-FR"/>
              </w:rPr>
            </w:pPr>
            <w:r w:rsidRPr="00880F37">
              <w:rPr>
                <w:rFonts w:ascii="Times New Roman" w:hAnsi="Times New Roman" w:cs="Times New Roman"/>
              </w:rPr>
              <w:t xml:space="preserve">Mode de calcul : </w:t>
            </w:r>
            <w:r>
              <w:rPr>
                <w:rFonts w:ascii="Times New Roman" w:hAnsi="Times New Roman" w:cs="Times New Roman"/>
              </w:rPr>
              <w:t xml:space="preserve">Denombrement de personnes formées </w:t>
            </w:r>
            <w:r w:rsidRPr="00880F37">
              <w:rPr>
                <w:rFonts w:ascii="Times New Roman" w:hAnsi="Times New Roman" w:cs="Times New Roman"/>
              </w:rPr>
              <w:t>par les entités UN/Effet2 sur la gestion des conflits, la tolérance et la promotion de la paix</w:t>
            </w:r>
          </w:p>
          <w:p w14:paraId="3843945B" w14:textId="77777777" w:rsidR="00DD583B" w:rsidRPr="002E5C18" w:rsidRDefault="00DD583B" w:rsidP="005D2A90">
            <w:pPr>
              <w:numPr>
                <w:ilvl w:val="0"/>
                <w:numId w:val="26"/>
              </w:numPr>
              <w:suppressAutoHyphens/>
              <w:rPr>
                <w:rFonts w:ascii="Times New Roman" w:hAnsi="Times New Roman" w:cs="Times New Roman"/>
                <w:lang w:val="fr-FR"/>
              </w:rPr>
            </w:pPr>
            <w:r w:rsidRPr="00880F37">
              <w:rPr>
                <w:rFonts w:ascii="Times New Roman" w:hAnsi="Times New Roman" w:cs="Times New Roman"/>
              </w:rPr>
              <w:t>Sources de données/Moyens de vérification : Données SNU/Effet</w:t>
            </w:r>
            <w:r>
              <w:rPr>
                <w:rFonts w:ascii="Times New Roman" w:hAnsi="Times New Roman" w:cs="Times New Roman"/>
              </w:rPr>
              <w:t>2 (UNESCO)</w:t>
            </w:r>
          </w:p>
          <w:p w14:paraId="139F3B81" w14:textId="77777777" w:rsidR="00DD583B" w:rsidRPr="002E5C18" w:rsidRDefault="00DD583B" w:rsidP="005D2A90">
            <w:pPr>
              <w:numPr>
                <w:ilvl w:val="0"/>
                <w:numId w:val="26"/>
              </w:numPr>
              <w:suppressAutoHyphens/>
              <w:rPr>
                <w:rFonts w:ascii="Times New Roman" w:hAnsi="Times New Roman" w:cs="Times New Roman"/>
                <w:lang w:val="fr-FR"/>
              </w:rPr>
            </w:pPr>
            <w:r w:rsidRPr="00880F37">
              <w:rPr>
                <w:rFonts w:ascii="Times New Roman" w:hAnsi="Times New Roman" w:cs="Times New Roman"/>
              </w:rPr>
              <w:t>Périodicité : Annuelle ou moins</w:t>
            </w:r>
          </w:p>
          <w:p w14:paraId="5EBA9289" w14:textId="77777777" w:rsidR="00DD583B" w:rsidRPr="002E5C18" w:rsidRDefault="00DD583B" w:rsidP="005D2A90">
            <w:pPr>
              <w:numPr>
                <w:ilvl w:val="0"/>
                <w:numId w:val="16"/>
              </w:numPr>
              <w:ind w:left="357" w:hanging="357"/>
              <w:rPr>
                <w:rFonts w:ascii="Times New Roman" w:hAnsi="Times New Roman" w:cs="Times New Roman"/>
                <w:lang w:val="fr-FR"/>
              </w:rPr>
            </w:pPr>
            <w:r w:rsidRPr="00880F37">
              <w:rPr>
                <w:rFonts w:ascii="Times New Roman" w:hAnsi="Times New Roman" w:cs="Times New Roman"/>
              </w:rPr>
              <w:t>Maître d’œuvre : Groupe de Résultat</w:t>
            </w:r>
          </w:p>
        </w:tc>
        <w:tc>
          <w:tcPr>
            <w:tcW w:w="3077" w:type="dxa"/>
            <w:gridSpan w:val="2"/>
            <w:vMerge/>
          </w:tcPr>
          <w:p w14:paraId="36948755" w14:textId="77777777" w:rsidR="00DD583B" w:rsidRPr="002E5C18" w:rsidRDefault="00DD583B" w:rsidP="005D2A90">
            <w:pPr>
              <w:rPr>
                <w:lang w:val="fr-FR"/>
              </w:rPr>
            </w:pPr>
          </w:p>
        </w:tc>
        <w:tc>
          <w:tcPr>
            <w:tcW w:w="1800" w:type="dxa"/>
            <w:vMerge/>
          </w:tcPr>
          <w:p w14:paraId="7B18A17D" w14:textId="77777777" w:rsidR="00DD583B" w:rsidRPr="002E5C18" w:rsidRDefault="00DD583B" w:rsidP="005D2A90">
            <w:pPr>
              <w:rPr>
                <w:lang w:val="fr-FR"/>
              </w:rPr>
            </w:pPr>
          </w:p>
        </w:tc>
        <w:tc>
          <w:tcPr>
            <w:tcW w:w="995" w:type="dxa"/>
            <w:vMerge/>
          </w:tcPr>
          <w:p w14:paraId="7AF841E6" w14:textId="77777777" w:rsidR="00DD583B" w:rsidRPr="002E5C18" w:rsidRDefault="00DD583B" w:rsidP="005D2A90">
            <w:pPr>
              <w:rPr>
                <w:lang w:val="fr-FR"/>
              </w:rPr>
            </w:pPr>
          </w:p>
        </w:tc>
      </w:tr>
      <w:tr w:rsidR="00DD583B" w:rsidRPr="002E5C18" w14:paraId="7CC08037" w14:textId="77777777" w:rsidTr="00186DD5">
        <w:tc>
          <w:tcPr>
            <w:tcW w:w="2590" w:type="dxa"/>
            <w:vMerge w:val="restart"/>
            <w:shd w:val="clear" w:color="auto" w:fill="DBE5F1" w:themeFill="accent1" w:themeFillTint="33"/>
            <w:vAlign w:val="center"/>
          </w:tcPr>
          <w:p w14:paraId="5CC61388" w14:textId="77777777" w:rsidR="00DD583B" w:rsidRPr="002E5C18" w:rsidRDefault="00DD583B" w:rsidP="005D2A90">
            <w:pPr>
              <w:rPr>
                <w:lang w:val="fr-FR"/>
              </w:rPr>
            </w:pPr>
            <w:r w:rsidRPr="00880F37">
              <w:rPr>
                <w:rFonts w:ascii="Times New Roman" w:hAnsi="Times New Roman" w:cs="Times New Roman"/>
              </w:rPr>
              <w:t>Produit 2.4. Patrimoine culturel : Le patrimoine culturel matériel et immatériel endommagé est réhabilité et des outils pour la promotion de la diversité et des expressions culturelles sont élaborés</w:t>
            </w:r>
          </w:p>
        </w:tc>
        <w:tc>
          <w:tcPr>
            <w:tcW w:w="2583" w:type="dxa"/>
            <w:vAlign w:val="center"/>
          </w:tcPr>
          <w:p w14:paraId="35E82192" w14:textId="77777777" w:rsidR="00DD583B" w:rsidRDefault="00DD583B" w:rsidP="005D2A90">
            <w:pPr>
              <w:rPr>
                <w:rFonts w:ascii="Times New Roman" w:hAnsi="Times New Roman" w:cs="Times New Roman"/>
              </w:rPr>
            </w:pPr>
            <w:r w:rsidRPr="00880F37">
              <w:rPr>
                <w:rFonts w:ascii="Times New Roman" w:hAnsi="Times New Roman" w:cs="Times New Roman"/>
                <w:bCs/>
              </w:rPr>
              <w:t>Indicateur 2.4.1</w:t>
            </w:r>
            <w:r w:rsidRPr="00880F37">
              <w:rPr>
                <w:rFonts w:ascii="Times New Roman" w:hAnsi="Times New Roman" w:cs="Times New Roman"/>
              </w:rPr>
              <w:t xml:space="preserve"> Nombre de ressources patrimoine culturel (sites du patrimoine, musées, bibliothèques de manuscrits) endommagé réhabilitées</w:t>
            </w:r>
          </w:p>
          <w:p w14:paraId="255CBDB9" w14:textId="77777777" w:rsidR="00DD583B" w:rsidRPr="002E5C18" w:rsidRDefault="00DD583B" w:rsidP="005D2A90">
            <w:pPr>
              <w:rPr>
                <w:rFonts w:ascii="Times New Roman" w:hAnsi="Times New Roman" w:cs="Times New Roman"/>
                <w:lang w:val="fr-FR"/>
              </w:rPr>
            </w:pPr>
          </w:p>
          <w:p w14:paraId="71E73A52" w14:textId="77777777" w:rsidR="00DD583B" w:rsidRDefault="00DD583B" w:rsidP="005D2A90">
            <w:pPr>
              <w:rPr>
                <w:rFonts w:ascii="Times New Roman" w:hAnsi="Times New Roman" w:cs="Times New Roman"/>
              </w:rPr>
            </w:pPr>
            <w:r w:rsidRPr="00880F37">
              <w:rPr>
                <w:rFonts w:ascii="Times New Roman" w:hAnsi="Times New Roman" w:cs="Times New Roman"/>
              </w:rPr>
              <w:t>Base 1: 14 mausolées détruits</w:t>
            </w:r>
            <w:r>
              <w:rPr>
                <w:rFonts w:ascii="Times New Roman" w:hAnsi="Times New Roman" w:cs="Times New Roman"/>
              </w:rPr>
              <w:t>;</w:t>
            </w:r>
          </w:p>
          <w:p w14:paraId="4EB54D01" w14:textId="77777777" w:rsidR="00DD583B" w:rsidRDefault="00DD583B" w:rsidP="005D2A90">
            <w:pPr>
              <w:rPr>
                <w:rFonts w:ascii="Times New Roman" w:hAnsi="Times New Roman" w:cs="Times New Roman"/>
              </w:rPr>
            </w:pPr>
          </w:p>
          <w:p w14:paraId="1C580AE3"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20 (14  musolées  reconstruits et 6 rehabilités)</w:t>
            </w:r>
          </w:p>
          <w:p w14:paraId="78A6730A" w14:textId="77777777" w:rsidR="00DD583B" w:rsidRPr="002E5C18" w:rsidRDefault="00DD583B" w:rsidP="005D2A90">
            <w:pPr>
              <w:rPr>
                <w:rFonts w:ascii="Times New Roman" w:hAnsi="Times New Roman" w:cs="Times New Roman"/>
                <w:lang w:val="fr-FR"/>
              </w:rPr>
            </w:pPr>
          </w:p>
          <w:p w14:paraId="249838E7" w14:textId="77777777" w:rsidR="00DD583B" w:rsidRDefault="00DD583B" w:rsidP="005D2A90">
            <w:pPr>
              <w:rPr>
                <w:rFonts w:ascii="Times New Roman" w:hAnsi="Times New Roman" w:cs="Times New Roman"/>
              </w:rPr>
            </w:pPr>
            <w:r w:rsidRPr="00880F37">
              <w:rPr>
                <w:rFonts w:ascii="Times New Roman" w:hAnsi="Times New Roman" w:cs="Times New Roman"/>
              </w:rPr>
              <w:t xml:space="preserve">Cible </w:t>
            </w:r>
            <w:r>
              <w:rPr>
                <w:rFonts w:ascii="Times New Roman" w:hAnsi="Times New Roman" w:cs="Times New Roman"/>
              </w:rPr>
              <w:t>1</w:t>
            </w:r>
            <w:r w:rsidRPr="00880F37">
              <w:rPr>
                <w:rFonts w:ascii="Times New Roman" w:hAnsi="Times New Roman" w:cs="Times New Roman"/>
              </w:rPr>
              <w:t>: 14 mausolées reconstruits</w:t>
            </w:r>
          </w:p>
          <w:p w14:paraId="7ECBA98A" w14:textId="77777777" w:rsidR="00DD583B" w:rsidRPr="002E5C18" w:rsidRDefault="00DD583B" w:rsidP="005D2A90">
            <w:pPr>
              <w:rPr>
                <w:rFonts w:ascii="Times New Roman" w:hAnsi="Times New Roman" w:cs="Times New Roman"/>
                <w:lang w:val="fr-FR"/>
              </w:rPr>
            </w:pPr>
          </w:p>
          <w:p w14:paraId="6634191A" w14:textId="77777777" w:rsidR="00DD583B" w:rsidRDefault="00DD583B" w:rsidP="005D2A90">
            <w:pPr>
              <w:rPr>
                <w:rFonts w:ascii="Times New Roman" w:hAnsi="Times New Roman" w:cs="Times New Roman"/>
              </w:rPr>
            </w:pPr>
            <w:r w:rsidRPr="00880F37">
              <w:rPr>
                <w:rFonts w:ascii="Times New Roman" w:hAnsi="Times New Roman" w:cs="Times New Roman"/>
              </w:rPr>
              <w:t>Base 2: 8 bibliothèques privées endommagées</w:t>
            </w:r>
          </w:p>
          <w:p w14:paraId="77B3F1F4" w14:textId="77777777" w:rsidR="00DD583B" w:rsidRDefault="00DD583B" w:rsidP="005D2A90">
            <w:pPr>
              <w:rPr>
                <w:rFonts w:ascii="Times New Roman" w:hAnsi="Times New Roman" w:cs="Times New Roman"/>
              </w:rPr>
            </w:pPr>
          </w:p>
          <w:p w14:paraId="4D5612FA"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 xml:space="preserve"> 6 bibliothèques rehabilitées</w:t>
            </w:r>
          </w:p>
          <w:p w14:paraId="7A22EC0A" w14:textId="77777777" w:rsidR="00DD583B" w:rsidRPr="002E5C18" w:rsidRDefault="00DD583B" w:rsidP="005D2A90">
            <w:pPr>
              <w:rPr>
                <w:rFonts w:ascii="Times New Roman" w:hAnsi="Times New Roman" w:cs="Times New Roman"/>
                <w:lang w:val="fr-FR"/>
              </w:rPr>
            </w:pPr>
          </w:p>
          <w:p w14:paraId="28C63911" w14:textId="77777777" w:rsidR="00DD583B" w:rsidRDefault="00DD583B" w:rsidP="005D2A90">
            <w:pPr>
              <w:rPr>
                <w:rFonts w:ascii="Times New Roman" w:hAnsi="Times New Roman" w:cs="Times New Roman"/>
              </w:rPr>
            </w:pPr>
            <w:r w:rsidRPr="00880F37">
              <w:rPr>
                <w:rFonts w:ascii="Times New Roman" w:hAnsi="Times New Roman" w:cs="Times New Roman"/>
              </w:rPr>
              <w:t xml:space="preserve">Cible 2 ; 8 bibliothèques réhabilitées, </w:t>
            </w:r>
          </w:p>
          <w:p w14:paraId="5787F759" w14:textId="77777777" w:rsidR="00DD583B" w:rsidRPr="002E5C18" w:rsidRDefault="00DD583B" w:rsidP="005D2A90">
            <w:pPr>
              <w:rPr>
                <w:rFonts w:ascii="Times New Roman" w:hAnsi="Times New Roman" w:cs="Times New Roman"/>
                <w:lang w:val="fr-FR"/>
              </w:rPr>
            </w:pPr>
          </w:p>
          <w:p w14:paraId="1628F7B0" w14:textId="77777777" w:rsidR="00DD583B" w:rsidRDefault="00DD583B" w:rsidP="005D2A90">
            <w:pPr>
              <w:rPr>
                <w:rFonts w:ascii="Times New Roman" w:hAnsi="Times New Roman" w:cs="Times New Roman"/>
              </w:rPr>
            </w:pPr>
            <w:r w:rsidRPr="00880F37">
              <w:rPr>
                <w:rFonts w:ascii="Times New Roman" w:hAnsi="Times New Roman" w:cs="Times New Roman"/>
              </w:rPr>
              <w:lastRenderedPageBreak/>
              <w:t>Base 3: 3 mosquées classées patrimoine mondial endommagées</w:t>
            </w:r>
          </w:p>
          <w:p w14:paraId="3CB2D30F" w14:textId="77777777" w:rsidR="00DD583B" w:rsidRPr="002E5C18" w:rsidRDefault="00DD583B" w:rsidP="005D2A90">
            <w:pPr>
              <w:snapToGrid w:val="0"/>
              <w:rPr>
                <w:rFonts w:ascii="Times New Roman" w:hAnsi="Times New Roman" w:cs="Times New Roman"/>
                <w:lang w:val="fr-FR"/>
              </w:rPr>
            </w:pPr>
            <w:r w:rsidRPr="00CE2384">
              <w:rPr>
                <w:rFonts w:ascii="Calibri" w:hAnsi="Calibri"/>
                <w:color w:val="FF0000"/>
                <w:sz w:val="18"/>
                <w:szCs w:val="18"/>
              </w:rPr>
              <w:t xml:space="preserve">Situation en fin 2017: </w:t>
            </w:r>
            <w:r>
              <w:rPr>
                <w:rFonts w:ascii="Calibri" w:hAnsi="Calibri"/>
                <w:color w:val="FF0000"/>
                <w:sz w:val="18"/>
                <w:szCs w:val="18"/>
              </w:rPr>
              <w:t xml:space="preserve"> 3 mosquees rehabilitées </w:t>
            </w:r>
          </w:p>
          <w:p w14:paraId="3357C22A" w14:textId="77777777" w:rsidR="00DD583B" w:rsidRPr="002E5C18" w:rsidRDefault="00DD583B" w:rsidP="005D2A90">
            <w:pPr>
              <w:rPr>
                <w:rFonts w:ascii="Times New Roman" w:hAnsi="Times New Roman" w:cs="Times New Roman"/>
                <w:lang w:val="fr-FR"/>
              </w:rPr>
            </w:pPr>
            <w:r w:rsidRPr="00880F37">
              <w:rPr>
                <w:rFonts w:ascii="Times New Roman" w:hAnsi="Times New Roman" w:cs="Times New Roman"/>
              </w:rPr>
              <w:t>Cible : 3 mosquées réhabilitées</w:t>
            </w:r>
          </w:p>
        </w:tc>
        <w:tc>
          <w:tcPr>
            <w:tcW w:w="4123" w:type="dxa"/>
            <w:vAlign w:val="center"/>
          </w:tcPr>
          <w:p w14:paraId="48C08552" w14:textId="77777777" w:rsidR="00DD583B" w:rsidRPr="002E5C18" w:rsidRDefault="00DD583B" w:rsidP="005D2A90">
            <w:pPr>
              <w:numPr>
                <w:ilvl w:val="0"/>
                <w:numId w:val="27"/>
              </w:numPr>
              <w:suppressAutoHyphens/>
              <w:rPr>
                <w:rFonts w:ascii="Times New Roman" w:hAnsi="Times New Roman" w:cs="Times New Roman"/>
                <w:lang w:val="fr-FR"/>
              </w:rPr>
            </w:pPr>
            <w:r w:rsidRPr="00880F37">
              <w:rPr>
                <w:rFonts w:ascii="Times New Roman" w:hAnsi="Times New Roman" w:cs="Times New Roman"/>
              </w:rPr>
              <w:lastRenderedPageBreak/>
              <w:t xml:space="preserve">Mode de calcul : </w:t>
            </w:r>
            <w:r>
              <w:rPr>
                <w:rFonts w:ascii="Times New Roman" w:hAnsi="Times New Roman" w:cs="Times New Roman"/>
              </w:rPr>
              <w:t xml:space="preserve">Denombrement </w:t>
            </w:r>
            <w:r w:rsidRPr="00880F37">
              <w:rPr>
                <w:rFonts w:ascii="Times New Roman" w:hAnsi="Times New Roman" w:cs="Times New Roman"/>
              </w:rPr>
              <w:t xml:space="preserve"> de</w:t>
            </w:r>
            <w:r>
              <w:rPr>
                <w:rFonts w:ascii="Times New Roman" w:hAnsi="Times New Roman" w:cs="Times New Roman"/>
              </w:rPr>
              <w:t xml:space="preserve">s ressources du patrimoine culturel </w:t>
            </w:r>
            <w:r w:rsidRPr="00880F37">
              <w:rPr>
                <w:rFonts w:ascii="Times New Roman" w:hAnsi="Times New Roman" w:cs="Times New Roman"/>
              </w:rPr>
              <w:t xml:space="preserve"> réhabilités par les entités UN/Effet 2 </w:t>
            </w:r>
          </w:p>
          <w:p w14:paraId="1CC7803F" w14:textId="77777777" w:rsidR="00DD583B" w:rsidRPr="002E5C18" w:rsidRDefault="00DD583B" w:rsidP="005D2A90">
            <w:pPr>
              <w:numPr>
                <w:ilvl w:val="0"/>
                <w:numId w:val="27"/>
              </w:numPr>
              <w:suppressAutoHyphens/>
              <w:rPr>
                <w:rFonts w:ascii="Times New Roman" w:hAnsi="Times New Roman" w:cs="Times New Roman"/>
                <w:lang w:val="fr-FR"/>
              </w:rPr>
            </w:pPr>
            <w:r w:rsidRPr="00880F37">
              <w:rPr>
                <w:rFonts w:ascii="Times New Roman" w:hAnsi="Times New Roman" w:cs="Times New Roman"/>
              </w:rPr>
              <w:t xml:space="preserve">Sources de données/Moyens de vérification : Données SNU/Effet </w:t>
            </w:r>
            <w:r>
              <w:rPr>
                <w:rFonts w:ascii="Times New Roman" w:hAnsi="Times New Roman" w:cs="Times New Roman"/>
              </w:rPr>
              <w:t xml:space="preserve">2, Rapports annuels UNESCO et DNPC </w:t>
            </w:r>
          </w:p>
          <w:p w14:paraId="2C8FA21E" w14:textId="77777777" w:rsidR="00DD583B" w:rsidRPr="002E5C18" w:rsidRDefault="00DD583B" w:rsidP="005D2A90">
            <w:pPr>
              <w:numPr>
                <w:ilvl w:val="0"/>
                <w:numId w:val="27"/>
              </w:numPr>
              <w:suppressAutoHyphens/>
              <w:rPr>
                <w:rFonts w:ascii="Times New Roman" w:hAnsi="Times New Roman" w:cs="Times New Roman"/>
                <w:lang w:val="fr-FR"/>
              </w:rPr>
            </w:pPr>
            <w:r w:rsidRPr="00880F37">
              <w:rPr>
                <w:rFonts w:ascii="Times New Roman" w:hAnsi="Times New Roman" w:cs="Times New Roman"/>
              </w:rPr>
              <w:t>Périodicité : Annuelle ou moins</w:t>
            </w:r>
          </w:p>
          <w:p w14:paraId="1D4B1957" w14:textId="77777777" w:rsidR="00DD583B" w:rsidRPr="002E5C18" w:rsidRDefault="00DD583B" w:rsidP="005D2A90">
            <w:pPr>
              <w:numPr>
                <w:ilvl w:val="0"/>
                <w:numId w:val="16"/>
              </w:numPr>
              <w:ind w:left="357" w:hanging="357"/>
              <w:rPr>
                <w:rFonts w:ascii="Times New Roman" w:hAnsi="Times New Roman" w:cs="Times New Roman"/>
                <w:lang w:val="fr-FR"/>
              </w:rPr>
            </w:pPr>
            <w:r w:rsidRPr="00880F37">
              <w:rPr>
                <w:rFonts w:ascii="Times New Roman" w:hAnsi="Times New Roman" w:cs="Times New Roman"/>
              </w:rPr>
              <w:t>Maître d’œuvre : Groupe de Résultat</w:t>
            </w:r>
          </w:p>
        </w:tc>
        <w:tc>
          <w:tcPr>
            <w:tcW w:w="3077" w:type="dxa"/>
            <w:gridSpan w:val="2"/>
            <w:vMerge w:val="restart"/>
          </w:tcPr>
          <w:p w14:paraId="6517DA2C"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t>Conditions socio-politiques stables et favorables.</w:t>
            </w:r>
          </w:p>
          <w:p w14:paraId="5F19B355" w14:textId="77777777" w:rsidR="00DD583B" w:rsidRPr="004D4BFB" w:rsidRDefault="00DD583B" w:rsidP="005D2A90">
            <w:pPr>
              <w:widowControl w:val="0"/>
              <w:snapToGrid w:val="0"/>
              <w:rPr>
                <w:rFonts w:cstheme="minorHAnsi"/>
                <w:sz w:val="18"/>
                <w:szCs w:val="18"/>
                <w:lang w:val="fr-FR"/>
              </w:rPr>
            </w:pPr>
          </w:p>
          <w:p w14:paraId="7801AC8D"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t>Retour des populations et du personnel des institutions.</w:t>
            </w:r>
          </w:p>
          <w:p w14:paraId="734593E8" w14:textId="77777777" w:rsidR="00DD583B" w:rsidRPr="004D4BFB" w:rsidRDefault="00DD583B" w:rsidP="005D2A90">
            <w:pPr>
              <w:widowControl w:val="0"/>
              <w:snapToGrid w:val="0"/>
              <w:rPr>
                <w:rFonts w:cstheme="minorHAnsi"/>
                <w:sz w:val="18"/>
                <w:szCs w:val="18"/>
                <w:lang w:val="fr-FR"/>
              </w:rPr>
            </w:pPr>
          </w:p>
          <w:p w14:paraId="4F4820B1"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t>Coopération effective entre les collectivités locales, les ONG impliquées et les structures nationales</w:t>
            </w:r>
          </w:p>
          <w:p w14:paraId="1D1B186B" w14:textId="77777777" w:rsidR="00DD583B" w:rsidRPr="004D4BFB" w:rsidRDefault="00DD583B" w:rsidP="005D2A90">
            <w:pPr>
              <w:rPr>
                <w:rFonts w:cstheme="minorHAnsi"/>
                <w:sz w:val="18"/>
                <w:szCs w:val="18"/>
              </w:rPr>
            </w:pPr>
            <w:r w:rsidRPr="004D4BFB">
              <w:rPr>
                <w:rFonts w:cstheme="minorHAnsi"/>
                <w:sz w:val="18"/>
                <w:szCs w:val="18"/>
              </w:rPr>
              <w:t>Partenaires actifs et rigoureux dans la mise en œuvre des actions.</w:t>
            </w:r>
          </w:p>
          <w:p w14:paraId="33848CD9" w14:textId="77777777" w:rsidR="00DD583B" w:rsidRPr="004D4BFB" w:rsidRDefault="00DD583B" w:rsidP="005D2A90">
            <w:pPr>
              <w:rPr>
                <w:rFonts w:cstheme="minorHAnsi"/>
                <w:sz w:val="18"/>
                <w:szCs w:val="18"/>
              </w:rPr>
            </w:pPr>
          </w:p>
          <w:p w14:paraId="7F1C41B6" w14:textId="77777777" w:rsidR="00DD583B" w:rsidRPr="004D4BFB" w:rsidRDefault="00DD583B" w:rsidP="005D2A90">
            <w:pPr>
              <w:rPr>
                <w:rFonts w:cstheme="minorHAnsi"/>
                <w:sz w:val="18"/>
                <w:szCs w:val="18"/>
              </w:rPr>
            </w:pPr>
          </w:p>
          <w:p w14:paraId="7A11DDFF" w14:textId="77777777" w:rsidR="00DD583B" w:rsidRPr="004D4BFB" w:rsidRDefault="00DD583B" w:rsidP="005D2A90">
            <w:pPr>
              <w:rPr>
                <w:rFonts w:cstheme="minorHAnsi"/>
                <w:sz w:val="18"/>
                <w:szCs w:val="18"/>
              </w:rPr>
            </w:pPr>
          </w:p>
          <w:p w14:paraId="1A7E7BA5" w14:textId="77777777" w:rsidR="00DD583B" w:rsidRPr="004D4BFB" w:rsidRDefault="00DD583B" w:rsidP="005D2A90">
            <w:pPr>
              <w:rPr>
                <w:rFonts w:cstheme="minorHAnsi"/>
                <w:sz w:val="18"/>
                <w:szCs w:val="18"/>
              </w:rPr>
            </w:pPr>
          </w:p>
          <w:p w14:paraId="015A3419" w14:textId="77777777" w:rsidR="00DD583B" w:rsidRPr="004D4BFB" w:rsidRDefault="00DD583B" w:rsidP="005D2A90">
            <w:pPr>
              <w:rPr>
                <w:lang w:val="fr-FR"/>
              </w:rPr>
            </w:pPr>
            <w:r w:rsidRPr="004D4BFB">
              <w:rPr>
                <w:rFonts w:cstheme="minorHAnsi"/>
                <w:sz w:val="18"/>
                <w:szCs w:val="18"/>
              </w:rPr>
              <w:t>Difficulté de mobilisation de ressources sur ces thématiques</w:t>
            </w:r>
          </w:p>
        </w:tc>
        <w:tc>
          <w:tcPr>
            <w:tcW w:w="1800" w:type="dxa"/>
            <w:vMerge w:val="restart"/>
          </w:tcPr>
          <w:p w14:paraId="7C8D5DAC"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t xml:space="preserve">Mise en œuvre des travaux de reconstruction </w:t>
            </w:r>
          </w:p>
          <w:p w14:paraId="564F9156" w14:textId="77777777" w:rsidR="00DD583B" w:rsidRPr="004D4BFB" w:rsidRDefault="00DD583B" w:rsidP="005D2A90">
            <w:pPr>
              <w:widowControl w:val="0"/>
              <w:snapToGrid w:val="0"/>
              <w:rPr>
                <w:rFonts w:cstheme="minorHAnsi"/>
                <w:sz w:val="18"/>
                <w:szCs w:val="18"/>
                <w:lang w:val="fr-FR"/>
              </w:rPr>
            </w:pPr>
          </w:p>
          <w:p w14:paraId="45876D61"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t xml:space="preserve">Assistance technique </w:t>
            </w:r>
          </w:p>
          <w:p w14:paraId="777BF39B" w14:textId="77777777" w:rsidR="00DD583B" w:rsidRPr="004D4BFB" w:rsidRDefault="00DD583B" w:rsidP="005D2A90">
            <w:pPr>
              <w:widowControl w:val="0"/>
              <w:snapToGrid w:val="0"/>
              <w:rPr>
                <w:rFonts w:cstheme="minorHAnsi"/>
                <w:sz w:val="18"/>
                <w:szCs w:val="18"/>
                <w:lang w:val="fr-FR"/>
              </w:rPr>
            </w:pPr>
          </w:p>
          <w:p w14:paraId="693D8B8D"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rPr>
              <w:t xml:space="preserve">Plaidoyer </w:t>
            </w:r>
          </w:p>
          <w:p w14:paraId="791F7F01" w14:textId="77777777" w:rsidR="00DD583B" w:rsidRPr="004D4BFB" w:rsidRDefault="00DD583B" w:rsidP="005D2A90">
            <w:pPr>
              <w:rPr>
                <w:lang w:val="fr-FR"/>
              </w:rPr>
            </w:pPr>
          </w:p>
        </w:tc>
        <w:tc>
          <w:tcPr>
            <w:tcW w:w="995" w:type="dxa"/>
            <w:vMerge w:val="restart"/>
          </w:tcPr>
          <w:p w14:paraId="485840F3" w14:textId="77777777" w:rsidR="00DD583B" w:rsidRPr="002E5C18" w:rsidRDefault="00DD583B" w:rsidP="005D2A90">
            <w:pPr>
              <w:rPr>
                <w:lang w:val="fr-FR"/>
              </w:rPr>
            </w:pPr>
          </w:p>
        </w:tc>
      </w:tr>
      <w:tr w:rsidR="00DD583B" w:rsidRPr="002E5C18" w14:paraId="39639A78" w14:textId="77777777" w:rsidTr="00186DD5">
        <w:tc>
          <w:tcPr>
            <w:tcW w:w="2590" w:type="dxa"/>
            <w:vMerge/>
            <w:shd w:val="clear" w:color="auto" w:fill="DBE5F1" w:themeFill="accent1" w:themeFillTint="33"/>
          </w:tcPr>
          <w:p w14:paraId="0003CB4D" w14:textId="77777777" w:rsidR="00DD583B" w:rsidRPr="002E5C18" w:rsidRDefault="00DD583B" w:rsidP="005D2A90">
            <w:pPr>
              <w:rPr>
                <w:lang w:val="fr-FR"/>
              </w:rPr>
            </w:pPr>
          </w:p>
        </w:tc>
        <w:tc>
          <w:tcPr>
            <w:tcW w:w="2583" w:type="dxa"/>
            <w:vAlign w:val="center"/>
          </w:tcPr>
          <w:p w14:paraId="2C9AEC44" w14:textId="77777777" w:rsidR="00DD583B" w:rsidRDefault="00DD583B" w:rsidP="005D2A90">
            <w:pPr>
              <w:rPr>
                <w:rFonts w:ascii="Times New Roman" w:hAnsi="Times New Roman" w:cs="Times New Roman"/>
              </w:rPr>
            </w:pPr>
            <w:r w:rsidRPr="00880F37">
              <w:rPr>
                <w:rFonts w:ascii="Times New Roman" w:hAnsi="Times New Roman" w:cs="Times New Roman"/>
                <w:bCs/>
              </w:rPr>
              <w:t>Indicateur 2.4.2</w:t>
            </w:r>
            <w:r w:rsidRPr="00880F37">
              <w:rPr>
                <w:rFonts w:ascii="Times New Roman" w:hAnsi="Times New Roman" w:cs="Times New Roman"/>
              </w:rPr>
              <w:t xml:space="preserve">  </w:t>
            </w:r>
            <w:r>
              <w:rPr>
                <w:rFonts w:ascii="Times New Roman" w:hAnsi="Times New Roman" w:cs="Times New Roman"/>
              </w:rPr>
              <w:t xml:space="preserve">Nombre de manuscrits repertoriés, catalogués et conservés </w:t>
            </w:r>
          </w:p>
          <w:p w14:paraId="4E66B562" w14:textId="77777777" w:rsidR="00DD583B" w:rsidRDefault="00DD583B" w:rsidP="005D2A90">
            <w:pPr>
              <w:rPr>
                <w:rFonts w:ascii="Times New Roman" w:hAnsi="Times New Roman" w:cs="Times New Roman"/>
              </w:rPr>
            </w:pPr>
          </w:p>
          <w:p w14:paraId="55495F9B" w14:textId="77777777" w:rsidR="00DD583B" w:rsidRPr="002E5C18" w:rsidRDefault="00DD583B" w:rsidP="005D2A90">
            <w:pPr>
              <w:rPr>
                <w:rFonts w:ascii="Times New Roman" w:hAnsi="Times New Roman" w:cs="Times New Roman"/>
                <w:lang w:val="fr-FR"/>
              </w:rPr>
            </w:pPr>
          </w:p>
          <w:p w14:paraId="7AE5AE26" w14:textId="77777777" w:rsidR="00DD583B" w:rsidRDefault="00DD583B" w:rsidP="005D2A90">
            <w:r w:rsidRPr="00880F37">
              <w:rPr>
                <w:rFonts w:ascii="Times New Roman" w:hAnsi="Times New Roman" w:cs="Times New Roman"/>
              </w:rPr>
              <w:t>Base :</w:t>
            </w:r>
            <w:r w:rsidRPr="00880F37">
              <w:t xml:space="preserve"> </w:t>
            </w:r>
            <w:r>
              <w:t xml:space="preserve">0 </w:t>
            </w:r>
          </w:p>
          <w:p w14:paraId="5856D6C6" w14:textId="77777777" w:rsidR="00DD583B" w:rsidRDefault="00DD583B" w:rsidP="005D2A90">
            <w:pPr>
              <w:rPr>
                <w:rFonts w:ascii="Calibri" w:hAnsi="Calibri"/>
                <w:color w:val="FF0000"/>
                <w:sz w:val="18"/>
                <w:szCs w:val="18"/>
              </w:rPr>
            </w:pPr>
            <w:r w:rsidRPr="00CE2384">
              <w:rPr>
                <w:rFonts w:ascii="Calibri" w:hAnsi="Calibri"/>
                <w:color w:val="FF0000"/>
                <w:sz w:val="18"/>
                <w:szCs w:val="18"/>
              </w:rPr>
              <w:t xml:space="preserve">Situation en fin 2017: </w:t>
            </w:r>
            <w:r>
              <w:rPr>
                <w:rFonts w:ascii="Calibri" w:hAnsi="Calibri"/>
                <w:color w:val="FF0000"/>
                <w:sz w:val="18"/>
                <w:szCs w:val="18"/>
              </w:rPr>
              <w:t>70600 manuscrits repertorié</w:t>
            </w:r>
          </w:p>
          <w:p w14:paraId="167A4439" w14:textId="77777777" w:rsidR="00DD583B" w:rsidRDefault="00DD583B" w:rsidP="005D2A90">
            <w:pPr>
              <w:rPr>
                <w:rFonts w:ascii="Calibri" w:hAnsi="Calibri"/>
                <w:color w:val="FF0000"/>
                <w:sz w:val="18"/>
                <w:szCs w:val="18"/>
              </w:rPr>
            </w:pPr>
            <w:r>
              <w:rPr>
                <w:rFonts w:ascii="Calibri" w:hAnsi="Calibri"/>
                <w:color w:val="FF0000"/>
                <w:sz w:val="18"/>
                <w:szCs w:val="18"/>
              </w:rPr>
              <w:t>60,000 manuscrits nettoyés</w:t>
            </w:r>
          </w:p>
          <w:p w14:paraId="6B97ED76" w14:textId="77777777" w:rsidR="00DD583B" w:rsidRPr="00CE2384" w:rsidRDefault="00DD583B" w:rsidP="005D2A90">
            <w:pPr>
              <w:rPr>
                <w:rFonts w:ascii="Calibri" w:hAnsi="Calibri"/>
                <w:color w:val="FF0000"/>
                <w:sz w:val="18"/>
                <w:szCs w:val="18"/>
                <w:lang w:val="fr-FR"/>
              </w:rPr>
            </w:pPr>
            <w:r>
              <w:rPr>
                <w:rFonts w:ascii="Calibri" w:hAnsi="Calibri"/>
                <w:color w:val="FF0000"/>
                <w:sz w:val="18"/>
                <w:szCs w:val="18"/>
              </w:rPr>
              <w:t>9100 boites de conservations confectionnées</w:t>
            </w:r>
          </w:p>
          <w:p w14:paraId="3E7DAEE5" w14:textId="77777777" w:rsidR="00DD583B" w:rsidRPr="002E5C18" w:rsidRDefault="00DD583B" w:rsidP="005D2A90">
            <w:pPr>
              <w:rPr>
                <w:rFonts w:ascii="Times New Roman" w:hAnsi="Times New Roman" w:cs="Times New Roman"/>
                <w:lang w:val="fr-FR"/>
              </w:rPr>
            </w:pPr>
          </w:p>
          <w:p w14:paraId="76AB57BC" w14:textId="77777777" w:rsidR="00DD583B" w:rsidRPr="00B32E60" w:rsidRDefault="00DD583B" w:rsidP="005D2A90">
            <w:pPr>
              <w:rPr>
                <w:rFonts w:ascii="Times New Roman" w:hAnsi="Times New Roman" w:cs="Times New Roman"/>
              </w:rPr>
            </w:pPr>
            <w:r w:rsidRPr="00880F37">
              <w:rPr>
                <w:rFonts w:ascii="Times New Roman" w:hAnsi="Times New Roman" w:cs="Times New Roman"/>
              </w:rPr>
              <w:t xml:space="preserve">Cible: </w:t>
            </w:r>
            <w:r w:rsidRPr="00B32E60">
              <w:rPr>
                <w:rFonts w:ascii="Times New Roman" w:hAnsi="Times New Roman" w:cs="Times New Roman"/>
              </w:rPr>
              <w:t>70600 manuscrits repertorié</w:t>
            </w:r>
          </w:p>
          <w:p w14:paraId="2651D19E" w14:textId="77777777" w:rsidR="00DD583B" w:rsidRPr="00B32E60" w:rsidRDefault="00DD583B" w:rsidP="005D2A90">
            <w:pPr>
              <w:rPr>
                <w:rFonts w:ascii="Times New Roman" w:hAnsi="Times New Roman" w:cs="Times New Roman"/>
              </w:rPr>
            </w:pPr>
            <w:r w:rsidRPr="00B32E60">
              <w:rPr>
                <w:rFonts w:ascii="Times New Roman" w:hAnsi="Times New Roman" w:cs="Times New Roman"/>
              </w:rPr>
              <w:t>60,000 manuscrits nettoyés</w:t>
            </w:r>
          </w:p>
          <w:p w14:paraId="2BE359DD" w14:textId="77777777" w:rsidR="00DD583B" w:rsidRPr="002E5C18" w:rsidRDefault="00DD583B" w:rsidP="005D2A90">
            <w:pPr>
              <w:rPr>
                <w:rFonts w:ascii="Times New Roman" w:hAnsi="Times New Roman" w:cs="Times New Roman"/>
                <w:b/>
                <w:bCs/>
                <w:lang w:val="fr-FR"/>
              </w:rPr>
            </w:pPr>
            <w:r w:rsidRPr="00B32E60">
              <w:rPr>
                <w:rFonts w:ascii="Times New Roman" w:hAnsi="Times New Roman" w:cs="Times New Roman"/>
              </w:rPr>
              <w:t>9100 boites de conservations confectionnées</w:t>
            </w:r>
          </w:p>
        </w:tc>
        <w:tc>
          <w:tcPr>
            <w:tcW w:w="4123" w:type="dxa"/>
            <w:vAlign w:val="center"/>
          </w:tcPr>
          <w:p w14:paraId="4BFB475B" w14:textId="77777777" w:rsidR="00DD583B" w:rsidRPr="002E5C18" w:rsidRDefault="00DD583B" w:rsidP="005D2A90">
            <w:pPr>
              <w:numPr>
                <w:ilvl w:val="0"/>
                <w:numId w:val="28"/>
              </w:numPr>
              <w:suppressAutoHyphens/>
              <w:rPr>
                <w:rFonts w:ascii="Times New Roman" w:hAnsi="Times New Roman" w:cs="Times New Roman"/>
                <w:lang w:val="fr-FR"/>
              </w:rPr>
            </w:pPr>
            <w:r w:rsidRPr="00880F37">
              <w:rPr>
                <w:rFonts w:ascii="Times New Roman" w:hAnsi="Times New Roman" w:cs="Times New Roman"/>
              </w:rPr>
              <w:t xml:space="preserve">Mode de calcul : </w:t>
            </w:r>
            <w:r>
              <w:rPr>
                <w:rFonts w:ascii="Times New Roman" w:hAnsi="Times New Roman" w:cs="Times New Roman"/>
              </w:rPr>
              <w:t xml:space="preserve">Denombrement des manuscrits repertoriés, catalogués et conservés </w:t>
            </w:r>
            <w:r w:rsidRPr="00880F37">
              <w:rPr>
                <w:rFonts w:ascii="Times New Roman" w:hAnsi="Times New Roman" w:cs="Times New Roman"/>
              </w:rPr>
              <w:t xml:space="preserve">par les entités UN/Effet 2 </w:t>
            </w:r>
          </w:p>
          <w:p w14:paraId="01ED4042" w14:textId="77777777" w:rsidR="00DD583B" w:rsidRPr="002E5C18" w:rsidRDefault="00DD583B" w:rsidP="005D2A90">
            <w:pPr>
              <w:numPr>
                <w:ilvl w:val="0"/>
                <w:numId w:val="28"/>
              </w:numPr>
              <w:suppressAutoHyphens/>
              <w:rPr>
                <w:rFonts w:ascii="Times New Roman" w:hAnsi="Times New Roman" w:cs="Times New Roman"/>
                <w:lang w:val="fr-FR"/>
              </w:rPr>
            </w:pPr>
            <w:r w:rsidRPr="00880F37">
              <w:rPr>
                <w:rFonts w:ascii="Times New Roman" w:hAnsi="Times New Roman" w:cs="Times New Roman"/>
              </w:rPr>
              <w:t xml:space="preserve">Sources de données/Moyens de vérification : Données SNU/Effet </w:t>
            </w:r>
            <w:r>
              <w:rPr>
                <w:rFonts w:ascii="Times New Roman" w:hAnsi="Times New Roman" w:cs="Times New Roman"/>
              </w:rPr>
              <w:t xml:space="preserve">2, Rapports d’activites des entites UN/Effets2 </w:t>
            </w:r>
          </w:p>
          <w:p w14:paraId="05C6E16C" w14:textId="77777777" w:rsidR="00DD583B" w:rsidRPr="002E5C18" w:rsidRDefault="00DD583B" w:rsidP="005D2A90">
            <w:pPr>
              <w:numPr>
                <w:ilvl w:val="0"/>
                <w:numId w:val="28"/>
              </w:numPr>
              <w:suppressAutoHyphens/>
              <w:rPr>
                <w:rFonts w:ascii="Times New Roman" w:hAnsi="Times New Roman" w:cs="Times New Roman"/>
                <w:lang w:val="fr-FR"/>
              </w:rPr>
            </w:pPr>
            <w:r w:rsidRPr="00880F37">
              <w:rPr>
                <w:rFonts w:ascii="Times New Roman" w:hAnsi="Times New Roman" w:cs="Times New Roman"/>
              </w:rPr>
              <w:t>Périodicité : Annuelle ou moins</w:t>
            </w:r>
          </w:p>
          <w:p w14:paraId="39C29D9D" w14:textId="77777777" w:rsidR="00DD583B" w:rsidRPr="002E5C18" w:rsidRDefault="00DD583B" w:rsidP="005D2A90">
            <w:pPr>
              <w:numPr>
                <w:ilvl w:val="0"/>
                <w:numId w:val="16"/>
              </w:numPr>
              <w:ind w:left="357" w:hanging="357"/>
              <w:rPr>
                <w:rFonts w:ascii="Times New Roman" w:hAnsi="Times New Roman" w:cs="Times New Roman"/>
                <w:lang w:val="fr-FR"/>
              </w:rPr>
            </w:pPr>
            <w:r w:rsidRPr="00880F37">
              <w:rPr>
                <w:rFonts w:ascii="Times New Roman" w:hAnsi="Times New Roman" w:cs="Times New Roman"/>
              </w:rPr>
              <w:t>Maître d’œuvre : Groupe de Résultat</w:t>
            </w:r>
          </w:p>
        </w:tc>
        <w:tc>
          <w:tcPr>
            <w:tcW w:w="3077" w:type="dxa"/>
            <w:gridSpan w:val="2"/>
            <w:vMerge/>
          </w:tcPr>
          <w:p w14:paraId="7A257567" w14:textId="77777777" w:rsidR="00DD583B" w:rsidRPr="002E5C18" w:rsidRDefault="00DD583B" w:rsidP="005D2A90">
            <w:pPr>
              <w:rPr>
                <w:lang w:val="fr-FR"/>
              </w:rPr>
            </w:pPr>
          </w:p>
        </w:tc>
        <w:tc>
          <w:tcPr>
            <w:tcW w:w="1800" w:type="dxa"/>
            <w:vMerge/>
          </w:tcPr>
          <w:p w14:paraId="0A15D81F" w14:textId="77777777" w:rsidR="00DD583B" w:rsidRPr="002E5C18" w:rsidRDefault="00DD583B" w:rsidP="005D2A90">
            <w:pPr>
              <w:rPr>
                <w:lang w:val="fr-FR"/>
              </w:rPr>
            </w:pPr>
          </w:p>
        </w:tc>
        <w:tc>
          <w:tcPr>
            <w:tcW w:w="995" w:type="dxa"/>
            <w:vMerge/>
          </w:tcPr>
          <w:p w14:paraId="0310DFBA" w14:textId="77777777" w:rsidR="00DD583B" w:rsidRPr="002E5C18" w:rsidRDefault="00DD583B" w:rsidP="005D2A90">
            <w:pPr>
              <w:rPr>
                <w:lang w:val="fr-FR"/>
              </w:rPr>
            </w:pPr>
          </w:p>
        </w:tc>
      </w:tr>
      <w:tr w:rsidR="00DD583B" w:rsidRPr="002E5C18" w14:paraId="1D191713" w14:textId="77777777" w:rsidTr="00186DD5">
        <w:tc>
          <w:tcPr>
            <w:tcW w:w="2590" w:type="dxa"/>
            <w:vMerge/>
            <w:shd w:val="clear" w:color="auto" w:fill="DBE5F1" w:themeFill="accent1" w:themeFillTint="33"/>
          </w:tcPr>
          <w:p w14:paraId="3D29B467" w14:textId="77777777" w:rsidR="00DD583B" w:rsidRPr="002E5C18" w:rsidRDefault="00DD583B" w:rsidP="005D2A90">
            <w:pPr>
              <w:rPr>
                <w:lang w:val="fr-FR"/>
              </w:rPr>
            </w:pPr>
          </w:p>
        </w:tc>
        <w:tc>
          <w:tcPr>
            <w:tcW w:w="2583" w:type="dxa"/>
            <w:vAlign w:val="center"/>
          </w:tcPr>
          <w:p w14:paraId="03FAB6DA" w14:textId="77777777" w:rsidR="00DD583B" w:rsidRPr="00B32E60" w:rsidRDefault="00DD583B" w:rsidP="005D2A90">
            <w:pPr>
              <w:rPr>
                <w:rFonts w:ascii="Times New Roman" w:hAnsi="Times New Roman" w:cs="Times New Roman"/>
                <w:bCs/>
              </w:rPr>
            </w:pPr>
            <w:r w:rsidRPr="00B32E60">
              <w:rPr>
                <w:rFonts w:ascii="Times New Roman" w:hAnsi="Times New Roman" w:cs="Times New Roman"/>
                <w:bCs/>
              </w:rPr>
              <w:t>Indicateur 2.4.3 Nombre  d’éléments du patrimoine culturel matériel et immatériel inventorié dans les régions de Tombouctou, Kidal, Gao et Mopti</w:t>
            </w:r>
          </w:p>
          <w:p w14:paraId="44457E18" w14:textId="77777777" w:rsidR="00DD583B" w:rsidRPr="00B32E60" w:rsidRDefault="00DD583B" w:rsidP="005D2A90">
            <w:pPr>
              <w:rPr>
                <w:rFonts w:ascii="Times New Roman" w:hAnsi="Times New Roman" w:cs="Times New Roman"/>
                <w:bCs/>
              </w:rPr>
            </w:pPr>
          </w:p>
          <w:p w14:paraId="390341B3" w14:textId="77777777" w:rsidR="00DD583B" w:rsidRPr="00B32E60" w:rsidRDefault="00DD583B" w:rsidP="005D2A90">
            <w:pPr>
              <w:rPr>
                <w:rFonts w:ascii="Times New Roman" w:hAnsi="Times New Roman" w:cs="Times New Roman"/>
                <w:bCs/>
              </w:rPr>
            </w:pPr>
            <w:r w:rsidRPr="00B32E60">
              <w:rPr>
                <w:rFonts w:ascii="Times New Roman" w:hAnsi="Times New Roman" w:cs="Times New Roman"/>
                <w:bCs/>
              </w:rPr>
              <w:t>Base: 5 éléments classés patrimoine mondial;</w:t>
            </w:r>
          </w:p>
          <w:p w14:paraId="4CFC47D8" w14:textId="77777777" w:rsidR="00DD583B" w:rsidRPr="00B32E60" w:rsidRDefault="00DD583B" w:rsidP="005D2A90">
            <w:pPr>
              <w:rPr>
                <w:rFonts w:ascii="Times New Roman" w:hAnsi="Times New Roman" w:cs="Times New Roman"/>
                <w:bCs/>
                <w:color w:val="FF0000"/>
              </w:rPr>
            </w:pPr>
            <w:r w:rsidRPr="00B32E60">
              <w:rPr>
                <w:rFonts w:ascii="Times New Roman" w:hAnsi="Times New Roman" w:cs="Times New Roman"/>
                <w:bCs/>
                <w:color w:val="FF0000"/>
              </w:rPr>
              <w:t xml:space="preserve">Situation en fin 2017: </w:t>
            </w:r>
          </w:p>
          <w:p w14:paraId="055CFED1" w14:textId="77777777" w:rsidR="00DD583B" w:rsidRPr="00B32E60" w:rsidRDefault="00DD583B" w:rsidP="005D2A90">
            <w:pPr>
              <w:rPr>
                <w:rFonts w:ascii="Times New Roman" w:hAnsi="Times New Roman" w:cs="Times New Roman"/>
                <w:bCs/>
                <w:color w:val="FF0000"/>
              </w:rPr>
            </w:pPr>
            <w:r w:rsidRPr="00B32E60">
              <w:rPr>
                <w:rFonts w:ascii="Times New Roman" w:hAnsi="Times New Roman" w:cs="Times New Roman"/>
                <w:bCs/>
                <w:color w:val="FF0000"/>
              </w:rPr>
              <w:t>Mopti: 19-Tombouctou : 17-Gao:12 et Kidal: 12</w:t>
            </w:r>
          </w:p>
          <w:p w14:paraId="5BA84721" w14:textId="77777777" w:rsidR="00DD583B" w:rsidRPr="00B32E60" w:rsidRDefault="00DD583B" w:rsidP="005D2A90">
            <w:pPr>
              <w:rPr>
                <w:rFonts w:ascii="Times New Roman" w:hAnsi="Times New Roman" w:cs="Times New Roman"/>
                <w:bCs/>
              </w:rPr>
            </w:pPr>
          </w:p>
          <w:p w14:paraId="61BDA776" w14:textId="77777777" w:rsidR="00DD583B" w:rsidRPr="002E5C18" w:rsidRDefault="00DD583B" w:rsidP="005D2A90">
            <w:pPr>
              <w:rPr>
                <w:rFonts w:ascii="Times New Roman" w:hAnsi="Times New Roman" w:cs="Times New Roman"/>
                <w:lang w:val="fr-FR"/>
              </w:rPr>
            </w:pPr>
            <w:r w:rsidRPr="00B32E60">
              <w:rPr>
                <w:rFonts w:ascii="Times New Roman" w:hAnsi="Times New Roman" w:cs="Times New Roman"/>
                <w:bCs/>
              </w:rPr>
              <w:t>Cible: 60 élémenta du patrimoine matériel et immatériel des régions de Tombouctou, Kidal, Gao et Mopti inventorié</w:t>
            </w:r>
          </w:p>
        </w:tc>
        <w:tc>
          <w:tcPr>
            <w:tcW w:w="4123" w:type="dxa"/>
            <w:vAlign w:val="center"/>
          </w:tcPr>
          <w:p w14:paraId="43CE37FA" w14:textId="77777777" w:rsidR="00DD583B" w:rsidRPr="00B32E60" w:rsidRDefault="00DD583B" w:rsidP="005D2A90">
            <w:pPr>
              <w:numPr>
                <w:ilvl w:val="0"/>
                <w:numId w:val="29"/>
              </w:numPr>
              <w:suppressAutoHyphens/>
              <w:rPr>
                <w:rFonts w:ascii="Times New Roman" w:hAnsi="Times New Roman" w:cs="Times New Roman"/>
              </w:rPr>
            </w:pPr>
            <w:r w:rsidRPr="00B32E60">
              <w:rPr>
                <w:rFonts w:ascii="Times New Roman" w:hAnsi="Times New Roman" w:cs="Times New Roman"/>
              </w:rPr>
              <w:t xml:space="preserve">Mode de calcul: Rapport Nb d’elements du patrimoine culturel matériel et  immateriel inventorié  UN/Effet 2 </w:t>
            </w:r>
          </w:p>
          <w:p w14:paraId="5946510E" w14:textId="77777777" w:rsidR="00DD583B" w:rsidRPr="00B32E60" w:rsidRDefault="00DD583B" w:rsidP="005D2A90">
            <w:pPr>
              <w:numPr>
                <w:ilvl w:val="0"/>
                <w:numId w:val="29"/>
              </w:numPr>
              <w:suppressAutoHyphens/>
              <w:rPr>
                <w:rFonts w:ascii="Times New Roman" w:hAnsi="Times New Roman" w:cs="Times New Roman"/>
              </w:rPr>
            </w:pPr>
            <w:r w:rsidRPr="00B32E60">
              <w:rPr>
                <w:rFonts w:ascii="Times New Roman" w:hAnsi="Times New Roman" w:cs="Times New Roman"/>
              </w:rPr>
              <w:t>Sources de données/Moyens de vérification: Données SNU ( UNESCO/Effet 2</w:t>
            </w:r>
          </w:p>
          <w:p w14:paraId="79A05AC0" w14:textId="77777777" w:rsidR="00DD583B" w:rsidRPr="00B32E60" w:rsidRDefault="00DD583B" w:rsidP="005D2A90">
            <w:pPr>
              <w:numPr>
                <w:ilvl w:val="0"/>
                <w:numId w:val="29"/>
              </w:numPr>
              <w:suppressAutoHyphens/>
              <w:rPr>
                <w:rFonts w:ascii="Times New Roman" w:hAnsi="Times New Roman" w:cs="Times New Roman"/>
              </w:rPr>
            </w:pPr>
            <w:r w:rsidRPr="00B32E60">
              <w:rPr>
                <w:rFonts w:ascii="Times New Roman" w:hAnsi="Times New Roman" w:cs="Times New Roman"/>
              </w:rPr>
              <w:t xml:space="preserve">Périodicité: Annuelle </w:t>
            </w:r>
          </w:p>
          <w:p w14:paraId="17C681B2" w14:textId="77777777" w:rsidR="00DD583B" w:rsidRPr="002E5C18" w:rsidRDefault="00DD583B" w:rsidP="005D2A90">
            <w:pPr>
              <w:numPr>
                <w:ilvl w:val="0"/>
                <w:numId w:val="16"/>
              </w:numPr>
              <w:ind w:left="357" w:hanging="357"/>
              <w:rPr>
                <w:rFonts w:ascii="Times New Roman" w:hAnsi="Times New Roman" w:cs="Times New Roman"/>
                <w:lang w:val="fr-FR"/>
              </w:rPr>
            </w:pPr>
            <w:r w:rsidRPr="00B32E60">
              <w:rPr>
                <w:rFonts w:ascii="Times New Roman" w:hAnsi="Times New Roman" w:cs="Times New Roman"/>
              </w:rPr>
              <w:t>Maître d’œuvre : Groupe de Résultat</w:t>
            </w:r>
          </w:p>
        </w:tc>
        <w:tc>
          <w:tcPr>
            <w:tcW w:w="3077" w:type="dxa"/>
            <w:gridSpan w:val="2"/>
            <w:vMerge/>
          </w:tcPr>
          <w:p w14:paraId="356A4C93" w14:textId="77777777" w:rsidR="00DD583B" w:rsidRPr="002E5C18" w:rsidRDefault="00DD583B" w:rsidP="005D2A90">
            <w:pPr>
              <w:rPr>
                <w:lang w:val="fr-FR"/>
              </w:rPr>
            </w:pPr>
          </w:p>
        </w:tc>
        <w:tc>
          <w:tcPr>
            <w:tcW w:w="1800" w:type="dxa"/>
            <w:vMerge/>
          </w:tcPr>
          <w:p w14:paraId="4A08851C" w14:textId="77777777" w:rsidR="00DD583B" w:rsidRPr="002E5C18" w:rsidRDefault="00DD583B" w:rsidP="005D2A90">
            <w:pPr>
              <w:rPr>
                <w:lang w:val="fr-FR"/>
              </w:rPr>
            </w:pPr>
          </w:p>
        </w:tc>
        <w:tc>
          <w:tcPr>
            <w:tcW w:w="995" w:type="dxa"/>
            <w:vMerge/>
          </w:tcPr>
          <w:p w14:paraId="43E7579E" w14:textId="77777777" w:rsidR="00DD583B" w:rsidRPr="002E5C18" w:rsidRDefault="00DD583B" w:rsidP="005D2A90">
            <w:pPr>
              <w:rPr>
                <w:lang w:val="fr-FR"/>
              </w:rPr>
            </w:pPr>
          </w:p>
        </w:tc>
      </w:tr>
    </w:tbl>
    <w:p w14:paraId="66970319" w14:textId="4DC4F71D" w:rsidR="00DD583B" w:rsidRDefault="00DD583B" w:rsidP="00DD583B">
      <w:pPr>
        <w:rPr>
          <w:rFonts w:ascii="Calibri" w:hAnsi="Calibri" w:cs="Calibri"/>
          <w:sz w:val="20"/>
          <w:szCs w:val="20"/>
        </w:rPr>
      </w:pPr>
    </w:p>
    <w:tbl>
      <w:tblPr>
        <w:tblStyle w:val="Grilledutableau"/>
        <w:tblW w:w="15168" w:type="dxa"/>
        <w:tblInd w:w="-318" w:type="dxa"/>
        <w:tblLook w:val="04A0" w:firstRow="1" w:lastRow="0" w:firstColumn="1" w:lastColumn="0" w:noHBand="0" w:noVBand="1"/>
      </w:tblPr>
      <w:tblGrid>
        <w:gridCol w:w="2590"/>
        <w:gridCol w:w="2832"/>
        <w:gridCol w:w="3874"/>
        <w:gridCol w:w="2648"/>
        <w:gridCol w:w="1974"/>
        <w:gridCol w:w="1250"/>
      </w:tblGrid>
      <w:tr w:rsidR="00DD583B" w:rsidRPr="002E5C18" w14:paraId="3346E095" w14:textId="77777777" w:rsidTr="005D2A90">
        <w:tc>
          <w:tcPr>
            <w:tcW w:w="15168" w:type="dxa"/>
            <w:gridSpan w:val="6"/>
          </w:tcPr>
          <w:p w14:paraId="4A5ED60F" w14:textId="77777777" w:rsidR="00DD583B" w:rsidRPr="006749DE" w:rsidRDefault="00DD583B" w:rsidP="005D2A90">
            <w:pPr>
              <w:pStyle w:val="Titre2"/>
              <w:jc w:val="center"/>
              <w:outlineLvl w:val="1"/>
              <w:rPr>
                <w:color w:val="auto"/>
                <w:sz w:val="28"/>
                <w:szCs w:val="28"/>
                <w:lang w:val="fr-FR"/>
              </w:rPr>
            </w:pPr>
            <w:bookmarkStart w:id="21" w:name="_Toc509228619"/>
            <w:r w:rsidRPr="006749DE">
              <w:rPr>
                <w:color w:val="auto"/>
                <w:sz w:val="28"/>
                <w:szCs w:val="28"/>
              </w:rPr>
              <w:t>Matrice des résultats UNDAF+ : Axe 2 Gouvernance</w:t>
            </w:r>
            <w:bookmarkEnd w:id="21"/>
          </w:p>
        </w:tc>
      </w:tr>
      <w:tr w:rsidR="00DD583B" w:rsidRPr="003A5F01" w14:paraId="61B6826A" w14:textId="77777777" w:rsidTr="005D2A90">
        <w:tc>
          <w:tcPr>
            <w:tcW w:w="15168" w:type="dxa"/>
            <w:gridSpan w:val="6"/>
            <w:shd w:val="clear" w:color="auto" w:fill="DBE5F1" w:themeFill="accent1" w:themeFillTint="33"/>
            <w:vAlign w:val="center"/>
          </w:tcPr>
          <w:p w14:paraId="41227385" w14:textId="77777777" w:rsidR="00DD583B" w:rsidRPr="003A5F01" w:rsidRDefault="00DD583B" w:rsidP="005D2A90">
            <w:pPr>
              <w:jc w:val="center"/>
              <w:rPr>
                <w:b/>
                <w:sz w:val="24"/>
                <w:szCs w:val="24"/>
                <w:lang w:val="fr-FR"/>
              </w:rPr>
            </w:pPr>
            <w:r w:rsidRPr="003A5F01">
              <w:rPr>
                <w:rFonts w:asciiTheme="minorHAnsi" w:hAnsiTheme="minorHAnsi" w:cs="Calibri"/>
                <w:b/>
                <w:bCs/>
                <w:sz w:val="24"/>
                <w:szCs w:val="24"/>
              </w:rPr>
              <w:t xml:space="preserve">Priorité nationale: </w:t>
            </w:r>
            <w:r w:rsidRPr="003A5F01">
              <w:rPr>
                <w:rFonts w:asciiTheme="minorHAnsi" w:hAnsiTheme="minorHAnsi" w:cs="TimesNewRomanPSMT"/>
                <w:b/>
                <w:sz w:val="24"/>
                <w:szCs w:val="24"/>
              </w:rPr>
              <w:t>mise en place d’institutions fortes et crédibles</w:t>
            </w:r>
          </w:p>
        </w:tc>
      </w:tr>
      <w:tr w:rsidR="00DD583B" w:rsidRPr="002E5C18" w14:paraId="57AE6EC2" w14:textId="77777777" w:rsidTr="005D2A90">
        <w:tc>
          <w:tcPr>
            <w:tcW w:w="2590" w:type="dxa"/>
          </w:tcPr>
          <w:p w14:paraId="31B61931" w14:textId="77777777" w:rsidR="00DD583B" w:rsidRPr="002E5C18" w:rsidRDefault="00DD583B" w:rsidP="005D2A90">
            <w:pPr>
              <w:pStyle w:val="Corpsdetexte"/>
              <w:spacing w:line="240" w:lineRule="auto"/>
              <w:jc w:val="left"/>
              <w:rPr>
                <w:rFonts w:asciiTheme="minorHAnsi" w:hAnsiTheme="minorHAnsi" w:cstheme="minorHAnsi"/>
                <w:b/>
                <w:bCs/>
                <w:i/>
                <w:sz w:val="20"/>
                <w:szCs w:val="20"/>
                <w:u w:val="single"/>
                <w:lang w:val="fr-FR"/>
              </w:rPr>
            </w:pPr>
            <w:r w:rsidRPr="002E5C18">
              <w:rPr>
                <w:lang w:val="fr-FR"/>
              </w:rPr>
              <w:t>Effet UNDAF</w:t>
            </w:r>
          </w:p>
        </w:tc>
        <w:tc>
          <w:tcPr>
            <w:tcW w:w="2832" w:type="dxa"/>
          </w:tcPr>
          <w:p w14:paraId="31F129DE" w14:textId="77777777" w:rsidR="00DD583B" w:rsidRPr="002E5C18" w:rsidRDefault="00DD583B" w:rsidP="005D2A90">
            <w:pPr>
              <w:rPr>
                <w:lang w:val="fr-FR"/>
              </w:rPr>
            </w:pPr>
            <w:r w:rsidRPr="002E5C18">
              <w:rPr>
                <w:rFonts w:asciiTheme="minorHAnsi" w:hAnsiTheme="minorHAnsi" w:cs="Calibri"/>
                <w:b/>
                <w:bCs/>
                <w:sz w:val="18"/>
                <w:szCs w:val="18"/>
                <w:lang w:val="fr-FR"/>
              </w:rPr>
              <w:t>Indicateurs, lignes de base, Cible</w:t>
            </w:r>
          </w:p>
        </w:tc>
        <w:tc>
          <w:tcPr>
            <w:tcW w:w="3874" w:type="dxa"/>
          </w:tcPr>
          <w:p w14:paraId="0BE004EA" w14:textId="77777777" w:rsidR="00DD583B" w:rsidRPr="002E5C18" w:rsidRDefault="00DD583B" w:rsidP="005D2A90">
            <w:pPr>
              <w:rPr>
                <w:lang w:val="fr-FR"/>
              </w:rPr>
            </w:pPr>
            <w:r w:rsidRPr="002E5C18">
              <w:rPr>
                <w:lang w:val="fr-FR"/>
              </w:rPr>
              <w:t>Fiche technique</w:t>
            </w:r>
          </w:p>
        </w:tc>
        <w:tc>
          <w:tcPr>
            <w:tcW w:w="2648" w:type="dxa"/>
            <w:vAlign w:val="center"/>
          </w:tcPr>
          <w:p w14:paraId="2C2941A0" w14:textId="77777777" w:rsidR="00DD583B" w:rsidRPr="002E5C18" w:rsidRDefault="00DD583B" w:rsidP="005D2A90">
            <w:pPr>
              <w:rPr>
                <w:lang w:val="fr-FR"/>
              </w:rPr>
            </w:pPr>
            <w:r w:rsidRPr="002E5C18">
              <w:rPr>
                <w:rFonts w:asciiTheme="minorHAnsi" w:hAnsiTheme="minorHAnsi" w:cs="Calibri"/>
                <w:b/>
                <w:bCs/>
                <w:sz w:val="18"/>
                <w:szCs w:val="18"/>
                <w:lang w:val="fr-FR"/>
              </w:rPr>
              <w:t>Risques et hypothèses</w:t>
            </w:r>
          </w:p>
        </w:tc>
        <w:tc>
          <w:tcPr>
            <w:tcW w:w="1974" w:type="dxa"/>
            <w:vAlign w:val="center"/>
          </w:tcPr>
          <w:p w14:paraId="45C76EF1" w14:textId="77777777" w:rsidR="00DD583B" w:rsidRPr="002E5C18" w:rsidRDefault="00DD583B" w:rsidP="005D2A90">
            <w:pPr>
              <w:rPr>
                <w:lang w:val="fr-FR"/>
              </w:rPr>
            </w:pPr>
            <w:r w:rsidRPr="002E5C18">
              <w:rPr>
                <w:rFonts w:asciiTheme="minorHAnsi" w:hAnsiTheme="minorHAnsi" w:cs="Calibri"/>
                <w:b/>
                <w:bCs/>
                <w:sz w:val="18"/>
                <w:szCs w:val="18"/>
                <w:lang w:val="fr-FR"/>
              </w:rPr>
              <w:t>Rôle des  Partenaires</w:t>
            </w:r>
          </w:p>
        </w:tc>
        <w:tc>
          <w:tcPr>
            <w:tcW w:w="1250" w:type="dxa"/>
          </w:tcPr>
          <w:p w14:paraId="0EF7E8E6" w14:textId="77777777" w:rsidR="00DD583B" w:rsidRPr="002E5C18" w:rsidRDefault="00DD583B" w:rsidP="005D2A90">
            <w:pPr>
              <w:rPr>
                <w:lang w:val="fr-FR"/>
              </w:rPr>
            </w:pPr>
            <w:r w:rsidRPr="002E5C18">
              <w:rPr>
                <w:lang w:val="fr-FR"/>
              </w:rPr>
              <w:t>Ressources</w:t>
            </w:r>
          </w:p>
        </w:tc>
      </w:tr>
      <w:tr w:rsidR="00DD583B" w:rsidRPr="002E5C18" w14:paraId="1EF87371" w14:textId="77777777" w:rsidTr="005D2A90">
        <w:tc>
          <w:tcPr>
            <w:tcW w:w="2590" w:type="dxa"/>
            <w:vMerge w:val="restart"/>
            <w:shd w:val="clear" w:color="auto" w:fill="8DB3E2" w:themeFill="text2" w:themeFillTint="66"/>
          </w:tcPr>
          <w:p w14:paraId="59DBF2F3" w14:textId="77777777" w:rsidR="00DD583B" w:rsidRPr="002E5C18" w:rsidRDefault="00DD583B" w:rsidP="005D2A90">
            <w:pPr>
              <w:pStyle w:val="Corpsdetexte"/>
              <w:spacing w:line="240" w:lineRule="auto"/>
              <w:jc w:val="left"/>
              <w:rPr>
                <w:rFonts w:asciiTheme="minorHAnsi" w:hAnsiTheme="minorHAnsi" w:cstheme="minorHAnsi"/>
                <w:b/>
                <w:bCs/>
                <w:i/>
                <w:sz w:val="20"/>
                <w:szCs w:val="20"/>
                <w:lang w:val="fr-FR"/>
              </w:rPr>
            </w:pPr>
            <w:r w:rsidRPr="002E5C18">
              <w:rPr>
                <w:rFonts w:asciiTheme="minorHAnsi" w:hAnsiTheme="minorHAnsi" w:cstheme="minorHAnsi"/>
                <w:b/>
                <w:bCs/>
                <w:i/>
                <w:sz w:val="20"/>
                <w:szCs w:val="20"/>
                <w:u w:val="single"/>
                <w:lang w:val="fr-FR"/>
              </w:rPr>
              <w:t xml:space="preserve">Effet 3 </w:t>
            </w:r>
            <w:r w:rsidRPr="002E5C18">
              <w:rPr>
                <w:rFonts w:asciiTheme="minorHAnsi" w:hAnsiTheme="minorHAnsi" w:cstheme="minorHAnsi"/>
                <w:b/>
                <w:bCs/>
                <w:i/>
                <w:sz w:val="20"/>
                <w:szCs w:val="20"/>
                <w:lang w:val="fr-FR"/>
              </w:rPr>
              <w:t xml:space="preserve">: </w:t>
            </w:r>
          </w:p>
          <w:p w14:paraId="66043263" w14:textId="77777777" w:rsidR="00DD583B" w:rsidRPr="002E5C18" w:rsidRDefault="00DD583B" w:rsidP="005D2A90">
            <w:pPr>
              <w:pStyle w:val="Corpsdetexte"/>
              <w:spacing w:line="240" w:lineRule="auto"/>
              <w:jc w:val="left"/>
              <w:rPr>
                <w:rFonts w:asciiTheme="minorHAnsi" w:hAnsiTheme="minorHAnsi" w:cstheme="minorHAnsi"/>
                <w:b/>
                <w:bCs/>
                <w:i/>
                <w:sz w:val="20"/>
                <w:szCs w:val="20"/>
                <w:lang w:val="fr-FR"/>
              </w:rPr>
            </w:pPr>
            <w:r w:rsidRPr="002E5C18">
              <w:rPr>
                <w:rFonts w:asciiTheme="minorHAnsi" w:hAnsiTheme="minorHAnsi" w:cstheme="minorHAnsi"/>
                <w:b/>
                <w:bCs/>
                <w:i/>
                <w:sz w:val="20"/>
                <w:szCs w:val="20"/>
                <w:lang w:val="fr-FR"/>
              </w:rPr>
              <w:t>Les institutions étatiques, nationales et locales, exercent de manière plus efficace leurs missions de service public et les acteurs non étatiques participent et assurent le contrôle citoyen en conformité avec les principes de bonne gouvernance et d’Etat de droit</w:t>
            </w:r>
          </w:p>
          <w:p w14:paraId="4A0DDF33" w14:textId="77777777" w:rsidR="00DD583B" w:rsidRPr="002E5C18" w:rsidRDefault="00DD583B" w:rsidP="005D2A90">
            <w:pPr>
              <w:pStyle w:val="Corpsdetexte"/>
              <w:spacing w:line="240" w:lineRule="auto"/>
              <w:jc w:val="left"/>
              <w:rPr>
                <w:rFonts w:asciiTheme="minorHAnsi" w:hAnsiTheme="minorHAnsi" w:cstheme="minorHAnsi"/>
                <w:b/>
                <w:bCs/>
                <w:i/>
                <w:sz w:val="20"/>
                <w:szCs w:val="20"/>
                <w:u w:val="single"/>
                <w:lang w:val="fr-FR"/>
              </w:rPr>
            </w:pPr>
          </w:p>
          <w:p w14:paraId="11387C33" w14:textId="77777777" w:rsidR="00DD583B" w:rsidRPr="002E5C18" w:rsidRDefault="00DD583B" w:rsidP="005D2A90">
            <w:pPr>
              <w:pStyle w:val="Corpsdetexte"/>
              <w:spacing w:line="240" w:lineRule="auto"/>
              <w:jc w:val="left"/>
              <w:rPr>
                <w:rFonts w:asciiTheme="minorHAnsi" w:hAnsiTheme="minorHAnsi" w:cstheme="minorHAnsi"/>
                <w:b/>
                <w:sz w:val="20"/>
                <w:szCs w:val="20"/>
                <w:lang w:val="fr-FR"/>
              </w:rPr>
            </w:pPr>
            <w:r w:rsidRPr="002E5C18">
              <w:rPr>
                <w:rFonts w:asciiTheme="minorHAnsi" w:hAnsiTheme="minorHAnsi" w:cstheme="minorHAnsi"/>
                <w:b/>
                <w:sz w:val="20"/>
                <w:szCs w:val="20"/>
                <w:u w:val="single"/>
                <w:lang w:val="fr-FR"/>
              </w:rPr>
              <w:t>Lead</w:t>
            </w:r>
            <w:r w:rsidRPr="002E5C18">
              <w:rPr>
                <w:rFonts w:asciiTheme="minorHAnsi" w:hAnsiTheme="minorHAnsi" w:cstheme="minorHAnsi"/>
                <w:b/>
                <w:sz w:val="20"/>
                <w:szCs w:val="20"/>
                <w:lang w:val="fr-FR"/>
              </w:rPr>
              <w:t> : Gouvernement</w:t>
            </w:r>
          </w:p>
          <w:p w14:paraId="3F016DBF" w14:textId="77777777" w:rsidR="00DD583B" w:rsidRPr="002E5C18" w:rsidRDefault="00DD583B" w:rsidP="005D2A90">
            <w:pPr>
              <w:pStyle w:val="Corpsdetexte"/>
              <w:spacing w:line="240" w:lineRule="auto"/>
              <w:jc w:val="left"/>
              <w:rPr>
                <w:rFonts w:asciiTheme="minorHAnsi" w:hAnsiTheme="minorHAnsi" w:cstheme="minorHAnsi"/>
                <w:b/>
                <w:sz w:val="20"/>
                <w:szCs w:val="20"/>
                <w:u w:val="single"/>
                <w:lang w:val="fr-FR"/>
              </w:rPr>
            </w:pPr>
            <w:r w:rsidRPr="002E5C18">
              <w:rPr>
                <w:rFonts w:cstheme="minorHAnsi"/>
                <w:b/>
                <w:sz w:val="20"/>
                <w:szCs w:val="20"/>
                <w:u w:val="single"/>
                <w:lang w:val="fr-FR"/>
              </w:rPr>
              <w:t xml:space="preserve"> :</w:t>
            </w:r>
          </w:p>
          <w:p w14:paraId="34DBFB39" w14:textId="77777777" w:rsidR="00DD583B" w:rsidRPr="002E5C18" w:rsidRDefault="00DD583B" w:rsidP="005D2A90">
            <w:pPr>
              <w:pStyle w:val="Corpsdetexte"/>
              <w:spacing w:line="240" w:lineRule="auto"/>
              <w:jc w:val="left"/>
              <w:rPr>
                <w:rFonts w:asciiTheme="minorHAnsi" w:hAnsiTheme="minorHAnsi" w:cstheme="minorHAnsi"/>
                <w:b/>
                <w:sz w:val="20"/>
                <w:szCs w:val="20"/>
                <w:lang w:val="fr-FR"/>
              </w:rPr>
            </w:pPr>
            <w:r w:rsidRPr="002E5C18">
              <w:rPr>
                <w:rFonts w:asciiTheme="minorHAnsi" w:hAnsiTheme="minorHAnsi" w:cstheme="minorHAnsi"/>
                <w:b/>
                <w:sz w:val="20"/>
                <w:szCs w:val="20"/>
                <w:u w:val="single"/>
                <w:lang w:val="fr-FR"/>
              </w:rPr>
              <w:t>Co-lead</w:t>
            </w:r>
            <w:r w:rsidRPr="002E5C18">
              <w:rPr>
                <w:rFonts w:asciiTheme="minorHAnsi" w:hAnsiTheme="minorHAnsi" w:cstheme="minorHAnsi"/>
                <w:b/>
                <w:sz w:val="20"/>
                <w:szCs w:val="20"/>
                <w:lang w:val="fr-FR"/>
              </w:rPr>
              <w:t> : PNUD, MINUSMA</w:t>
            </w:r>
            <w:r w:rsidRPr="002E5C18">
              <w:rPr>
                <w:rFonts w:asciiTheme="minorHAnsi" w:hAnsiTheme="minorHAnsi" w:cstheme="minorHAnsi"/>
                <w:b/>
                <w:sz w:val="20"/>
                <w:szCs w:val="20"/>
                <w:u w:val="single"/>
                <w:lang w:val="fr-FR"/>
              </w:rPr>
              <w:t xml:space="preserve"> </w:t>
            </w:r>
            <w:r w:rsidRPr="002E5C18">
              <w:rPr>
                <w:rFonts w:asciiTheme="minorHAnsi" w:hAnsiTheme="minorHAnsi" w:cstheme="minorHAnsi"/>
                <w:b/>
                <w:sz w:val="20"/>
                <w:szCs w:val="20"/>
                <w:lang w:val="fr-FR"/>
              </w:rPr>
              <w:t>HRD/OHCHR ; Affaires Civiles</w:t>
            </w:r>
          </w:p>
          <w:p w14:paraId="76419471" w14:textId="77777777" w:rsidR="00DD583B" w:rsidRPr="002E5C18" w:rsidRDefault="00DD583B" w:rsidP="005D2A90">
            <w:pPr>
              <w:pStyle w:val="Corpsdetexte"/>
              <w:spacing w:line="240" w:lineRule="auto"/>
              <w:jc w:val="left"/>
              <w:rPr>
                <w:rFonts w:asciiTheme="minorHAnsi" w:hAnsiTheme="minorHAnsi" w:cstheme="minorHAnsi"/>
                <w:sz w:val="20"/>
                <w:szCs w:val="20"/>
                <w:lang w:val="fr-FR"/>
              </w:rPr>
            </w:pPr>
          </w:p>
          <w:p w14:paraId="4CE8B1FB" w14:textId="77777777" w:rsidR="00DD583B" w:rsidRPr="002E5C18" w:rsidRDefault="00DD583B" w:rsidP="005D2A90">
            <w:pPr>
              <w:rPr>
                <w:lang w:val="fr-FR"/>
              </w:rPr>
            </w:pPr>
            <w:r w:rsidRPr="002E5C18">
              <w:rPr>
                <w:rFonts w:cstheme="minorHAnsi"/>
                <w:b/>
                <w:u w:val="single"/>
                <w:lang w:val="fr-FR"/>
              </w:rPr>
              <w:t>Autres</w:t>
            </w:r>
            <w:r w:rsidRPr="002E5C18">
              <w:rPr>
                <w:rFonts w:cstheme="minorHAnsi"/>
                <w:lang w:val="fr-FR"/>
              </w:rPr>
              <w:t xml:space="preserve"> : UNICEF, ONU-FEMMES, UNFPA, UNHCR, UNCDF, OIM</w:t>
            </w:r>
          </w:p>
        </w:tc>
        <w:tc>
          <w:tcPr>
            <w:tcW w:w="2832" w:type="dxa"/>
            <w:vAlign w:val="center"/>
          </w:tcPr>
          <w:p w14:paraId="1600B8A3" w14:textId="77777777" w:rsidR="00DD583B" w:rsidRPr="00CB2C0B" w:rsidRDefault="00DD583B" w:rsidP="005D2A90">
            <w:pPr>
              <w:rPr>
                <w:rFonts w:ascii="Times New Roman" w:hAnsi="Times New Roman" w:cs="Times New Roman"/>
                <w:lang w:val="en-US"/>
              </w:rPr>
            </w:pPr>
            <w:r w:rsidRPr="00CB2C0B">
              <w:rPr>
                <w:rFonts w:ascii="Times New Roman" w:hAnsi="Times New Roman" w:cs="Times New Roman"/>
                <w:lang w:val="en-US"/>
              </w:rPr>
              <w:t>Mo Ibrahim Index (Score)</w:t>
            </w:r>
          </w:p>
          <w:p w14:paraId="34B7FF83" w14:textId="77777777" w:rsidR="00DD583B" w:rsidRPr="00CB2C0B" w:rsidRDefault="00DD583B" w:rsidP="005D2A90">
            <w:pPr>
              <w:rPr>
                <w:rFonts w:ascii="Times New Roman" w:hAnsi="Times New Roman" w:cs="Times New Roman"/>
                <w:lang w:val="en-US"/>
              </w:rPr>
            </w:pPr>
          </w:p>
          <w:p w14:paraId="11D20435" w14:textId="77777777" w:rsidR="00DD583B" w:rsidRPr="004A78A7" w:rsidRDefault="00DD583B" w:rsidP="005D2A90">
            <w:pPr>
              <w:rPr>
                <w:rFonts w:ascii="Times New Roman" w:hAnsi="Times New Roman" w:cs="Times New Roman"/>
                <w:lang w:val="en-US"/>
              </w:rPr>
            </w:pPr>
            <w:r w:rsidRPr="004A78A7">
              <w:rPr>
                <w:rFonts w:ascii="Times New Roman" w:hAnsi="Times New Roman" w:cs="Times New Roman"/>
                <w:lang w:val="en-US"/>
              </w:rPr>
              <w:t>Base : 50,7</w:t>
            </w:r>
          </w:p>
          <w:p w14:paraId="40F820E6" w14:textId="77777777" w:rsidR="00DD583B" w:rsidRPr="00E919C4" w:rsidRDefault="00DD583B" w:rsidP="005D2A90">
            <w:pPr>
              <w:rPr>
                <w:rFonts w:ascii="Times New Roman" w:hAnsi="Times New Roman" w:cs="Times New Roman"/>
                <w:color w:val="FF0000"/>
                <w:lang w:val="fr-FR"/>
              </w:rPr>
            </w:pPr>
            <w:r w:rsidRPr="00E919C4">
              <w:rPr>
                <w:rFonts w:ascii="Times New Roman" w:hAnsi="Times New Roman" w:cs="Times New Roman"/>
                <w:color w:val="FF0000"/>
                <w:lang w:val="fr-FR"/>
              </w:rPr>
              <w:t>Situation en fin 2017: 51,9 (donn</w:t>
            </w:r>
            <w:r>
              <w:rPr>
                <w:rFonts w:ascii="Times New Roman" w:hAnsi="Times New Roman" w:cs="Times New Roman"/>
                <w:color w:val="FF0000"/>
                <w:lang w:val="fr-FR"/>
              </w:rPr>
              <w:t>é</w:t>
            </w:r>
            <w:r w:rsidRPr="00E919C4">
              <w:rPr>
                <w:rFonts w:ascii="Times New Roman" w:hAnsi="Times New Roman" w:cs="Times New Roman"/>
                <w:color w:val="FF0000"/>
                <w:lang w:val="fr-FR"/>
              </w:rPr>
              <w:t>es de 2016 publiees en 2017)</w:t>
            </w:r>
          </w:p>
          <w:p w14:paraId="0A12E183" w14:textId="77777777" w:rsidR="00DD583B" w:rsidRPr="002E5C18" w:rsidRDefault="00DD583B" w:rsidP="005D2A90">
            <w:pPr>
              <w:rPr>
                <w:lang w:val="fr-FR"/>
              </w:rPr>
            </w:pPr>
            <w:r w:rsidRPr="00E919C4">
              <w:rPr>
                <w:rFonts w:ascii="Times New Roman" w:hAnsi="Times New Roman" w:cs="Times New Roman"/>
                <w:lang w:val="fr-FR"/>
              </w:rPr>
              <w:t>Cible : 55</w:t>
            </w:r>
          </w:p>
        </w:tc>
        <w:tc>
          <w:tcPr>
            <w:tcW w:w="3874" w:type="dxa"/>
            <w:vAlign w:val="center"/>
          </w:tcPr>
          <w:p w14:paraId="11621CC9" w14:textId="77777777" w:rsidR="00DD583B" w:rsidRPr="00C85CEE" w:rsidRDefault="00DD583B" w:rsidP="005D2A90">
            <w:pPr>
              <w:numPr>
                <w:ilvl w:val="0"/>
                <w:numId w:val="30"/>
              </w:numPr>
              <w:suppressAutoHyphens/>
              <w:rPr>
                <w:rFonts w:ascii="Times New Roman" w:hAnsi="Times New Roman" w:cs="Times New Roman"/>
              </w:rPr>
            </w:pPr>
            <w:r w:rsidRPr="00C85CEE">
              <w:rPr>
                <w:rFonts w:ascii="Times New Roman" w:hAnsi="Times New Roman" w:cs="Times New Roman"/>
              </w:rPr>
              <w:t>Mode de calcul : Se référer à l’éditeur international</w:t>
            </w:r>
          </w:p>
          <w:p w14:paraId="7BF6F55A" w14:textId="77777777" w:rsidR="00DD583B" w:rsidRPr="00C85CEE" w:rsidRDefault="00DD583B" w:rsidP="005D2A90">
            <w:pPr>
              <w:numPr>
                <w:ilvl w:val="0"/>
                <w:numId w:val="30"/>
              </w:numPr>
              <w:suppressAutoHyphens/>
              <w:rPr>
                <w:rFonts w:ascii="Times New Roman" w:hAnsi="Times New Roman" w:cs="Times New Roman"/>
              </w:rPr>
            </w:pPr>
            <w:r w:rsidRPr="00C85CEE">
              <w:rPr>
                <w:rFonts w:ascii="Times New Roman" w:hAnsi="Times New Roman" w:cs="Times New Roman"/>
              </w:rPr>
              <w:t>Sources de données</w:t>
            </w:r>
            <w:r>
              <w:rPr>
                <w:rFonts w:ascii="Times New Roman" w:hAnsi="Times New Roman" w:cs="Times New Roman"/>
              </w:rPr>
              <w:t>/Moyens de vérification</w:t>
            </w:r>
            <w:r w:rsidRPr="00C85CEE">
              <w:rPr>
                <w:rFonts w:ascii="Times New Roman" w:hAnsi="Times New Roman" w:cs="Times New Roman"/>
              </w:rPr>
              <w:t> </w:t>
            </w:r>
            <w:r>
              <w:rPr>
                <w:rFonts w:ascii="Times New Roman" w:hAnsi="Times New Roman" w:cs="Times New Roman"/>
              </w:rPr>
              <w:t xml:space="preserve"> /Moyens de vérification</w:t>
            </w:r>
            <w:r w:rsidRPr="00C85CEE">
              <w:rPr>
                <w:rFonts w:ascii="Times New Roman" w:hAnsi="Times New Roman" w:cs="Times New Roman"/>
              </w:rPr>
              <w:t xml:space="preserve"> : Editeur international </w:t>
            </w:r>
          </w:p>
          <w:p w14:paraId="4C2F6F96" w14:textId="77777777" w:rsidR="00DD583B" w:rsidRPr="00C85CEE" w:rsidRDefault="00DD583B" w:rsidP="005D2A90">
            <w:pPr>
              <w:numPr>
                <w:ilvl w:val="0"/>
                <w:numId w:val="30"/>
              </w:numPr>
              <w:suppressAutoHyphens/>
              <w:rPr>
                <w:rFonts w:ascii="Times New Roman" w:hAnsi="Times New Roman" w:cs="Times New Roman"/>
              </w:rPr>
            </w:pPr>
            <w:r w:rsidRPr="00C85CEE">
              <w:rPr>
                <w:rFonts w:ascii="Times New Roman" w:hAnsi="Times New Roman" w:cs="Times New Roman"/>
              </w:rPr>
              <w:t>Périodicité : Annuelle</w:t>
            </w:r>
          </w:p>
          <w:p w14:paraId="52D8AAED" w14:textId="77777777" w:rsidR="00DD583B" w:rsidRPr="00CB2C0B" w:rsidRDefault="00DD583B" w:rsidP="005D2A90">
            <w:pPr>
              <w:numPr>
                <w:ilvl w:val="0"/>
                <w:numId w:val="30"/>
              </w:numPr>
              <w:suppressAutoHyphens/>
              <w:rPr>
                <w:rFonts w:ascii="Times New Roman" w:hAnsi="Times New Roman" w:cs="Times New Roman"/>
              </w:rPr>
            </w:pPr>
            <w:r w:rsidRPr="00C85CEE">
              <w:rPr>
                <w:rFonts w:ascii="Times New Roman" w:hAnsi="Times New Roman" w:cs="Times New Roman"/>
              </w:rPr>
              <w:t>Maître d’œuvre : Groupe de Résultat (exploitant la source)</w:t>
            </w:r>
          </w:p>
        </w:tc>
        <w:tc>
          <w:tcPr>
            <w:tcW w:w="2648" w:type="dxa"/>
            <w:vMerge w:val="restart"/>
          </w:tcPr>
          <w:p w14:paraId="5D223357" w14:textId="77777777" w:rsidR="00DD583B" w:rsidRPr="004D4BFB" w:rsidRDefault="00DD583B" w:rsidP="005D2A90">
            <w:pPr>
              <w:keepNext/>
              <w:contextualSpacing/>
              <w:rPr>
                <w:rFonts w:cstheme="minorHAnsi"/>
                <w:sz w:val="18"/>
                <w:szCs w:val="18"/>
                <w:lang w:val="fr-FR"/>
              </w:rPr>
            </w:pPr>
            <w:r w:rsidRPr="004D4BFB">
              <w:rPr>
                <w:rFonts w:cstheme="minorHAnsi"/>
                <w:sz w:val="18"/>
                <w:szCs w:val="18"/>
                <w:lang w:val="fr-FR"/>
              </w:rPr>
              <w:t xml:space="preserve">La dégradation de la situation sécuritaire, politico institutionnelle pourrait menacer la stabilité du pays et éventuellement l’organisation des élections </w:t>
            </w:r>
          </w:p>
          <w:p w14:paraId="04188A5E" w14:textId="77777777" w:rsidR="00DD583B" w:rsidRPr="004D4BFB" w:rsidRDefault="00DD583B" w:rsidP="005D2A90">
            <w:pPr>
              <w:keepNext/>
              <w:contextualSpacing/>
              <w:rPr>
                <w:rFonts w:cstheme="minorHAnsi"/>
                <w:sz w:val="18"/>
                <w:szCs w:val="18"/>
                <w:lang w:val="fr-FR"/>
              </w:rPr>
            </w:pPr>
          </w:p>
          <w:p w14:paraId="3C80F1FE" w14:textId="77777777" w:rsidR="00DD583B" w:rsidRPr="004D4BFB" w:rsidRDefault="00DD583B" w:rsidP="005D2A90">
            <w:pPr>
              <w:keepNext/>
              <w:contextualSpacing/>
              <w:rPr>
                <w:rFonts w:cstheme="minorHAnsi"/>
                <w:sz w:val="18"/>
                <w:szCs w:val="18"/>
                <w:lang w:val="fr-FR"/>
              </w:rPr>
            </w:pPr>
            <w:r w:rsidRPr="004D4BFB">
              <w:rPr>
                <w:rFonts w:cstheme="minorHAnsi"/>
                <w:sz w:val="18"/>
                <w:szCs w:val="18"/>
                <w:u w:val="single"/>
                <w:lang w:val="fr-FR"/>
              </w:rPr>
              <w:t>Probabilité</w:t>
            </w:r>
            <w:r w:rsidRPr="004D4BFB">
              <w:rPr>
                <w:rFonts w:cstheme="minorHAnsi"/>
                <w:sz w:val="18"/>
                <w:szCs w:val="18"/>
                <w:lang w:val="fr-FR"/>
              </w:rPr>
              <w:t> : Elevée</w:t>
            </w:r>
          </w:p>
          <w:p w14:paraId="39D07FCE" w14:textId="77777777" w:rsidR="00DD583B" w:rsidRPr="004D4BFB" w:rsidRDefault="00DD583B" w:rsidP="005D2A90">
            <w:pPr>
              <w:keepNext/>
              <w:contextualSpacing/>
              <w:rPr>
                <w:rFonts w:cstheme="minorHAnsi"/>
                <w:sz w:val="18"/>
                <w:szCs w:val="18"/>
                <w:lang w:val="fr-FR"/>
              </w:rPr>
            </w:pPr>
          </w:p>
          <w:p w14:paraId="0EC3D635" w14:textId="77777777" w:rsidR="00DD583B" w:rsidRPr="004D4BFB" w:rsidRDefault="00DD583B" w:rsidP="005D2A90">
            <w:pPr>
              <w:keepNext/>
              <w:contextualSpacing/>
              <w:rPr>
                <w:rFonts w:cstheme="minorHAnsi"/>
                <w:sz w:val="18"/>
                <w:szCs w:val="18"/>
                <w:lang w:val="fr-FR"/>
              </w:rPr>
            </w:pPr>
            <w:r w:rsidRPr="004D4BFB">
              <w:rPr>
                <w:rFonts w:cstheme="minorHAnsi"/>
                <w:sz w:val="18"/>
                <w:szCs w:val="18"/>
                <w:u w:val="single"/>
                <w:lang w:val="fr-FR"/>
              </w:rPr>
              <w:t>Mesure de mitigation </w:t>
            </w:r>
            <w:r w:rsidRPr="004D4BFB">
              <w:rPr>
                <w:rFonts w:cstheme="minorHAnsi"/>
                <w:sz w:val="18"/>
                <w:szCs w:val="18"/>
                <w:lang w:val="fr-FR"/>
              </w:rPr>
              <w:t>: Les acteurs concernés ont marqué la volonté politique de rétablir  la paix dans le Nord, restaurer l’autorité de l’État et le fonctionnement normal des institutions, promouvoir la réconciliation nationale dans le respect des principes de bonne gouvernance et de l’État de Droit.</w:t>
            </w:r>
          </w:p>
          <w:p w14:paraId="09FD76F7" w14:textId="77777777" w:rsidR="00DD583B" w:rsidRPr="004D4BFB" w:rsidRDefault="00DD583B" w:rsidP="005D2A90">
            <w:pPr>
              <w:keepNext/>
              <w:contextualSpacing/>
              <w:rPr>
                <w:rFonts w:cstheme="minorHAnsi"/>
                <w:sz w:val="18"/>
                <w:szCs w:val="18"/>
                <w:lang w:val="fr-FR"/>
              </w:rPr>
            </w:pPr>
          </w:p>
          <w:p w14:paraId="5BC98EB0" w14:textId="77777777" w:rsidR="00DD583B" w:rsidRPr="004D4BFB" w:rsidRDefault="00DD583B" w:rsidP="005D2A90">
            <w:pPr>
              <w:keepNext/>
              <w:contextualSpacing/>
              <w:rPr>
                <w:rFonts w:cstheme="minorHAnsi"/>
                <w:sz w:val="18"/>
                <w:szCs w:val="18"/>
                <w:lang w:val="fr-FR"/>
              </w:rPr>
            </w:pPr>
            <w:r w:rsidRPr="004D4BFB">
              <w:rPr>
                <w:rFonts w:cstheme="minorHAnsi"/>
                <w:sz w:val="18"/>
                <w:szCs w:val="18"/>
                <w:lang w:val="fr-FR"/>
              </w:rPr>
              <w:t>Risque d’inerties dans la conduite de réformes isntitutionnelles</w:t>
            </w:r>
          </w:p>
          <w:p w14:paraId="5E73CF2D" w14:textId="77777777" w:rsidR="00DD583B" w:rsidRPr="004D4BFB" w:rsidRDefault="00DD583B" w:rsidP="005D2A90">
            <w:pPr>
              <w:rPr>
                <w:lang w:val="fr-FR"/>
              </w:rPr>
            </w:pPr>
          </w:p>
        </w:tc>
        <w:tc>
          <w:tcPr>
            <w:tcW w:w="1974" w:type="dxa"/>
            <w:vMerge w:val="restart"/>
          </w:tcPr>
          <w:p w14:paraId="1BDFD800" w14:textId="77777777" w:rsidR="00DD583B" w:rsidRPr="004D4BFB" w:rsidRDefault="00DD583B" w:rsidP="005D2A90">
            <w:pPr>
              <w:rPr>
                <w:rFonts w:cstheme="minorHAnsi"/>
                <w:sz w:val="18"/>
                <w:szCs w:val="18"/>
                <w:u w:val="single"/>
                <w:lang w:val="fr-FR"/>
              </w:rPr>
            </w:pPr>
            <w:r w:rsidRPr="004D4BFB">
              <w:rPr>
                <w:rFonts w:cstheme="minorHAnsi"/>
                <w:sz w:val="18"/>
                <w:szCs w:val="18"/>
                <w:u w:val="single"/>
              </w:rPr>
              <w:t xml:space="preserve">Gouvernement du Mali    </w:t>
            </w:r>
          </w:p>
          <w:p w14:paraId="756E4BFE" w14:textId="77777777" w:rsidR="00DD583B" w:rsidRPr="004D4BFB" w:rsidRDefault="00DD583B" w:rsidP="005D2A90">
            <w:pPr>
              <w:rPr>
                <w:rFonts w:cstheme="minorHAnsi"/>
                <w:sz w:val="18"/>
                <w:szCs w:val="18"/>
                <w:lang w:val="fr-FR"/>
              </w:rPr>
            </w:pPr>
          </w:p>
          <w:p w14:paraId="236640DE" w14:textId="77777777" w:rsidR="00DD583B" w:rsidRPr="004D4BFB" w:rsidRDefault="00DD583B" w:rsidP="005D2A90">
            <w:r w:rsidRPr="004D4BFB">
              <w:rPr>
                <w:rFonts w:cstheme="minorHAnsi"/>
                <w:sz w:val="18"/>
                <w:szCs w:val="18"/>
              </w:rPr>
              <w:t>Formule, assure le pilotage, la mise en œuvre et le suivi -évaluation des politiques publiques définies dans le  CSCRP et des différents documents de stratégies et politiques nationales en conformité avec les principes de bonne gouvernance et de respect de l’État de Droit.</w:t>
            </w:r>
          </w:p>
          <w:p w14:paraId="24D34636" w14:textId="77777777" w:rsidR="00DD583B" w:rsidRPr="004D4BFB" w:rsidRDefault="00DD583B" w:rsidP="005D2A90">
            <w:pPr>
              <w:rPr>
                <w:rFonts w:cstheme="minorHAnsi"/>
                <w:sz w:val="18"/>
                <w:szCs w:val="18"/>
                <w:lang w:val="fr-FR"/>
              </w:rPr>
            </w:pPr>
            <w:r w:rsidRPr="004D4BFB">
              <w:rPr>
                <w:rFonts w:cstheme="minorHAnsi"/>
                <w:sz w:val="18"/>
                <w:szCs w:val="18"/>
              </w:rPr>
              <w:t xml:space="preserve">Joue son rôle de détenteur d’obligations </w:t>
            </w:r>
          </w:p>
          <w:p w14:paraId="58395CFC" w14:textId="77777777" w:rsidR="00DD583B" w:rsidRPr="004D4BFB" w:rsidRDefault="00DD583B" w:rsidP="005D2A90">
            <w:pPr>
              <w:rPr>
                <w:rFonts w:cstheme="minorHAnsi"/>
                <w:sz w:val="18"/>
                <w:szCs w:val="18"/>
                <w:lang w:val="fr-FR"/>
              </w:rPr>
            </w:pPr>
          </w:p>
          <w:p w14:paraId="2BB10172" w14:textId="77777777" w:rsidR="00DD583B" w:rsidRPr="004D4BFB" w:rsidRDefault="00DD583B" w:rsidP="005D2A90">
            <w:pPr>
              <w:rPr>
                <w:rFonts w:cstheme="minorHAnsi"/>
                <w:sz w:val="18"/>
                <w:szCs w:val="18"/>
                <w:lang w:val="fr-FR"/>
              </w:rPr>
            </w:pPr>
            <w:r w:rsidRPr="004D4BFB">
              <w:rPr>
                <w:rFonts w:cstheme="minorHAnsi"/>
                <w:sz w:val="18"/>
                <w:szCs w:val="18"/>
              </w:rPr>
              <w:t>Mobilise les ressources</w:t>
            </w:r>
          </w:p>
          <w:p w14:paraId="40913A58" w14:textId="77777777" w:rsidR="00DD583B" w:rsidRPr="004D4BFB" w:rsidRDefault="00DD583B" w:rsidP="005D2A90">
            <w:pPr>
              <w:rPr>
                <w:rFonts w:cstheme="minorHAnsi"/>
                <w:sz w:val="18"/>
                <w:szCs w:val="18"/>
                <w:lang w:val="fr-FR"/>
              </w:rPr>
            </w:pPr>
            <w:r w:rsidRPr="004D4BFB">
              <w:rPr>
                <w:rFonts w:cstheme="minorHAnsi"/>
                <w:sz w:val="18"/>
                <w:szCs w:val="18"/>
              </w:rPr>
              <w:t>Accroit les ressources des collectivités locales pour la mise en œuvre du plan d’action issu des États Généraux de la Décentralisation</w:t>
            </w:r>
          </w:p>
          <w:p w14:paraId="1E782A32" w14:textId="77777777" w:rsidR="00DD583B" w:rsidRPr="004D4BFB" w:rsidRDefault="00DD583B" w:rsidP="005D2A90">
            <w:pPr>
              <w:rPr>
                <w:rFonts w:cstheme="minorHAnsi"/>
                <w:sz w:val="18"/>
                <w:szCs w:val="18"/>
                <w:lang w:val="fr-FR"/>
              </w:rPr>
            </w:pPr>
            <w:r w:rsidRPr="004D4BFB">
              <w:rPr>
                <w:rFonts w:cstheme="minorHAnsi"/>
                <w:sz w:val="18"/>
                <w:szCs w:val="18"/>
              </w:rPr>
              <w:t xml:space="preserve">• assure la transposition dans l’arsenal juridique national les conventions internationales en </w:t>
            </w:r>
            <w:r w:rsidRPr="004D4BFB">
              <w:rPr>
                <w:rFonts w:cstheme="minorHAnsi"/>
                <w:sz w:val="18"/>
                <w:szCs w:val="18"/>
              </w:rPr>
              <w:lastRenderedPageBreak/>
              <w:t>matière de lutte contre la criminalité, l’impunité, pour le respect des principes de bonne gouvernance, des droits de l’homme et de l’État de Droit.</w:t>
            </w:r>
          </w:p>
          <w:p w14:paraId="02F78D0B" w14:textId="77777777" w:rsidR="00DD583B" w:rsidRPr="004D4BFB" w:rsidRDefault="00DD583B" w:rsidP="005D2A90">
            <w:pPr>
              <w:rPr>
                <w:rFonts w:cstheme="minorHAnsi"/>
                <w:sz w:val="18"/>
                <w:szCs w:val="18"/>
                <w:lang w:val="fr-FR"/>
              </w:rPr>
            </w:pPr>
            <w:r w:rsidRPr="004D4BFB">
              <w:rPr>
                <w:rFonts w:cstheme="minorHAnsi"/>
                <w:sz w:val="18"/>
                <w:szCs w:val="18"/>
              </w:rPr>
              <w:t xml:space="preserve">Assure la disponibilité des ressources humaines dans les services appropriés </w:t>
            </w:r>
          </w:p>
          <w:p w14:paraId="6DEAA068" w14:textId="77777777" w:rsidR="00DD583B" w:rsidRPr="004D4BFB" w:rsidRDefault="00DD583B" w:rsidP="005D2A90">
            <w:pPr>
              <w:rPr>
                <w:rFonts w:cstheme="minorHAnsi"/>
                <w:sz w:val="18"/>
                <w:szCs w:val="18"/>
                <w:lang w:val="fr-FR"/>
              </w:rPr>
            </w:pPr>
          </w:p>
          <w:p w14:paraId="5D18A593" w14:textId="77777777" w:rsidR="00DD583B" w:rsidRPr="004D4BFB" w:rsidRDefault="00DD583B" w:rsidP="005D2A90">
            <w:pPr>
              <w:rPr>
                <w:rFonts w:cstheme="minorHAnsi"/>
                <w:sz w:val="18"/>
                <w:szCs w:val="18"/>
                <w:lang w:val="fr-FR"/>
              </w:rPr>
            </w:pPr>
            <w:r w:rsidRPr="004D4BFB">
              <w:rPr>
                <w:rFonts w:cstheme="minorHAnsi"/>
                <w:sz w:val="18"/>
                <w:szCs w:val="18"/>
              </w:rPr>
              <w:t>Assurer la prise en compte du Genre dans les budgets, programmes/projets</w:t>
            </w:r>
          </w:p>
          <w:p w14:paraId="1594E99F" w14:textId="77777777" w:rsidR="00DD583B" w:rsidRPr="004D4BFB" w:rsidRDefault="00DD583B" w:rsidP="005D2A90">
            <w:pPr>
              <w:rPr>
                <w:lang w:val="fr-FR"/>
              </w:rPr>
            </w:pPr>
          </w:p>
        </w:tc>
        <w:tc>
          <w:tcPr>
            <w:tcW w:w="1250" w:type="dxa"/>
            <w:vMerge w:val="restart"/>
          </w:tcPr>
          <w:p w14:paraId="0CD33DD9" w14:textId="77777777" w:rsidR="00DD583B" w:rsidRPr="002E5C18" w:rsidRDefault="00DD583B" w:rsidP="005D2A90">
            <w:pPr>
              <w:rPr>
                <w:lang w:val="fr-FR"/>
              </w:rPr>
            </w:pPr>
          </w:p>
        </w:tc>
      </w:tr>
      <w:tr w:rsidR="00DD583B" w:rsidRPr="002E5C18" w14:paraId="1CFC4342" w14:textId="77777777" w:rsidTr="005D2A90">
        <w:trPr>
          <w:trHeight w:val="1860"/>
        </w:trPr>
        <w:tc>
          <w:tcPr>
            <w:tcW w:w="2590" w:type="dxa"/>
            <w:vMerge/>
            <w:shd w:val="clear" w:color="auto" w:fill="8DB3E2" w:themeFill="text2" w:themeFillTint="66"/>
          </w:tcPr>
          <w:p w14:paraId="3C718613" w14:textId="77777777" w:rsidR="00DD583B" w:rsidRPr="002E5C18" w:rsidRDefault="00DD583B" w:rsidP="005D2A90">
            <w:pPr>
              <w:widowControl w:val="0"/>
              <w:snapToGrid w:val="0"/>
              <w:ind w:left="-2" w:right="-144"/>
              <w:rPr>
                <w:rFonts w:cstheme="minorHAnsi"/>
                <w:sz w:val="18"/>
                <w:szCs w:val="18"/>
                <w:lang w:val="fr-FR"/>
              </w:rPr>
            </w:pPr>
          </w:p>
        </w:tc>
        <w:tc>
          <w:tcPr>
            <w:tcW w:w="2832" w:type="dxa"/>
            <w:vAlign w:val="center"/>
          </w:tcPr>
          <w:p w14:paraId="6A316070" w14:textId="77777777" w:rsidR="00DD583B" w:rsidRDefault="00DD583B" w:rsidP="005D2A90">
            <w:pPr>
              <w:rPr>
                <w:rFonts w:ascii="Times New Roman" w:hAnsi="Times New Roman" w:cs="Times New Roman"/>
                <w:lang w:val="fr-FR"/>
              </w:rPr>
            </w:pPr>
            <w:r w:rsidRPr="002E5C18">
              <w:rPr>
                <w:rFonts w:ascii="Times New Roman" w:hAnsi="Times New Roman" w:cs="Times New Roman"/>
                <w:lang w:val="fr-FR"/>
              </w:rPr>
              <w:t>Taux de satisfaction des populations par rapport au service public</w:t>
            </w:r>
          </w:p>
          <w:p w14:paraId="034DAB37" w14:textId="77777777" w:rsidR="00DD583B" w:rsidRDefault="00DD583B" w:rsidP="005D2A90">
            <w:pPr>
              <w:rPr>
                <w:rFonts w:ascii="Times New Roman" w:hAnsi="Times New Roman" w:cs="Times New Roman"/>
                <w:lang w:val="fr-FR"/>
              </w:rPr>
            </w:pPr>
          </w:p>
          <w:p w14:paraId="55AE207D" w14:textId="77777777" w:rsidR="00DD583B" w:rsidRDefault="00DD583B" w:rsidP="005D2A90">
            <w:pPr>
              <w:rPr>
                <w:rFonts w:ascii="Times New Roman" w:hAnsi="Times New Roman" w:cs="Times New Roman"/>
                <w:lang w:val="fr-FR"/>
              </w:rPr>
            </w:pPr>
            <w:r w:rsidRPr="002E5C18">
              <w:rPr>
                <w:rFonts w:ascii="Times New Roman" w:hAnsi="Times New Roman" w:cs="Times New Roman"/>
                <w:lang w:val="fr-FR"/>
              </w:rPr>
              <w:t>Base</w:t>
            </w:r>
            <w:r>
              <w:rPr>
                <w:rFonts w:ascii="Times New Roman" w:hAnsi="Times New Roman" w:cs="Times New Roman"/>
                <w:lang w:val="fr-FR"/>
              </w:rPr>
              <w:t> : 0</w:t>
            </w:r>
          </w:p>
          <w:p w14:paraId="14214E81"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Justice : 29,4% partiellement confiance et 7,3% ne font pas confiance (Rapport Malimetre 2017).</w:t>
            </w:r>
          </w:p>
          <w:p w14:paraId="5CCD7557" w14:textId="77777777" w:rsidR="00DD583B" w:rsidRDefault="00DD583B" w:rsidP="005D2A90">
            <w:pPr>
              <w:rPr>
                <w:rFonts w:ascii="Times New Roman" w:hAnsi="Times New Roman" w:cs="Times New Roman"/>
                <w:lang w:val="fr-FR"/>
              </w:rPr>
            </w:pPr>
          </w:p>
          <w:p w14:paraId="511B7993" w14:textId="77777777" w:rsidR="00DD583B" w:rsidRPr="002E5C18" w:rsidRDefault="00DD583B" w:rsidP="005D2A90">
            <w:pPr>
              <w:rPr>
                <w:lang w:val="fr-FR"/>
              </w:rPr>
            </w:pPr>
            <w:r>
              <w:rPr>
                <w:rFonts w:ascii="Times New Roman" w:hAnsi="Times New Roman" w:cs="Times New Roman"/>
                <w:lang w:val="fr-FR"/>
              </w:rPr>
              <w:t>Cible  AD</w:t>
            </w:r>
          </w:p>
        </w:tc>
        <w:tc>
          <w:tcPr>
            <w:tcW w:w="3874" w:type="dxa"/>
            <w:vAlign w:val="center"/>
          </w:tcPr>
          <w:p w14:paraId="2613D69E" w14:textId="77777777" w:rsidR="00DD583B" w:rsidRPr="00CB2C0B" w:rsidRDefault="00DD583B" w:rsidP="005D2A90">
            <w:pPr>
              <w:numPr>
                <w:ilvl w:val="0"/>
                <w:numId w:val="31"/>
              </w:numPr>
              <w:suppressAutoHyphens/>
              <w:rPr>
                <w:rFonts w:ascii="Times New Roman" w:hAnsi="Times New Roman" w:cs="Times New Roman"/>
              </w:rPr>
            </w:pPr>
            <w:r w:rsidRPr="00CB2C0B">
              <w:rPr>
                <w:rFonts w:ascii="Times New Roman" w:hAnsi="Times New Roman" w:cs="Times New Roman"/>
              </w:rPr>
              <w:t>Mode de calcul : Nb de personnes se déclarant satisfaites du service public, sur taille de l’échantillon des enquêtés</w:t>
            </w:r>
          </w:p>
          <w:p w14:paraId="621D398C" w14:textId="77777777" w:rsidR="00DD583B" w:rsidRPr="00CB2C0B" w:rsidRDefault="00DD583B" w:rsidP="005D2A90">
            <w:pPr>
              <w:numPr>
                <w:ilvl w:val="0"/>
                <w:numId w:val="31"/>
              </w:numPr>
              <w:suppressAutoHyphens/>
              <w:rPr>
                <w:rFonts w:ascii="Times New Roman" w:hAnsi="Times New Roman" w:cs="Times New Roman"/>
              </w:rPr>
            </w:pPr>
            <w:r w:rsidRPr="00C85CEE">
              <w:rPr>
                <w:rFonts w:ascii="Times New Roman" w:hAnsi="Times New Roman" w:cs="Times New Roman"/>
              </w:rPr>
              <w:t>Sources de données</w:t>
            </w:r>
            <w:r>
              <w:rPr>
                <w:rFonts w:ascii="Times New Roman" w:hAnsi="Times New Roman" w:cs="Times New Roman"/>
              </w:rPr>
              <w:t>/Moyens de vérification</w:t>
            </w:r>
            <w:r w:rsidRPr="00C85CEE">
              <w:rPr>
                <w:rFonts w:ascii="Times New Roman" w:hAnsi="Times New Roman" w:cs="Times New Roman"/>
              </w:rPr>
              <w:t> </w:t>
            </w:r>
            <w:r w:rsidRPr="00CB2C0B">
              <w:rPr>
                <w:rFonts w:ascii="Times New Roman" w:hAnsi="Times New Roman" w:cs="Times New Roman"/>
              </w:rPr>
              <w:t> : Enquête de satisfaction</w:t>
            </w:r>
          </w:p>
          <w:p w14:paraId="16359B02" w14:textId="77777777" w:rsidR="00DD583B" w:rsidRPr="00CB2C0B" w:rsidRDefault="00DD583B" w:rsidP="005D2A90">
            <w:pPr>
              <w:numPr>
                <w:ilvl w:val="0"/>
                <w:numId w:val="31"/>
              </w:numPr>
              <w:suppressAutoHyphens/>
              <w:rPr>
                <w:rFonts w:ascii="Times New Roman" w:hAnsi="Times New Roman" w:cs="Times New Roman"/>
              </w:rPr>
            </w:pPr>
            <w:r w:rsidRPr="00CB2C0B">
              <w:rPr>
                <w:rFonts w:ascii="Times New Roman" w:hAnsi="Times New Roman" w:cs="Times New Roman"/>
              </w:rPr>
              <w:t>Périodicité : Annuelle</w:t>
            </w:r>
          </w:p>
          <w:p w14:paraId="21886BD4" w14:textId="77777777" w:rsidR="00DD583B" w:rsidRPr="00CB2C0B" w:rsidRDefault="00DD583B" w:rsidP="005D2A90">
            <w:pPr>
              <w:pStyle w:val="Paragraphedeliste"/>
              <w:numPr>
                <w:ilvl w:val="0"/>
                <w:numId w:val="31"/>
              </w:numPr>
              <w:rPr>
                <w:lang w:val="fr-FR"/>
              </w:rPr>
            </w:pPr>
            <w:r w:rsidRPr="00CB2C0B">
              <w:rPr>
                <w:rFonts w:ascii="Times New Roman" w:hAnsi="Times New Roman" w:cs="Times New Roman"/>
              </w:rPr>
              <w:t>Maître d’œuvre : Partie nationale</w:t>
            </w:r>
          </w:p>
        </w:tc>
        <w:tc>
          <w:tcPr>
            <w:tcW w:w="2648" w:type="dxa"/>
            <w:vMerge/>
          </w:tcPr>
          <w:p w14:paraId="099D5E2A" w14:textId="77777777" w:rsidR="00DD583B" w:rsidRPr="002E5C18" w:rsidRDefault="00DD583B" w:rsidP="005D2A90">
            <w:pPr>
              <w:rPr>
                <w:lang w:val="fr-FR"/>
              </w:rPr>
            </w:pPr>
          </w:p>
        </w:tc>
        <w:tc>
          <w:tcPr>
            <w:tcW w:w="1974" w:type="dxa"/>
            <w:vMerge/>
          </w:tcPr>
          <w:p w14:paraId="753222EF" w14:textId="77777777" w:rsidR="00DD583B" w:rsidRPr="00F83BB2" w:rsidRDefault="00DD583B" w:rsidP="005D2A90">
            <w:pPr>
              <w:rPr>
                <w:highlight w:val="yellow"/>
                <w:lang w:val="fr-FR"/>
              </w:rPr>
            </w:pPr>
          </w:p>
        </w:tc>
        <w:tc>
          <w:tcPr>
            <w:tcW w:w="1250" w:type="dxa"/>
            <w:vMerge/>
          </w:tcPr>
          <w:p w14:paraId="1F731513" w14:textId="77777777" w:rsidR="00DD583B" w:rsidRPr="002E5C18" w:rsidRDefault="00DD583B" w:rsidP="005D2A90">
            <w:pPr>
              <w:rPr>
                <w:lang w:val="fr-FR"/>
              </w:rPr>
            </w:pPr>
          </w:p>
        </w:tc>
      </w:tr>
      <w:tr w:rsidR="00DD583B" w:rsidRPr="002E5C18" w14:paraId="3377D03D" w14:textId="77777777" w:rsidTr="005D2A90">
        <w:tc>
          <w:tcPr>
            <w:tcW w:w="2590" w:type="dxa"/>
            <w:vMerge w:val="restart"/>
            <w:shd w:val="clear" w:color="auto" w:fill="DBE5F1" w:themeFill="accent1" w:themeFillTint="33"/>
            <w:vAlign w:val="center"/>
          </w:tcPr>
          <w:p w14:paraId="14AD0E26" w14:textId="77777777" w:rsidR="00DD583B" w:rsidRPr="002E5C18" w:rsidRDefault="00DD583B" w:rsidP="005D2A90">
            <w:pPr>
              <w:rPr>
                <w:lang w:val="fr-FR"/>
              </w:rPr>
            </w:pPr>
            <w:r w:rsidRPr="00C85CEE">
              <w:rPr>
                <w:rFonts w:ascii="Times New Roman" w:hAnsi="Times New Roman" w:cs="Times New Roman"/>
                <w:bCs/>
              </w:rPr>
              <w:t>Produit 3.1 : Les capacités de l’Assemblée Nationale et des   Structures de contrôle des Finances publiques (Section des Comptes de la Cours Suprême) sont renforcées en vue d’améliorer la redevabilité dans la gestion des politiques publiques.</w:t>
            </w:r>
          </w:p>
        </w:tc>
        <w:tc>
          <w:tcPr>
            <w:tcW w:w="2832" w:type="dxa"/>
            <w:vAlign w:val="center"/>
          </w:tcPr>
          <w:p w14:paraId="4E04931B" w14:textId="77777777" w:rsidR="00DD583B" w:rsidRDefault="00DD583B" w:rsidP="005D2A90">
            <w:pPr>
              <w:widowControl w:val="0"/>
              <w:snapToGrid w:val="0"/>
              <w:rPr>
                <w:rFonts w:ascii="Times New Roman" w:hAnsi="Times New Roman" w:cs="Times New Roman"/>
              </w:rPr>
            </w:pPr>
            <w:r w:rsidRPr="00C85CEE">
              <w:rPr>
                <w:rFonts w:ascii="Times New Roman" w:hAnsi="Times New Roman" w:cs="Times New Roman"/>
                <w:bCs/>
              </w:rPr>
              <w:t>Indicateur 3.1.1</w:t>
            </w:r>
            <w:r w:rsidRPr="00C85CEE">
              <w:rPr>
                <w:rFonts w:ascii="Times New Roman" w:hAnsi="Times New Roman" w:cs="Times New Roman"/>
              </w:rPr>
              <w:t xml:space="preserve"> Nombre de propositions de loi soumises par l’Assemblée Nationale, liées à l’assistance du programme</w:t>
            </w:r>
          </w:p>
          <w:p w14:paraId="208C61B4" w14:textId="77777777" w:rsidR="00DD583B" w:rsidRDefault="00DD583B" w:rsidP="005D2A90">
            <w:pPr>
              <w:rPr>
                <w:rFonts w:ascii="Times New Roman" w:hAnsi="Times New Roman" w:cs="Times New Roman"/>
                <w:lang w:val="fr-FR"/>
              </w:rPr>
            </w:pPr>
          </w:p>
          <w:p w14:paraId="448D09A3" w14:textId="77777777" w:rsidR="00DD583B" w:rsidRDefault="00DD583B" w:rsidP="005D2A90">
            <w:pPr>
              <w:rPr>
                <w:rFonts w:ascii="Times New Roman" w:hAnsi="Times New Roman" w:cs="Times New Roman"/>
                <w:lang w:val="fr-FR"/>
              </w:rPr>
            </w:pPr>
            <w:r w:rsidRPr="002E5C18">
              <w:rPr>
                <w:rFonts w:ascii="Times New Roman" w:hAnsi="Times New Roman" w:cs="Times New Roman"/>
                <w:lang w:val="fr-FR"/>
              </w:rPr>
              <w:t>Base</w:t>
            </w:r>
            <w:r>
              <w:rPr>
                <w:rFonts w:ascii="Times New Roman" w:hAnsi="Times New Roman" w:cs="Times New Roman"/>
                <w:lang w:val="fr-FR"/>
              </w:rPr>
              <w:t> : 0</w:t>
            </w:r>
          </w:p>
          <w:p w14:paraId="71B7847C"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2</w:t>
            </w:r>
          </w:p>
          <w:p w14:paraId="286273D2" w14:textId="77777777" w:rsidR="00DD583B" w:rsidRDefault="00DD583B" w:rsidP="005D2A90">
            <w:pPr>
              <w:rPr>
                <w:rFonts w:ascii="Times New Roman" w:hAnsi="Times New Roman" w:cs="Times New Roman"/>
                <w:lang w:val="fr-FR"/>
              </w:rPr>
            </w:pPr>
          </w:p>
          <w:p w14:paraId="640212FB" w14:textId="77777777" w:rsidR="00DD583B" w:rsidRPr="002E5C18" w:rsidRDefault="00DD583B" w:rsidP="005D2A90">
            <w:pPr>
              <w:widowControl w:val="0"/>
              <w:snapToGrid w:val="0"/>
              <w:rPr>
                <w:rFonts w:cstheme="minorHAnsi"/>
                <w:bCs/>
                <w:sz w:val="18"/>
                <w:szCs w:val="18"/>
                <w:lang w:val="fr-FR"/>
              </w:rPr>
            </w:pPr>
            <w:r>
              <w:rPr>
                <w:rFonts w:ascii="Times New Roman" w:hAnsi="Times New Roman" w:cs="Times New Roman"/>
                <w:lang w:val="fr-FR"/>
              </w:rPr>
              <w:t>Cible : 5</w:t>
            </w:r>
          </w:p>
        </w:tc>
        <w:tc>
          <w:tcPr>
            <w:tcW w:w="3874" w:type="dxa"/>
            <w:vAlign w:val="center"/>
          </w:tcPr>
          <w:p w14:paraId="3E9F2344" w14:textId="77777777" w:rsidR="00DD583B" w:rsidRPr="00C85CEE" w:rsidRDefault="00DD583B" w:rsidP="005D2A90">
            <w:pPr>
              <w:numPr>
                <w:ilvl w:val="0"/>
                <w:numId w:val="32"/>
              </w:numPr>
              <w:suppressAutoHyphens/>
              <w:rPr>
                <w:rFonts w:ascii="Times New Roman" w:hAnsi="Times New Roman" w:cs="Times New Roman"/>
              </w:rPr>
            </w:pPr>
            <w:r w:rsidRPr="00C85CEE">
              <w:rPr>
                <w:rFonts w:ascii="Times New Roman" w:hAnsi="Times New Roman" w:cs="Times New Roman"/>
              </w:rPr>
              <w:t>Mode de calcul : Dénombrement  des propositions de loi soumises par l’Assemblée Nationale, liées à l’assistance du programme</w:t>
            </w:r>
          </w:p>
          <w:p w14:paraId="7A18B9BF" w14:textId="77777777" w:rsidR="00DD583B" w:rsidRPr="00C85CEE" w:rsidRDefault="00DD583B" w:rsidP="005D2A90">
            <w:pPr>
              <w:numPr>
                <w:ilvl w:val="0"/>
                <w:numId w:val="32"/>
              </w:numPr>
              <w:suppressAutoHyphens/>
              <w:rPr>
                <w:rFonts w:ascii="Times New Roman" w:hAnsi="Times New Roman" w:cs="Times New Roman"/>
              </w:rPr>
            </w:pPr>
            <w:r w:rsidRPr="00C85CEE">
              <w:rPr>
                <w:rFonts w:ascii="Times New Roman" w:hAnsi="Times New Roman" w:cs="Times New Roman"/>
              </w:rPr>
              <w:t>Sources de données</w:t>
            </w:r>
            <w:r>
              <w:rPr>
                <w:rFonts w:ascii="Times New Roman" w:hAnsi="Times New Roman" w:cs="Times New Roman"/>
              </w:rPr>
              <w:t>/Moyens de vérification</w:t>
            </w:r>
            <w:r w:rsidRPr="00C85CEE">
              <w:rPr>
                <w:rFonts w:ascii="Times New Roman" w:hAnsi="Times New Roman" w:cs="Times New Roman"/>
              </w:rPr>
              <w:t>  : Données à collecter auprès de l’Assemblée nationale</w:t>
            </w:r>
          </w:p>
          <w:p w14:paraId="219AD09F" w14:textId="77777777" w:rsidR="00DD583B" w:rsidRPr="00C85CEE" w:rsidRDefault="00DD583B" w:rsidP="005D2A90">
            <w:pPr>
              <w:numPr>
                <w:ilvl w:val="0"/>
                <w:numId w:val="32"/>
              </w:numPr>
              <w:suppressAutoHyphens/>
              <w:rPr>
                <w:rFonts w:ascii="Times New Roman" w:hAnsi="Times New Roman" w:cs="Times New Roman"/>
              </w:rPr>
            </w:pPr>
            <w:r w:rsidRPr="00C85CEE">
              <w:rPr>
                <w:rFonts w:ascii="Times New Roman" w:hAnsi="Times New Roman" w:cs="Times New Roman"/>
              </w:rPr>
              <w:t>Périodicité : Annuelle</w:t>
            </w:r>
          </w:p>
          <w:p w14:paraId="4B421D88" w14:textId="77777777" w:rsidR="00DD583B" w:rsidRPr="002E5C18" w:rsidRDefault="00DD583B" w:rsidP="005D2A90">
            <w:pPr>
              <w:pStyle w:val="Paragraphedeliste"/>
              <w:numPr>
                <w:ilvl w:val="0"/>
                <w:numId w:val="11"/>
              </w:numPr>
              <w:rPr>
                <w:lang w:val="fr-FR"/>
              </w:rPr>
            </w:pPr>
            <w:r w:rsidRPr="00C85CEE">
              <w:rPr>
                <w:rFonts w:ascii="Times New Roman" w:hAnsi="Times New Roman" w:cs="Times New Roman"/>
              </w:rPr>
              <w:t>Maître d’œuvre : Groupe de résultat</w:t>
            </w:r>
          </w:p>
        </w:tc>
        <w:tc>
          <w:tcPr>
            <w:tcW w:w="2648" w:type="dxa"/>
            <w:vMerge w:val="restart"/>
          </w:tcPr>
          <w:p w14:paraId="4273C5F8" w14:textId="77777777" w:rsidR="00DD583B" w:rsidRPr="004D4BFB" w:rsidRDefault="00DD583B" w:rsidP="005D2A90">
            <w:pPr>
              <w:rPr>
                <w:lang w:val="fr-FR"/>
              </w:rPr>
            </w:pPr>
          </w:p>
          <w:p w14:paraId="6E7E9395" w14:textId="77777777" w:rsidR="00DD583B" w:rsidRPr="004D4BFB" w:rsidRDefault="00DD583B" w:rsidP="005D2A90">
            <w:pPr>
              <w:rPr>
                <w:lang w:val="fr-FR"/>
              </w:rPr>
            </w:pPr>
          </w:p>
          <w:p w14:paraId="08F0A8D4" w14:textId="77777777" w:rsidR="00DD583B" w:rsidRPr="004D4BFB" w:rsidRDefault="00DD583B" w:rsidP="005D2A90">
            <w:pPr>
              <w:rPr>
                <w:lang w:val="fr-FR"/>
              </w:rPr>
            </w:pPr>
          </w:p>
          <w:p w14:paraId="13897D7F" w14:textId="77777777" w:rsidR="00DD583B" w:rsidRPr="004D4BFB" w:rsidRDefault="00DD583B" w:rsidP="005D2A90">
            <w:pPr>
              <w:rPr>
                <w:lang w:val="fr-FR"/>
              </w:rPr>
            </w:pPr>
          </w:p>
          <w:p w14:paraId="1CA0389F" w14:textId="77777777" w:rsidR="00DD583B" w:rsidRPr="004D4BFB" w:rsidRDefault="00DD583B" w:rsidP="005D2A90">
            <w:pPr>
              <w:rPr>
                <w:lang w:val="fr-FR"/>
              </w:rPr>
            </w:pPr>
          </w:p>
          <w:p w14:paraId="49A8EA2D" w14:textId="77777777" w:rsidR="00DD583B" w:rsidRPr="004D4BFB" w:rsidRDefault="00DD583B" w:rsidP="005D2A90">
            <w:pPr>
              <w:rPr>
                <w:lang w:val="fr-FR"/>
              </w:rPr>
            </w:pPr>
          </w:p>
          <w:p w14:paraId="702CA5F3" w14:textId="77777777" w:rsidR="00DD583B" w:rsidRPr="004D4BFB" w:rsidRDefault="00DD583B" w:rsidP="005D2A90">
            <w:pPr>
              <w:rPr>
                <w:lang w:val="fr-FR"/>
              </w:rPr>
            </w:pPr>
          </w:p>
          <w:p w14:paraId="7BE740CD" w14:textId="77777777" w:rsidR="00DD583B" w:rsidRPr="004D4BFB" w:rsidRDefault="00DD583B" w:rsidP="005D2A90">
            <w:pPr>
              <w:rPr>
                <w:lang w:val="fr-FR"/>
              </w:rPr>
            </w:pPr>
          </w:p>
          <w:p w14:paraId="71ADFD78" w14:textId="77777777" w:rsidR="00DD583B" w:rsidRPr="004D4BFB" w:rsidRDefault="00DD583B" w:rsidP="005D2A90">
            <w:pPr>
              <w:rPr>
                <w:lang w:val="fr-FR"/>
              </w:rPr>
            </w:pPr>
          </w:p>
          <w:p w14:paraId="3AE1CE51" w14:textId="77777777" w:rsidR="00DD583B" w:rsidRPr="004D4BFB" w:rsidRDefault="00DD583B" w:rsidP="005D2A90">
            <w:pPr>
              <w:rPr>
                <w:lang w:val="fr-FR"/>
              </w:rPr>
            </w:pPr>
          </w:p>
          <w:p w14:paraId="03B4DEA8" w14:textId="77777777" w:rsidR="00DD583B" w:rsidRPr="004D4BFB" w:rsidRDefault="00DD583B" w:rsidP="005D2A90">
            <w:pPr>
              <w:rPr>
                <w:lang w:val="fr-FR"/>
              </w:rPr>
            </w:pPr>
            <w:r w:rsidRPr="004D4BFB">
              <w:rPr>
                <w:lang w:val="fr-FR"/>
              </w:rPr>
              <w:t>Risque que le renouvellement des députés ainsi que l’instabilité des institutions des personnels dans les corps de contrôle ne facilite pas l’ancrage de capacités durables :</w:t>
            </w:r>
          </w:p>
          <w:p w14:paraId="4CCE95B8" w14:textId="77777777" w:rsidR="00DD583B" w:rsidRPr="004D4BFB" w:rsidRDefault="00DD583B" w:rsidP="005D2A90">
            <w:pPr>
              <w:rPr>
                <w:lang w:val="fr-FR"/>
              </w:rPr>
            </w:pPr>
          </w:p>
          <w:p w14:paraId="2C5280A6" w14:textId="77777777" w:rsidR="00DD583B" w:rsidRPr="004D4BFB" w:rsidRDefault="00DD583B" w:rsidP="005D2A90">
            <w:pPr>
              <w:rPr>
                <w:lang w:val="fr-FR"/>
              </w:rPr>
            </w:pPr>
            <w:r w:rsidRPr="004D4BFB">
              <w:rPr>
                <w:lang w:val="fr-FR"/>
              </w:rPr>
              <w:t xml:space="preserve">Mitigation : pour l’Assemblée favoriser le </w:t>
            </w:r>
            <w:r w:rsidRPr="004D4BFB">
              <w:rPr>
                <w:lang w:val="fr-FR"/>
              </w:rPr>
              <w:lastRenderedPageBreak/>
              <w:t>développement des capacités de l’adminsitration parlementaire permanente</w:t>
            </w:r>
          </w:p>
        </w:tc>
        <w:tc>
          <w:tcPr>
            <w:tcW w:w="1974" w:type="dxa"/>
            <w:vMerge w:val="restart"/>
          </w:tcPr>
          <w:p w14:paraId="741E1ABF" w14:textId="77777777" w:rsidR="00DD583B" w:rsidRPr="004D4BFB" w:rsidRDefault="00DD583B" w:rsidP="005D2A90">
            <w:pPr>
              <w:rPr>
                <w:rFonts w:cstheme="minorHAnsi"/>
                <w:sz w:val="18"/>
                <w:szCs w:val="18"/>
                <w:lang w:val="fr-FR"/>
              </w:rPr>
            </w:pPr>
            <w:r w:rsidRPr="004D4BFB">
              <w:rPr>
                <w:rFonts w:cstheme="minorHAnsi"/>
                <w:sz w:val="18"/>
                <w:szCs w:val="18"/>
                <w:u w:val="single"/>
              </w:rPr>
              <w:lastRenderedPageBreak/>
              <w:t>Les organisations de la société civile et les acteurs non étatiques</w:t>
            </w:r>
            <w:r w:rsidRPr="004D4BFB">
              <w:rPr>
                <w:rFonts w:cstheme="minorHAnsi"/>
                <w:sz w:val="18"/>
                <w:szCs w:val="18"/>
              </w:rPr>
              <w:t> :</w:t>
            </w:r>
          </w:p>
          <w:p w14:paraId="41F5054D" w14:textId="77777777" w:rsidR="00DD583B" w:rsidRPr="004D4BFB" w:rsidRDefault="00DD583B" w:rsidP="005D2A90">
            <w:pPr>
              <w:rPr>
                <w:rFonts w:cstheme="minorHAnsi"/>
                <w:sz w:val="18"/>
                <w:szCs w:val="18"/>
                <w:lang w:val="fr-FR"/>
              </w:rPr>
            </w:pPr>
            <w:r w:rsidRPr="004D4BFB">
              <w:rPr>
                <w:rFonts w:cstheme="minorHAnsi"/>
                <w:sz w:val="18"/>
                <w:szCs w:val="18"/>
              </w:rPr>
              <w:t xml:space="preserve"> participent et contribuent à la formulation, à la mise en œuvre et au suivi des stratégies et documents nationaux de politique</w:t>
            </w:r>
          </w:p>
          <w:p w14:paraId="6FD934CF" w14:textId="77777777" w:rsidR="00DD583B" w:rsidRPr="004D4BFB" w:rsidRDefault="00DD583B" w:rsidP="005D2A90">
            <w:pPr>
              <w:rPr>
                <w:rFonts w:cstheme="minorHAnsi"/>
                <w:sz w:val="18"/>
                <w:szCs w:val="18"/>
                <w:lang w:val="fr-FR"/>
              </w:rPr>
            </w:pPr>
            <w:r w:rsidRPr="004D4BFB">
              <w:rPr>
                <w:rFonts w:cstheme="minorHAnsi"/>
                <w:sz w:val="18"/>
                <w:szCs w:val="18"/>
              </w:rPr>
              <w:t>Participent à la mobilisation des ressources</w:t>
            </w:r>
          </w:p>
          <w:p w14:paraId="7ACBE13B" w14:textId="77777777" w:rsidR="00DD583B" w:rsidRPr="004D4BFB" w:rsidRDefault="00DD583B" w:rsidP="005D2A90">
            <w:pPr>
              <w:rPr>
                <w:rFonts w:cstheme="minorHAnsi"/>
                <w:sz w:val="18"/>
                <w:szCs w:val="18"/>
                <w:lang w:val="fr-FR"/>
              </w:rPr>
            </w:pPr>
            <w:r w:rsidRPr="004D4BFB">
              <w:rPr>
                <w:rFonts w:cstheme="minorHAnsi"/>
                <w:sz w:val="18"/>
                <w:szCs w:val="18"/>
              </w:rPr>
              <w:t>Facilitent la promotion du dialogue social.</w:t>
            </w:r>
          </w:p>
          <w:p w14:paraId="7A8C9455" w14:textId="77777777" w:rsidR="00DD583B" w:rsidRPr="004D4BFB" w:rsidRDefault="00DD583B" w:rsidP="005D2A90">
            <w:pPr>
              <w:rPr>
                <w:lang w:val="fr-FR"/>
              </w:rPr>
            </w:pPr>
          </w:p>
        </w:tc>
        <w:tc>
          <w:tcPr>
            <w:tcW w:w="1250" w:type="dxa"/>
            <w:vMerge w:val="restart"/>
          </w:tcPr>
          <w:p w14:paraId="7E23837A" w14:textId="77777777" w:rsidR="00DD583B" w:rsidRPr="002E5C18" w:rsidRDefault="00DD583B" w:rsidP="005D2A90">
            <w:pPr>
              <w:rPr>
                <w:lang w:val="fr-FR"/>
              </w:rPr>
            </w:pPr>
          </w:p>
        </w:tc>
      </w:tr>
      <w:tr w:rsidR="00DD583B" w:rsidRPr="002E5C18" w14:paraId="73F26641" w14:textId="77777777" w:rsidTr="005D2A90">
        <w:tc>
          <w:tcPr>
            <w:tcW w:w="2590" w:type="dxa"/>
            <w:vMerge/>
            <w:shd w:val="clear" w:color="auto" w:fill="DBE5F1" w:themeFill="accent1" w:themeFillTint="33"/>
            <w:vAlign w:val="center"/>
          </w:tcPr>
          <w:p w14:paraId="167C83D0" w14:textId="77777777" w:rsidR="00DD583B" w:rsidRPr="002E5C18" w:rsidRDefault="00DD583B" w:rsidP="005D2A90">
            <w:pPr>
              <w:rPr>
                <w:lang w:val="fr-FR"/>
              </w:rPr>
            </w:pPr>
          </w:p>
        </w:tc>
        <w:tc>
          <w:tcPr>
            <w:tcW w:w="2832" w:type="dxa"/>
            <w:vAlign w:val="center"/>
          </w:tcPr>
          <w:p w14:paraId="41D97943" w14:textId="77777777" w:rsidR="00DD583B" w:rsidRDefault="00DD583B" w:rsidP="005D2A90">
            <w:pPr>
              <w:rPr>
                <w:rFonts w:ascii="Times New Roman" w:hAnsi="Times New Roman" w:cs="Times New Roman"/>
              </w:rPr>
            </w:pPr>
            <w:r w:rsidRPr="00C85CEE">
              <w:rPr>
                <w:rFonts w:ascii="Times New Roman" w:hAnsi="Times New Roman" w:cs="Times New Roman"/>
                <w:bCs/>
              </w:rPr>
              <w:t>Indicateur 3.1.2</w:t>
            </w:r>
            <w:r w:rsidRPr="00C85CEE">
              <w:rPr>
                <w:rFonts w:ascii="Times New Roman" w:hAnsi="Times New Roman" w:cs="Times New Roman"/>
              </w:rPr>
              <w:t xml:space="preserve"> Nombre d’initiatives de contrôle de l’action gouvernementale prises par l’Assemblée Nationale, liées à l’assistance du programme</w:t>
            </w:r>
          </w:p>
          <w:p w14:paraId="4F0DC9BE" w14:textId="77777777" w:rsidR="00DD583B" w:rsidRDefault="00DD583B" w:rsidP="005D2A90">
            <w:pPr>
              <w:rPr>
                <w:rFonts w:ascii="Times New Roman" w:hAnsi="Times New Roman" w:cs="Times New Roman"/>
              </w:rPr>
            </w:pPr>
          </w:p>
          <w:p w14:paraId="5F016606" w14:textId="77777777" w:rsidR="00DD583B" w:rsidRDefault="00DD583B" w:rsidP="005D2A90">
            <w:pPr>
              <w:rPr>
                <w:rFonts w:ascii="Times New Roman" w:hAnsi="Times New Roman" w:cs="Times New Roman"/>
                <w:lang w:val="fr-FR"/>
              </w:rPr>
            </w:pPr>
            <w:r w:rsidRPr="002E5C18">
              <w:rPr>
                <w:rFonts w:ascii="Times New Roman" w:hAnsi="Times New Roman" w:cs="Times New Roman"/>
                <w:lang w:val="fr-FR"/>
              </w:rPr>
              <w:t>Base</w:t>
            </w:r>
            <w:r>
              <w:rPr>
                <w:rFonts w:ascii="Times New Roman" w:hAnsi="Times New Roman" w:cs="Times New Roman"/>
                <w:lang w:val="fr-FR"/>
              </w:rPr>
              <w:t> : 2/an</w:t>
            </w:r>
          </w:p>
          <w:p w14:paraId="53B3D283"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 xml:space="preserve"> </w:t>
            </w:r>
            <w:r w:rsidRPr="00AA79CE">
              <w:rPr>
                <w:rFonts w:ascii="Calibri" w:hAnsi="Calibri"/>
                <w:color w:val="FF0000"/>
                <w:sz w:val="18"/>
                <w:szCs w:val="18"/>
              </w:rPr>
              <w:t>8 (4 / an</w:t>
            </w:r>
            <w:r>
              <w:rPr>
                <w:rFonts w:ascii="Calibri" w:hAnsi="Calibri"/>
                <w:color w:val="FF0000"/>
                <w:sz w:val="18"/>
                <w:szCs w:val="18"/>
              </w:rPr>
              <w:t xml:space="preserve">) </w:t>
            </w:r>
          </w:p>
          <w:p w14:paraId="349FDFBB" w14:textId="77777777" w:rsidR="00DD583B" w:rsidRDefault="00DD583B" w:rsidP="005D2A90">
            <w:pPr>
              <w:rPr>
                <w:rFonts w:ascii="Times New Roman" w:hAnsi="Times New Roman" w:cs="Times New Roman"/>
                <w:lang w:val="fr-FR"/>
              </w:rPr>
            </w:pPr>
          </w:p>
          <w:p w14:paraId="7456D13D" w14:textId="77777777" w:rsidR="00DD583B" w:rsidRPr="002E5C18" w:rsidRDefault="00DD583B" w:rsidP="005D2A90">
            <w:pPr>
              <w:rPr>
                <w:lang w:val="fr-FR"/>
              </w:rPr>
            </w:pPr>
            <w:r>
              <w:rPr>
                <w:rFonts w:ascii="Times New Roman" w:hAnsi="Times New Roman" w:cs="Times New Roman"/>
                <w:lang w:val="fr-FR"/>
              </w:rPr>
              <w:t>Cible : 4/an</w:t>
            </w:r>
          </w:p>
        </w:tc>
        <w:tc>
          <w:tcPr>
            <w:tcW w:w="3874" w:type="dxa"/>
            <w:vAlign w:val="center"/>
          </w:tcPr>
          <w:p w14:paraId="41A5F5DD" w14:textId="77777777" w:rsidR="00DD583B" w:rsidRPr="00C85CEE" w:rsidRDefault="00DD583B" w:rsidP="005D2A90">
            <w:pPr>
              <w:numPr>
                <w:ilvl w:val="0"/>
                <w:numId w:val="33"/>
              </w:numPr>
              <w:suppressAutoHyphens/>
              <w:rPr>
                <w:rFonts w:ascii="Times New Roman" w:hAnsi="Times New Roman" w:cs="Times New Roman"/>
              </w:rPr>
            </w:pPr>
            <w:r w:rsidRPr="00C85CEE">
              <w:rPr>
                <w:rFonts w:ascii="Times New Roman" w:hAnsi="Times New Roman" w:cs="Times New Roman"/>
              </w:rPr>
              <w:t>Mode de calcul : Dénombrement des initiatives de contrôle de l’action gouvernementale prises par l’Assemblée Nationale, liées à l’assistance du programme</w:t>
            </w:r>
          </w:p>
          <w:p w14:paraId="16D5FDEC" w14:textId="77777777" w:rsidR="00DD583B" w:rsidRPr="00C85CEE" w:rsidRDefault="00DD583B" w:rsidP="005D2A90">
            <w:pPr>
              <w:numPr>
                <w:ilvl w:val="0"/>
                <w:numId w:val="33"/>
              </w:numPr>
              <w:suppressAutoHyphens/>
              <w:rPr>
                <w:rFonts w:ascii="Times New Roman" w:hAnsi="Times New Roman" w:cs="Times New Roman"/>
              </w:rPr>
            </w:pPr>
            <w:r w:rsidRPr="00C85CEE">
              <w:rPr>
                <w:rFonts w:ascii="Times New Roman" w:hAnsi="Times New Roman" w:cs="Times New Roman"/>
              </w:rPr>
              <w:t>Sources de données</w:t>
            </w:r>
            <w:r>
              <w:rPr>
                <w:rFonts w:ascii="Times New Roman" w:hAnsi="Times New Roman" w:cs="Times New Roman"/>
              </w:rPr>
              <w:t>/Moyens de vérification</w:t>
            </w:r>
            <w:r w:rsidRPr="00C85CEE">
              <w:rPr>
                <w:rFonts w:ascii="Times New Roman" w:hAnsi="Times New Roman" w:cs="Times New Roman"/>
              </w:rPr>
              <w:t>  : Données à collecter auprès de l’Assemblée nationale</w:t>
            </w:r>
          </w:p>
          <w:p w14:paraId="2A7B0A06" w14:textId="77777777" w:rsidR="00DD583B" w:rsidRPr="00C85CEE" w:rsidRDefault="00DD583B" w:rsidP="005D2A90">
            <w:pPr>
              <w:numPr>
                <w:ilvl w:val="0"/>
                <w:numId w:val="33"/>
              </w:numPr>
              <w:suppressAutoHyphens/>
              <w:rPr>
                <w:rFonts w:ascii="Times New Roman" w:hAnsi="Times New Roman" w:cs="Times New Roman"/>
              </w:rPr>
            </w:pPr>
            <w:r w:rsidRPr="00C85CEE">
              <w:rPr>
                <w:rFonts w:ascii="Times New Roman" w:hAnsi="Times New Roman" w:cs="Times New Roman"/>
              </w:rPr>
              <w:t>Périodicité : Annuelle</w:t>
            </w:r>
          </w:p>
          <w:p w14:paraId="4D3C4000" w14:textId="77777777" w:rsidR="00DD583B" w:rsidRPr="002E5C18" w:rsidRDefault="00DD583B" w:rsidP="005D2A90">
            <w:pPr>
              <w:pStyle w:val="Paragraphedeliste"/>
              <w:numPr>
                <w:ilvl w:val="0"/>
                <w:numId w:val="8"/>
              </w:numPr>
              <w:ind w:left="357" w:hanging="357"/>
              <w:rPr>
                <w:lang w:val="fr-FR"/>
              </w:rPr>
            </w:pPr>
            <w:r w:rsidRPr="00C85CEE">
              <w:rPr>
                <w:rFonts w:ascii="Times New Roman" w:hAnsi="Times New Roman" w:cs="Times New Roman"/>
              </w:rPr>
              <w:t>Maître d’œuvre : Groupe de résultat</w:t>
            </w:r>
          </w:p>
        </w:tc>
        <w:tc>
          <w:tcPr>
            <w:tcW w:w="2648" w:type="dxa"/>
            <w:vMerge/>
          </w:tcPr>
          <w:p w14:paraId="1B702634" w14:textId="77777777" w:rsidR="00DD583B" w:rsidRPr="002E5C18" w:rsidRDefault="00DD583B" w:rsidP="005D2A90">
            <w:pPr>
              <w:rPr>
                <w:highlight w:val="yellow"/>
                <w:lang w:val="fr-FR"/>
              </w:rPr>
            </w:pPr>
          </w:p>
        </w:tc>
        <w:tc>
          <w:tcPr>
            <w:tcW w:w="1974" w:type="dxa"/>
            <w:vMerge/>
          </w:tcPr>
          <w:p w14:paraId="38766970" w14:textId="77777777" w:rsidR="00DD583B" w:rsidRPr="002E5C18" w:rsidRDefault="00DD583B" w:rsidP="005D2A90">
            <w:pPr>
              <w:rPr>
                <w:highlight w:val="yellow"/>
                <w:lang w:val="fr-FR"/>
              </w:rPr>
            </w:pPr>
          </w:p>
        </w:tc>
        <w:tc>
          <w:tcPr>
            <w:tcW w:w="1250" w:type="dxa"/>
            <w:vMerge/>
          </w:tcPr>
          <w:p w14:paraId="31B7D1A5" w14:textId="77777777" w:rsidR="00DD583B" w:rsidRPr="002E5C18" w:rsidRDefault="00DD583B" w:rsidP="005D2A90">
            <w:pPr>
              <w:rPr>
                <w:lang w:val="fr-FR"/>
              </w:rPr>
            </w:pPr>
          </w:p>
        </w:tc>
      </w:tr>
      <w:tr w:rsidR="00DD583B" w:rsidRPr="002E5C18" w14:paraId="6A1711EA" w14:textId="77777777" w:rsidTr="005D2A90">
        <w:tc>
          <w:tcPr>
            <w:tcW w:w="2590" w:type="dxa"/>
            <w:vMerge/>
            <w:shd w:val="clear" w:color="auto" w:fill="DBE5F1" w:themeFill="accent1" w:themeFillTint="33"/>
            <w:vAlign w:val="center"/>
          </w:tcPr>
          <w:p w14:paraId="3549B81C" w14:textId="77777777" w:rsidR="00DD583B" w:rsidRPr="002E5C18" w:rsidRDefault="00DD583B" w:rsidP="005D2A90">
            <w:pPr>
              <w:rPr>
                <w:lang w:val="fr-FR"/>
              </w:rPr>
            </w:pPr>
          </w:p>
        </w:tc>
        <w:tc>
          <w:tcPr>
            <w:tcW w:w="2832" w:type="dxa"/>
            <w:vAlign w:val="center"/>
          </w:tcPr>
          <w:p w14:paraId="6828E49C" w14:textId="77777777" w:rsidR="00DD583B" w:rsidRDefault="00DD583B" w:rsidP="005D2A90">
            <w:pPr>
              <w:rPr>
                <w:rFonts w:ascii="Times New Roman" w:hAnsi="Times New Roman" w:cs="Times New Roman"/>
              </w:rPr>
            </w:pPr>
            <w:r w:rsidRPr="00C85CEE">
              <w:rPr>
                <w:rFonts w:ascii="Times New Roman" w:hAnsi="Times New Roman" w:cs="Times New Roman"/>
                <w:bCs/>
              </w:rPr>
              <w:t>Indicateur 3.1.3</w:t>
            </w:r>
            <w:r w:rsidRPr="00C85CEE">
              <w:rPr>
                <w:rFonts w:ascii="Times New Roman" w:hAnsi="Times New Roman" w:cs="Times New Roman"/>
              </w:rPr>
              <w:t xml:space="preserve"> % des collectivités territoriales ayant fait l’objet d’un contrôle par la Section des Comptes de la Cour </w:t>
            </w:r>
            <w:r w:rsidRPr="00C85CEE">
              <w:rPr>
                <w:rFonts w:ascii="Times New Roman" w:hAnsi="Times New Roman" w:cs="Times New Roman"/>
              </w:rPr>
              <w:lastRenderedPageBreak/>
              <w:t>Suprême, suite à l’assistance du programme</w:t>
            </w:r>
          </w:p>
          <w:p w14:paraId="03D717BB" w14:textId="77777777" w:rsidR="00DD583B" w:rsidRDefault="00DD583B" w:rsidP="005D2A90">
            <w:pPr>
              <w:rPr>
                <w:rFonts w:ascii="Times New Roman" w:hAnsi="Times New Roman" w:cs="Times New Roman"/>
              </w:rPr>
            </w:pPr>
          </w:p>
          <w:p w14:paraId="6DB6195A" w14:textId="77777777" w:rsidR="00DD583B" w:rsidRDefault="00DD583B" w:rsidP="005D2A90">
            <w:pPr>
              <w:rPr>
                <w:rFonts w:ascii="Times New Roman" w:hAnsi="Times New Roman" w:cs="Times New Roman"/>
                <w:lang w:val="fr-FR"/>
              </w:rPr>
            </w:pPr>
            <w:r w:rsidRPr="002E5C18">
              <w:rPr>
                <w:rFonts w:ascii="Times New Roman" w:hAnsi="Times New Roman" w:cs="Times New Roman"/>
                <w:lang w:val="fr-FR"/>
              </w:rPr>
              <w:t>Base</w:t>
            </w:r>
            <w:r>
              <w:rPr>
                <w:rFonts w:ascii="Times New Roman" w:hAnsi="Times New Roman" w:cs="Times New Roman"/>
                <w:lang w:val="fr-FR"/>
              </w:rPr>
              <w:t> : 2%</w:t>
            </w:r>
          </w:p>
          <w:p w14:paraId="7DF78947"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 xml:space="preserve">8% </w:t>
            </w:r>
          </w:p>
          <w:p w14:paraId="1C5A651A" w14:textId="77777777" w:rsidR="00DD583B" w:rsidRDefault="00DD583B" w:rsidP="005D2A90">
            <w:pPr>
              <w:rPr>
                <w:rFonts w:ascii="Times New Roman" w:hAnsi="Times New Roman" w:cs="Times New Roman"/>
                <w:lang w:val="fr-FR"/>
              </w:rPr>
            </w:pPr>
          </w:p>
          <w:p w14:paraId="52E5571C" w14:textId="77777777" w:rsidR="00DD583B" w:rsidRPr="002E5C18" w:rsidRDefault="00DD583B" w:rsidP="005D2A90">
            <w:pPr>
              <w:rPr>
                <w:lang w:val="fr-FR"/>
              </w:rPr>
            </w:pPr>
            <w:r>
              <w:rPr>
                <w:rFonts w:ascii="Times New Roman" w:hAnsi="Times New Roman" w:cs="Times New Roman"/>
                <w:lang w:val="fr-FR"/>
              </w:rPr>
              <w:t>Cible : 30% au moins </w:t>
            </w:r>
          </w:p>
        </w:tc>
        <w:tc>
          <w:tcPr>
            <w:tcW w:w="3874" w:type="dxa"/>
            <w:vAlign w:val="center"/>
          </w:tcPr>
          <w:p w14:paraId="434B9DA5" w14:textId="77777777" w:rsidR="00DD583B" w:rsidRPr="00C85CEE" w:rsidRDefault="00DD583B" w:rsidP="005D2A90">
            <w:pPr>
              <w:numPr>
                <w:ilvl w:val="0"/>
                <w:numId w:val="34"/>
              </w:numPr>
              <w:suppressAutoHyphens/>
              <w:rPr>
                <w:rFonts w:ascii="Times New Roman" w:hAnsi="Times New Roman" w:cs="Times New Roman"/>
              </w:rPr>
            </w:pPr>
            <w:r w:rsidRPr="00C85CEE">
              <w:rPr>
                <w:rFonts w:ascii="Times New Roman" w:hAnsi="Times New Roman" w:cs="Times New Roman"/>
              </w:rPr>
              <w:lastRenderedPageBreak/>
              <w:t xml:space="preserve">Mode de calcul : </w:t>
            </w:r>
            <w:r>
              <w:rPr>
                <w:rFonts w:ascii="Times New Roman" w:hAnsi="Times New Roman" w:cs="Times New Roman"/>
              </w:rPr>
              <w:t xml:space="preserve">Nombre de </w:t>
            </w:r>
            <w:r w:rsidRPr="00C85CEE">
              <w:rPr>
                <w:rFonts w:ascii="Times New Roman" w:hAnsi="Times New Roman" w:cs="Times New Roman"/>
              </w:rPr>
              <w:t xml:space="preserve"> collectivités territoriales ayant fait l’objet d’un contrôle par la Section des Comptes de la Cour Suprême, suite à </w:t>
            </w:r>
            <w:r w:rsidRPr="00C85CEE">
              <w:rPr>
                <w:rFonts w:ascii="Times New Roman" w:hAnsi="Times New Roman" w:cs="Times New Roman"/>
              </w:rPr>
              <w:lastRenderedPageBreak/>
              <w:t>l’assistance du programme</w:t>
            </w:r>
            <w:r>
              <w:rPr>
                <w:rFonts w:ascii="Times New Roman" w:hAnsi="Times New Roman" w:cs="Times New Roman"/>
              </w:rPr>
              <w:t xml:space="preserve"> sur le nombre total de CT concernees</w:t>
            </w:r>
          </w:p>
          <w:p w14:paraId="46EB9FED" w14:textId="77777777" w:rsidR="00DD583B" w:rsidRPr="00C85CEE" w:rsidRDefault="00DD583B" w:rsidP="005D2A90">
            <w:pPr>
              <w:numPr>
                <w:ilvl w:val="0"/>
                <w:numId w:val="33"/>
              </w:numPr>
              <w:suppressAutoHyphens/>
              <w:rPr>
                <w:rFonts w:ascii="Times New Roman" w:hAnsi="Times New Roman" w:cs="Times New Roman"/>
              </w:rPr>
            </w:pPr>
            <w:r w:rsidRPr="00C85CEE">
              <w:rPr>
                <w:rFonts w:ascii="Times New Roman" w:hAnsi="Times New Roman" w:cs="Times New Roman"/>
              </w:rPr>
              <w:t>Sources de données</w:t>
            </w:r>
            <w:r>
              <w:rPr>
                <w:rFonts w:ascii="Times New Roman" w:hAnsi="Times New Roman" w:cs="Times New Roman"/>
              </w:rPr>
              <w:t>/Moyens de vérification</w:t>
            </w:r>
            <w:r w:rsidRPr="00C85CEE">
              <w:rPr>
                <w:rFonts w:ascii="Times New Roman" w:hAnsi="Times New Roman" w:cs="Times New Roman"/>
              </w:rPr>
              <w:t> : Données à collecter auprès de l’Assemblée nationale</w:t>
            </w:r>
          </w:p>
          <w:p w14:paraId="586330E5" w14:textId="77777777" w:rsidR="00DD583B" w:rsidRPr="00C85CEE" w:rsidRDefault="00DD583B" w:rsidP="005D2A90">
            <w:pPr>
              <w:numPr>
                <w:ilvl w:val="0"/>
                <w:numId w:val="33"/>
              </w:numPr>
              <w:suppressAutoHyphens/>
              <w:rPr>
                <w:rFonts w:ascii="Times New Roman" w:hAnsi="Times New Roman" w:cs="Times New Roman"/>
              </w:rPr>
            </w:pPr>
            <w:r w:rsidRPr="00C85CEE">
              <w:rPr>
                <w:rFonts w:ascii="Times New Roman" w:hAnsi="Times New Roman" w:cs="Times New Roman"/>
              </w:rPr>
              <w:t>Périodicité : Annuelle</w:t>
            </w:r>
          </w:p>
          <w:p w14:paraId="7057AD4F" w14:textId="77777777" w:rsidR="00DD583B" w:rsidRPr="002E5C18" w:rsidRDefault="00DD583B" w:rsidP="005D2A90">
            <w:pPr>
              <w:pStyle w:val="Paragraphedeliste"/>
              <w:numPr>
                <w:ilvl w:val="0"/>
                <w:numId w:val="9"/>
              </w:numPr>
              <w:rPr>
                <w:lang w:val="fr-FR"/>
              </w:rPr>
            </w:pPr>
            <w:r w:rsidRPr="00C85CEE">
              <w:rPr>
                <w:rFonts w:ascii="Times New Roman" w:hAnsi="Times New Roman" w:cs="Times New Roman"/>
              </w:rPr>
              <w:t>Maître d’œuvre : Groupe de Résultat</w:t>
            </w:r>
          </w:p>
        </w:tc>
        <w:tc>
          <w:tcPr>
            <w:tcW w:w="2648" w:type="dxa"/>
            <w:vMerge/>
          </w:tcPr>
          <w:p w14:paraId="6EA0B405" w14:textId="77777777" w:rsidR="00DD583B" w:rsidRPr="002E5C18" w:rsidRDefault="00DD583B" w:rsidP="005D2A90">
            <w:pPr>
              <w:rPr>
                <w:lang w:val="fr-FR"/>
              </w:rPr>
            </w:pPr>
          </w:p>
        </w:tc>
        <w:tc>
          <w:tcPr>
            <w:tcW w:w="1974" w:type="dxa"/>
            <w:vMerge/>
          </w:tcPr>
          <w:p w14:paraId="26271BA1" w14:textId="77777777" w:rsidR="00DD583B" w:rsidRPr="002E5C18" w:rsidRDefault="00DD583B" w:rsidP="005D2A90">
            <w:pPr>
              <w:rPr>
                <w:lang w:val="fr-FR"/>
              </w:rPr>
            </w:pPr>
          </w:p>
        </w:tc>
        <w:tc>
          <w:tcPr>
            <w:tcW w:w="1250" w:type="dxa"/>
            <w:vMerge/>
          </w:tcPr>
          <w:p w14:paraId="455BB40C" w14:textId="77777777" w:rsidR="00DD583B" w:rsidRPr="002E5C18" w:rsidRDefault="00DD583B" w:rsidP="005D2A90">
            <w:pPr>
              <w:rPr>
                <w:lang w:val="fr-FR"/>
              </w:rPr>
            </w:pPr>
          </w:p>
        </w:tc>
      </w:tr>
      <w:tr w:rsidR="00DD583B" w:rsidRPr="002E5C18" w14:paraId="20BF499F" w14:textId="77777777" w:rsidTr="005D2A90">
        <w:tc>
          <w:tcPr>
            <w:tcW w:w="2590" w:type="dxa"/>
            <w:vMerge w:val="restart"/>
            <w:shd w:val="clear" w:color="auto" w:fill="DBE5F1" w:themeFill="accent1" w:themeFillTint="33"/>
            <w:vAlign w:val="center"/>
          </w:tcPr>
          <w:p w14:paraId="12172AE2" w14:textId="77777777" w:rsidR="00DD583B" w:rsidRPr="002E5C18" w:rsidRDefault="00DD583B" w:rsidP="005D2A90">
            <w:pPr>
              <w:rPr>
                <w:lang w:val="fr-FR"/>
              </w:rPr>
            </w:pPr>
            <w:r w:rsidRPr="00C85CEE">
              <w:rPr>
                <w:rFonts w:ascii="Times New Roman" w:hAnsi="Times New Roman" w:cs="Times New Roman"/>
                <w:bCs/>
              </w:rPr>
              <w:t>Produit 3.2 : Les capacités de l’Etat, des OGE et OSC sont renforcées en vue de l’amélioration de la crédibilité des processus électoraux et d’une plus grande participation, notamment des femmes et des jeunes.</w:t>
            </w:r>
          </w:p>
        </w:tc>
        <w:tc>
          <w:tcPr>
            <w:tcW w:w="2832" w:type="dxa"/>
            <w:vAlign w:val="center"/>
          </w:tcPr>
          <w:p w14:paraId="1DD4D0A8" w14:textId="77777777" w:rsidR="00DD583B" w:rsidRDefault="00DD583B" w:rsidP="005D2A90">
            <w:pPr>
              <w:rPr>
                <w:rFonts w:ascii="Times New Roman" w:hAnsi="Times New Roman" w:cs="Times New Roman"/>
              </w:rPr>
            </w:pPr>
            <w:r w:rsidRPr="00C85CEE">
              <w:rPr>
                <w:rFonts w:ascii="Times New Roman" w:hAnsi="Times New Roman" w:cs="Times New Roman"/>
                <w:bCs/>
              </w:rPr>
              <w:t>Indicateur 3 2.1</w:t>
            </w:r>
            <w:r w:rsidRPr="00C85CEE">
              <w:rPr>
                <w:rFonts w:ascii="Times New Roman" w:hAnsi="Times New Roman" w:cs="Times New Roman"/>
              </w:rPr>
              <w:t xml:space="preserve"> Nombre de mises à jour du fichier électoral biométrique appuyées</w:t>
            </w:r>
          </w:p>
          <w:p w14:paraId="08558B7C" w14:textId="77777777" w:rsidR="00DD583B" w:rsidRDefault="00DD583B" w:rsidP="005D2A90">
            <w:pPr>
              <w:rPr>
                <w:rFonts w:ascii="Times New Roman" w:hAnsi="Times New Roman" w:cs="Times New Roman"/>
              </w:rPr>
            </w:pPr>
          </w:p>
          <w:p w14:paraId="54D4CE57" w14:textId="77777777" w:rsidR="00DD583B" w:rsidRDefault="00DD583B" w:rsidP="005D2A90">
            <w:pPr>
              <w:rPr>
                <w:rFonts w:ascii="Times New Roman" w:hAnsi="Times New Roman" w:cs="Times New Roman"/>
                <w:lang w:val="fr-FR"/>
              </w:rPr>
            </w:pPr>
            <w:r w:rsidRPr="002E5C18">
              <w:rPr>
                <w:rFonts w:ascii="Times New Roman" w:hAnsi="Times New Roman" w:cs="Times New Roman"/>
                <w:lang w:val="fr-FR"/>
              </w:rPr>
              <w:t>Base</w:t>
            </w:r>
            <w:r>
              <w:rPr>
                <w:rFonts w:ascii="Times New Roman" w:hAnsi="Times New Roman" w:cs="Times New Roman"/>
                <w:lang w:val="fr-FR"/>
              </w:rPr>
              <w:t> : 0</w:t>
            </w:r>
          </w:p>
          <w:p w14:paraId="02FCC596"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0</w:t>
            </w:r>
          </w:p>
          <w:p w14:paraId="3634C723" w14:textId="77777777" w:rsidR="00DD583B" w:rsidRDefault="00DD583B" w:rsidP="005D2A90">
            <w:pPr>
              <w:rPr>
                <w:rFonts w:ascii="Times New Roman" w:hAnsi="Times New Roman" w:cs="Times New Roman"/>
                <w:lang w:val="fr-FR"/>
              </w:rPr>
            </w:pPr>
          </w:p>
          <w:p w14:paraId="21C853AC" w14:textId="77777777" w:rsidR="00DD583B" w:rsidRPr="002E5C18" w:rsidRDefault="00DD583B" w:rsidP="005D2A90">
            <w:pPr>
              <w:rPr>
                <w:lang w:val="fr-FR"/>
              </w:rPr>
            </w:pPr>
            <w:r>
              <w:rPr>
                <w:rFonts w:ascii="Times New Roman" w:hAnsi="Times New Roman" w:cs="Times New Roman"/>
                <w:lang w:val="fr-FR"/>
              </w:rPr>
              <w:t>Cible :  2</w:t>
            </w:r>
          </w:p>
        </w:tc>
        <w:tc>
          <w:tcPr>
            <w:tcW w:w="3874" w:type="dxa"/>
            <w:vAlign w:val="center"/>
          </w:tcPr>
          <w:p w14:paraId="1D3EC2AE"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Mode de calcul : Dénombrement des mises à jour du fichier électoral biométrique appuyées</w:t>
            </w:r>
          </w:p>
          <w:p w14:paraId="0BBF54D9"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Sources de données</w:t>
            </w:r>
            <w:r>
              <w:rPr>
                <w:rFonts w:ascii="Times New Roman" w:hAnsi="Times New Roman" w:cs="Times New Roman"/>
              </w:rPr>
              <w:t>/Moyens de vérification</w:t>
            </w:r>
            <w:r w:rsidRPr="00C85CEE">
              <w:rPr>
                <w:rFonts w:ascii="Times New Roman" w:hAnsi="Times New Roman" w:cs="Times New Roman"/>
              </w:rPr>
              <w:t> : Structures nationales de gestion du fichier électoral</w:t>
            </w:r>
          </w:p>
          <w:p w14:paraId="4626AED2"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Périodicité : Annuelle</w:t>
            </w:r>
          </w:p>
          <w:p w14:paraId="550D8BA6" w14:textId="77777777" w:rsidR="00DD583B" w:rsidRPr="002E5C18" w:rsidRDefault="00DD583B" w:rsidP="005D2A90">
            <w:pPr>
              <w:pStyle w:val="Paragraphedeliste"/>
              <w:numPr>
                <w:ilvl w:val="0"/>
                <w:numId w:val="13"/>
              </w:numPr>
              <w:rPr>
                <w:lang w:val="fr-FR"/>
              </w:rPr>
            </w:pPr>
            <w:r w:rsidRPr="00C85CEE">
              <w:rPr>
                <w:rFonts w:ascii="Times New Roman" w:hAnsi="Times New Roman" w:cs="Times New Roman"/>
              </w:rPr>
              <w:t>Maître d’œuvre : Groupe de Résultat</w:t>
            </w:r>
          </w:p>
        </w:tc>
        <w:tc>
          <w:tcPr>
            <w:tcW w:w="2648" w:type="dxa"/>
            <w:vMerge w:val="restart"/>
          </w:tcPr>
          <w:p w14:paraId="03B34596" w14:textId="77777777" w:rsidR="00DD583B" w:rsidRPr="004D4BFB" w:rsidRDefault="00DD583B" w:rsidP="005D2A90">
            <w:pPr>
              <w:widowControl w:val="0"/>
              <w:snapToGrid w:val="0"/>
              <w:rPr>
                <w:rFonts w:cstheme="minorHAnsi"/>
                <w:sz w:val="18"/>
                <w:szCs w:val="18"/>
                <w:lang w:val="fr-FR"/>
              </w:rPr>
            </w:pPr>
          </w:p>
          <w:p w14:paraId="0F813CA6" w14:textId="77777777" w:rsidR="00DD583B" w:rsidRPr="004D4BFB" w:rsidRDefault="00DD583B" w:rsidP="005D2A90">
            <w:pPr>
              <w:widowControl w:val="0"/>
              <w:snapToGrid w:val="0"/>
              <w:rPr>
                <w:rFonts w:cstheme="minorHAnsi"/>
                <w:sz w:val="18"/>
                <w:szCs w:val="18"/>
                <w:lang w:val="fr-FR"/>
              </w:rPr>
            </w:pPr>
          </w:p>
          <w:p w14:paraId="6C0065C6" w14:textId="77777777" w:rsidR="00DD583B" w:rsidRPr="004D4BFB" w:rsidRDefault="00DD583B" w:rsidP="005D2A90">
            <w:pPr>
              <w:widowControl w:val="0"/>
              <w:snapToGrid w:val="0"/>
              <w:rPr>
                <w:rFonts w:cstheme="minorHAnsi"/>
                <w:sz w:val="18"/>
                <w:szCs w:val="18"/>
                <w:lang w:val="fr-FR"/>
              </w:rPr>
            </w:pPr>
          </w:p>
          <w:p w14:paraId="664D42FB" w14:textId="77777777" w:rsidR="00DD583B" w:rsidRPr="004D4BFB" w:rsidRDefault="00DD583B" w:rsidP="005D2A90">
            <w:pPr>
              <w:widowControl w:val="0"/>
              <w:snapToGrid w:val="0"/>
              <w:rPr>
                <w:rFonts w:cstheme="minorHAnsi"/>
                <w:sz w:val="18"/>
                <w:szCs w:val="18"/>
                <w:lang w:val="fr-FR"/>
              </w:rPr>
            </w:pPr>
          </w:p>
          <w:p w14:paraId="3D0F804F" w14:textId="77777777" w:rsidR="00DD583B" w:rsidRPr="004D4BFB" w:rsidRDefault="00DD583B" w:rsidP="005D2A90">
            <w:pPr>
              <w:widowControl w:val="0"/>
              <w:snapToGrid w:val="0"/>
              <w:rPr>
                <w:rFonts w:cstheme="minorHAnsi"/>
                <w:sz w:val="18"/>
                <w:szCs w:val="18"/>
                <w:lang w:val="fr-FR"/>
              </w:rPr>
            </w:pPr>
          </w:p>
          <w:p w14:paraId="16BA2A79" w14:textId="77777777" w:rsidR="00DD583B" w:rsidRPr="004D4BFB" w:rsidRDefault="00DD583B" w:rsidP="005D2A90">
            <w:pPr>
              <w:widowControl w:val="0"/>
              <w:snapToGrid w:val="0"/>
              <w:rPr>
                <w:rFonts w:cstheme="minorHAnsi"/>
                <w:sz w:val="18"/>
                <w:szCs w:val="18"/>
                <w:lang w:val="fr-FR"/>
              </w:rPr>
            </w:pPr>
          </w:p>
          <w:p w14:paraId="7EFC1A47" w14:textId="77777777" w:rsidR="00DD583B" w:rsidRPr="004D4BFB" w:rsidRDefault="00DD583B" w:rsidP="005D2A90">
            <w:pPr>
              <w:widowControl w:val="0"/>
              <w:snapToGrid w:val="0"/>
              <w:rPr>
                <w:rFonts w:cstheme="minorHAnsi"/>
                <w:sz w:val="18"/>
                <w:szCs w:val="18"/>
                <w:lang w:val="fr-FR"/>
              </w:rPr>
            </w:pPr>
          </w:p>
          <w:p w14:paraId="28890A15" w14:textId="77777777" w:rsidR="00DD583B" w:rsidRPr="004D4BFB" w:rsidRDefault="00DD583B" w:rsidP="005D2A90">
            <w:pPr>
              <w:widowControl w:val="0"/>
              <w:snapToGrid w:val="0"/>
              <w:rPr>
                <w:rFonts w:cstheme="minorHAnsi"/>
                <w:sz w:val="18"/>
                <w:szCs w:val="18"/>
                <w:lang w:val="fr-FR"/>
              </w:rPr>
            </w:pPr>
          </w:p>
          <w:p w14:paraId="2C549DDF" w14:textId="77777777" w:rsidR="00DD583B" w:rsidRPr="004D4BFB" w:rsidRDefault="00DD583B" w:rsidP="005D2A90">
            <w:pPr>
              <w:widowControl w:val="0"/>
              <w:snapToGrid w:val="0"/>
              <w:rPr>
                <w:rFonts w:cstheme="minorHAnsi"/>
                <w:sz w:val="18"/>
                <w:szCs w:val="18"/>
                <w:lang w:val="fr-FR"/>
              </w:rPr>
            </w:pPr>
          </w:p>
          <w:p w14:paraId="45395079" w14:textId="77777777" w:rsidR="00DD583B" w:rsidRPr="004D4BFB" w:rsidRDefault="00DD583B" w:rsidP="005D2A90">
            <w:pPr>
              <w:widowControl w:val="0"/>
              <w:snapToGrid w:val="0"/>
              <w:rPr>
                <w:rFonts w:cstheme="minorHAnsi"/>
                <w:sz w:val="18"/>
                <w:szCs w:val="18"/>
                <w:lang w:val="fr-FR"/>
              </w:rPr>
            </w:pPr>
          </w:p>
          <w:p w14:paraId="42D11157" w14:textId="77777777" w:rsidR="00DD583B" w:rsidRPr="004D4BFB" w:rsidRDefault="00DD583B" w:rsidP="005D2A90">
            <w:pPr>
              <w:widowControl w:val="0"/>
              <w:snapToGrid w:val="0"/>
              <w:rPr>
                <w:rFonts w:cstheme="minorHAnsi"/>
                <w:sz w:val="18"/>
                <w:szCs w:val="18"/>
                <w:lang w:val="fr-FR"/>
              </w:rPr>
            </w:pPr>
          </w:p>
          <w:p w14:paraId="69931935" w14:textId="77777777" w:rsidR="00DD583B" w:rsidRPr="004D4BFB" w:rsidRDefault="00DD583B" w:rsidP="005D2A90">
            <w:pPr>
              <w:widowControl w:val="0"/>
              <w:snapToGrid w:val="0"/>
              <w:rPr>
                <w:rFonts w:cstheme="minorHAnsi"/>
                <w:sz w:val="18"/>
                <w:szCs w:val="18"/>
                <w:lang w:val="fr-FR"/>
              </w:rPr>
            </w:pPr>
          </w:p>
          <w:p w14:paraId="4B3B07F4" w14:textId="77777777" w:rsidR="00DD583B" w:rsidRPr="004D4BFB" w:rsidRDefault="00DD583B" w:rsidP="005D2A90">
            <w:pPr>
              <w:widowControl w:val="0"/>
              <w:snapToGrid w:val="0"/>
              <w:rPr>
                <w:rFonts w:cstheme="minorHAnsi"/>
                <w:sz w:val="18"/>
                <w:szCs w:val="18"/>
                <w:lang w:val="fr-FR"/>
              </w:rPr>
            </w:pPr>
          </w:p>
          <w:p w14:paraId="32AD0597" w14:textId="77777777" w:rsidR="00DD583B" w:rsidRPr="004D4BFB" w:rsidRDefault="00DD583B" w:rsidP="005D2A90">
            <w:pPr>
              <w:widowControl w:val="0"/>
              <w:snapToGrid w:val="0"/>
              <w:rPr>
                <w:rFonts w:cstheme="minorHAnsi"/>
                <w:sz w:val="18"/>
                <w:szCs w:val="18"/>
                <w:lang w:val="fr-FR"/>
              </w:rPr>
            </w:pPr>
          </w:p>
          <w:p w14:paraId="32BC458D" w14:textId="77777777" w:rsidR="00DD583B" w:rsidRPr="004D4BFB" w:rsidRDefault="00DD583B" w:rsidP="005D2A90">
            <w:pPr>
              <w:widowControl w:val="0"/>
              <w:snapToGrid w:val="0"/>
              <w:rPr>
                <w:rFonts w:cstheme="minorHAnsi"/>
                <w:sz w:val="18"/>
                <w:szCs w:val="18"/>
                <w:lang w:val="fr-FR"/>
              </w:rPr>
            </w:pPr>
          </w:p>
          <w:p w14:paraId="7BC507F0" w14:textId="77777777" w:rsidR="00DD583B" w:rsidRPr="004D4BFB" w:rsidRDefault="00DD583B" w:rsidP="005D2A90">
            <w:pPr>
              <w:widowControl w:val="0"/>
              <w:snapToGrid w:val="0"/>
              <w:rPr>
                <w:rFonts w:cstheme="minorHAnsi"/>
                <w:sz w:val="18"/>
                <w:szCs w:val="18"/>
                <w:lang w:val="fr-FR"/>
              </w:rPr>
            </w:pPr>
            <w:r>
              <w:rPr>
                <w:rFonts w:cstheme="minorHAnsi"/>
                <w:sz w:val="18"/>
                <w:szCs w:val="18"/>
                <w:lang w:val="fr-FR"/>
              </w:rPr>
              <w:t>Risque de voir l’insécurtié cond</w:t>
            </w:r>
            <w:r w:rsidRPr="004D4BFB">
              <w:rPr>
                <w:rFonts w:cstheme="minorHAnsi"/>
                <w:sz w:val="18"/>
                <w:szCs w:val="18"/>
                <w:lang w:val="fr-FR"/>
              </w:rPr>
              <w:t>uire au report de scrutin</w:t>
            </w:r>
          </w:p>
          <w:p w14:paraId="50CE7A99" w14:textId="77777777" w:rsidR="00DD583B" w:rsidRPr="004D4BFB" w:rsidRDefault="00DD583B" w:rsidP="005D2A90">
            <w:pPr>
              <w:widowControl w:val="0"/>
              <w:snapToGrid w:val="0"/>
              <w:rPr>
                <w:rFonts w:cstheme="minorHAnsi"/>
                <w:sz w:val="18"/>
                <w:szCs w:val="18"/>
                <w:lang w:val="fr-FR"/>
              </w:rPr>
            </w:pPr>
          </w:p>
          <w:p w14:paraId="1C421587" w14:textId="77777777" w:rsidR="00DD583B" w:rsidRPr="004D4BFB" w:rsidRDefault="00DD583B" w:rsidP="005D2A90">
            <w:pPr>
              <w:widowControl w:val="0"/>
              <w:snapToGrid w:val="0"/>
              <w:rPr>
                <w:rFonts w:cstheme="minorHAnsi"/>
                <w:sz w:val="18"/>
                <w:szCs w:val="18"/>
                <w:lang w:val="fr-FR"/>
              </w:rPr>
            </w:pPr>
            <w:r w:rsidRPr="004D4BFB">
              <w:rPr>
                <w:rFonts w:cstheme="minorHAnsi"/>
                <w:sz w:val="18"/>
                <w:szCs w:val="18"/>
                <w:lang w:val="fr-FR"/>
              </w:rPr>
              <w:t>Risque aussi de voir les résistances sociologiques gêner la prise de mesures en faveur de l’inclusion des femmes ; %itigation : plaid</w:t>
            </w:r>
            <w:r>
              <w:rPr>
                <w:rFonts w:cstheme="minorHAnsi"/>
                <w:sz w:val="18"/>
                <w:szCs w:val="18"/>
                <w:lang w:val="fr-FR"/>
              </w:rPr>
              <w:t>oy</w:t>
            </w:r>
            <w:r w:rsidRPr="004D4BFB">
              <w:rPr>
                <w:rFonts w:cstheme="minorHAnsi"/>
                <w:sz w:val="18"/>
                <w:szCs w:val="18"/>
                <w:lang w:val="fr-FR"/>
              </w:rPr>
              <w:t>er et cam</w:t>
            </w:r>
            <w:r>
              <w:rPr>
                <w:rFonts w:cstheme="minorHAnsi"/>
                <w:sz w:val="18"/>
                <w:szCs w:val="18"/>
                <w:lang w:val="fr-FR"/>
              </w:rPr>
              <w:t>p</w:t>
            </w:r>
            <w:r w:rsidRPr="004D4BFB">
              <w:rPr>
                <w:rFonts w:cstheme="minorHAnsi"/>
                <w:sz w:val="18"/>
                <w:szCs w:val="18"/>
                <w:lang w:val="fr-FR"/>
              </w:rPr>
              <w:t>agnes de communication pour faire sauter les verrous</w:t>
            </w:r>
          </w:p>
        </w:tc>
        <w:tc>
          <w:tcPr>
            <w:tcW w:w="1974" w:type="dxa"/>
            <w:vMerge w:val="restart"/>
            <w:shd w:val="clear" w:color="auto" w:fill="auto"/>
          </w:tcPr>
          <w:p w14:paraId="2E409CA2" w14:textId="77777777" w:rsidR="00DD583B" w:rsidRPr="004D4BFB" w:rsidRDefault="00DD583B" w:rsidP="005D2A90">
            <w:pPr>
              <w:rPr>
                <w:rFonts w:cstheme="minorHAnsi"/>
                <w:sz w:val="18"/>
                <w:szCs w:val="18"/>
                <w:lang w:val="fr-FR"/>
              </w:rPr>
            </w:pPr>
            <w:r w:rsidRPr="004D4BFB">
              <w:rPr>
                <w:rFonts w:cstheme="minorHAnsi"/>
                <w:sz w:val="18"/>
                <w:szCs w:val="18"/>
                <w:u w:val="single"/>
              </w:rPr>
              <w:t>Les organisations de la société civile et les acteurs non étatiques</w:t>
            </w:r>
            <w:r w:rsidRPr="004D4BFB">
              <w:rPr>
                <w:rFonts w:cstheme="minorHAnsi"/>
                <w:sz w:val="18"/>
                <w:szCs w:val="18"/>
              </w:rPr>
              <w:t> :</w:t>
            </w:r>
          </w:p>
          <w:p w14:paraId="7FC5BC5A" w14:textId="77777777" w:rsidR="00DD583B" w:rsidRPr="004D4BFB" w:rsidRDefault="00DD583B" w:rsidP="005D2A90">
            <w:pPr>
              <w:rPr>
                <w:rFonts w:cstheme="minorHAnsi"/>
                <w:sz w:val="18"/>
                <w:szCs w:val="18"/>
                <w:lang w:val="fr-FR"/>
              </w:rPr>
            </w:pPr>
            <w:r w:rsidRPr="004D4BFB">
              <w:rPr>
                <w:rFonts w:cstheme="minorHAnsi"/>
                <w:sz w:val="18"/>
                <w:szCs w:val="18"/>
              </w:rPr>
              <w:t xml:space="preserve"> participent et contribuent à la formulation, à la mise en œuvre et au suivi des stratégies et documents nationaux de politique</w:t>
            </w:r>
          </w:p>
          <w:p w14:paraId="5FD7D02A" w14:textId="77777777" w:rsidR="00DD583B" w:rsidRPr="004D4BFB" w:rsidRDefault="00DD583B" w:rsidP="005D2A90">
            <w:pPr>
              <w:rPr>
                <w:rFonts w:cstheme="minorHAnsi"/>
                <w:sz w:val="18"/>
                <w:szCs w:val="18"/>
                <w:lang w:val="fr-FR"/>
              </w:rPr>
            </w:pPr>
            <w:r w:rsidRPr="004D4BFB">
              <w:rPr>
                <w:rFonts w:cstheme="minorHAnsi"/>
                <w:sz w:val="18"/>
                <w:szCs w:val="18"/>
              </w:rPr>
              <w:t>Participent à la mobilisation des ressources</w:t>
            </w:r>
          </w:p>
          <w:p w14:paraId="7559C4AE" w14:textId="77777777" w:rsidR="00DD583B" w:rsidRPr="004D4BFB" w:rsidRDefault="00DD583B" w:rsidP="005D2A90">
            <w:pPr>
              <w:rPr>
                <w:rFonts w:cstheme="minorHAnsi"/>
                <w:sz w:val="18"/>
                <w:szCs w:val="18"/>
                <w:lang w:val="fr-FR"/>
              </w:rPr>
            </w:pPr>
            <w:r w:rsidRPr="004D4BFB">
              <w:rPr>
                <w:rFonts w:cstheme="minorHAnsi"/>
                <w:sz w:val="18"/>
                <w:szCs w:val="18"/>
              </w:rPr>
              <w:t>Facilitent la promotion du dialogue social.</w:t>
            </w:r>
          </w:p>
          <w:p w14:paraId="0FDB36DB" w14:textId="77777777" w:rsidR="00DD583B" w:rsidRPr="004D4BFB" w:rsidRDefault="00DD583B" w:rsidP="005D2A90">
            <w:pPr>
              <w:rPr>
                <w:rFonts w:cstheme="minorHAnsi"/>
                <w:sz w:val="18"/>
                <w:szCs w:val="18"/>
                <w:lang w:val="fr-FR"/>
              </w:rPr>
            </w:pPr>
          </w:p>
          <w:p w14:paraId="67D43BE9" w14:textId="77777777" w:rsidR="00DD583B" w:rsidRPr="004D4BFB" w:rsidRDefault="00DD583B" w:rsidP="005D2A90">
            <w:pPr>
              <w:rPr>
                <w:rFonts w:cstheme="minorHAnsi"/>
                <w:sz w:val="18"/>
                <w:szCs w:val="18"/>
                <w:u w:val="single"/>
                <w:lang w:val="fr-FR"/>
              </w:rPr>
            </w:pPr>
            <w:r w:rsidRPr="004D4BFB">
              <w:rPr>
                <w:rFonts w:cstheme="minorHAnsi"/>
                <w:sz w:val="18"/>
                <w:szCs w:val="18"/>
                <w:u w:val="single"/>
              </w:rPr>
              <w:t xml:space="preserve">Les partenaires techniques et financiers bilatéraux  et multilatéraux </w:t>
            </w:r>
          </w:p>
          <w:p w14:paraId="540B3701" w14:textId="77777777" w:rsidR="00DD583B" w:rsidRPr="004D4BFB" w:rsidRDefault="00DD583B" w:rsidP="005D2A90">
            <w:pPr>
              <w:rPr>
                <w:rFonts w:cstheme="minorHAnsi"/>
                <w:sz w:val="18"/>
                <w:szCs w:val="18"/>
                <w:lang w:val="fr-FR"/>
              </w:rPr>
            </w:pPr>
            <w:r w:rsidRPr="004D4BFB">
              <w:rPr>
                <w:rFonts w:cstheme="minorHAnsi"/>
                <w:sz w:val="18"/>
                <w:szCs w:val="18"/>
              </w:rPr>
              <w:t>Apportent un appui  financier, technique (Renforcement des capacités/ Conseil) et programmatique.</w:t>
            </w:r>
          </w:p>
          <w:p w14:paraId="4D4A07A4" w14:textId="77777777" w:rsidR="00DD583B" w:rsidRPr="004D4BFB" w:rsidRDefault="00DD583B" w:rsidP="005D2A90">
            <w:pPr>
              <w:jc w:val="both"/>
              <w:rPr>
                <w:rFonts w:cstheme="minorHAnsi"/>
                <w:sz w:val="18"/>
                <w:szCs w:val="18"/>
                <w:lang w:val="fr-FR"/>
              </w:rPr>
            </w:pPr>
            <w:r w:rsidRPr="004D4BFB">
              <w:rPr>
                <w:rFonts w:cstheme="minorHAnsi"/>
                <w:sz w:val="18"/>
                <w:szCs w:val="18"/>
              </w:rPr>
              <w:t>Assurent le plaidoyer</w:t>
            </w:r>
          </w:p>
          <w:p w14:paraId="2C13F619" w14:textId="77777777" w:rsidR="00DD583B" w:rsidRPr="004D4BFB" w:rsidRDefault="00DD583B" w:rsidP="005D2A90">
            <w:pPr>
              <w:rPr>
                <w:rFonts w:cstheme="minorHAnsi"/>
                <w:sz w:val="18"/>
                <w:szCs w:val="18"/>
                <w:lang w:val="fr-FR"/>
              </w:rPr>
            </w:pPr>
          </w:p>
          <w:p w14:paraId="14D4D68E" w14:textId="77777777" w:rsidR="00DD583B" w:rsidRPr="004D4BFB" w:rsidRDefault="00DD583B" w:rsidP="005D2A90">
            <w:pPr>
              <w:rPr>
                <w:rFonts w:cstheme="minorHAnsi"/>
                <w:sz w:val="18"/>
                <w:szCs w:val="18"/>
                <w:lang w:val="fr-FR"/>
              </w:rPr>
            </w:pPr>
            <w:r w:rsidRPr="004D4BFB">
              <w:rPr>
                <w:rFonts w:cstheme="minorHAnsi"/>
                <w:b/>
                <w:sz w:val="18"/>
                <w:szCs w:val="18"/>
              </w:rPr>
              <w:t xml:space="preserve">PTF : </w:t>
            </w:r>
            <w:r w:rsidRPr="004D4BFB">
              <w:rPr>
                <w:rFonts w:cstheme="minorHAnsi"/>
                <w:sz w:val="18"/>
                <w:szCs w:val="18"/>
              </w:rPr>
              <w:t>Pays Bas; Canada; Union Européenne; USAID; France. (plaidoyer, appui technique et financier)</w:t>
            </w:r>
          </w:p>
          <w:p w14:paraId="4437C546" w14:textId="77777777" w:rsidR="00DD583B" w:rsidRPr="004D4BFB" w:rsidRDefault="00DD583B" w:rsidP="005D2A90">
            <w:pPr>
              <w:rPr>
                <w:rFonts w:cstheme="minorHAnsi"/>
                <w:b/>
                <w:sz w:val="18"/>
                <w:szCs w:val="18"/>
                <w:lang w:val="fr-FR"/>
              </w:rPr>
            </w:pPr>
          </w:p>
          <w:p w14:paraId="2A97F768" w14:textId="77777777" w:rsidR="00DD583B" w:rsidRPr="004D4BFB" w:rsidRDefault="00DD583B" w:rsidP="005D2A90">
            <w:pPr>
              <w:rPr>
                <w:rFonts w:cstheme="minorHAnsi"/>
                <w:b/>
                <w:sz w:val="18"/>
                <w:szCs w:val="18"/>
                <w:lang w:val="fr-FR"/>
              </w:rPr>
            </w:pPr>
            <w:r w:rsidRPr="004D4BFB">
              <w:rPr>
                <w:rFonts w:cstheme="minorHAnsi"/>
                <w:b/>
                <w:sz w:val="18"/>
                <w:szCs w:val="18"/>
              </w:rPr>
              <w:t>ONG</w:t>
            </w:r>
          </w:p>
          <w:p w14:paraId="22FB169E" w14:textId="77777777" w:rsidR="00DD583B" w:rsidRPr="004D4BFB" w:rsidRDefault="00DD583B" w:rsidP="005D2A90">
            <w:pPr>
              <w:rPr>
                <w:rFonts w:cstheme="minorHAnsi"/>
                <w:sz w:val="18"/>
                <w:szCs w:val="18"/>
                <w:lang w:val="fr-FR"/>
              </w:rPr>
            </w:pPr>
            <w:r w:rsidRPr="004D4BFB">
              <w:rPr>
                <w:rFonts w:cstheme="minorHAnsi"/>
                <w:sz w:val="18"/>
                <w:szCs w:val="18"/>
              </w:rPr>
              <w:t>CICR; AMDH; ABA ROLI; etc.:</w:t>
            </w:r>
          </w:p>
          <w:p w14:paraId="159F69F7" w14:textId="77777777" w:rsidR="00DD583B" w:rsidRPr="004D4BFB" w:rsidRDefault="00DD583B" w:rsidP="005D2A90">
            <w:pPr>
              <w:rPr>
                <w:rFonts w:cstheme="minorHAnsi"/>
                <w:sz w:val="18"/>
                <w:szCs w:val="18"/>
                <w:lang w:val="fr-FR"/>
              </w:rPr>
            </w:pPr>
            <w:r w:rsidRPr="004D4BFB">
              <w:rPr>
                <w:rFonts w:cstheme="minorHAnsi"/>
                <w:sz w:val="18"/>
                <w:szCs w:val="18"/>
              </w:rPr>
              <w:t xml:space="preserve">PTF : </w:t>
            </w:r>
          </w:p>
          <w:p w14:paraId="1FB0F5E9" w14:textId="77777777" w:rsidR="00DD583B" w:rsidRPr="004D4BFB" w:rsidRDefault="00DD583B" w:rsidP="005D2A90">
            <w:pPr>
              <w:rPr>
                <w:rFonts w:cstheme="minorHAnsi"/>
                <w:sz w:val="18"/>
                <w:szCs w:val="18"/>
                <w:lang w:val="fr-FR"/>
              </w:rPr>
            </w:pPr>
            <w:r w:rsidRPr="004D4BFB">
              <w:rPr>
                <w:rFonts w:cstheme="minorHAnsi"/>
                <w:sz w:val="18"/>
                <w:szCs w:val="18"/>
              </w:rPr>
              <w:t>Canada, DFID, Suède, Allemagne, Danemark, Belgique, Pays-Bas</w:t>
            </w:r>
          </w:p>
          <w:p w14:paraId="62D6A291" w14:textId="77777777" w:rsidR="00DD583B" w:rsidRPr="004D4BFB" w:rsidRDefault="00DD583B" w:rsidP="005D2A90">
            <w:pPr>
              <w:rPr>
                <w:rFonts w:cstheme="minorHAnsi"/>
                <w:sz w:val="18"/>
                <w:szCs w:val="18"/>
                <w:lang w:val="fr-FR"/>
              </w:rPr>
            </w:pPr>
          </w:p>
          <w:p w14:paraId="5F2773FC" w14:textId="77777777" w:rsidR="00DD583B" w:rsidRPr="004D4BFB" w:rsidRDefault="00DD583B" w:rsidP="005D2A90">
            <w:pPr>
              <w:rPr>
                <w:rFonts w:cstheme="minorHAnsi"/>
                <w:sz w:val="18"/>
                <w:szCs w:val="18"/>
                <w:lang w:val="fr-FR"/>
              </w:rPr>
            </w:pPr>
            <w:r w:rsidRPr="004D4BFB">
              <w:rPr>
                <w:rFonts w:cstheme="minorHAnsi"/>
                <w:sz w:val="18"/>
                <w:szCs w:val="18"/>
              </w:rPr>
              <w:t>Gouvernement : Désignation des points focaux représentant les ministères membres du CIMPDH</w:t>
            </w:r>
          </w:p>
          <w:p w14:paraId="07996630" w14:textId="77777777" w:rsidR="00DD583B" w:rsidRPr="004D4BFB" w:rsidRDefault="00DD583B" w:rsidP="005D2A90">
            <w:pPr>
              <w:rPr>
                <w:rFonts w:cstheme="minorHAnsi"/>
                <w:sz w:val="18"/>
                <w:szCs w:val="18"/>
                <w:lang w:val="fr-FR"/>
              </w:rPr>
            </w:pPr>
          </w:p>
          <w:p w14:paraId="22F1F889" w14:textId="77777777" w:rsidR="00DD583B" w:rsidRPr="004D4BFB" w:rsidRDefault="00DD583B" w:rsidP="005D2A90">
            <w:pPr>
              <w:rPr>
                <w:rFonts w:cstheme="minorHAnsi"/>
                <w:sz w:val="18"/>
                <w:szCs w:val="18"/>
                <w:lang w:val="fr-FR"/>
              </w:rPr>
            </w:pPr>
            <w:r w:rsidRPr="004D4BFB">
              <w:rPr>
                <w:rFonts w:cstheme="minorHAnsi"/>
                <w:sz w:val="18"/>
                <w:szCs w:val="18"/>
              </w:rPr>
              <w:t xml:space="preserve">OHCHR/HRD : Assistance technique en expertise et renforcement des capacités </w:t>
            </w:r>
          </w:p>
          <w:p w14:paraId="30E74961" w14:textId="2A48E1D3" w:rsidR="00DD583B" w:rsidRPr="00186DD5" w:rsidRDefault="00DD583B" w:rsidP="005D2A90">
            <w:pPr>
              <w:rPr>
                <w:rFonts w:cstheme="minorHAnsi"/>
                <w:sz w:val="18"/>
                <w:szCs w:val="18"/>
              </w:rPr>
            </w:pPr>
            <w:r w:rsidRPr="004D4BFB">
              <w:rPr>
                <w:rFonts w:cstheme="minorHAnsi"/>
                <w:sz w:val="18"/>
                <w:szCs w:val="18"/>
              </w:rPr>
              <w:t>OHCHR/HRD : Renforcement des capacités</w:t>
            </w:r>
            <w:r w:rsidR="00186DD5">
              <w:rPr>
                <w:rFonts w:cstheme="minorHAnsi"/>
                <w:sz w:val="18"/>
                <w:szCs w:val="18"/>
              </w:rPr>
              <w:t>.</w:t>
            </w:r>
          </w:p>
        </w:tc>
        <w:tc>
          <w:tcPr>
            <w:tcW w:w="1250" w:type="dxa"/>
            <w:vMerge w:val="restart"/>
          </w:tcPr>
          <w:p w14:paraId="33F6DE6A" w14:textId="77777777" w:rsidR="00DD583B" w:rsidRPr="002E5C18" w:rsidRDefault="00DD583B" w:rsidP="005D2A90">
            <w:pPr>
              <w:rPr>
                <w:lang w:val="fr-FR"/>
              </w:rPr>
            </w:pPr>
          </w:p>
        </w:tc>
      </w:tr>
      <w:tr w:rsidR="00DD583B" w:rsidRPr="002E5C18" w14:paraId="1635517E" w14:textId="77777777" w:rsidTr="005D2A90">
        <w:tc>
          <w:tcPr>
            <w:tcW w:w="2590" w:type="dxa"/>
            <w:vMerge/>
            <w:shd w:val="clear" w:color="auto" w:fill="DBE5F1" w:themeFill="accent1" w:themeFillTint="33"/>
            <w:vAlign w:val="center"/>
          </w:tcPr>
          <w:p w14:paraId="65782CAE" w14:textId="77777777" w:rsidR="00DD583B" w:rsidRPr="002E5C18" w:rsidRDefault="00DD583B" w:rsidP="005D2A90">
            <w:pPr>
              <w:rPr>
                <w:lang w:val="fr-FR"/>
              </w:rPr>
            </w:pPr>
          </w:p>
        </w:tc>
        <w:tc>
          <w:tcPr>
            <w:tcW w:w="2832" w:type="dxa"/>
            <w:vAlign w:val="center"/>
          </w:tcPr>
          <w:p w14:paraId="4E56F9D5" w14:textId="77777777" w:rsidR="00DD583B" w:rsidRDefault="00DD583B" w:rsidP="005D2A90">
            <w:pPr>
              <w:rPr>
                <w:rFonts w:ascii="Times New Roman" w:hAnsi="Times New Roman" w:cs="Times New Roman"/>
              </w:rPr>
            </w:pPr>
            <w:r w:rsidRPr="00C85CEE">
              <w:rPr>
                <w:rFonts w:ascii="Times New Roman" w:hAnsi="Times New Roman" w:cs="Times New Roman"/>
                <w:bCs/>
              </w:rPr>
              <w:t>Indicateur 3 2.2</w:t>
            </w:r>
            <w:r w:rsidRPr="00C85CEE">
              <w:rPr>
                <w:rFonts w:ascii="Times New Roman" w:hAnsi="Times New Roman" w:cs="Times New Roman"/>
              </w:rPr>
              <w:t xml:space="preserve"> nombre d’OSC appuyées ayant mené des activités d’éducation civique en vue de l’amélioration de la participation citoyenne aux élections, notamment celle des femmes</w:t>
            </w:r>
          </w:p>
          <w:p w14:paraId="79BB4C6C" w14:textId="77777777" w:rsidR="00DD583B" w:rsidRDefault="00DD583B" w:rsidP="005D2A90">
            <w:pPr>
              <w:rPr>
                <w:rFonts w:ascii="Times New Roman" w:hAnsi="Times New Roman" w:cs="Times New Roman"/>
              </w:rPr>
            </w:pPr>
          </w:p>
          <w:p w14:paraId="216FC897" w14:textId="77777777" w:rsidR="00DD583B" w:rsidRDefault="00DD583B" w:rsidP="005D2A90">
            <w:pPr>
              <w:rPr>
                <w:rFonts w:ascii="Times New Roman" w:hAnsi="Times New Roman" w:cs="Times New Roman"/>
                <w:lang w:val="fr-FR"/>
              </w:rPr>
            </w:pPr>
            <w:r w:rsidRPr="002E5C18">
              <w:rPr>
                <w:rFonts w:ascii="Times New Roman" w:hAnsi="Times New Roman" w:cs="Times New Roman"/>
                <w:lang w:val="fr-FR"/>
              </w:rPr>
              <w:t>Base</w:t>
            </w:r>
            <w:r>
              <w:rPr>
                <w:rFonts w:ascii="Times New Roman" w:hAnsi="Times New Roman" w:cs="Times New Roman"/>
                <w:lang w:val="fr-FR"/>
              </w:rPr>
              <w:t> : 0 (2013)</w:t>
            </w:r>
          </w:p>
          <w:p w14:paraId="586F1E59"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28 (donees de 2015 et 2016)</w:t>
            </w:r>
          </w:p>
          <w:p w14:paraId="39EC1FD6" w14:textId="77777777" w:rsidR="00DD583B" w:rsidRDefault="00DD583B" w:rsidP="005D2A90">
            <w:pPr>
              <w:rPr>
                <w:rFonts w:ascii="Times New Roman" w:hAnsi="Times New Roman" w:cs="Times New Roman"/>
                <w:lang w:val="fr-FR"/>
              </w:rPr>
            </w:pPr>
          </w:p>
          <w:p w14:paraId="328E36F9" w14:textId="77777777" w:rsidR="00DD583B" w:rsidRPr="002E5C18" w:rsidRDefault="00DD583B" w:rsidP="005D2A90">
            <w:pPr>
              <w:rPr>
                <w:lang w:val="fr-FR"/>
              </w:rPr>
            </w:pPr>
            <w:r>
              <w:rPr>
                <w:rFonts w:ascii="Times New Roman" w:hAnsi="Times New Roman" w:cs="Times New Roman"/>
                <w:lang w:val="fr-FR"/>
              </w:rPr>
              <w:t>Cible : 107</w:t>
            </w:r>
          </w:p>
        </w:tc>
        <w:tc>
          <w:tcPr>
            <w:tcW w:w="3874" w:type="dxa"/>
            <w:vAlign w:val="center"/>
          </w:tcPr>
          <w:p w14:paraId="14DFCD52"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Mode de calcul : Dénombrement  des OSC appuyées ayant mené des activités d’éducation civique en vue de l’amélioration de la participation citoyenne aux élections, notamment celle des femmes</w:t>
            </w:r>
          </w:p>
          <w:p w14:paraId="68D4749D"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Sources de données</w:t>
            </w:r>
            <w:r>
              <w:rPr>
                <w:rFonts w:ascii="Times New Roman" w:hAnsi="Times New Roman" w:cs="Times New Roman"/>
              </w:rPr>
              <w:t>/Moyens de vérification</w:t>
            </w:r>
            <w:r w:rsidRPr="00C85CEE">
              <w:rPr>
                <w:rFonts w:ascii="Times New Roman" w:hAnsi="Times New Roman" w:cs="Times New Roman"/>
              </w:rPr>
              <w:t> : Structures faîtières des OSC</w:t>
            </w:r>
          </w:p>
          <w:p w14:paraId="398AA339"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Périodicité : Annuelle</w:t>
            </w:r>
          </w:p>
          <w:p w14:paraId="16A482AC" w14:textId="77777777" w:rsidR="00DD583B" w:rsidRPr="002E5C18" w:rsidRDefault="00DD583B" w:rsidP="005D2A90">
            <w:pPr>
              <w:pStyle w:val="Paragraphedeliste"/>
              <w:numPr>
                <w:ilvl w:val="0"/>
                <w:numId w:val="13"/>
              </w:numPr>
              <w:rPr>
                <w:lang w:val="fr-FR"/>
              </w:rPr>
            </w:pPr>
            <w:r w:rsidRPr="00C85CEE">
              <w:rPr>
                <w:rFonts w:ascii="Times New Roman" w:hAnsi="Times New Roman" w:cs="Times New Roman"/>
              </w:rPr>
              <w:t>Maître d’œuvre : Groupe de Résultat</w:t>
            </w:r>
          </w:p>
        </w:tc>
        <w:tc>
          <w:tcPr>
            <w:tcW w:w="2648" w:type="dxa"/>
            <w:vMerge/>
          </w:tcPr>
          <w:p w14:paraId="4035C678" w14:textId="77777777" w:rsidR="00DD583B" w:rsidRPr="002E5C18" w:rsidRDefault="00DD583B" w:rsidP="005D2A90">
            <w:pPr>
              <w:widowControl w:val="0"/>
              <w:snapToGrid w:val="0"/>
              <w:rPr>
                <w:rFonts w:ascii="Times New Roman" w:hAnsi="Times New Roman" w:cs="Times New Roman"/>
                <w:highlight w:val="yellow"/>
                <w:lang w:val="fr-FR"/>
              </w:rPr>
            </w:pPr>
          </w:p>
        </w:tc>
        <w:tc>
          <w:tcPr>
            <w:tcW w:w="1974" w:type="dxa"/>
            <w:vMerge/>
            <w:shd w:val="clear" w:color="auto" w:fill="auto"/>
          </w:tcPr>
          <w:p w14:paraId="6A0BB618" w14:textId="77777777" w:rsidR="00DD583B" w:rsidRPr="002E5C18" w:rsidRDefault="00DD583B" w:rsidP="005D2A90">
            <w:pPr>
              <w:rPr>
                <w:rFonts w:ascii="Times New Roman" w:hAnsi="Times New Roman" w:cs="Times New Roman"/>
                <w:highlight w:val="yellow"/>
                <w:lang w:val="fr-FR"/>
              </w:rPr>
            </w:pPr>
          </w:p>
        </w:tc>
        <w:tc>
          <w:tcPr>
            <w:tcW w:w="1250" w:type="dxa"/>
            <w:vMerge/>
          </w:tcPr>
          <w:p w14:paraId="5E55A204" w14:textId="77777777" w:rsidR="00DD583B" w:rsidRPr="002E5C18" w:rsidRDefault="00DD583B" w:rsidP="005D2A90">
            <w:pPr>
              <w:rPr>
                <w:rFonts w:ascii="Times New Roman" w:hAnsi="Times New Roman" w:cs="Times New Roman"/>
                <w:lang w:val="fr-FR"/>
              </w:rPr>
            </w:pPr>
          </w:p>
        </w:tc>
      </w:tr>
      <w:tr w:rsidR="00DD583B" w:rsidRPr="002E5C18" w14:paraId="342DC854" w14:textId="77777777" w:rsidTr="005D2A90">
        <w:tc>
          <w:tcPr>
            <w:tcW w:w="2590" w:type="dxa"/>
            <w:vMerge/>
            <w:shd w:val="clear" w:color="auto" w:fill="DBE5F1" w:themeFill="accent1" w:themeFillTint="33"/>
            <w:vAlign w:val="center"/>
          </w:tcPr>
          <w:p w14:paraId="168400AE" w14:textId="77777777" w:rsidR="00DD583B" w:rsidRPr="002E5C18" w:rsidRDefault="00DD583B" w:rsidP="005D2A90">
            <w:pPr>
              <w:rPr>
                <w:lang w:val="fr-FR"/>
              </w:rPr>
            </w:pPr>
          </w:p>
        </w:tc>
        <w:tc>
          <w:tcPr>
            <w:tcW w:w="2832" w:type="dxa"/>
            <w:vAlign w:val="center"/>
          </w:tcPr>
          <w:p w14:paraId="611AC5A3" w14:textId="77777777" w:rsidR="00DD583B" w:rsidRDefault="00DD583B" w:rsidP="005D2A90">
            <w:pPr>
              <w:rPr>
                <w:rFonts w:ascii="Times New Roman" w:hAnsi="Times New Roman" w:cs="Times New Roman"/>
              </w:rPr>
            </w:pPr>
            <w:r w:rsidRPr="00C85CEE">
              <w:rPr>
                <w:rFonts w:ascii="Times New Roman" w:hAnsi="Times New Roman" w:cs="Times New Roman"/>
                <w:bCs/>
              </w:rPr>
              <w:t>Indicateur 3.2.3</w:t>
            </w:r>
            <w:r w:rsidRPr="00C85CEE">
              <w:rPr>
                <w:rFonts w:ascii="Times New Roman" w:hAnsi="Times New Roman" w:cs="Times New Roman"/>
              </w:rPr>
              <w:t xml:space="preserve"> Nombre d’assistances fournies à l’Etat malien, aux OGE (DGE, CENI)</w:t>
            </w:r>
          </w:p>
          <w:p w14:paraId="5B1CE16B" w14:textId="77777777" w:rsidR="00DD583B" w:rsidRDefault="00DD583B" w:rsidP="005D2A90">
            <w:pPr>
              <w:rPr>
                <w:rFonts w:ascii="Times New Roman" w:hAnsi="Times New Roman" w:cs="Times New Roman"/>
              </w:rPr>
            </w:pPr>
          </w:p>
          <w:p w14:paraId="7E00B297" w14:textId="77777777" w:rsidR="00DD583B" w:rsidRDefault="00DD583B" w:rsidP="005D2A90">
            <w:pPr>
              <w:rPr>
                <w:rFonts w:ascii="Times New Roman" w:hAnsi="Times New Roman" w:cs="Times New Roman"/>
              </w:rPr>
            </w:pPr>
            <w:r w:rsidRPr="002E5C18">
              <w:rPr>
                <w:rFonts w:ascii="Times New Roman" w:hAnsi="Times New Roman" w:cs="Times New Roman"/>
                <w:lang w:val="fr-FR"/>
              </w:rPr>
              <w:t>Base</w:t>
            </w:r>
            <w:r>
              <w:rPr>
                <w:rFonts w:ascii="Times New Roman" w:hAnsi="Times New Roman" w:cs="Times New Roman"/>
                <w:lang w:val="fr-FR"/>
              </w:rPr>
              <w:t xml:space="preserve"> : </w:t>
            </w:r>
            <w:r w:rsidRPr="00C85CEE">
              <w:rPr>
                <w:rFonts w:ascii="Times New Roman" w:hAnsi="Times New Roman" w:cs="Times New Roman"/>
              </w:rPr>
              <w:t>3 types : (Appui logistique, assistances techniques ; Appui sécuritaire)</w:t>
            </w:r>
          </w:p>
          <w:p w14:paraId="7BD03A32" w14:textId="77777777" w:rsidR="00DD583B" w:rsidRDefault="00DD583B" w:rsidP="005D2A90">
            <w:pPr>
              <w:rPr>
                <w:rFonts w:ascii="Times New Roman" w:hAnsi="Times New Roman" w:cs="Times New Roman"/>
              </w:rPr>
            </w:pPr>
          </w:p>
          <w:p w14:paraId="7E558D5E"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0</w:t>
            </w:r>
          </w:p>
          <w:p w14:paraId="331D3D12" w14:textId="77777777" w:rsidR="00DD583B" w:rsidRDefault="00DD583B" w:rsidP="005D2A90">
            <w:pPr>
              <w:rPr>
                <w:rFonts w:ascii="Times New Roman" w:hAnsi="Times New Roman" w:cs="Times New Roman"/>
                <w:lang w:val="fr-FR"/>
              </w:rPr>
            </w:pPr>
          </w:p>
          <w:p w14:paraId="03BCA100" w14:textId="77777777" w:rsidR="00DD583B" w:rsidRPr="002E5C18" w:rsidRDefault="00DD583B" w:rsidP="005D2A90">
            <w:pPr>
              <w:rPr>
                <w:rFonts w:ascii="Times New Roman" w:hAnsi="Times New Roman" w:cs="Times New Roman"/>
                <w:lang w:val="fr-FR"/>
              </w:rPr>
            </w:pPr>
            <w:r>
              <w:rPr>
                <w:rFonts w:ascii="Times New Roman" w:hAnsi="Times New Roman" w:cs="Times New Roman"/>
                <w:lang w:val="fr-FR"/>
              </w:rPr>
              <w:t xml:space="preserve">Cible : </w:t>
            </w:r>
            <w:r w:rsidRPr="00C85CEE">
              <w:rPr>
                <w:rFonts w:ascii="Times New Roman" w:hAnsi="Times New Roman" w:cs="Times New Roman"/>
              </w:rPr>
              <w:t>3 types (Appui logistique, assistances techniques ; Appui sécuritaire)</w:t>
            </w:r>
          </w:p>
        </w:tc>
        <w:tc>
          <w:tcPr>
            <w:tcW w:w="3874" w:type="dxa"/>
            <w:vAlign w:val="center"/>
          </w:tcPr>
          <w:p w14:paraId="76793F15"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Mode de calcul : Dénombrement des  Nombre d’assistances fournies par le SNU à l’Etat malien, aux OGE (DGE, CENI)</w:t>
            </w:r>
          </w:p>
          <w:p w14:paraId="247610C7"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Sources de données</w:t>
            </w:r>
            <w:r>
              <w:rPr>
                <w:rFonts w:ascii="Times New Roman" w:hAnsi="Times New Roman" w:cs="Times New Roman"/>
              </w:rPr>
              <w:t>/Moyens de vérification</w:t>
            </w:r>
            <w:r w:rsidRPr="00C85CEE">
              <w:rPr>
                <w:rFonts w:ascii="Times New Roman" w:hAnsi="Times New Roman" w:cs="Times New Roman"/>
              </w:rPr>
              <w:t> : Structures nationales de gestion des Elections</w:t>
            </w:r>
          </w:p>
          <w:p w14:paraId="606E576A"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Périodicité : Annuelle</w:t>
            </w:r>
          </w:p>
          <w:p w14:paraId="041C7566" w14:textId="77777777" w:rsidR="00DD583B" w:rsidRPr="002E5C18" w:rsidRDefault="00DD583B" w:rsidP="005D2A90">
            <w:pPr>
              <w:pStyle w:val="Paragraphedeliste"/>
              <w:numPr>
                <w:ilvl w:val="0"/>
                <w:numId w:val="15"/>
              </w:numPr>
              <w:rPr>
                <w:lang w:val="fr-FR"/>
              </w:rPr>
            </w:pPr>
            <w:r w:rsidRPr="00C85CEE">
              <w:rPr>
                <w:rFonts w:ascii="Times New Roman" w:hAnsi="Times New Roman" w:cs="Times New Roman"/>
              </w:rPr>
              <w:t>Maître d’œuvre : Groupe de Résultat</w:t>
            </w:r>
          </w:p>
        </w:tc>
        <w:tc>
          <w:tcPr>
            <w:tcW w:w="2648" w:type="dxa"/>
            <w:vMerge/>
          </w:tcPr>
          <w:p w14:paraId="52D06F25" w14:textId="77777777" w:rsidR="00DD583B" w:rsidRPr="002E5C18" w:rsidRDefault="00DD583B" w:rsidP="005D2A90">
            <w:pPr>
              <w:rPr>
                <w:lang w:val="fr-FR"/>
              </w:rPr>
            </w:pPr>
          </w:p>
        </w:tc>
        <w:tc>
          <w:tcPr>
            <w:tcW w:w="1974" w:type="dxa"/>
            <w:vMerge/>
            <w:shd w:val="clear" w:color="auto" w:fill="auto"/>
          </w:tcPr>
          <w:p w14:paraId="2144B4E9" w14:textId="77777777" w:rsidR="00DD583B" w:rsidRPr="002E5C18" w:rsidRDefault="00DD583B" w:rsidP="005D2A90">
            <w:pPr>
              <w:rPr>
                <w:lang w:val="fr-FR"/>
              </w:rPr>
            </w:pPr>
          </w:p>
        </w:tc>
        <w:tc>
          <w:tcPr>
            <w:tcW w:w="1250" w:type="dxa"/>
            <w:vMerge/>
          </w:tcPr>
          <w:p w14:paraId="63DD19A5" w14:textId="77777777" w:rsidR="00DD583B" w:rsidRPr="002E5C18" w:rsidRDefault="00DD583B" w:rsidP="005D2A90">
            <w:pPr>
              <w:rPr>
                <w:lang w:val="fr-FR"/>
              </w:rPr>
            </w:pPr>
          </w:p>
        </w:tc>
      </w:tr>
      <w:tr w:rsidR="00DD583B" w:rsidRPr="002E5C18" w14:paraId="76C1F507" w14:textId="77777777" w:rsidTr="005D2A90">
        <w:tc>
          <w:tcPr>
            <w:tcW w:w="2590" w:type="dxa"/>
            <w:vMerge w:val="restart"/>
            <w:shd w:val="clear" w:color="auto" w:fill="DBE5F1" w:themeFill="accent1" w:themeFillTint="33"/>
            <w:vAlign w:val="center"/>
          </w:tcPr>
          <w:p w14:paraId="5B6AFBE1" w14:textId="77777777" w:rsidR="00DD583B" w:rsidRPr="002E5C18" w:rsidRDefault="00DD583B" w:rsidP="005D2A90">
            <w:pPr>
              <w:rPr>
                <w:lang w:val="fr-FR"/>
              </w:rPr>
            </w:pPr>
            <w:r w:rsidRPr="00C85CEE">
              <w:rPr>
                <w:rFonts w:ascii="Times New Roman" w:hAnsi="Times New Roman" w:cs="Times New Roman"/>
                <w:bCs/>
              </w:rPr>
              <w:t>Produit 3.3 : Les stratégies et plans d’action disponibles sont opérationnalisés pour l’approfondissement de la décentralisation et la consolidation de la gouvernance locale.</w:t>
            </w:r>
          </w:p>
        </w:tc>
        <w:tc>
          <w:tcPr>
            <w:tcW w:w="2832" w:type="dxa"/>
            <w:vAlign w:val="center"/>
          </w:tcPr>
          <w:p w14:paraId="324DDDE0" w14:textId="77777777" w:rsidR="00DD583B" w:rsidRDefault="00DD583B" w:rsidP="005D2A90">
            <w:pPr>
              <w:rPr>
                <w:rFonts w:ascii="Times New Roman" w:hAnsi="Times New Roman" w:cs="Times New Roman"/>
              </w:rPr>
            </w:pPr>
            <w:r w:rsidRPr="00C85CEE">
              <w:rPr>
                <w:rFonts w:ascii="Times New Roman" w:hAnsi="Times New Roman" w:cs="Times New Roman"/>
                <w:bCs/>
              </w:rPr>
              <w:t>Indicateur 3.3.1</w:t>
            </w:r>
            <w:r w:rsidRPr="00C85CEE">
              <w:rPr>
                <w:rFonts w:ascii="Times New Roman" w:hAnsi="Times New Roman" w:cs="Times New Roman"/>
              </w:rPr>
              <w:t xml:space="preserve"> Nombre de régions aidées pour disposer de contrats Plans/Projets signés et opérationnels avec l’Etat</w:t>
            </w:r>
          </w:p>
          <w:p w14:paraId="7045ACDE" w14:textId="77777777" w:rsidR="00DD583B" w:rsidRDefault="00DD583B" w:rsidP="005D2A90">
            <w:pPr>
              <w:rPr>
                <w:rFonts w:ascii="Times New Roman" w:hAnsi="Times New Roman" w:cs="Times New Roman"/>
              </w:rPr>
            </w:pPr>
          </w:p>
          <w:p w14:paraId="3C05C054" w14:textId="77777777" w:rsidR="00DD583B" w:rsidRDefault="00DD583B" w:rsidP="005D2A90">
            <w:pPr>
              <w:rPr>
                <w:rFonts w:ascii="Times New Roman" w:hAnsi="Times New Roman" w:cs="Times New Roman"/>
                <w:lang w:val="fr-FR"/>
              </w:rPr>
            </w:pPr>
            <w:r w:rsidRPr="002E5C18">
              <w:rPr>
                <w:rFonts w:ascii="Times New Roman" w:hAnsi="Times New Roman" w:cs="Times New Roman"/>
                <w:lang w:val="fr-FR"/>
              </w:rPr>
              <w:t>Base</w:t>
            </w:r>
            <w:r>
              <w:rPr>
                <w:rFonts w:ascii="Times New Roman" w:hAnsi="Times New Roman" w:cs="Times New Roman"/>
                <w:lang w:val="fr-FR"/>
              </w:rPr>
              <w:t> : 0</w:t>
            </w:r>
          </w:p>
          <w:p w14:paraId="43B01DC6"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3</w:t>
            </w:r>
          </w:p>
          <w:p w14:paraId="567304CD" w14:textId="77777777" w:rsidR="00DD583B" w:rsidRDefault="00DD583B" w:rsidP="005D2A90">
            <w:pPr>
              <w:rPr>
                <w:rFonts w:ascii="Times New Roman" w:hAnsi="Times New Roman" w:cs="Times New Roman"/>
                <w:lang w:val="fr-FR"/>
              </w:rPr>
            </w:pPr>
          </w:p>
          <w:p w14:paraId="158C1E71" w14:textId="77777777" w:rsidR="00DD583B" w:rsidRPr="002E5C18" w:rsidRDefault="00DD583B" w:rsidP="005D2A90">
            <w:pPr>
              <w:rPr>
                <w:lang w:val="fr-FR"/>
              </w:rPr>
            </w:pPr>
            <w:r>
              <w:rPr>
                <w:rFonts w:ascii="Times New Roman" w:hAnsi="Times New Roman" w:cs="Times New Roman"/>
                <w:lang w:val="fr-FR"/>
              </w:rPr>
              <w:t>Cible : 4</w:t>
            </w:r>
          </w:p>
        </w:tc>
        <w:tc>
          <w:tcPr>
            <w:tcW w:w="3874" w:type="dxa"/>
            <w:vAlign w:val="center"/>
          </w:tcPr>
          <w:p w14:paraId="3B789318" w14:textId="77777777" w:rsidR="00DD583B" w:rsidRPr="00C85CEE" w:rsidRDefault="00DD583B" w:rsidP="005D2A90">
            <w:pPr>
              <w:numPr>
                <w:ilvl w:val="0"/>
                <w:numId w:val="36"/>
              </w:numPr>
              <w:suppressAutoHyphens/>
              <w:rPr>
                <w:rFonts w:ascii="Times New Roman" w:hAnsi="Times New Roman" w:cs="Times New Roman"/>
              </w:rPr>
            </w:pPr>
            <w:r w:rsidRPr="00C85CEE">
              <w:rPr>
                <w:rFonts w:ascii="Times New Roman" w:hAnsi="Times New Roman" w:cs="Times New Roman"/>
              </w:rPr>
              <w:t>Mode de calcul : Dénombre des régions aidées par le SNU pour disposer de contrats Plans/Projets signés et opérationnels avec l’Etat</w:t>
            </w:r>
          </w:p>
          <w:p w14:paraId="1BAFC27B"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Sources de données</w:t>
            </w:r>
            <w:r>
              <w:rPr>
                <w:rFonts w:ascii="Times New Roman" w:hAnsi="Times New Roman" w:cs="Times New Roman"/>
              </w:rPr>
              <w:t>/Moyens de vérification</w:t>
            </w:r>
            <w:r w:rsidRPr="00C85CEE">
              <w:rPr>
                <w:rFonts w:ascii="Times New Roman" w:hAnsi="Times New Roman" w:cs="Times New Roman"/>
              </w:rPr>
              <w:t> : Structures nationales chargées des Collectivités Territoriales</w:t>
            </w:r>
          </w:p>
          <w:p w14:paraId="40C4BC74"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Périodicité : Annuelle</w:t>
            </w:r>
          </w:p>
          <w:p w14:paraId="567E8AD3" w14:textId="77777777" w:rsidR="00DD583B" w:rsidRPr="002E5C18" w:rsidRDefault="00DD583B" w:rsidP="005D2A90">
            <w:pPr>
              <w:pStyle w:val="Paragraphedeliste"/>
              <w:numPr>
                <w:ilvl w:val="0"/>
                <w:numId w:val="16"/>
              </w:numPr>
              <w:rPr>
                <w:lang w:val="fr-FR"/>
              </w:rPr>
            </w:pPr>
            <w:r w:rsidRPr="00C85CEE">
              <w:rPr>
                <w:rFonts w:ascii="Times New Roman" w:hAnsi="Times New Roman" w:cs="Times New Roman"/>
              </w:rPr>
              <w:t>Maître d’œuvre : Groupe de Résultat</w:t>
            </w:r>
          </w:p>
        </w:tc>
        <w:tc>
          <w:tcPr>
            <w:tcW w:w="2648" w:type="dxa"/>
            <w:vMerge w:val="restart"/>
          </w:tcPr>
          <w:p w14:paraId="4FA0B4F1" w14:textId="77777777" w:rsidR="00DD583B" w:rsidRPr="004D4BFB" w:rsidRDefault="00DD583B" w:rsidP="005D2A90">
            <w:pPr>
              <w:rPr>
                <w:lang w:val="fr-FR"/>
              </w:rPr>
            </w:pPr>
          </w:p>
          <w:p w14:paraId="634A57CB" w14:textId="77777777" w:rsidR="00DD583B" w:rsidRPr="004D4BFB" w:rsidRDefault="00DD583B" w:rsidP="005D2A90">
            <w:pPr>
              <w:rPr>
                <w:lang w:val="fr-FR"/>
              </w:rPr>
            </w:pPr>
          </w:p>
          <w:p w14:paraId="3616E335" w14:textId="77777777" w:rsidR="00DD583B" w:rsidRPr="004D4BFB" w:rsidRDefault="00DD583B" w:rsidP="005D2A90">
            <w:pPr>
              <w:rPr>
                <w:lang w:val="fr-FR"/>
              </w:rPr>
            </w:pPr>
          </w:p>
          <w:p w14:paraId="271747A4" w14:textId="77777777" w:rsidR="00DD583B" w:rsidRPr="004D4BFB" w:rsidRDefault="00DD583B" w:rsidP="005D2A90">
            <w:pPr>
              <w:rPr>
                <w:lang w:val="fr-FR"/>
              </w:rPr>
            </w:pPr>
          </w:p>
          <w:p w14:paraId="43241AD2" w14:textId="77777777" w:rsidR="00DD583B" w:rsidRPr="004D4BFB" w:rsidRDefault="00DD583B" w:rsidP="005D2A90">
            <w:pPr>
              <w:rPr>
                <w:lang w:val="fr-FR"/>
              </w:rPr>
            </w:pPr>
            <w:r w:rsidRPr="004D4BFB">
              <w:rPr>
                <w:lang w:val="fr-FR"/>
              </w:rPr>
              <w:t>Risque sécuritaire élevé ne permettant pas aux élus et personnels locaux de rester en place dasn les collectivités de certaines parties du pays comme le Nord</w:t>
            </w:r>
          </w:p>
        </w:tc>
        <w:tc>
          <w:tcPr>
            <w:tcW w:w="1974" w:type="dxa"/>
            <w:vMerge w:val="restart"/>
          </w:tcPr>
          <w:p w14:paraId="5B25C5A0" w14:textId="77777777" w:rsidR="00DD583B" w:rsidRPr="002E5C18" w:rsidRDefault="00DD583B" w:rsidP="005D2A90">
            <w:pPr>
              <w:rPr>
                <w:rFonts w:cstheme="minorHAnsi"/>
                <w:sz w:val="18"/>
                <w:szCs w:val="18"/>
                <w:u w:val="single"/>
                <w:lang w:val="fr-FR"/>
              </w:rPr>
            </w:pPr>
            <w:r w:rsidRPr="002E5C18">
              <w:rPr>
                <w:rFonts w:cstheme="minorHAnsi"/>
                <w:sz w:val="18"/>
                <w:szCs w:val="18"/>
                <w:u w:val="single"/>
                <w:lang w:val="fr-FR"/>
              </w:rPr>
              <w:t xml:space="preserve">Les partenaires techniques et financiers bilatéraux  et multilatéraux </w:t>
            </w:r>
          </w:p>
          <w:p w14:paraId="531B7513" w14:textId="77777777" w:rsidR="00DD583B" w:rsidRPr="002E5C18" w:rsidRDefault="00DD583B" w:rsidP="005D2A90">
            <w:pPr>
              <w:rPr>
                <w:rFonts w:cstheme="minorHAnsi"/>
                <w:sz w:val="18"/>
                <w:szCs w:val="18"/>
                <w:lang w:val="fr-FR"/>
              </w:rPr>
            </w:pPr>
            <w:r w:rsidRPr="002E5C18">
              <w:rPr>
                <w:rFonts w:cstheme="minorHAnsi"/>
                <w:sz w:val="18"/>
                <w:szCs w:val="18"/>
                <w:lang w:val="fr-FR"/>
              </w:rPr>
              <w:t>Apportent un appui  financier, technique (Renforcement des capacités/ Conseil) et programmatique.</w:t>
            </w:r>
          </w:p>
          <w:p w14:paraId="5F672D98" w14:textId="77777777" w:rsidR="00DD583B" w:rsidRPr="002E5C18" w:rsidRDefault="00DD583B" w:rsidP="005D2A90">
            <w:pPr>
              <w:jc w:val="both"/>
              <w:rPr>
                <w:rFonts w:cstheme="minorHAnsi"/>
                <w:sz w:val="18"/>
                <w:szCs w:val="18"/>
                <w:lang w:val="fr-FR"/>
              </w:rPr>
            </w:pPr>
            <w:r w:rsidRPr="002E5C18">
              <w:rPr>
                <w:rFonts w:cstheme="minorHAnsi"/>
                <w:sz w:val="18"/>
                <w:szCs w:val="18"/>
                <w:lang w:val="fr-FR"/>
              </w:rPr>
              <w:t>Assurent le plaidoyer</w:t>
            </w:r>
          </w:p>
          <w:p w14:paraId="144D1C4E" w14:textId="77777777" w:rsidR="00DD583B" w:rsidRPr="002E5C18" w:rsidRDefault="00DD583B" w:rsidP="005D2A90">
            <w:pPr>
              <w:rPr>
                <w:rFonts w:cstheme="minorHAnsi"/>
                <w:sz w:val="18"/>
                <w:szCs w:val="18"/>
                <w:lang w:val="fr-FR"/>
              </w:rPr>
            </w:pPr>
          </w:p>
          <w:p w14:paraId="6D438804" w14:textId="77777777" w:rsidR="00DD583B" w:rsidRPr="002E5C18" w:rsidRDefault="00DD583B" w:rsidP="005D2A90">
            <w:pPr>
              <w:rPr>
                <w:rFonts w:cstheme="minorHAnsi"/>
                <w:sz w:val="18"/>
                <w:szCs w:val="18"/>
                <w:lang w:val="fr-FR"/>
              </w:rPr>
            </w:pPr>
            <w:r w:rsidRPr="002E5C18">
              <w:rPr>
                <w:rFonts w:cstheme="minorHAnsi"/>
                <w:b/>
                <w:sz w:val="18"/>
                <w:szCs w:val="18"/>
                <w:lang w:val="fr-FR"/>
              </w:rPr>
              <w:t xml:space="preserve">PTF : </w:t>
            </w:r>
            <w:r w:rsidRPr="002E5C18">
              <w:rPr>
                <w:rFonts w:cstheme="minorHAnsi"/>
                <w:sz w:val="18"/>
                <w:szCs w:val="18"/>
                <w:lang w:val="fr-FR"/>
              </w:rPr>
              <w:t>Pays Bas; Canada; Union Européenne; USAID; France. (plaidoyer, appui technique et financier)</w:t>
            </w:r>
          </w:p>
          <w:p w14:paraId="52C5FDAF" w14:textId="77777777" w:rsidR="00DD583B" w:rsidRPr="002E5C18" w:rsidRDefault="00DD583B" w:rsidP="005D2A90">
            <w:pPr>
              <w:rPr>
                <w:rFonts w:cstheme="minorHAnsi"/>
                <w:b/>
                <w:sz w:val="18"/>
                <w:szCs w:val="18"/>
                <w:lang w:val="fr-FR"/>
              </w:rPr>
            </w:pPr>
          </w:p>
          <w:p w14:paraId="10A202B6" w14:textId="77777777" w:rsidR="00DD583B" w:rsidRPr="002E5C18" w:rsidRDefault="00DD583B" w:rsidP="005D2A90">
            <w:pPr>
              <w:rPr>
                <w:rFonts w:cstheme="minorHAnsi"/>
                <w:b/>
                <w:sz w:val="18"/>
                <w:szCs w:val="18"/>
                <w:lang w:val="fr-FR"/>
              </w:rPr>
            </w:pPr>
            <w:r w:rsidRPr="002E5C18">
              <w:rPr>
                <w:rFonts w:cstheme="minorHAnsi"/>
                <w:b/>
                <w:sz w:val="18"/>
                <w:szCs w:val="18"/>
                <w:lang w:val="fr-FR"/>
              </w:rPr>
              <w:t>ONG</w:t>
            </w:r>
          </w:p>
          <w:p w14:paraId="324EB551" w14:textId="77777777" w:rsidR="00DD583B" w:rsidRPr="002E5C18" w:rsidRDefault="00DD583B" w:rsidP="005D2A90">
            <w:pPr>
              <w:rPr>
                <w:rFonts w:cstheme="minorHAnsi"/>
                <w:sz w:val="18"/>
                <w:szCs w:val="18"/>
                <w:lang w:val="fr-FR"/>
              </w:rPr>
            </w:pPr>
            <w:r w:rsidRPr="002E5C18">
              <w:rPr>
                <w:rFonts w:cstheme="minorHAnsi"/>
                <w:sz w:val="18"/>
                <w:szCs w:val="18"/>
                <w:lang w:val="fr-FR"/>
              </w:rPr>
              <w:lastRenderedPageBreak/>
              <w:t>CICR; AMDH; ABA ROLI; etc.:</w:t>
            </w:r>
          </w:p>
          <w:p w14:paraId="108EBCEB" w14:textId="77777777" w:rsidR="00DD583B" w:rsidRPr="002E5C18" w:rsidRDefault="00DD583B" w:rsidP="005D2A90">
            <w:pPr>
              <w:rPr>
                <w:rFonts w:cstheme="minorHAnsi"/>
                <w:sz w:val="18"/>
                <w:szCs w:val="18"/>
                <w:lang w:val="fr-FR"/>
              </w:rPr>
            </w:pPr>
            <w:r w:rsidRPr="002E5C18">
              <w:rPr>
                <w:rFonts w:cstheme="minorHAnsi"/>
                <w:sz w:val="18"/>
                <w:szCs w:val="18"/>
                <w:lang w:val="fr-FR"/>
              </w:rPr>
              <w:t xml:space="preserve">PTF : </w:t>
            </w:r>
          </w:p>
          <w:p w14:paraId="4EF24AB4" w14:textId="77777777" w:rsidR="00DD583B" w:rsidRPr="002E5C18" w:rsidRDefault="00DD583B" w:rsidP="005D2A90">
            <w:pPr>
              <w:rPr>
                <w:rFonts w:cstheme="minorHAnsi"/>
                <w:sz w:val="18"/>
                <w:szCs w:val="18"/>
                <w:lang w:val="fr-FR"/>
              </w:rPr>
            </w:pPr>
            <w:r w:rsidRPr="002E5C18">
              <w:rPr>
                <w:rFonts w:cstheme="minorHAnsi"/>
                <w:sz w:val="18"/>
                <w:szCs w:val="18"/>
                <w:lang w:val="fr-FR"/>
              </w:rPr>
              <w:t>Canada, DFID, Suède, Allemagne, Danemark, Belgique, Pays-Bas</w:t>
            </w:r>
          </w:p>
          <w:p w14:paraId="4028B23C" w14:textId="77777777" w:rsidR="00DD583B" w:rsidRPr="002E5C18" w:rsidRDefault="00DD583B" w:rsidP="005D2A90">
            <w:pPr>
              <w:rPr>
                <w:rFonts w:cstheme="minorHAnsi"/>
                <w:sz w:val="18"/>
                <w:szCs w:val="18"/>
                <w:lang w:val="fr-FR"/>
              </w:rPr>
            </w:pPr>
          </w:p>
          <w:p w14:paraId="744A6F47" w14:textId="77777777" w:rsidR="00DD583B" w:rsidRPr="002E5C18" w:rsidRDefault="00DD583B" w:rsidP="005D2A90">
            <w:pPr>
              <w:rPr>
                <w:rFonts w:cstheme="minorHAnsi"/>
                <w:sz w:val="18"/>
                <w:szCs w:val="18"/>
                <w:lang w:val="fr-FR"/>
              </w:rPr>
            </w:pPr>
            <w:r w:rsidRPr="002E5C18">
              <w:rPr>
                <w:rFonts w:cstheme="minorHAnsi"/>
                <w:sz w:val="18"/>
                <w:szCs w:val="18"/>
                <w:lang w:val="fr-FR"/>
              </w:rPr>
              <w:t>Gouvernement : Désignation des points focaux représentant les ministères membres du CIMPDH</w:t>
            </w:r>
          </w:p>
          <w:p w14:paraId="669BDB92" w14:textId="77777777" w:rsidR="00DD583B" w:rsidRPr="002E5C18" w:rsidRDefault="00DD583B" w:rsidP="005D2A90">
            <w:pPr>
              <w:rPr>
                <w:rFonts w:cstheme="minorHAnsi"/>
                <w:sz w:val="18"/>
                <w:szCs w:val="18"/>
                <w:lang w:val="fr-FR"/>
              </w:rPr>
            </w:pPr>
          </w:p>
          <w:p w14:paraId="044355B9" w14:textId="77777777" w:rsidR="00DD583B" w:rsidRPr="002E5C18" w:rsidRDefault="00DD583B" w:rsidP="005D2A90">
            <w:pPr>
              <w:rPr>
                <w:rFonts w:cstheme="minorHAnsi"/>
                <w:sz w:val="18"/>
                <w:szCs w:val="18"/>
                <w:lang w:val="fr-FR"/>
              </w:rPr>
            </w:pPr>
            <w:r w:rsidRPr="002E5C18">
              <w:rPr>
                <w:rFonts w:cstheme="minorHAnsi"/>
                <w:sz w:val="18"/>
                <w:szCs w:val="18"/>
                <w:lang w:val="fr-FR"/>
              </w:rPr>
              <w:t xml:space="preserve">OHCHR/HRD : Assistance technique en expertise et renforcement des capacités </w:t>
            </w:r>
          </w:p>
          <w:p w14:paraId="263C39FB" w14:textId="77777777" w:rsidR="00DD583B" w:rsidRPr="002E5C18" w:rsidRDefault="00DD583B" w:rsidP="005D2A90">
            <w:pPr>
              <w:rPr>
                <w:lang w:val="fr-FR"/>
              </w:rPr>
            </w:pPr>
            <w:r w:rsidRPr="002E5C18">
              <w:rPr>
                <w:rFonts w:cstheme="minorHAnsi"/>
                <w:sz w:val="18"/>
                <w:szCs w:val="18"/>
                <w:lang w:val="fr-FR"/>
              </w:rPr>
              <w:t>OHCHR/HRD : Renforcement des capacités</w:t>
            </w:r>
          </w:p>
        </w:tc>
        <w:tc>
          <w:tcPr>
            <w:tcW w:w="1250" w:type="dxa"/>
            <w:vMerge w:val="restart"/>
          </w:tcPr>
          <w:p w14:paraId="6F890642" w14:textId="77777777" w:rsidR="00DD583B" w:rsidRPr="002E5C18" w:rsidRDefault="00DD583B" w:rsidP="005D2A90">
            <w:pPr>
              <w:rPr>
                <w:lang w:val="fr-FR"/>
              </w:rPr>
            </w:pPr>
          </w:p>
        </w:tc>
      </w:tr>
      <w:tr w:rsidR="00DD583B" w:rsidRPr="002E5C18" w14:paraId="0AB81B5F" w14:textId="77777777" w:rsidTr="005D2A90">
        <w:tc>
          <w:tcPr>
            <w:tcW w:w="2590" w:type="dxa"/>
            <w:vMerge/>
            <w:shd w:val="clear" w:color="auto" w:fill="DBE5F1" w:themeFill="accent1" w:themeFillTint="33"/>
            <w:vAlign w:val="center"/>
          </w:tcPr>
          <w:p w14:paraId="09E212D8" w14:textId="77777777" w:rsidR="00DD583B" w:rsidRPr="002E5C18" w:rsidRDefault="00DD583B" w:rsidP="005D2A90">
            <w:pPr>
              <w:rPr>
                <w:lang w:val="fr-FR"/>
              </w:rPr>
            </w:pPr>
          </w:p>
        </w:tc>
        <w:tc>
          <w:tcPr>
            <w:tcW w:w="2832" w:type="dxa"/>
            <w:vAlign w:val="center"/>
          </w:tcPr>
          <w:p w14:paraId="40F9A157" w14:textId="77777777" w:rsidR="00DD583B" w:rsidRDefault="00DD583B" w:rsidP="005D2A90">
            <w:pPr>
              <w:rPr>
                <w:rFonts w:ascii="Times New Roman" w:hAnsi="Times New Roman" w:cs="Times New Roman"/>
              </w:rPr>
            </w:pPr>
            <w:r w:rsidRPr="00C85CEE">
              <w:rPr>
                <w:rFonts w:ascii="Times New Roman" w:hAnsi="Times New Roman" w:cs="Times New Roman"/>
                <w:bCs/>
              </w:rPr>
              <w:t>Indicateur 3.3.2</w:t>
            </w:r>
            <w:r w:rsidRPr="00C85CEE">
              <w:rPr>
                <w:rFonts w:ascii="Times New Roman" w:hAnsi="Times New Roman" w:cs="Times New Roman"/>
              </w:rPr>
              <w:t xml:space="preserve"> Nombre de collectivités renforcées par le programme pour la gestion équitable des ressources financières et humaines des anciennes et nouvelles compétences transférées</w:t>
            </w:r>
          </w:p>
          <w:p w14:paraId="43AF5B46" w14:textId="77777777" w:rsidR="00DD583B" w:rsidRDefault="00DD583B" w:rsidP="005D2A90">
            <w:pPr>
              <w:rPr>
                <w:rFonts w:ascii="Times New Roman" w:hAnsi="Times New Roman" w:cs="Times New Roman"/>
              </w:rPr>
            </w:pPr>
          </w:p>
          <w:p w14:paraId="394D7003" w14:textId="77777777" w:rsidR="00DD583B" w:rsidRDefault="00DD583B" w:rsidP="005D2A90">
            <w:pPr>
              <w:rPr>
                <w:rFonts w:ascii="Times New Roman" w:hAnsi="Times New Roman" w:cs="Times New Roman"/>
                <w:lang w:val="fr-FR"/>
              </w:rPr>
            </w:pPr>
            <w:r w:rsidRPr="002E5C18">
              <w:rPr>
                <w:rFonts w:ascii="Times New Roman" w:hAnsi="Times New Roman" w:cs="Times New Roman"/>
                <w:lang w:val="fr-FR"/>
              </w:rPr>
              <w:t>Base</w:t>
            </w:r>
            <w:r>
              <w:rPr>
                <w:rFonts w:ascii="Times New Roman" w:hAnsi="Times New Roman" w:cs="Times New Roman"/>
                <w:lang w:val="fr-FR"/>
              </w:rPr>
              <w:t> : 10%</w:t>
            </w:r>
          </w:p>
          <w:p w14:paraId="6ACEE5EC"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lastRenderedPageBreak/>
              <w:t xml:space="preserve">Situation en fin 2017: </w:t>
            </w:r>
            <w:r>
              <w:rPr>
                <w:rFonts w:ascii="Calibri" w:hAnsi="Calibri"/>
                <w:color w:val="FF0000"/>
                <w:sz w:val="18"/>
                <w:szCs w:val="18"/>
              </w:rPr>
              <w:t>17%</w:t>
            </w:r>
          </w:p>
          <w:p w14:paraId="1E578FD7" w14:textId="77777777" w:rsidR="00DD583B" w:rsidRDefault="00DD583B" w:rsidP="005D2A90">
            <w:pPr>
              <w:rPr>
                <w:rFonts w:ascii="Times New Roman" w:hAnsi="Times New Roman" w:cs="Times New Roman"/>
                <w:lang w:val="fr-FR"/>
              </w:rPr>
            </w:pPr>
          </w:p>
          <w:p w14:paraId="2035DD62" w14:textId="77777777" w:rsidR="00DD583B" w:rsidRPr="002E5C18" w:rsidRDefault="00DD583B" w:rsidP="005D2A90">
            <w:pPr>
              <w:rPr>
                <w:lang w:val="fr-FR"/>
              </w:rPr>
            </w:pPr>
            <w:r>
              <w:rPr>
                <w:rFonts w:ascii="Times New Roman" w:hAnsi="Times New Roman" w:cs="Times New Roman"/>
                <w:lang w:val="fr-FR"/>
              </w:rPr>
              <w:t>Cible : 30%</w:t>
            </w:r>
          </w:p>
        </w:tc>
        <w:tc>
          <w:tcPr>
            <w:tcW w:w="3874" w:type="dxa"/>
            <w:vAlign w:val="center"/>
          </w:tcPr>
          <w:p w14:paraId="4D7ACDDF"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lastRenderedPageBreak/>
              <w:t>Mode de calcul : Dénombrement  collectivités renforcées par le programme pour la gestion équitable des ressources financières et humaines des anciennes et nouvelles compétences transférées</w:t>
            </w:r>
          </w:p>
          <w:p w14:paraId="7B38B29C"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lastRenderedPageBreak/>
              <w:t>Sources de données</w:t>
            </w:r>
            <w:r>
              <w:rPr>
                <w:rFonts w:ascii="Times New Roman" w:hAnsi="Times New Roman" w:cs="Times New Roman"/>
              </w:rPr>
              <w:t>/Moyens de vérification</w:t>
            </w:r>
            <w:r w:rsidRPr="00C85CEE">
              <w:rPr>
                <w:rFonts w:ascii="Times New Roman" w:hAnsi="Times New Roman" w:cs="Times New Roman"/>
              </w:rPr>
              <w:t> : Structures nationales de gestion des collectivités territoriales</w:t>
            </w:r>
          </w:p>
          <w:p w14:paraId="4928F944"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Périodicité : Annuelle</w:t>
            </w:r>
          </w:p>
          <w:p w14:paraId="43EF8370" w14:textId="77777777" w:rsidR="00DD583B" w:rsidRPr="002E5C18" w:rsidRDefault="00DD583B" w:rsidP="005D2A90">
            <w:pPr>
              <w:pStyle w:val="Paragraphedeliste"/>
              <w:numPr>
                <w:ilvl w:val="0"/>
                <w:numId w:val="16"/>
              </w:numPr>
              <w:ind w:left="357" w:hanging="357"/>
              <w:rPr>
                <w:lang w:val="fr-FR"/>
              </w:rPr>
            </w:pPr>
            <w:r w:rsidRPr="00C85CEE">
              <w:rPr>
                <w:rFonts w:ascii="Times New Roman" w:hAnsi="Times New Roman" w:cs="Times New Roman"/>
              </w:rPr>
              <w:t>Maître d’œuvre : Groupe de Résultat</w:t>
            </w:r>
          </w:p>
        </w:tc>
        <w:tc>
          <w:tcPr>
            <w:tcW w:w="2648" w:type="dxa"/>
            <w:vMerge/>
          </w:tcPr>
          <w:p w14:paraId="56924271" w14:textId="77777777" w:rsidR="00DD583B" w:rsidRPr="002E5C18" w:rsidRDefault="00DD583B" w:rsidP="005D2A90">
            <w:pPr>
              <w:rPr>
                <w:rFonts w:ascii="Times New Roman" w:hAnsi="Times New Roman" w:cs="Times New Roman"/>
                <w:highlight w:val="yellow"/>
                <w:lang w:val="fr-FR"/>
              </w:rPr>
            </w:pPr>
          </w:p>
        </w:tc>
        <w:tc>
          <w:tcPr>
            <w:tcW w:w="1974" w:type="dxa"/>
            <w:vMerge/>
          </w:tcPr>
          <w:p w14:paraId="440BD253" w14:textId="77777777" w:rsidR="00DD583B" w:rsidRPr="002E5C18" w:rsidRDefault="00DD583B" w:rsidP="005D2A90">
            <w:pPr>
              <w:rPr>
                <w:lang w:val="fr-FR"/>
              </w:rPr>
            </w:pPr>
          </w:p>
        </w:tc>
        <w:tc>
          <w:tcPr>
            <w:tcW w:w="1250" w:type="dxa"/>
            <w:vMerge/>
          </w:tcPr>
          <w:p w14:paraId="14909BDD" w14:textId="77777777" w:rsidR="00DD583B" w:rsidRPr="002E5C18" w:rsidRDefault="00DD583B" w:rsidP="005D2A90">
            <w:pPr>
              <w:rPr>
                <w:lang w:val="fr-FR"/>
              </w:rPr>
            </w:pPr>
          </w:p>
        </w:tc>
      </w:tr>
      <w:tr w:rsidR="00DD583B" w:rsidRPr="002E5C18" w14:paraId="3F912D8B" w14:textId="77777777" w:rsidTr="005D2A90">
        <w:tc>
          <w:tcPr>
            <w:tcW w:w="2590" w:type="dxa"/>
            <w:vMerge/>
            <w:shd w:val="clear" w:color="auto" w:fill="DBE5F1" w:themeFill="accent1" w:themeFillTint="33"/>
            <w:vAlign w:val="center"/>
          </w:tcPr>
          <w:p w14:paraId="53FEB3D2" w14:textId="77777777" w:rsidR="00DD583B" w:rsidRPr="002E5C18" w:rsidRDefault="00DD583B" w:rsidP="005D2A90">
            <w:pPr>
              <w:rPr>
                <w:lang w:val="fr-FR"/>
              </w:rPr>
            </w:pPr>
          </w:p>
        </w:tc>
        <w:tc>
          <w:tcPr>
            <w:tcW w:w="2832" w:type="dxa"/>
            <w:vAlign w:val="center"/>
          </w:tcPr>
          <w:p w14:paraId="6D4574D9" w14:textId="77777777" w:rsidR="00DD583B" w:rsidRDefault="00DD583B" w:rsidP="005D2A90">
            <w:pPr>
              <w:rPr>
                <w:rFonts w:ascii="Times New Roman" w:hAnsi="Times New Roman" w:cs="Times New Roman"/>
                <w:bCs/>
              </w:rPr>
            </w:pPr>
            <w:r w:rsidRPr="00C85CEE">
              <w:rPr>
                <w:rFonts w:ascii="Times New Roman" w:hAnsi="Times New Roman" w:cs="Times New Roman"/>
                <w:bCs/>
              </w:rPr>
              <w:t>Indicateur 3.3.3.</w:t>
            </w:r>
            <w:r w:rsidRPr="00C85CEE">
              <w:rPr>
                <w:rFonts w:ascii="Times New Roman" w:hAnsi="Times New Roman" w:cs="Times New Roman"/>
              </w:rPr>
              <w:t xml:space="preserve"> </w:t>
            </w:r>
            <w:r w:rsidRPr="00C85CEE">
              <w:rPr>
                <w:rFonts w:ascii="Times New Roman" w:hAnsi="Times New Roman" w:cs="Times New Roman"/>
                <w:bCs/>
              </w:rPr>
              <w:t>Nombre de femmes ou de structures féminines aidées pour promouvoir le leadership féminin dans les collectivités locales</w:t>
            </w:r>
          </w:p>
          <w:p w14:paraId="1CA0A8D0" w14:textId="77777777" w:rsidR="00DD583B" w:rsidRDefault="00DD583B" w:rsidP="005D2A90">
            <w:pPr>
              <w:rPr>
                <w:rFonts w:ascii="Times New Roman" w:hAnsi="Times New Roman" w:cs="Times New Roman"/>
              </w:rPr>
            </w:pPr>
          </w:p>
          <w:p w14:paraId="5A78F054" w14:textId="77777777" w:rsidR="00DD583B" w:rsidRDefault="00DD583B" w:rsidP="005D2A90">
            <w:pPr>
              <w:rPr>
                <w:rFonts w:ascii="Times New Roman" w:hAnsi="Times New Roman" w:cs="Times New Roman"/>
                <w:lang w:val="fr-FR"/>
              </w:rPr>
            </w:pPr>
            <w:r w:rsidRPr="002E5C18">
              <w:rPr>
                <w:rFonts w:ascii="Times New Roman" w:hAnsi="Times New Roman" w:cs="Times New Roman"/>
                <w:lang w:val="fr-FR"/>
              </w:rPr>
              <w:t>Base</w:t>
            </w:r>
            <w:r>
              <w:rPr>
                <w:rFonts w:ascii="Times New Roman" w:hAnsi="Times New Roman" w:cs="Times New Roman"/>
                <w:lang w:val="fr-FR"/>
              </w:rPr>
              <w:t> : 0</w:t>
            </w:r>
          </w:p>
          <w:p w14:paraId="6CA8AC44"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sidRPr="00AA79CE">
              <w:rPr>
                <w:rFonts w:ascii="Calibri" w:hAnsi="Calibri"/>
                <w:color w:val="FF0000"/>
                <w:sz w:val="18"/>
                <w:szCs w:val="18"/>
              </w:rPr>
              <w:t>55612</w:t>
            </w:r>
          </w:p>
          <w:p w14:paraId="1DE5A02C" w14:textId="77777777" w:rsidR="00DD583B" w:rsidRDefault="00DD583B" w:rsidP="005D2A90">
            <w:pPr>
              <w:rPr>
                <w:rFonts w:ascii="Times New Roman" w:hAnsi="Times New Roman" w:cs="Times New Roman"/>
                <w:lang w:val="fr-FR"/>
              </w:rPr>
            </w:pPr>
          </w:p>
          <w:p w14:paraId="0D3E6804" w14:textId="77777777" w:rsidR="00DD583B" w:rsidRPr="002E5C18" w:rsidRDefault="00DD583B" w:rsidP="005D2A90">
            <w:pPr>
              <w:rPr>
                <w:lang w:val="fr-FR"/>
              </w:rPr>
            </w:pPr>
            <w:r>
              <w:rPr>
                <w:rFonts w:ascii="Times New Roman" w:hAnsi="Times New Roman" w:cs="Times New Roman"/>
                <w:lang w:val="fr-FR"/>
              </w:rPr>
              <w:t>Cible : AD</w:t>
            </w:r>
          </w:p>
        </w:tc>
        <w:tc>
          <w:tcPr>
            <w:tcW w:w="3874" w:type="dxa"/>
            <w:vAlign w:val="center"/>
          </w:tcPr>
          <w:p w14:paraId="2E29257D"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 xml:space="preserve">Mode de calcul : Dénombrement des </w:t>
            </w:r>
            <w:r w:rsidRPr="00C85CEE">
              <w:rPr>
                <w:rFonts w:ascii="Times New Roman" w:hAnsi="Times New Roman" w:cs="Times New Roman"/>
                <w:bCs/>
              </w:rPr>
              <w:t xml:space="preserve"> femmes et des structures féminines aidées pour promouvoir le leadership féminin dans les collectivités locales</w:t>
            </w:r>
          </w:p>
          <w:p w14:paraId="7B90038C"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Sources de données</w:t>
            </w:r>
            <w:r>
              <w:rPr>
                <w:rFonts w:ascii="Times New Roman" w:hAnsi="Times New Roman" w:cs="Times New Roman"/>
              </w:rPr>
              <w:t>/Moyens de vérification</w:t>
            </w:r>
            <w:r w:rsidRPr="00C85CEE">
              <w:rPr>
                <w:rFonts w:ascii="Times New Roman" w:hAnsi="Times New Roman" w:cs="Times New Roman"/>
              </w:rPr>
              <w:t> : Organisations féminines locales</w:t>
            </w:r>
          </w:p>
          <w:p w14:paraId="5EE51B93"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Périodicité : Annuelle</w:t>
            </w:r>
          </w:p>
          <w:p w14:paraId="165FD136" w14:textId="77777777" w:rsidR="00DD583B" w:rsidRPr="002E5C18" w:rsidRDefault="00DD583B" w:rsidP="005D2A90">
            <w:pPr>
              <w:pStyle w:val="Paragraphedeliste"/>
              <w:numPr>
                <w:ilvl w:val="0"/>
                <w:numId w:val="16"/>
              </w:numPr>
              <w:ind w:left="357" w:hanging="357"/>
              <w:rPr>
                <w:lang w:val="fr-FR"/>
              </w:rPr>
            </w:pPr>
            <w:r w:rsidRPr="00C85CEE">
              <w:rPr>
                <w:rFonts w:ascii="Times New Roman" w:hAnsi="Times New Roman" w:cs="Times New Roman"/>
              </w:rPr>
              <w:t>Maître d’œuvre : Groupe de Résultat</w:t>
            </w:r>
          </w:p>
        </w:tc>
        <w:tc>
          <w:tcPr>
            <w:tcW w:w="2648" w:type="dxa"/>
            <w:vMerge/>
          </w:tcPr>
          <w:p w14:paraId="74E9D34A" w14:textId="77777777" w:rsidR="00DD583B" w:rsidRPr="002E5C18" w:rsidRDefault="00DD583B" w:rsidP="005D2A90">
            <w:pPr>
              <w:rPr>
                <w:lang w:val="fr-FR"/>
              </w:rPr>
            </w:pPr>
          </w:p>
        </w:tc>
        <w:tc>
          <w:tcPr>
            <w:tcW w:w="1974" w:type="dxa"/>
            <w:vMerge/>
          </w:tcPr>
          <w:p w14:paraId="495BB372" w14:textId="77777777" w:rsidR="00DD583B" w:rsidRPr="002E5C18" w:rsidRDefault="00DD583B" w:rsidP="005D2A90">
            <w:pPr>
              <w:rPr>
                <w:lang w:val="fr-FR"/>
              </w:rPr>
            </w:pPr>
          </w:p>
        </w:tc>
        <w:tc>
          <w:tcPr>
            <w:tcW w:w="1250" w:type="dxa"/>
            <w:vMerge/>
          </w:tcPr>
          <w:p w14:paraId="5DFFF61A" w14:textId="77777777" w:rsidR="00DD583B" w:rsidRPr="002E5C18" w:rsidRDefault="00DD583B" w:rsidP="005D2A90">
            <w:pPr>
              <w:rPr>
                <w:lang w:val="fr-FR"/>
              </w:rPr>
            </w:pPr>
          </w:p>
        </w:tc>
      </w:tr>
      <w:tr w:rsidR="00DD583B" w:rsidRPr="002E5C18" w14:paraId="64748750" w14:textId="77777777" w:rsidTr="005D2A90">
        <w:tc>
          <w:tcPr>
            <w:tcW w:w="2590" w:type="dxa"/>
            <w:vMerge w:val="restart"/>
            <w:shd w:val="clear" w:color="auto" w:fill="DBE5F1" w:themeFill="accent1" w:themeFillTint="33"/>
            <w:vAlign w:val="center"/>
          </w:tcPr>
          <w:p w14:paraId="3F8D0F21" w14:textId="77777777" w:rsidR="00DD583B" w:rsidRPr="002E5C18" w:rsidRDefault="00DD583B" w:rsidP="005D2A90">
            <w:pPr>
              <w:rPr>
                <w:lang w:val="fr-FR"/>
              </w:rPr>
            </w:pPr>
            <w:r w:rsidRPr="00C85CEE">
              <w:rPr>
                <w:rFonts w:ascii="Times New Roman" w:hAnsi="Times New Roman" w:cs="Times New Roman"/>
                <w:bCs/>
              </w:rPr>
              <w:t>Produit 3.4 : Les capacités des institutions publiques (au niveau national, régional, sectoriel) pour la planification et la programmation axée sur l’évidence, le S&amp;E et la production des données statistiques comparables et désagrégés sont renforcées</w:t>
            </w:r>
          </w:p>
        </w:tc>
        <w:tc>
          <w:tcPr>
            <w:tcW w:w="2832" w:type="dxa"/>
            <w:vAlign w:val="center"/>
          </w:tcPr>
          <w:p w14:paraId="218A3277" w14:textId="77777777" w:rsidR="00DD583B" w:rsidRDefault="00DD583B" w:rsidP="005D2A90">
            <w:pPr>
              <w:rPr>
                <w:rFonts w:ascii="Times New Roman" w:hAnsi="Times New Roman" w:cs="Times New Roman"/>
              </w:rPr>
            </w:pPr>
            <w:r w:rsidRPr="00C85CEE">
              <w:rPr>
                <w:rFonts w:ascii="Times New Roman" w:hAnsi="Times New Roman" w:cs="Times New Roman"/>
                <w:bCs/>
              </w:rPr>
              <w:t>Indicateur 3.4.</w:t>
            </w:r>
            <w:r>
              <w:rPr>
                <w:rFonts w:ascii="Times New Roman" w:hAnsi="Times New Roman" w:cs="Times New Roman"/>
                <w:bCs/>
              </w:rPr>
              <w:t>1</w:t>
            </w:r>
            <w:r w:rsidRPr="00C85CEE">
              <w:rPr>
                <w:rFonts w:ascii="Times New Roman" w:hAnsi="Times New Roman" w:cs="Times New Roman"/>
              </w:rPr>
              <w:t xml:space="preserve"> Nombre d’unités/services de planification/ S&amp;E/statistiques avec une capacité technique renforcée pour la collecte, analyse, et utilisation des données désagrégées, suite à l’assistance du programme</w:t>
            </w:r>
          </w:p>
          <w:p w14:paraId="4DBED207" w14:textId="77777777" w:rsidR="00DD583B" w:rsidRDefault="00DD583B" w:rsidP="005D2A90">
            <w:pPr>
              <w:rPr>
                <w:rFonts w:ascii="Times New Roman" w:hAnsi="Times New Roman" w:cs="Times New Roman"/>
              </w:rPr>
            </w:pPr>
          </w:p>
          <w:p w14:paraId="2C8C255E" w14:textId="77777777" w:rsidR="00DD583B" w:rsidRPr="00DC42B2" w:rsidRDefault="00DD583B" w:rsidP="005D2A90">
            <w:pPr>
              <w:rPr>
                <w:rFonts w:ascii="Times New Roman" w:hAnsi="Times New Roman" w:cs="Times New Roman"/>
              </w:rPr>
            </w:pPr>
            <w:r w:rsidRPr="00DC42B2">
              <w:rPr>
                <w:rFonts w:ascii="Times New Roman" w:hAnsi="Times New Roman" w:cs="Times New Roman"/>
              </w:rPr>
              <w:t>Base : 5</w:t>
            </w:r>
          </w:p>
          <w:p w14:paraId="17826449" w14:textId="77777777" w:rsidR="00DD583B" w:rsidRPr="0067771B" w:rsidRDefault="00DD583B" w:rsidP="005D2A90">
            <w:pPr>
              <w:snapToGrid w:val="0"/>
              <w:rPr>
                <w:rFonts w:ascii="Calibri" w:hAnsi="Calibri"/>
                <w:color w:val="FF0000"/>
                <w:sz w:val="18"/>
                <w:szCs w:val="18"/>
              </w:rPr>
            </w:pPr>
            <w:r w:rsidRPr="00CE2384">
              <w:rPr>
                <w:rFonts w:ascii="Calibri" w:hAnsi="Calibri"/>
                <w:color w:val="FF0000"/>
                <w:sz w:val="18"/>
                <w:szCs w:val="18"/>
              </w:rPr>
              <w:t xml:space="preserve">Situation en fin 2017: </w:t>
            </w:r>
            <w:r w:rsidRPr="0067771B">
              <w:rPr>
                <w:rFonts w:ascii="Calibri" w:hAnsi="Calibri"/>
                <w:color w:val="FF0000"/>
                <w:sz w:val="18"/>
                <w:szCs w:val="18"/>
              </w:rPr>
              <w:t>10</w:t>
            </w:r>
          </w:p>
          <w:p w14:paraId="004E15E5" w14:textId="77777777" w:rsidR="00DD583B" w:rsidRPr="0067771B" w:rsidRDefault="00DD583B" w:rsidP="005D2A90">
            <w:pPr>
              <w:snapToGrid w:val="0"/>
              <w:rPr>
                <w:rFonts w:ascii="Calibri" w:hAnsi="Calibri"/>
                <w:color w:val="FF0000"/>
                <w:sz w:val="18"/>
                <w:szCs w:val="18"/>
              </w:rPr>
            </w:pPr>
            <w:r w:rsidRPr="0067771B">
              <w:rPr>
                <w:rFonts w:ascii="Calibri" w:hAnsi="Calibri"/>
                <w:color w:val="FF0000"/>
                <w:sz w:val="18"/>
                <w:szCs w:val="18"/>
              </w:rPr>
              <w:t xml:space="preserve">(rapport  CRESS: </w:t>
            </w:r>
            <w:r w:rsidRPr="0067771B">
              <w:rPr>
                <w:rFonts w:ascii="Calibri" w:hAnsi="Calibri"/>
                <w:bCs/>
                <w:color w:val="FF0000"/>
                <w:sz w:val="18"/>
                <w:szCs w:val="18"/>
              </w:rPr>
              <w:t>Country Report on Support to Statistics, INSTAT)</w:t>
            </w:r>
          </w:p>
          <w:p w14:paraId="4EAAAFB5" w14:textId="77777777" w:rsidR="00DD583B" w:rsidRPr="00DC42B2" w:rsidRDefault="00DD583B" w:rsidP="005D2A90">
            <w:pPr>
              <w:snapToGrid w:val="0"/>
              <w:rPr>
                <w:rFonts w:ascii="Calibri" w:hAnsi="Calibri"/>
                <w:color w:val="FF0000"/>
                <w:sz w:val="18"/>
                <w:szCs w:val="18"/>
              </w:rPr>
            </w:pPr>
          </w:p>
          <w:p w14:paraId="7CFAF247" w14:textId="77777777" w:rsidR="00DD583B" w:rsidRPr="00DC42B2" w:rsidRDefault="00DD583B" w:rsidP="005D2A90">
            <w:r w:rsidRPr="00DC42B2">
              <w:rPr>
                <w:rFonts w:ascii="Times New Roman" w:hAnsi="Times New Roman" w:cs="Times New Roman"/>
              </w:rPr>
              <w:t xml:space="preserve">Cible : </w:t>
            </w:r>
            <w:r w:rsidRPr="00C85CEE">
              <w:rPr>
                <w:rFonts w:ascii="Times New Roman" w:hAnsi="Times New Roman" w:cs="Times New Roman"/>
              </w:rPr>
              <w:t>12 (y inclus I</w:t>
            </w:r>
            <w:r>
              <w:rPr>
                <w:rFonts w:ascii="Times New Roman" w:hAnsi="Times New Roman" w:cs="Times New Roman"/>
              </w:rPr>
              <w:t>NSTAT</w:t>
            </w:r>
            <w:r w:rsidRPr="00C85CEE">
              <w:rPr>
                <w:rFonts w:ascii="Times New Roman" w:hAnsi="Times New Roman" w:cs="Times New Roman"/>
              </w:rPr>
              <w:t>, DNP, Services décentralisés)</w:t>
            </w:r>
          </w:p>
        </w:tc>
        <w:tc>
          <w:tcPr>
            <w:tcW w:w="3874" w:type="dxa"/>
            <w:vAlign w:val="center"/>
          </w:tcPr>
          <w:p w14:paraId="422D82C2"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Mode de calcul : Dénombrement des  d’unités/services de planification/ S&amp;E/statistiques avec une capacité technique renforcée pour la collecte, analyse, et utilisation des données désagrégées, suite à l’assistance du programme</w:t>
            </w:r>
          </w:p>
          <w:p w14:paraId="66FE14C8"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Sources de données</w:t>
            </w:r>
            <w:r>
              <w:rPr>
                <w:rFonts w:ascii="Times New Roman" w:hAnsi="Times New Roman" w:cs="Times New Roman"/>
              </w:rPr>
              <w:t>/Moyens de vérification</w:t>
            </w:r>
            <w:r w:rsidRPr="00C85CEE">
              <w:rPr>
                <w:rFonts w:ascii="Times New Roman" w:hAnsi="Times New Roman" w:cs="Times New Roman"/>
              </w:rPr>
              <w:t> : Structures nationales de planification et de Statistiques</w:t>
            </w:r>
          </w:p>
          <w:p w14:paraId="3C70215C"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Périodicité : Annuelle</w:t>
            </w:r>
          </w:p>
          <w:p w14:paraId="34BCA50F" w14:textId="77777777" w:rsidR="00DD583B" w:rsidRPr="002E5C18" w:rsidRDefault="00DD583B" w:rsidP="005D2A90">
            <w:pPr>
              <w:pStyle w:val="Paragraphedeliste"/>
              <w:numPr>
                <w:ilvl w:val="0"/>
                <w:numId w:val="16"/>
              </w:numPr>
              <w:ind w:left="357" w:hanging="357"/>
              <w:rPr>
                <w:lang w:val="fr-FR"/>
              </w:rPr>
            </w:pPr>
            <w:r w:rsidRPr="00C85CEE">
              <w:rPr>
                <w:rFonts w:ascii="Times New Roman" w:hAnsi="Times New Roman" w:cs="Times New Roman"/>
              </w:rPr>
              <w:t>Maître d’œuvre : Groupe de Résultat</w:t>
            </w:r>
          </w:p>
        </w:tc>
        <w:tc>
          <w:tcPr>
            <w:tcW w:w="2648" w:type="dxa"/>
            <w:vMerge w:val="restart"/>
          </w:tcPr>
          <w:p w14:paraId="4414F3BC" w14:textId="77777777" w:rsidR="00DD583B" w:rsidRPr="004D4BFB" w:rsidRDefault="00DD583B" w:rsidP="005D2A90">
            <w:pPr>
              <w:rPr>
                <w:lang w:val="fr-FR"/>
              </w:rPr>
            </w:pPr>
          </w:p>
          <w:p w14:paraId="72D7517B" w14:textId="77777777" w:rsidR="00DD583B" w:rsidRPr="004D4BFB" w:rsidRDefault="00DD583B" w:rsidP="005D2A90">
            <w:pPr>
              <w:rPr>
                <w:lang w:val="fr-FR"/>
              </w:rPr>
            </w:pPr>
          </w:p>
          <w:p w14:paraId="495DC1E3" w14:textId="77777777" w:rsidR="00DD583B" w:rsidRPr="004D4BFB" w:rsidRDefault="00DD583B" w:rsidP="005D2A90">
            <w:pPr>
              <w:rPr>
                <w:lang w:val="fr-FR"/>
              </w:rPr>
            </w:pPr>
          </w:p>
          <w:p w14:paraId="2CE3F204" w14:textId="77777777" w:rsidR="00DD583B" w:rsidRPr="004D4BFB" w:rsidRDefault="00DD583B" w:rsidP="005D2A90">
            <w:pPr>
              <w:rPr>
                <w:lang w:val="fr-FR"/>
              </w:rPr>
            </w:pPr>
          </w:p>
          <w:p w14:paraId="3FC8410B" w14:textId="77777777" w:rsidR="00DD583B" w:rsidRPr="004D4BFB" w:rsidRDefault="00DD583B" w:rsidP="005D2A90">
            <w:pPr>
              <w:rPr>
                <w:lang w:val="fr-FR"/>
              </w:rPr>
            </w:pPr>
            <w:r w:rsidRPr="004D4BFB">
              <w:rPr>
                <w:lang w:val="fr-FR"/>
              </w:rPr>
              <w:t>Instabilité des personnels peut gêner l’ancrage de capacités durable</w:t>
            </w:r>
          </w:p>
          <w:p w14:paraId="007428AE" w14:textId="77777777" w:rsidR="00DD583B" w:rsidRPr="004D4BFB" w:rsidRDefault="00DD583B" w:rsidP="005D2A90">
            <w:pPr>
              <w:rPr>
                <w:lang w:val="fr-FR"/>
              </w:rPr>
            </w:pPr>
            <w:r w:rsidRPr="004D4BFB">
              <w:rPr>
                <w:lang w:val="fr-FR"/>
              </w:rPr>
              <w:t xml:space="preserve">Mitigation : </w:t>
            </w:r>
            <w:r>
              <w:rPr>
                <w:lang w:val="fr-FR"/>
              </w:rPr>
              <w:t>Faire des formations de formateurs et veiller à ce qu’ils repliquent les formations au sein de leurs structures</w:t>
            </w:r>
          </w:p>
        </w:tc>
        <w:tc>
          <w:tcPr>
            <w:tcW w:w="1974" w:type="dxa"/>
            <w:vMerge w:val="restart"/>
          </w:tcPr>
          <w:p w14:paraId="03493AFC" w14:textId="77777777" w:rsidR="00DD583B" w:rsidRPr="002E5C18" w:rsidRDefault="00DD583B" w:rsidP="005D2A90">
            <w:pPr>
              <w:rPr>
                <w:lang w:val="fr-FR"/>
              </w:rPr>
            </w:pPr>
          </w:p>
        </w:tc>
        <w:tc>
          <w:tcPr>
            <w:tcW w:w="1250" w:type="dxa"/>
            <w:vMerge w:val="restart"/>
          </w:tcPr>
          <w:p w14:paraId="2B6889A0" w14:textId="77777777" w:rsidR="00DD583B" w:rsidRPr="002E5C18" w:rsidRDefault="00DD583B" w:rsidP="005D2A90">
            <w:pPr>
              <w:rPr>
                <w:lang w:val="fr-FR"/>
              </w:rPr>
            </w:pPr>
          </w:p>
        </w:tc>
      </w:tr>
      <w:tr w:rsidR="00DD583B" w:rsidRPr="002E5C18" w14:paraId="2FC2429F" w14:textId="77777777" w:rsidTr="005D2A90">
        <w:tc>
          <w:tcPr>
            <w:tcW w:w="2590" w:type="dxa"/>
            <w:vMerge/>
            <w:shd w:val="clear" w:color="auto" w:fill="DBE5F1" w:themeFill="accent1" w:themeFillTint="33"/>
            <w:vAlign w:val="center"/>
          </w:tcPr>
          <w:p w14:paraId="657804DB" w14:textId="77777777" w:rsidR="00DD583B" w:rsidRPr="002E5C18" w:rsidRDefault="00DD583B" w:rsidP="005D2A90">
            <w:pPr>
              <w:rPr>
                <w:lang w:val="fr-FR"/>
              </w:rPr>
            </w:pPr>
          </w:p>
        </w:tc>
        <w:tc>
          <w:tcPr>
            <w:tcW w:w="2832" w:type="dxa"/>
            <w:vAlign w:val="center"/>
          </w:tcPr>
          <w:p w14:paraId="485F2039" w14:textId="77777777" w:rsidR="00DD583B" w:rsidRPr="0032075B" w:rsidRDefault="00DD583B" w:rsidP="005D2A90">
            <w:pPr>
              <w:rPr>
                <w:rFonts w:ascii="Times New Roman" w:hAnsi="Times New Roman" w:cs="Times New Roman"/>
                <w:bCs/>
                <w:lang w:val="fr-FR"/>
              </w:rPr>
            </w:pPr>
            <w:r w:rsidRPr="0032075B">
              <w:rPr>
                <w:rFonts w:ascii="Times New Roman" w:hAnsi="Times New Roman" w:cs="Times New Roman"/>
                <w:b/>
                <w:bCs/>
                <w:lang w:val="fr-FR"/>
              </w:rPr>
              <w:t>Indicateur 3.4.</w:t>
            </w:r>
            <w:r>
              <w:rPr>
                <w:rFonts w:ascii="Times New Roman" w:hAnsi="Times New Roman" w:cs="Times New Roman"/>
                <w:b/>
                <w:bCs/>
                <w:lang w:val="fr-FR"/>
              </w:rPr>
              <w:t>2</w:t>
            </w:r>
            <w:r w:rsidRPr="0032075B">
              <w:rPr>
                <w:rFonts w:ascii="Times New Roman" w:hAnsi="Times New Roman" w:cs="Times New Roman"/>
                <w:bCs/>
                <w:lang w:val="fr-FR"/>
              </w:rPr>
              <w:t xml:space="preserve"> Nombre d’enquêtes et études clés menées avec un rapport final publié sur les thématiques </w:t>
            </w:r>
            <w:r w:rsidRPr="0032075B">
              <w:rPr>
                <w:rFonts w:ascii="Times New Roman" w:hAnsi="Times New Roman" w:cs="Times New Roman"/>
                <w:bCs/>
                <w:lang w:val="fr-FR"/>
              </w:rPr>
              <w:lastRenderedPageBreak/>
              <w:t>prioritaires appuyées par cet UNDAF+</w:t>
            </w:r>
          </w:p>
          <w:p w14:paraId="0463FC4F" w14:textId="77777777" w:rsidR="00DD583B" w:rsidRPr="0032075B" w:rsidRDefault="00DD583B" w:rsidP="005D2A90">
            <w:pPr>
              <w:rPr>
                <w:rFonts w:ascii="Times New Roman" w:hAnsi="Times New Roman" w:cs="Times New Roman"/>
                <w:bCs/>
                <w:lang w:val="fr-FR"/>
              </w:rPr>
            </w:pPr>
          </w:p>
          <w:p w14:paraId="0AD30EC3" w14:textId="77777777" w:rsidR="00DD583B" w:rsidRPr="0032075B" w:rsidRDefault="00DD583B" w:rsidP="005D2A90">
            <w:pPr>
              <w:rPr>
                <w:rFonts w:ascii="Times New Roman" w:hAnsi="Times New Roman" w:cs="Times New Roman"/>
                <w:bCs/>
                <w:lang w:val="fr-FR"/>
              </w:rPr>
            </w:pPr>
            <w:r w:rsidRPr="0032075B">
              <w:rPr>
                <w:rFonts w:ascii="Times New Roman" w:hAnsi="Times New Roman" w:cs="Times New Roman"/>
                <w:bCs/>
                <w:lang w:val="fr-FR"/>
              </w:rPr>
              <w:t xml:space="preserve">Base : 0 </w:t>
            </w:r>
          </w:p>
          <w:p w14:paraId="5DE9FAD2" w14:textId="77777777" w:rsidR="00DD583B" w:rsidRPr="0032075B" w:rsidRDefault="00DD583B" w:rsidP="005D2A90">
            <w:pPr>
              <w:rPr>
                <w:rFonts w:ascii="Times New Roman" w:hAnsi="Times New Roman" w:cs="Times New Roman"/>
                <w:bCs/>
                <w:color w:val="FF0000"/>
                <w:lang w:val="fr-FR"/>
              </w:rPr>
            </w:pPr>
            <w:r w:rsidRPr="0032075B">
              <w:rPr>
                <w:rFonts w:ascii="Times New Roman" w:hAnsi="Times New Roman" w:cs="Times New Roman"/>
                <w:bCs/>
                <w:color w:val="FF0000"/>
                <w:lang w:val="fr-FR"/>
              </w:rPr>
              <w:t>Situation en fin 2017: 8   (étude RMC, Enquête IPC, MODA, MICS 2015, Inventaire National des Points d’eau modernes, SMART 2015, SMART 2016 et SMART-EMOP 2017)</w:t>
            </w:r>
          </w:p>
          <w:p w14:paraId="74483C07" w14:textId="77777777" w:rsidR="00DD583B" w:rsidRPr="002E5C18" w:rsidRDefault="00DD583B" w:rsidP="005D2A90">
            <w:pPr>
              <w:rPr>
                <w:lang w:val="fr-FR"/>
              </w:rPr>
            </w:pPr>
            <w:r w:rsidRPr="0032075B">
              <w:rPr>
                <w:rFonts w:ascii="Times New Roman" w:hAnsi="Times New Roman" w:cs="Times New Roman"/>
                <w:bCs/>
                <w:lang w:val="fr-FR"/>
              </w:rPr>
              <w:t xml:space="preserve">Cible : 15  </w:t>
            </w:r>
          </w:p>
        </w:tc>
        <w:tc>
          <w:tcPr>
            <w:tcW w:w="3874" w:type="dxa"/>
            <w:vAlign w:val="center"/>
          </w:tcPr>
          <w:p w14:paraId="1233CE69"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lastRenderedPageBreak/>
              <w:t>Mode de calcul : Dénombrement des  enquêtes et études clés menés avec un rapport final publié sur les thématiques prioritaires appuyées par cet UNDAF+</w:t>
            </w:r>
          </w:p>
          <w:p w14:paraId="68823AFA"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lastRenderedPageBreak/>
              <w:t>Sources de données</w:t>
            </w:r>
            <w:r>
              <w:rPr>
                <w:rFonts w:ascii="Times New Roman" w:hAnsi="Times New Roman" w:cs="Times New Roman"/>
              </w:rPr>
              <w:t>/Moyens de vérification</w:t>
            </w:r>
            <w:r w:rsidRPr="00C85CEE">
              <w:rPr>
                <w:rFonts w:ascii="Times New Roman" w:hAnsi="Times New Roman" w:cs="Times New Roman"/>
              </w:rPr>
              <w:t> : Appareil statistique national</w:t>
            </w:r>
          </w:p>
          <w:p w14:paraId="671D88CC"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Périodicité : Annuelle</w:t>
            </w:r>
          </w:p>
          <w:p w14:paraId="7315DD3D" w14:textId="77777777" w:rsidR="00DD583B" w:rsidRPr="002E5C18" w:rsidRDefault="00DD583B" w:rsidP="005D2A90">
            <w:pPr>
              <w:pStyle w:val="Paragraphedeliste"/>
              <w:numPr>
                <w:ilvl w:val="0"/>
                <w:numId w:val="16"/>
              </w:numPr>
              <w:ind w:left="357" w:hanging="357"/>
              <w:rPr>
                <w:lang w:val="fr-FR"/>
              </w:rPr>
            </w:pPr>
            <w:r w:rsidRPr="00C85CEE">
              <w:rPr>
                <w:rFonts w:ascii="Times New Roman" w:hAnsi="Times New Roman" w:cs="Times New Roman"/>
              </w:rPr>
              <w:t>Maître d’œuvre : Groupe de Résultat</w:t>
            </w:r>
          </w:p>
        </w:tc>
        <w:tc>
          <w:tcPr>
            <w:tcW w:w="2648" w:type="dxa"/>
            <w:vMerge/>
          </w:tcPr>
          <w:p w14:paraId="28D552EA" w14:textId="77777777" w:rsidR="00DD583B" w:rsidRPr="002E5C18" w:rsidRDefault="00DD583B" w:rsidP="005D2A90">
            <w:pPr>
              <w:rPr>
                <w:lang w:val="fr-FR"/>
              </w:rPr>
            </w:pPr>
          </w:p>
        </w:tc>
        <w:tc>
          <w:tcPr>
            <w:tcW w:w="1974" w:type="dxa"/>
            <w:vMerge/>
          </w:tcPr>
          <w:p w14:paraId="1ADAA843" w14:textId="77777777" w:rsidR="00DD583B" w:rsidRPr="002E5C18" w:rsidRDefault="00DD583B" w:rsidP="005D2A90">
            <w:pPr>
              <w:rPr>
                <w:lang w:val="fr-FR"/>
              </w:rPr>
            </w:pPr>
          </w:p>
        </w:tc>
        <w:tc>
          <w:tcPr>
            <w:tcW w:w="1250" w:type="dxa"/>
            <w:vMerge/>
          </w:tcPr>
          <w:p w14:paraId="5175D03B" w14:textId="77777777" w:rsidR="00DD583B" w:rsidRPr="002E5C18" w:rsidRDefault="00DD583B" w:rsidP="005D2A90">
            <w:pPr>
              <w:rPr>
                <w:lang w:val="fr-FR"/>
              </w:rPr>
            </w:pPr>
          </w:p>
        </w:tc>
      </w:tr>
      <w:tr w:rsidR="00DD583B" w:rsidRPr="002E5C18" w14:paraId="27D0B316" w14:textId="77777777" w:rsidTr="005D2A90">
        <w:tc>
          <w:tcPr>
            <w:tcW w:w="2590" w:type="dxa"/>
            <w:vMerge w:val="restart"/>
            <w:shd w:val="clear" w:color="auto" w:fill="DBE5F1" w:themeFill="accent1" w:themeFillTint="33"/>
            <w:vAlign w:val="center"/>
          </w:tcPr>
          <w:p w14:paraId="4A82A9C6" w14:textId="77777777" w:rsidR="00DD583B" w:rsidRPr="002E5C18" w:rsidRDefault="00DD583B" w:rsidP="005D2A90">
            <w:pPr>
              <w:rPr>
                <w:lang w:val="fr-FR"/>
              </w:rPr>
            </w:pPr>
            <w:r w:rsidRPr="00C85CEE">
              <w:rPr>
                <w:rFonts w:ascii="Times New Roman" w:hAnsi="Times New Roman" w:cs="Times New Roman"/>
                <w:bCs/>
              </w:rPr>
              <w:t>Produit 3.5 : Les capacités des organisations de la société civile et des médias sont renforcées en vue d’améliorer le contrôle citoyen, la redevabilité des institutions et la participation des femmes et des jeunes dans la vie publique.</w:t>
            </w:r>
          </w:p>
        </w:tc>
        <w:tc>
          <w:tcPr>
            <w:tcW w:w="2832" w:type="dxa"/>
            <w:vAlign w:val="center"/>
          </w:tcPr>
          <w:p w14:paraId="11B7ECDF" w14:textId="77777777" w:rsidR="00DD583B" w:rsidRDefault="00DD583B" w:rsidP="005D2A90">
            <w:pPr>
              <w:rPr>
                <w:rFonts w:ascii="Times New Roman" w:hAnsi="Times New Roman" w:cs="Times New Roman"/>
              </w:rPr>
            </w:pPr>
            <w:r w:rsidRPr="00C85CEE">
              <w:rPr>
                <w:rFonts w:ascii="Times New Roman" w:hAnsi="Times New Roman" w:cs="Times New Roman"/>
                <w:bCs/>
              </w:rPr>
              <w:t>Indicateur 3.5.1</w:t>
            </w:r>
            <w:r w:rsidRPr="00C85CEE">
              <w:rPr>
                <w:rFonts w:ascii="Times New Roman" w:hAnsi="Times New Roman" w:cs="Times New Roman"/>
              </w:rPr>
              <w:t xml:space="preserve"> Nombre de structures faitières et plateformes de la société civile ayant bénéficié, du programme, de renforcement des capacités sur les techniques de contrôle citoyen.</w:t>
            </w:r>
          </w:p>
          <w:p w14:paraId="5806D59E" w14:textId="77777777" w:rsidR="00DD583B" w:rsidRDefault="00DD583B" w:rsidP="005D2A90">
            <w:pPr>
              <w:rPr>
                <w:rFonts w:ascii="Times New Roman" w:hAnsi="Times New Roman" w:cs="Times New Roman"/>
              </w:rPr>
            </w:pPr>
          </w:p>
          <w:p w14:paraId="193DE77E" w14:textId="77777777" w:rsidR="00DD583B" w:rsidRDefault="00DD583B" w:rsidP="005D2A90">
            <w:pPr>
              <w:rPr>
                <w:rFonts w:ascii="Times New Roman" w:hAnsi="Times New Roman" w:cs="Times New Roman"/>
                <w:lang w:val="fr-FR"/>
              </w:rPr>
            </w:pPr>
            <w:r w:rsidRPr="002E5C18">
              <w:rPr>
                <w:rFonts w:ascii="Times New Roman" w:hAnsi="Times New Roman" w:cs="Times New Roman"/>
                <w:lang w:val="fr-FR"/>
              </w:rPr>
              <w:t>Base</w:t>
            </w:r>
            <w:r>
              <w:rPr>
                <w:rFonts w:ascii="Times New Roman" w:hAnsi="Times New Roman" w:cs="Times New Roman"/>
                <w:lang w:val="fr-FR"/>
              </w:rPr>
              <w:t> : 20</w:t>
            </w:r>
          </w:p>
          <w:p w14:paraId="76E67F1F"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65 (donnees de 2016)</w:t>
            </w:r>
          </w:p>
          <w:p w14:paraId="03A7CADE" w14:textId="77777777" w:rsidR="00DD583B" w:rsidRDefault="00DD583B" w:rsidP="005D2A90">
            <w:pPr>
              <w:rPr>
                <w:rFonts w:ascii="Times New Roman" w:hAnsi="Times New Roman" w:cs="Times New Roman"/>
                <w:lang w:val="fr-FR"/>
              </w:rPr>
            </w:pPr>
          </w:p>
          <w:p w14:paraId="571E4AD6" w14:textId="77777777" w:rsidR="00DD583B" w:rsidRPr="002E5C18" w:rsidRDefault="00DD583B" w:rsidP="005D2A90">
            <w:pPr>
              <w:rPr>
                <w:lang w:val="fr-FR"/>
              </w:rPr>
            </w:pPr>
            <w:r>
              <w:rPr>
                <w:rFonts w:ascii="Times New Roman" w:hAnsi="Times New Roman" w:cs="Times New Roman"/>
                <w:lang w:val="fr-FR"/>
              </w:rPr>
              <w:t>Cible : 62</w:t>
            </w:r>
          </w:p>
        </w:tc>
        <w:tc>
          <w:tcPr>
            <w:tcW w:w="3874" w:type="dxa"/>
            <w:vAlign w:val="center"/>
          </w:tcPr>
          <w:p w14:paraId="4029E9AE"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Mode de calcul : Dénombrement  structures faitières et plateformes de la société civile ayant bénéficié, du programme, de renforcement des capacités sur les techniques de contrôle citoyen.</w:t>
            </w:r>
          </w:p>
          <w:p w14:paraId="22F68E4E"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Sources de données</w:t>
            </w:r>
            <w:r>
              <w:rPr>
                <w:rFonts w:ascii="Times New Roman" w:hAnsi="Times New Roman" w:cs="Times New Roman"/>
              </w:rPr>
              <w:t>/Moyens de vérification</w:t>
            </w:r>
            <w:r w:rsidRPr="00C85CEE">
              <w:rPr>
                <w:rFonts w:ascii="Times New Roman" w:hAnsi="Times New Roman" w:cs="Times New Roman"/>
              </w:rPr>
              <w:t> : Structures faîtières de la société civile locale</w:t>
            </w:r>
          </w:p>
          <w:p w14:paraId="67BE14DC"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Périodicité : Annuelle</w:t>
            </w:r>
          </w:p>
          <w:p w14:paraId="0233238D" w14:textId="77777777" w:rsidR="00DD583B" w:rsidRPr="002E5C18" w:rsidRDefault="00DD583B" w:rsidP="005D2A90">
            <w:pPr>
              <w:pStyle w:val="Paragraphedeliste"/>
              <w:numPr>
                <w:ilvl w:val="0"/>
                <w:numId w:val="16"/>
              </w:numPr>
              <w:ind w:left="357" w:hanging="357"/>
              <w:rPr>
                <w:lang w:val="fr-FR"/>
              </w:rPr>
            </w:pPr>
            <w:r w:rsidRPr="00C85CEE">
              <w:rPr>
                <w:rFonts w:ascii="Times New Roman" w:hAnsi="Times New Roman" w:cs="Times New Roman"/>
              </w:rPr>
              <w:t>Maître d’œuvre : Groupe de Résultat</w:t>
            </w:r>
          </w:p>
        </w:tc>
        <w:tc>
          <w:tcPr>
            <w:tcW w:w="2648" w:type="dxa"/>
            <w:vMerge w:val="restart"/>
          </w:tcPr>
          <w:p w14:paraId="7EE793B6" w14:textId="77777777" w:rsidR="00DD583B" w:rsidRPr="004D4BFB" w:rsidRDefault="00DD583B" w:rsidP="005D2A90">
            <w:pPr>
              <w:rPr>
                <w:lang w:val="fr-FR"/>
              </w:rPr>
            </w:pPr>
          </w:p>
          <w:p w14:paraId="151AB5DE" w14:textId="77777777" w:rsidR="00DD583B" w:rsidRPr="004D4BFB" w:rsidRDefault="00DD583B" w:rsidP="005D2A90">
            <w:pPr>
              <w:rPr>
                <w:lang w:val="fr-FR"/>
              </w:rPr>
            </w:pPr>
          </w:p>
          <w:p w14:paraId="3CBFBCB9" w14:textId="77777777" w:rsidR="00DD583B" w:rsidRPr="004D4BFB" w:rsidRDefault="00DD583B" w:rsidP="005D2A90">
            <w:pPr>
              <w:rPr>
                <w:lang w:val="fr-FR"/>
              </w:rPr>
            </w:pPr>
          </w:p>
          <w:p w14:paraId="22B7CC17" w14:textId="77777777" w:rsidR="00DD583B" w:rsidRPr="004D4BFB" w:rsidRDefault="00DD583B" w:rsidP="005D2A90">
            <w:pPr>
              <w:rPr>
                <w:lang w:val="fr-FR"/>
              </w:rPr>
            </w:pPr>
          </w:p>
          <w:p w14:paraId="001D61C1" w14:textId="77777777" w:rsidR="00DD583B" w:rsidRPr="004D4BFB" w:rsidRDefault="00DD583B" w:rsidP="005D2A90">
            <w:pPr>
              <w:rPr>
                <w:lang w:val="fr-FR"/>
              </w:rPr>
            </w:pPr>
          </w:p>
          <w:p w14:paraId="023BE2F6" w14:textId="77777777" w:rsidR="00DD583B" w:rsidRPr="004D4BFB" w:rsidRDefault="00DD583B" w:rsidP="005D2A90">
            <w:pPr>
              <w:rPr>
                <w:lang w:val="fr-FR"/>
              </w:rPr>
            </w:pPr>
          </w:p>
          <w:p w14:paraId="4E7EB389" w14:textId="77777777" w:rsidR="00DD583B" w:rsidRPr="004D4BFB" w:rsidRDefault="00DD583B" w:rsidP="005D2A90">
            <w:pPr>
              <w:rPr>
                <w:lang w:val="fr-FR"/>
              </w:rPr>
            </w:pPr>
          </w:p>
          <w:p w14:paraId="6DBA7183" w14:textId="77777777" w:rsidR="00DD583B" w:rsidRPr="004D4BFB" w:rsidRDefault="00DD583B" w:rsidP="005D2A90">
            <w:pPr>
              <w:rPr>
                <w:lang w:val="fr-FR"/>
              </w:rPr>
            </w:pPr>
          </w:p>
          <w:p w14:paraId="24A197F1" w14:textId="77777777" w:rsidR="00DD583B" w:rsidRPr="004D4BFB" w:rsidRDefault="00DD583B" w:rsidP="005D2A90">
            <w:pPr>
              <w:rPr>
                <w:lang w:val="fr-FR"/>
              </w:rPr>
            </w:pPr>
            <w:r w:rsidRPr="004D4BFB">
              <w:rPr>
                <w:lang w:val="fr-FR"/>
              </w:rPr>
              <w:t>Risque que les adminsitraitons publiques ne jouent pas le jeu en laissant les ONG accéder aux informations clés sur le service public</w:t>
            </w:r>
          </w:p>
          <w:p w14:paraId="664EBB03" w14:textId="77777777" w:rsidR="00DD583B" w:rsidRPr="004D4BFB" w:rsidRDefault="00DD583B" w:rsidP="005D2A90">
            <w:pPr>
              <w:rPr>
                <w:lang w:val="fr-FR"/>
              </w:rPr>
            </w:pPr>
          </w:p>
          <w:p w14:paraId="75694059" w14:textId="77777777" w:rsidR="00DD583B" w:rsidRPr="004D4BFB" w:rsidRDefault="00DD583B" w:rsidP="005D2A90">
            <w:pPr>
              <w:rPr>
                <w:lang w:val="fr-FR"/>
              </w:rPr>
            </w:pPr>
            <w:r w:rsidRPr="004D4BFB">
              <w:rPr>
                <w:lang w:val="fr-FR"/>
              </w:rPr>
              <w:t>Mitigation : focaliser sur les outils de contrôle citoyen alternatif en environnement non collaboratif</w:t>
            </w:r>
          </w:p>
        </w:tc>
        <w:tc>
          <w:tcPr>
            <w:tcW w:w="1974" w:type="dxa"/>
            <w:vMerge w:val="restart"/>
          </w:tcPr>
          <w:p w14:paraId="61D68380" w14:textId="77777777" w:rsidR="00DD583B" w:rsidRPr="002E5C18" w:rsidRDefault="00DD583B" w:rsidP="005D2A90">
            <w:pPr>
              <w:rPr>
                <w:lang w:val="fr-FR"/>
              </w:rPr>
            </w:pPr>
          </w:p>
        </w:tc>
        <w:tc>
          <w:tcPr>
            <w:tcW w:w="1250" w:type="dxa"/>
            <w:vMerge w:val="restart"/>
          </w:tcPr>
          <w:p w14:paraId="7D7FB85D" w14:textId="77777777" w:rsidR="00DD583B" w:rsidRPr="002E5C18" w:rsidRDefault="00DD583B" w:rsidP="005D2A90">
            <w:pPr>
              <w:rPr>
                <w:lang w:val="fr-FR"/>
              </w:rPr>
            </w:pPr>
          </w:p>
        </w:tc>
      </w:tr>
      <w:tr w:rsidR="00DD583B" w:rsidRPr="002E5C18" w14:paraId="27CA174B" w14:textId="77777777" w:rsidTr="005D2A90">
        <w:tc>
          <w:tcPr>
            <w:tcW w:w="2590" w:type="dxa"/>
            <w:vMerge/>
            <w:shd w:val="clear" w:color="auto" w:fill="DBE5F1" w:themeFill="accent1" w:themeFillTint="33"/>
            <w:vAlign w:val="center"/>
          </w:tcPr>
          <w:p w14:paraId="0C730AAB" w14:textId="77777777" w:rsidR="00DD583B" w:rsidRPr="002E5C18" w:rsidRDefault="00DD583B" w:rsidP="005D2A90">
            <w:pPr>
              <w:rPr>
                <w:lang w:val="fr-FR"/>
              </w:rPr>
            </w:pPr>
          </w:p>
        </w:tc>
        <w:tc>
          <w:tcPr>
            <w:tcW w:w="2832" w:type="dxa"/>
            <w:vAlign w:val="center"/>
          </w:tcPr>
          <w:p w14:paraId="346CF406" w14:textId="77777777" w:rsidR="00DD583B" w:rsidRDefault="00DD583B" w:rsidP="005D2A90">
            <w:pPr>
              <w:rPr>
                <w:rFonts w:ascii="Times New Roman" w:hAnsi="Times New Roman" w:cs="Times New Roman"/>
              </w:rPr>
            </w:pPr>
            <w:r w:rsidRPr="00C85CEE">
              <w:rPr>
                <w:rFonts w:ascii="Times New Roman" w:hAnsi="Times New Roman" w:cs="Times New Roman"/>
                <w:bCs/>
              </w:rPr>
              <w:t>Indicateur 3.5.2</w:t>
            </w:r>
            <w:r w:rsidRPr="00C85CEE">
              <w:rPr>
                <w:rFonts w:ascii="Times New Roman" w:hAnsi="Times New Roman" w:cs="Times New Roman"/>
              </w:rPr>
              <w:t xml:space="preserve"> Nombre d’initiatives entreprises par des structures faitières et plateformes, appuyées par le programme, pour influencer les systèmes de gouvernance et les politiques publiques  prenant en compte l’équité et l’égalité du genre</w:t>
            </w:r>
          </w:p>
          <w:p w14:paraId="52DA62F8" w14:textId="77777777" w:rsidR="00DD583B" w:rsidRDefault="00DD583B" w:rsidP="005D2A90">
            <w:pPr>
              <w:rPr>
                <w:rFonts w:ascii="Times New Roman" w:hAnsi="Times New Roman" w:cs="Times New Roman"/>
              </w:rPr>
            </w:pPr>
          </w:p>
          <w:p w14:paraId="1F13A74D" w14:textId="77777777" w:rsidR="00DD583B" w:rsidRDefault="00DD583B" w:rsidP="005D2A90">
            <w:pPr>
              <w:rPr>
                <w:rFonts w:ascii="Times New Roman" w:hAnsi="Times New Roman" w:cs="Times New Roman"/>
                <w:lang w:val="fr-FR"/>
              </w:rPr>
            </w:pPr>
            <w:r w:rsidRPr="002E5C18">
              <w:rPr>
                <w:rFonts w:ascii="Times New Roman" w:hAnsi="Times New Roman" w:cs="Times New Roman"/>
                <w:lang w:val="fr-FR"/>
              </w:rPr>
              <w:t>Base</w:t>
            </w:r>
            <w:r>
              <w:rPr>
                <w:rFonts w:ascii="Times New Roman" w:hAnsi="Times New Roman" w:cs="Times New Roman"/>
                <w:lang w:val="fr-FR"/>
              </w:rPr>
              <w:t> : 0</w:t>
            </w:r>
          </w:p>
          <w:p w14:paraId="5005FB54"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83 (donnees de 2016)</w:t>
            </w:r>
          </w:p>
          <w:p w14:paraId="1087B4DD" w14:textId="77777777" w:rsidR="00DD583B" w:rsidRDefault="00DD583B" w:rsidP="005D2A90">
            <w:pPr>
              <w:rPr>
                <w:rFonts w:ascii="Times New Roman" w:hAnsi="Times New Roman" w:cs="Times New Roman"/>
                <w:lang w:val="fr-FR"/>
              </w:rPr>
            </w:pPr>
          </w:p>
          <w:p w14:paraId="4132329D" w14:textId="77777777" w:rsidR="00DD583B" w:rsidRPr="002E5C18" w:rsidRDefault="00DD583B" w:rsidP="005D2A90">
            <w:pPr>
              <w:rPr>
                <w:lang w:val="fr-FR"/>
              </w:rPr>
            </w:pPr>
            <w:r>
              <w:rPr>
                <w:rFonts w:ascii="Times New Roman" w:hAnsi="Times New Roman" w:cs="Times New Roman"/>
                <w:lang w:val="fr-FR"/>
              </w:rPr>
              <w:t xml:space="preserve">Cible : </w:t>
            </w:r>
            <w:r w:rsidRPr="00C85CEE">
              <w:rPr>
                <w:rFonts w:ascii="Times New Roman" w:hAnsi="Times New Roman" w:cs="Times New Roman"/>
              </w:rPr>
              <w:t>5 (soit 1/an)</w:t>
            </w:r>
          </w:p>
        </w:tc>
        <w:tc>
          <w:tcPr>
            <w:tcW w:w="3874" w:type="dxa"/>
            <w:vAlign w:val="center"/>
          </w:tcPr>
          <w:p w14:paraId="3DCC90F2"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Mode de calcul : Dénombrement des initiatives entreprises par des structures faitières et plateformes, appuyées par le programme, pour influencer les systèmes de gouvernance et les politiques publiques  prenant en compte l’équité et l’égalité du genre</w:t>
            </w:r>
          </w:p>
          <w:p w14:paraId="6BE15A92"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Sources de données</w:t>
            </w:r>
            <w:r>
              <w:rPr>
                <w:rFonts w:ascii="Times New Roman" w:hAnsi="Times New Roman" w:cs="Times New Roman"/>
              </w:rPr>
              <w:t>/Moyens de vérification</w:t>
            </w:r>
            <w:r w:rsidRPr="00C85CEE">
              <w:rPr>
                <w:rFonts w:ascii="Times New Roman" w:hAnsi="Times New Roman" w:cs="Times New Roman"/>
              </w:rPr>
              <w:t> :  Organisations faîtières de la société civile locale</w:t>
            </w:r>
          </w:p>
          <w:p w14:paraId="3F5C77E5"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Périodicité : Annuelle</w:t>
            </w:r>
          </w:p>
          <w:p w14:paraId="5970528C" w14:textId="77777777" w:rsidR="00DD583B" w:rsidRPr="002E5C18" w:rsidRDefault="00DD583B" w:rsidP="005D2A90">
            <w:pPr>
              <w:pStyle w:val="Paragraphedeliste"/>
              <w:numPr>
                <w:ilvl w:val="0"/>
                <w:numId w:val="16"/>
              </w:numPr>
              <w:ind w:left="357" w:hanging="357"/>
              <w:rPr>
                <w:lang w:val="fr-FR"/>
              </w:rPr>
            </w:pPr>
            <w:r w:rsidRPr="00C85CEE">
              <w:rPr>
                <w:rFonts w:ascii="Times New Roman" w:hAnsi="Times New Roman" w:cs="Times New Roman"/>
              </w:rPr>
              <w:t>Maître d’œuvre : Groupe de Résultat</w:t>
            </w:r>
          </w:p>
        </w:tc>
        <w:tc>
          <w:tcPr>
            <w:tcW w:w="2648" w:type="dxa"/>
            <w:vMerge/>
          </w:tcPr>
          <w:p w14:paraId="451BB434" w14:textId="77777777" w:rsidR="00DD583B" w:rsidRPr="002E5C18" w:rsidRDefault="00DD583B" w:rsidP="005D2A90">
            <w:pPr>
              <w:rPr>
                <w:lang w:val="fr-FR"/>
              </w:rPr>
            </w:pPr>
          </w:p>
        </w:tc>
        <w:tc>
          <w:tcPr>
            <w:tcW w:w="1974" w:type="dxa"/>
            <w:vMerge/>
          </w:tcPr>
          <w:p w14:paraId="52DD0595" w14:textId="77777777" w:rsidR="00DD583B" w:rsidRPr="002E5C18" w:rsidRDefault="00DD583B" w:rsidP="005D2A90">
            <w:pPr>
              <w:rPr>
                <w:lang w:val="fr-FR"/>
              </w:rPr>
            </w:pPr>
          </w:p>
        </w:tc>
        <w:tc>
          <w:tcPr>
            <w:tcW w:w="1250" w:type="dxa"/>
            <w:vMerge/>
          </w:tcPr>
          <w:p w14:paraId="042C050B" w14:textId="77777777" w:rsidR="00DD583B" w:rsidRPr="002E5C18" w:rsidRDefault="00DD583B" w:rsidP="005D2A90">
            <w:pPr>
              <w:rPr>
                <w:lang w:val="fr-FR"/>
              </w:rPr>
            </w:pPr>
          </w:p>
        </w:tc>
      </w:tr>
      <w:tr w:rsidR="00DD583B" w:rsidRPr="002E5C18" w14:paraId="12404FB5" w14:textId="77777777" w:rsidTr="005D2A90">
        <w:tc>
          <w:tcPr>
            <w:tcW w:w="2590" w:type="dxa"/>
            <w:vMerge/>
            <w:shd w:val="clear" w:color="auto" w:fill="DBE5F1" w:themeFill="accent1" w:themeFillTint="33"/>
            <w:vAlign w:val="center"/>
          </w:tcPr>
          <w:p w14:paraId="0EEC56BD" w14:textId="77777777" w:rsidR="00DD583B" w:rsidRPr="002E5C18" w:rsidRDefault="00DD583B" w:rsidP="005D2A90">
            <w:pPr>
              <w:rPr>
                <w:lang w:val="fr-FR"/>
              </w:rPr>
            </w:pPr>
          </w:p>
        </w:tc>
        <w:tc>
          <w:tcPr>
            <w:tcW w:w="2832" w:type="dxa"/>
            <w:vAlign w:val="center"/>
          </w:tcPr>
          <w:p w14:paraId="1BC856DF" w14:textId="77777777" w:rsidR="00DD583B" w:rsidRDefault="00DD583B" w:rsidP="005D2A90">
            <w:pPr>
              <w:rPr>
                <w:rFonts w:ascii="Times New Roman" w:hAnsi="Times New Roman" w:cs="Times New Roman"/>
              </w:rPr>
            </w:pPr>
            <w:r w:rsidRPr="00C85CEE">
              <w:rPr>
                <w:rFonts w:ascii="Times New Roman" w:hAnsi="Times New Roman" w:cs="Times New Roman"/>
                <w:bCs/>
              </w:rPr>
              <w:t>Indicateur 3.5.3</w:t>
            </w:r>
            <w:r w:rsidRPr="00C85CEE">
              <w:rPr>
                <w:rFonts w:ascii="Times New Roman" w:hAnsi="Times New Roman" w:cs="Times New Roman"/>
              </w:rPr>
              <w:t xml:space="preserve"> Nombre </w:t>
            </w:r>
            <w:r>
              <w:rPr>
                <w:rFonts w:ascii="Times New Roman" w:hAnsi="Times New Roman" w:cs="Times New Roman"/>
              </w:rPr>
              <w:t xml:space="preserve">de </w:t>
            </w:r>
            <w:r w:rsidRPr="00C85CEE">
              <w:rPr>
                <w:rFonts w:ascii="Times New Roman" w:hAnsi="Times New Roman" w:cs="Times New Roman"/>
              </w:rPr>
              <w:t xml:space="preserve">publications en rapport avec le </w:t>
            </w:r>
            <w:r w:rsidRPr="00C85CEE">
              <w:rPr>
                <w:rFonts w:ascii="Times New Roman" w:hAnsi="Times New Roman" w:cs="Times New Roman"/>
              </w:rPr>
              <w:lastRenderedPageBreak/>
              <w:t>contrôle citoyen, par des acteurs</w:t>
            </w:r>
            <w:r>
              <w:rPr>
                <w:rFonts w:ascii="Times New Roman" w:hAnsi="Times New Roman" w:cs="Times New Roman"/>
              </w:rPr>
              <w:t xml:space="preserve"> ayant </w:t>
            </w:r>
            <w:r w:rsidRPr="00C85CEE">
              <w:rPr>
                <w:rFonts w:ascii="Times New Roman" w:hAnsi="Times New Roman" w:cs="Times New Roman"/>
              </w:rPr>
              <w:t xml:space="preserve"> </w:t>
            </w:r>
            <w:r>
              <w:rPr>
                <w:rFonts w:ascii="Times New Roman" w:hAnsi="Times New Roman" w:cs="Times New Roman"/>
              </w:rPr>
              <w:t>recu</w:t>
            </w:r>
            <w:r w:rsidRPr="00C85CEE">
              <w:rPr>
                <w:rFonts w:ascii="Times New Roman" w:hAnsi="Times New Roman" w:cs="Times New Roman"/>
              </w:rPr>
              <w:t xml:space="preserve"> l’assistance du programme dans ce domaine</w:t>
            </w:r>
          </w:p>
          <w:p w14:paraId="6FB9640D" w14:textId="77777777" w:rsidR="00DD583B" w:rsidRDefault="00DD583B" w:rsidP="005D2A90">
            <w:pPr>
              <w:rPr>
                <w:rFonts w:ascii="Times New Roman" w:hAnsi="Times New Roman" w:cs="Times New Roman"/>
              </w:rPr>
            </w:pPr>
          </w:p>
          <w:p w14:paraId="36404C05" w14:textId="77777777" w:rsidR="00DD583B" w:rsidRDefault="00DD583B" w:rsidP="005D2A90">
            <w:pPr>
              <w:rPr>
                <w:rFonts w:ascii="Times New Roman" w:hAnsi="Times New Roman" w:cs="Times New Roman"/>
                <w:lang w:val="fr-FR"/>
              </w:rPr>
            </w:pPr>
            <w:r w:rsidRPr="002E5C18">
              <w:rPr>
                <w:rFonts w:ascii="Times New Roman" w:hAnsi="Times New Roman" w:cs="Times New Roman"/>
                <w:lang w:val="fr-FR"/>
              </w:rPr>
              <w:t>Base</w:t>
            </w:r>
            <w:r>
              <w:rPr>
                <w:rFonts w:ascii="Times New Roman" w:hAnsi="Times New Roman" w:cs="Times New Roman"/>
                <w:lang w:val="fr-FR"/>
              </w:rPr>
              <w:t> : 0</w:t>
            </w:r>
          </w:p>
          <w:p w14:paraId="5BB13B0D"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14 (donnees de 2016)</w:t>
            </w:r>
          </w:p>
          <w:p w14:paraId="39333664" w14:textId="77777777" w:rsidR="00DD583B" w:rsidRDefault="00DD583B" w:rsidP="005D2A90">
            <w:pPr>
              <w:rPr>
                <w:rFonts w:ascii="Times New Roman" w:hAnsi="Times New Roman" w:cs="Times New Roman"/>
                <w:lang w:val="fr-FR"/>
              </w:rPr>
            </w:pPr>
          </w:p>
          <w:p w14:paraId="7CBA7DE8" w14:textId="77777777" w:rsidR="00DD583B" w:rsidRPr="002E5C18" w:rsidRDefault="00DD583B" w:rsidP="005D2A90">
            <w:pPr>
              <w:rPr>
                <w:lang w:val="fr-FR"/>
              </w:rPr>
            </w:pPr>
            <w:r>
              <w:rPr>
                <w:rFonts w:ascii="Times New Roman" w:hAnsi="Times New Roman" w:cs="Times New Roman"/>
                <w:lang w:val="fr-FR"/>
              </w:rPr>
              <w:t xml:space="preserve">Cible : </w:t>
            </w:r>
            <w:r w:rsidRPr="00C85CEE">
              <w:rPr>
                <w:rFonts w:ascii="Times New Roman" w:hAnsi="Times New Roman" w:cs="Times New Roman"/>
              </w:rPr>
              <w:t>10 (soit 2 rapports/an sur différents sujets en rapport avec la gouvernance)</w:t>
            </w:r>
          </w:p>
        </w:tc>
        <w:tc>
          <w:tcPr>
            <w:tcW w:w="3874" w:type="dxa"/>
            <w:vAlign w:val="center"/>
          </w:tcPr>
          <w:p w14:paraId="197D167C"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lastRenderedPageBreak/>
              <w:t xml:space="preserve">Mode de calcul : Dénombrement des publications en rapport avec le contrôle </w:t>
            </w:r>
            <w:r w:rsidRPr="00C85CEE">
              <w:rPr>
                <w:rFonts w:ascii="Times New Roman" w:hAnsi="Times New Roman" w:cs="Times New Roman"/>
              </w:rPr>
              <w:lastRenderedPageBreak/>
              <w:t>citoyen, par des acteurs en reçu l’assistance du programme dans ce domaine</w:t>
            </w:r>
          </w:p>
          <w:p w14:paraId="6ED4476B"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Sources de données</w:t>
            </w:r>
            <w:r>
              <w:rPr>
                <w:rFonts w:ascii="Times New Roman" w:hAnsi="Times New Roman" w:cs="Times New Roman"/>
              </w:rPr>
              <w:t>/Moyens de vérification</w:t>
            </w:r>
            <w:r w:rsidRPr="00C85CEE">
              <w:rPr>
                <w:rFonts w:ascii="Times New Roman" w:hAnsi="Times New Roman" w:cs="Times New Roman"/>
              </w:rPr>
              <w:t> : Organisations de la société civile locale</w:t>
            </w:r>
          </w:p>
          <w:p w14:paraId="60C4D2CC"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Périodicité : Annuelle</w:t>
            </w:r>
          </w:p>
          <w:p w14:paraId="79D7D0EB" w14:textId="77777777" w:rsidR="00DD583B" w:rsidRPr="002E5C18" w:rsidRDefault="00DD583B" w:rsidP="005D2A90">
            <w:pPr>
              <w:pStyle w:val="Paragraphedeliste"/>
              <w:numPr>
                <w:ilvl w:val="0"/>
                <w:numId w:val="16"/>
              </w:numPr>
              <w:ind w:left="357" w:hanging="357"/>
              <w:rPr>
                <w:lang w:val="fr-FR"/>
              </w:rPr>
            </w:pPr>
            <w:r w:rsidRPr="00C85CEE">
              <w:rPr>
                <w:rFonts w:ascii="Times New Roman" w:hAnsi="Times New Roman" w:cs="Times New Roman"/>
              </w:rPr>
              <w:t>Maître d’œuvre : Groupe de Résultat</w:t>
            </w:r>
          </w:p>
        </w:tc>
        <w:tc>
          <w:tcPr>
            <w:tcW w:w="2648" w:type="dxa"/>
            <w:vMerge/>
          </w:tcPr>
          <w:p w14:paraId="6776CE64" w14:textId="77777777" w:rsidR="00DD583B" w:rsidRPr="002E5C18" w:rsidRDefault="00DD583B" w:rsidP="005D2A90">
            <w:pPr>
              <w:rPr>
                <w:lang w:val="fr-FR"/>
              </w:rPr>
            </w:pPr>
          </w:p>
        </w:tc>
        <w:tc>
          <w:tcPr>
            <w:tcW w:w="1974" w:type="dxa"/>
            <w:vMerge/>
          </w:tcPr>
          <w:p w14:paraId="53D8B874" w14:textId="77777777" w:rsidR="00DD583B" w:rsidRPr="002E5C18" w:rsidRDefault="00DD583B" w:rsidP="005D2A90">
            <w:pPr>
              <w:rPr>
                <w:lang w:val="fr-FR"/>
              </w:rPr>
            </w:pPr>
          </w:p>
        </w:tc>
        <w:tc>
          <w:tcPr>
            <w:tcW w:w="1250" w:type="dxa"/>
            <w:vMerge/>
          </w:tcPr>
          <w:p w14:paraId="3C292A16" w14:textId="77777777" w:rsidR="00DD583B" w:rsidRPr="002E5C18" w:rsidRDefault="00DD583B" w:rsidP="005D2A90">
            <w:pPr>
              <w:rPr>
                <w:lang w:val="fr-FR"/>
              </w:rPr>
            </w:pPr>
          </w:p>
        </w:tc>
      </w:tr>
      <w:tr w:rsidR="00DD583B" w:rsidRPr="002E5C18" w14:paraId="047C8D08" w14:textId="77777777" w:rsidTr="005D2A90">
        <w:tc>
          <w:tcPr>
            <w:tcW w:w="2590" w:type="dxa"/>
            <w:vMerge w:val="restart"/>
            <w:shd w:val="clear" w:color="auto" w:fill="DBE5F1" w:themeFill="accent1" w:themeFillTint="33"/>
            <w:vAlign w:val="center"/>
          </w:tcPr>
          <w:p w14:paraId="483E91B2" w14:textId="77777777" w:rsidR="00DD583B" w:rsidRPr="002E5C18" w:rsidRDefault="00DD583B" w:rsidP="005D2A90">
            <w:pPr>
              <w:rPr>
                <w:lang w:val="fr-FR"/>
              </w:rPr>
            </w:pPr>
            <w:r w:rsidRPr="00C85CEE">
              <w:rPr>
                <w:rFonts w:ascii="Times New Roman" w:hAnsi="Times New Roman" w:cs="Times New Roman"/>
                <w:bCs/>
              </w:rPr>
              <w:t>Produit 3.6 : Le fonctionnement des Institutions judiciaires et pénitentiaires et des organes de lutte contre l’impunité est amélioré sur toute l’étendue du territoire national dans un cadre juridique réformé conforme aux principes de l’Etat de droit</w:t>
            </w:r>
          </w:p>
        </w:tc>
        <w:tc>
          <w:tcPr>
            <w:tcW w:w="2832" w:type="dxa"/>
            <w:vAlign w:val="center"/>
          </w:tcPr>
          <w:p w14:paraId="23682352" w14:textId="77777777" w:rsidR="00DD583B" w:rsidRDefault="00DD583B" w:rsidP="005D2A90">
            <w:pPr>
              <w:rPr>
                <w:rFonts w:ascii="Times New Roman" w:hAnsi="Times New Roman" w:cs="Times New Roman"/>
              </w:rPr>
            </w:pPr>
            <w:r w:rsidRPr="00C85CEE">
              <w:rPr>
                <w:rFonts w:ascii="Times New Roman" w:hAnsi="Times New Roman" w:cs="Times New Roman"/>
                <w:bCs/>
              </w:rPr>
              <w:t>Indicateurs 3.6.1</w:t>
            </w:r>
            <w:r w:rsidRPr="00C85CEE">
              <w:rPr>
                <w:rFonts w:ascii="Times New Roman" w:hAnsi="Times New Roman" w:cs="Times New Roman"/>
              </w:rPr>
              <w:t xml:space="preserve"> Nombre de Cours et tribunaux des régions affectées par la crise ayant repris toutes leurs activités  (Gao, Tombouctou, Kidal et 3 cercles de Mopti), suite à l’assistance du programme</w:t>
            </w:r>
          </w:p>
          <w:p w14:paraId="6D1FC978" w14:textId="77777777" w:rsidR="00DD583B" w:rsidRDefault="00DD583B" w:rsidP="005D2A90">
            <w:pPr>
              <w:rPr>
                <w:rFonts w:ascii="Times New Roman" w:hAnsi="Times New Roman" w:cs="Times New Roman"/>
              </w:rPr>
            </w:pPr>
          </w:p>
          <w:p w14:paraId="7780E1C6" w14:textId="77777777" w:rsidR="00DD583B" w:rsidRDefault="00DD583B" w:rsidP="005D2A90">
            <w:pPr>
              <w:rPr>
                <w:rFonts w:ascii="Times New Roman" w:hAnsi="Times New Roman" w:cs="Times New Roman"/>
                <w:lang w:val="fr-FR"/>
              </w:rPr>
            </w:pPr>
            <w:r w:rsidRPr="002E5C18">
              <w:rPr>
                <w:rFonts w:ascii="Times New Roman" w:hAnsi="Times New Roman" w:cs="Times New Roman"/>
                <w:lang w:val="fr-FR"/>
              </w:rPr>
              <w:t>Base</w:t>
            </w:r>
            <w:r>
              <w:rPr>
                <w:rFonts w:ascii="Times New Roman" w:hAnsi="Times New Roman" w:cs="Times New Roman"/>
                <w:lang w:val="fr-FR"/>
              </w:rPr>
              <w:t> : 5</w:t>
            </w:r>
          </w:p>
          <w:p w14:paraId="26625966"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11</w:t>
            </w:r>
          </w:p>
          <w:p w14:paraId="260C6A42" w14:textId="77777777" w:rsidR="00DD583B" w:rsidRDefault="00DD583B" w:rsidP="005D2A90">
            <w:pPr>
              <w:rPr>
                <w:rFonts w:ascii="Times New Roman" w:hAnsi="Times New Roman" w:cs="Times New Roman"/>
                <w:lang w:val="fr-FR"/>
              </w:rPr>
            </w:pPr>
          </w:p>
          <w:p w14:paraId="45553567" w14:textId="77777777" w:rsidR="00DD583B" w:rsidRPr="002E5C18" w:rsidRDefault="00DD583B" w:rsidP="005D2A90">
            <w:pPr>
              <w:rPr>
                <w:lang w:val="fr-FR"/>
              </w:rPr>
            </w:pPr>
            <w:r>
              <w:rPr>
                <w:rFonts w:ascii="Times New Roman" w:hAnsi="Times New Roman" w:cs="Times New Roman"/>
                <w:lang w:val="fr-FR"/>
              </w:rPr>
              <w:t>Cible : 13</w:t>
            </w:r>
          </w:p>
        </w:tc>
        <w:tc>
          <w:tcPr>
            <w:tcW w:w="3874" w:type="dxa"/>
            <w:vAlign w:val="center"/>
          </w:tcPr>
          <w:p w14:paraId="70EE7892"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Mode de calcul : Dénombrement des Cours et tribunaux des régions affectées par la crise ayant repris toutes leurs activités  (Gao, Tombouctou, Kidal et 3 cercles de Mopti), suite à l’assistance du programme</w:t>
            </w:r>
          </w:p>
          <w:p w14:paraId="0794762C"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Sources de données</w:t>
            </w:r>
            <w:r>
              <w:rPr>
                <w:rFonts w:ascii="Times New Roman" w:hAnsi="Times New Roman" w:cs="Times New Roman"/>
              </w:rPr>
              <w:t>/Moyens de vérification</w:t>
            </w:r>
            <w:r w:rsidRPr="00C85CEE">
              <w:rPr>
                <w:rFonts w:ascii="Times New Roman" w:hAnsi="Times New Roman" w:cs="Times New Roman"/>
              </w:rPr>
              <w:t>  : Système judiciaire national</w:t>
            </w:r>
          </w:p>
          <w:p w14:paraId="658636A5"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Périodicité : Annuelle</w:t>
            </w:r>
          </w:p>
          <w:p w14:paraId="68EB4EC7" w14:textId="77777777" w:rsidR="00DD583B" w:rsidRPr="002E5C18" w:rsidRDefault="00DD583B" w:rsidP="005D2A90">
            <w:pPr>
              <w:pStyle w:val="Paragraphedeliste"/>
              <w:numPr>
                <w:ilvl w:val="0"/>
                <w:numId w:val="16"/>
              </w:numPr>
              <w:ind w:left="357" w:hanging="357"/>
              <w:rPr>
                <w:lang w:val="fr-FR"/>
              </w:rPr>
            </w:pPr>
            <w:r w:rsidRPr="00C85CEE">
              <w:rPr>
                <w:rFonts w:ascii="Times New Roman" w:hAnsi="Times New Roman" w:cs="Times New Roman"/>
              </w:rPr>
              <w:t>Maître d’œuvre : Groupe de Résultat</w:t>
            </w:r>
          </w:p>
        </w:tc>
        <w:tc>
          <w:tcPr>
            <w:tcW w:w="2648" w:type="dxa"/>
            <w:vMerge w:val="restart"/>
          </w:tcPr>
          <w:p w14:paraId="263A0548" w14:textId="77777777" w:rsidR="00DD583B" w:rsidRPr="004D4BFB" w:rsidRDefault="00DD583B" w:rsidP="005D2A90">
            <w:pPr>
              <w:rPr>
                <w:lang w:val="fr-FR"/>
              </w:rPr>
            </w:pPr>
          </w:p>
          <w:p w14:paraId="1AE95E98" w14:textId="77777777" w:rsidR="00DD583B" w:rsidRPr="004D4BFB" w:rsidRDefault="00DD583B" w:rsidP="005D2A90">
            <w:pPr>
              <w:rPr>
                <w:lang w:val="fr-FR"/>
              </w:rPr>
            </w:pPr>
          </w:p>
          <w:p w14:paraId="05DEB2FB" w14:textId="77777777" w:rsidR="00DD583B" w:rsidRPr="004D4BFB" w:rsidRDefault="00DD583B" w:rsidP="005D2A90">
            <w:pPr>
              <w:rPr>
                <w:lang w:val="fr-FR"/>
              </w:rPr>
            </w:pPr>
          </w:p>
          <w:p w14:paraId="4B84FEC8" w14:textId="77777777" w:rsidR="00DD583B" w:rsidRPr="004D4BFB" w:rsidRDefault="00DD583B" w:rsidP="005D2A90">
            <w:pPr>
              <w:rPr>
                <w:lang w:val="fr-FR"/>
              </w:rPr>
            </w:pPr>
          </w:p>
          <w:p w14:paraId="482F0FF4" w14:textId="77777777" w:rsidR="00DD583B" w:rsidRPr="004D4BFB" w:rsidRDefault="00DD583B" w:rsidP="005D2A90">
            <w:pPr>
              <w:rPr>
                <w:lang w:val="fr-FR"/>
              </w:rPr>
            </w:pPr>
          </w:p>
          <w:p w14:paraId="5083E08D" w14:textId="77777777" w:rsidR="00DD583B" w:rsidRPr="004D4BFB" w:rsidRDefault="00DD583B" w:rsidP="005D2A90">
            <w:pPr>
              <w:rPr>
                <w:lang w:val="fr-FR"/>
              </w:rPr>
            </w:pPr>
          </w:p>
          <w:p w14:paraId="6E4A640D" w14:textId="77777777" w:rsidR="00DD583B" w:rsidRPr="004D4BFB" w:rsidRDefault="00DD583B" w:rsidP="005D2A90">
            <w:pPr>
              <w:rPr>
                <w:lang w:val="fr-FR"/>
              </w:rPr>
            </w:pPr>
          </w:p>
          <w:p w14:paraId="36ED36F7" w14:textId="77777777" w:rsidR="00DD583B" w:rsidRPr="004D4BFB" w:rsidRDefault="00DD583B" w:rsidP="005D2A90">
            <w:pPr>
              <w:rPr>
                <w:lang w:val="fr-FR"/>
              </w:rPr>
            </w:pPr>
          </w:p>
          <w:p w14:paraId="45627F77" w14:textId="77777777" w:rsidR="00DD583B" w:rsidRPr="004D4BFB" w:rsidRDefault="00DD583B" w:rsidP="005D2A90">
            <w:pPr>
              <w:rPr>
                <w:lang w:val="fr-FR"/>
              </w:rPr>
            </w:pPr>
          </w:p>
          <w:p w14:paraId="6EC0DAFC" w14:textId="77777777" w:rsidR="00DD583B" w:rsidRPr="004D4BFB" w:rsidRDefault="00DD583B" w:rsidP="005D2A90">
            <w:pPr>
              <w:rPr>
                <w:lang w:val="fr-FR"/>
              </w:rPr>
            </w:pPr>
          </w:p>
          <w:p w14:paraId="779DDED1" w14:textId="77777777" w:rsidR="00DD583B" w:rsidRPr="004D4BFB" w:rsidRDefault="00DD583B" w:rsidP="005D2A90">
            <w:pPr>
              <w:rPr>
                <w:lang w:val="fr-FR"/>
              </w:rPr>
            </w:pPr>
          </w:p>
          <w:p w14:paraId="7E7A0011" w14:textId="77777777" w:rsidR="00DD583B" w:rsidRPr="004D4BFB" w:rsidRDefault="00DD583B" w:rsidP="005D2A90">
            <w:pPr>
              <w:rPr>
                <w:lang w:val="fr-FR"/>
              </w:rPr>
            </w:pPr>
          </w:p>
          <w:p w14:paraId="29618E07" w14:textId="77777777" w:rsidR="00DD583B" w:rsidRPr="004D4BFB" w:rsidRDefault="00DD583B" w:rsidP="005D2A90">
            <w:pPr>
              <w:rPr>
                <w:lang w:val="fr-FR"/>
              </w:rPr>
            </w:pPr>
          </w:p>
          <w:p w14:paraId="1E927424" w14:textId="77777777" w:rsidR="00DD583B" w:rsidRPr="004D4BFB" w:rsidRDefault="00DD583B" w:rsidP="005D2A90">
            <w:pPr>
              <w:rPr>
                <w:lang w:val="fr-FR"/>
              </w:rPr>
            </w:pPr>
          </w:p>
          <w:p w14:paraId="737E5B7F" w14:textId="77777777" w:rsidR="00DD583B" w:rsidRPr="004D4BFB" w:rsidRDefault="00DD583B" w:rsidP="005D2A90">
            <w:pPr>
              <w:rPr>
                <w:lang w:val="fr-FR"/>
              </w:rPr>
            </w:pPr>
            <w:r w:rsidRPr="004D4BFB">
              <w:rPr>
                <w:lang w:val="fr-FR"/>
              </w:rPr>
              <w:t>Risque que l’insécurité enpêche le déploiement des services publics, comme la justice dans les zones comme le Nord</w:t>
            </w:r>
          </w:p>
          <w:p w14:paraId="51890FD8" w14:textId="77777777" w:rsidR="00DD583B" w:rsidRPr="004D4BFB" w:rsidRDefault="00DD583B" w:rsidP="005D2A90">
            <w:pPr>
              <w:rPr>
                <w:lang w:val="fr-FR"/>
              </w:rPr>
            </w:pPr>
          </w:p>
          <w:p w14:paraId="1231C34A" w14:textId="77777777" w:rsidR="00DD583B" w:rsidRPr="004D4BFB" w:rsidRDefault="00DD583B" w:rsidP="005D2A90">
            <w:pPr>
              <w:rPr>
                <w:lang w:val="fr-FR"/>
              </w:rPr>
            </w:pPr>
            <w:r w:rsidRPr="004D4BFB">
              <w:rPr>
                <w:lang w:val="fr-FR"/>
              </w:rPr>
              <w:t>Mitigation : stratégies de service public alternatif mieux en phase avec l’environnement : cas des cadis, par exemple, s’agissant de la Justice</w:t>
            </w:r>
          </w:p>
        </w:tc>
        <w:tc>
          <w:tcPr>
            <w:tcW w:w="1974" w:type="dxa"/>
            <w:vMerge w:val="restart"/>
          </w:tcPr>
          <w:p w14:paraId="1A1D9DFD" w14:textId="77777777" w:rsidR="00DD583B" w:rsidRPr="002E5C18" w:rsidRDefault="00DD583B" w:rsidP="005D2A90">
            <w:pPr>
              <w:rPr>
                <w:lang w:val="fr-FR"/>
              </w:rPr>
            </w:pPr>
          </w:p>
        </w:tc>
        <w:tc>
          <w:tcPr>
            <w:tcW w:w="1250" w:type="dxa"/>
            <w:vMerge w:val="restart"/>
          </w:tcPr>
          <w:p w14:paraId="7D42BDE9" w14:textId="77777777" w:rsidR="00DD583B" w:rsidRPr="002E5C18" w:rsidRDefault="00DD583B" w:rsidP="005D2A90">
            <w:pPr>
              <w:rPr>
                <w:lang w:val="fr-FR"/>
              </w:rPr>
            </w:pPr>
          </w:p>
        </w:tc>
      </w:tr>
      <w:tr w:rsidR="00DD583B" w:rsidRPr="002E5C18" w14:paraId="6133E11B" w14:textId="77777777" w:rsidTr="005D2A90">
        <w:tc>
          <w:tcPr>
            <w:tcW w:w="2590" w:type="dxa"/>
            <w:vMerge/>
            <w:shd w:val="clear" w:color="auto" w:fill="DBE5F1" w:themeFill="accent1" w:themeFillTint="33"/>
            <w:vAlign w:val="center"/>
          </w:tcPr>
          <w:p w14:paraId="393B2946" w14:textId="77777777" w:rsidR="00DD583B" w:rsidRPr="002E5C18" w:rsidRDefault="00DD583B" w:rsidP="005D2A90">
            <w:pPr>
              <w:rPr>
                <w:lang w:val="fr-FR"/>
              </w:rPr>
            </w:pPr>
          </w:p>
        </w:tc>
        <w:tc>
          <w:tcPr>
            <w:tcW w:w="2832" w:type="dxa"/>
            <w:vAlign w:val="center"/>
          </w:tcPr>
          <w:p w14:paraId="2DAB3334" w14:textId="77777777" w:rsidR="00DD583B" w:rsidRDefault="00DD583B" w:rsidP="005D2A90">
            <w:pPr>
              <w:rPr>
                <w:rFonts w:ascii="Times New Roman" w:hAnsi="Times New Roman" w:cs="Times New Roman"/>
              </w:rPr>
            </w:pPr>
            <w:r w:rsidRPr="00C85CEE">
              <w:rPr>
                <w:rFonts w:ascii="Times New Roman" w:hAnsi="Times New Roman" w:cs="Times New Roman"/>
                <w:bCs/>
              </w:rPr>
              <w:t>Indicateurs 3.6.2</w:t>
            </w:r>
            <w:r w:rsidRPr="00C85CEE">
              <w:rPr>
                <w:rFonts w:ascii="Times New Roman" w:hAnsi="Times New Roman" w:cs="Times New Roman"/>
              </w:rPr>
              <w:t xml:space="preserve"> Nombre de prisons des régions affectées par la crise ayant repris toutes leurs activités (Gao, Tombouctou, Kidal et 3 cercles de Mopti), suite à l’assistance du programme</w:t>
            </w:r>
          </w:p>
          <w:p w14:paraId="1BD82464" w14:textId="77777777" w:rsidR="00DD583B" w:rsidRDefault="00DD583B" w:rsidP="005D2A90">
            <w:pPr>
              <w:rPr>
                <w:rFonts w:ascii="Times New Roman" w:hAnsi="Times New Roman" w:cs="Times New Roman"/>
              </w:rPr>
            </w:pPr>
          </w:p>
          <w:p w14:paraId="4DF8C347" w14:textId="77777777" w:rsidR="00DD583B" w:rsidRDefault="00DD583B" w:rsidP="005D2A90">
            <w:pPr>
              <w:rPr>
                <w:rFonts w:ascii="Times New Roman" w:hAnsi="Times New Roman" w:cs="Times New Roman"/>
                <w:lang w:val="fr-FR"/>
              </w:rPr>
            </w:pPr>
            <w:r w:rsidRPr="002E5C18">
              <w:rPr>
                <w:rFonts w:ascii="Times New Roman" w:hAnsi="Times New Roman" w:cs="Times New Roman"/>
                <w:lang w:val="fr-FR"/>
              </w:rPr>
              <w:t>Base</w:t>
            </w:r>
            <w:r>
              <w:rPr>
                <w:rFonts w:ascii="Times New Roman" w:hAnsi="Times New Roman" w:cs="Times New Roman"/>
                <w:lang w:val="fr-FR"/>
              </w:rPr>
              <w:t> : 5</w:t>
            </w:r>
          </w:p>
          <w:p w14:paraId="5B686869"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7</w:t>
            </w:r>
          </w:p>
          <w:p w14:paraId="4F7A7A61" w14:textId="77777777" w:rsidR="00DD583B" w:rsidRDefault="00DD583B" w:rsidP="005D2A90">
            <w:pPr>
              <w:rPr>
                <w:rFonts w:ascii="Times New Roman" w:hAnsi="Times New Roman" w:cs="Times New Roman"/>
                <w:lang w:val="fr-FR"/>
              </w:rPr>
            </w:pPr>
          </w:p>
          <w:p w14:paraId="28B5CD35" w14:textId="77777777" w:rsidR="00DD583B" w:rsidRPr="002E5C18" w:rsidRDefault="00DD583B" w:rsidP="005D2A90">
            <w:pPr>
              <w:rPr>
                <w:lang w:val="fr-FR"/>
              </w:rPr>
            </w:pPr>
            <w:r>
              <w:rPr>
                <w:rFonts w:ascii="Times New Roman" w:hAnsi="Times New Roman" w:cs="Times New Roman"/>
                <w:lang w:val="fr-FR"/>
              </w:rPr>
              <w:t>Cible : 15</w:t>
            </w:r>
          </w:p>
        </w:tc>
        <w:tc>
          <w:tcPr>
            <w:tcW w:w="3874" w:type="dxa"/>
            <w:vAlign w:val="center"/>
          </w:tcPr>
          <w:p w14:paraId="618E284B"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Mode de calcul : Dénombrement des  Nombre de prisons des régions affectées par la crise ayant repris toutes leurs activités (Gao, Tombouctou, Kidal et 3 cercles de Mopti), suite à l’assistance du programme</w:t>
            </w:r>
          </w:p>
          <w:p w14:paraId="25ACAE5F"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Sources de données</w:t>
            </w:r>
            <w:r>
              <w:rPr>
                <w:rFonts w:ascii="Times New Roman" w:hAnsi="Times New Roman" w:cs="Times New Roman"/>
              </w:rPr>
              <w:t>/Moyens de vérification</w:t>
            </w:r>
            <w:r w:rsidRPr="00C85CEE">
              <w:rPr>
                <w:rFonts w:ascii="Times New Roman" w:hAnsi="Times New Roman" w:cs="Times New Roman"/>
              </w:rPr>
              <w:t> : Système judiciaire national</w:t>
            </w:r>
          </w:p>
          <w:p w14:paraId="6CAA4647"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Périodicité : Annuelle</w:t>
            </w:r>
          </w:p>
          <w:p w14:paraId="5B5714D7" w14:textId="77777777" w:rsidR="00DD583B" w:rsidRPr="002E5C18" w:rsidRDefault="00DD583B" w:rsidP="005D2A90">
            <w:pPr>
              <w:pStyle w:val="Paragraphedeliste"/>
              <w:numPr>
                <w:ilvl w:val="0"/>
                <w:numId w:val="16"/>
              </w:numPr>
              <w:ind w:left="357" w:hanging="357"/>
              <w:rPr>
                <w:lang w:val="fr-FR"/>
              </w:rPr>
            </w:pPr>
            <w:r w:rsidRPr="00C85CEE">
              <w:rPr>
                <w:rFonts w:ascii="Times New Roman" w:hAnsi="Times New Roman" w:cs="Times New Roman"/>
              </w:rPr>
              <w:t>Maître d’œuvre : Groupe de Résultat</w:t>
            </w:r>
          </w:p>
        </w:tc>
        <w:tc>
          <w:tcPr>
            <w:tcW w:w="2648" w:type="dxa"/>
            <w:vMerge/>
          </w:tcPr>
          <w:p w14:paraId="36C77078" w14:textId="77777777" w:rsidR="00DD583B" w:rsidRPr="002E5C18" w:rsidRDefault="00DD583B" w:rsidP="005D2A90">
            <w:pPr>
              <w:rPr>
                <w:lang w:val="fr-FR"/>
              </w:rPr>
            </w:pPr>
          </w:p>
        </w:tc>
        <w:tc>
          <w:tcPr>
            <w:tcW w:w="1974" w:type="dxa"/>
            <w:vMerge/>
          </w:tcPr>
          <w:p w14:paraId="1C3288CF" w14:textId="77777777" w:rsidR="00DD583B" w:rsidRPr="002E5C18" w:rsidRDefault="00DD583B" w:rsidP="005D2A90">
            <w:pPr>
              <w:rPr>
                <w:lang w:val="fr-FR"/>
              </w:rPr>
            </w:pPr>
          </w:p>
        </w:tc>
        <w:tc>
          <w:tcPr>
            <w:tcW w:w="1250" w:type="dxa"/>
            <w:vMerge/>
          </w:tcPr>
          <w:p w14:paraId="59B71F2D" w14:textId="77777777" w:rsidR="00DD583B" w:rsidRPr="002E5C18" w:rsidRDefault="00DD583B" w:rsidP="005D2A90">
            <w:pPr>
              <w:rPr>
                <w:lang w:val="fr-FR"/>
              </w:rPr>
            </w:pPr>
          </w:p>
        </w:tc>
      </w:tr>
      <w:tr w:rsidR="00DD583B" w:rsidRPr="002E5C18" w14:paraId="118A7A4B" w14:textId="77777777" w:rsidTr="005D2A90">
        <w:tc>
          <w:tcPr>
            <w:tcW w:w="2590" w:type="dxa"/>
            <w:vMerge/>
            <w:shd w:val="clear" w:color="auto" w:fill="DBE5F1" w:themeFill="accent1" w:themeFillTint="33"/>
            <w:vAlign w:val="center"/>
          </w:tcPr>
          <w:p w14:paraId="1E4FA7E5" w14:textId="77777777" w:rsidR="00DD583B" w:rsidRPr="002E5C18" w:rsidRDefault="00DD583B" w:rsidP="005D2A90">
            <w:pPr>
              <w:rPr>
                <w:lang w:val="fr-FR"/>
              </w:rPr>
            </w:pPr>
          </w:p>
        </w:tc>
        <w:tc>
          <w:tcPr>
            <w:tcW w:w="2832" w:type="dxa"/>
            <w:vAlign w:val="center"/>
          </w:tcPr>
          <w:p w14:paraId="70E8C2EC" w14:textId="77777777" w:rsidR="00DD583B" w:rsidRDefault="00DD583B" w:rsidP="005D2A90">
            <w:pPr>
              <w:rPr>
                <w:rFonts w:ascii="Times New Roman" w:hAnsi="Times New Roman" w:cs="Times New Roman"/>
              </w:rPr>
            </w:pPr>
            <w:r w:rsidRPr="00C85CEE">
              <w:rPr>
                <w:rFonts w:ascii="Times New Roman" w:hAnsi="Times New Roman" w:cs="Times New Roman"/>
                <w:bCs/>
              </w:rPr>
              <w:t>Indicateur 3.6.3</w:t>
            </w:r>
            <w:r w:rsidRPr="00C85CEE">
              <w:rPr>
                <w:rFonts w:ascii="Times New Roman" w:hAnsi="Times New Roman" w:cs="Times New Roman"/>
              </w:rPr>
              <w:t xml:space="preserve"> Pourcentage de la population enquêtée qui exprime sa confiance aux institutions judiciaires, suite à l’assistance du programme</w:t>
            </w:r>
          </w:p>
          <w:p w14:paraId="2C8AC38F" w14:textId="77777777" w:rsidR="00DD583B" w:rsidRDefault="00DD583B" w:rsidP="005D2A90">
            <w:pPr>
              <w:rPr>
                <w:rFonts w:ascii="Times New Roman" w:hAnsi="Times New Roman" w:cs="Times New Roman"/>
              </w:rPr>
            </w:pPr>
          </w:p>
          <w:p w14:paraId="627D071C" w14:textId="77777777" w:rsidR="00DD583B" w:rsidRDefault="00DD583B" w:rsidP="005D2A90">
            <w:pPr>
              <w:rPr>
                <w:rFonts w:ascii="Times New Roman" w:hAnsi="Times New Roman" w:cs="Times New Roman"/>
              </w:rPr>
            </w:pPr>
            <w:r w:rsidRPr="002E5C18">
              <w:rPr>
                <w:rFonts w:ascii="Times New Roman" w:hAnsi="Times New Roman" w:cs="Times New Roman"/>
                <w:lang w:val="fr-FR"/>
              </w:rPr>
              <w:lastRenderedPageBreak/>
              <w:t>Base</w:t>
            </w:r>
            <w:r>
              <w:rPr>
                <w:rFonts w:ascii="Times New Roman" w:hAnsi="Times New Roman" w:cs="Times New Roman"/>
                <w:lang w:val="fr-FR"/>
              </w:rPr>
              <w:t xml:space="preserve"> : </w:t>
            </w:r>
            <w:r w:rsidRPr="00C85CEE">
              <w:rPr>
                <w:rFonts w:ascii="Times New Roman" w:hAnsi="Times New Roman" w:cs="Times New Roman"/>
              </w:rPr>
              <w:t>37,7%</w:t>
            </w:r>
          </w:p>
          <w:p w14:paraId="7186A5EB"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36,7% (Rapport Malimetre 2017)</w:t>
            </w:r>
          </w:p>
          <w:p w14:paraId="55982606" w14:textId="77777777" w:rsidR="00DD583B" w:rsidRDefault="00DD583B" w:rsidP="005D2A90">
            <w:pPr>
              <w:rPr>
                <w:rFonts w:ascii="Times New Roman" w:hAnsi="Times New Roman" w:cs="Times New Roman"/>
                <w:lang w:val="fr-FR"/>
              </w:rPr>
            </w:pPr>
          </w:p>
          <w:p w14:paraId="48F7A58C" w14:textId="77777777" w:rsidR="00DD583B" w:rsidRPr="002E5C18" w:rsidRDefault="00DD583B" w:rsidP="005D2A90">
            <w:pPr>
              <w:rPr>
                <w:lang w:val="fr-FR"/>
              </w:rPr>
            </w:pPr>
            <w:r>
              <w:rPr>
                <w:rFonts w:ascii="Times New Roman" w:hAnsi="Times New Roman" w:cs="Times New Roman"/>
                <w:lang w:val="fr-FR"/>
              </w:rPr>
              <w:t>Cible : 50</w:t>
            </w:r>
            <w:r w:rsidRPr="00C85CEE">
              <w:rPr>
                <w:rFonts w:ascii="Times New Roman" w:hAnsi="Times New Roman" w:cs="Times New Roman"/>
              </w:rPr>
              <w:t>%</w:t>
            </w:r>
          </w:p>
        </w:tc>
        <w:tc>
          <w:tcPr>
            <w:tcW w:w="3874" w:type="dxa"/>
            <w:vAlign w:val="center"/>
          </w:tcPr>
          <w:p w14:paraId="5F96BEE1"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lastRenderedPageBreak/>
              <w:t>Mode de calcul : Rapport Nb de personnes se disant satisfaites des institutions judiciaires, sur talle de l’échantillon des personnes enquêtées</w:t>
            </w:r>
          </w:p>
          <w:p w14:paraId="3525A178"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lastRenderedPageBreak/>
              <w:t>Sources de données</w:t>
            </w:r>
            <w:r>
              <w:rPr>
                <w:rFonts w:ascii="Times New Roman" w:hAnsi="Times New Roman" w:cs="Times New Roman"/>
              </w:rPr>
              <w:t>/Moyens de vérification</w:t>
            </w:r>
            <w:r w:rsidRPr="00C85CEE">
              <w:rPr>
                <w:rFonts w:ascii="Times New Roman" w:hAnsi="Times New Roman" w:cs="Times New Roman"/>
              </w:rPr>
              <w:t> : Enquêtes de satisfaction/perception</w:t>
            </w:r>
          </w:p>
          <w:p w14:paraId="7FB0495D"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Périodicité : Annuelle</w:t>
            </w:r>
          </w:p>
          <w:p w14:paraId="28FB6DA5" w14:textId="77777777" w:rsidR="00DD583B" w:rsidRPr="002E5C18" w:rsidRDefault="00DD583B" w:rsidP="005D2A90">
            <w:pPr>
              <w:pStyle w:val="Paragraphedeliste"/>
              <w:numPr>
                <w:ilvl w:val="0"/>
                <w:numId w:val="16"/>
              </w:numPr>
              <w:ind w:left="357" w:hanging="357"/>
              <w:rPr>
                <w:lang w:val="fr-FR"/>
              </w:rPr>
            </w:pPr>
            <w:r w:rsidRPr="00C85CEE">
              <w:rPr>
                <w:rFonts w:ascii="Times New Roman" w:hAnsi="Times New Roman" w:cs="Times New Roman"/>
              </w:rPr>
              <w:t>Maître d’œuvre : Groupe de Résultat en rapport avec l’appareil statistique national</w:t>
            </w:r>
          </w:p>
        </w:tc>
        <w:tc>
          <w:tcPr>
            <w:tcW w:w="2648" w:type="dxa"/>
            <w:vMerge/>
          </w:tcPr>
          <w:p w14:paraId="50AA2C55" w14:textId="77777777" w:rsidR="00DD583B" w:rsidRPr="002E5C18" w:rsidRDefault="00DD583B" w:rsidP="005D2A90">
            <w:pPr>
              <w:rPr>
                <w:lang w:val="fr-FR"/>
              </w:rPr>
            </w:pPr>
          </w:p>
        </w:tc>
        <w:tc>
          <w:tcPr>
            <w:tcW w:w="1974" w:type="dxa"/>
            <w:vMerge/>
          </w:tcPr>
          <w:p w14:paraId="2B73871B" w14:textId="77777777" w:rsidR="00DD583B" w:rsidRPr="002E5C18" w:rsidRDefault="00DD583B" w:rsidP="005D2A90">
            <w:pPr>
              <w:rPr>
                <w:lang w:val="fr-FR"/>
              </w:rPr>
            </w:pPr>
          </w:p>
        </w:tc>
        <w:tc>
          <w:tcPr>
            <w:tcW w:w="1250" w:type="dxa"/>
            <w:vMerge/>
          </w:tcPr>
          <w:p w14:paraId="0A12E291" w14:textId="77777777" w:rsidR="00DD583B" w:rsidRPr="002E5C18" w:rsidRDefault="00DD583B" w:rsidP="005D2A90">
            <w:pPr>
              <w:rPr>
                <w:lang w:val="fr-FR"/>
              </w:rPr>
            </w:pPr>
          </w:p>
        </w:tc>
      </w:tr>
      <w:tr w:rsidR="00DD583B" w:rsidRPr="002E5C18" w14:paraId="39DB5DE3" w14:textId="77777777" w:rsidTr="005D2A90">
        <w:tc>
          <w:tcPr>
            <w:tcW w:w="2590" w:type="dxa"/>
            <w:vMerge w:val="restart"/>
            <w:shd w:val="clear" w:color="auto" w:fill="DBE5F1" w:themeFill="accent1" w:themeFillTint="33"/>
            <w:vAlign w:val="center"/>
          </w:tcPr>
          <w:p w14:paraId="088249C5" w14:textId="77777777" w:rsidR="00DD583B" w:rsidRPr="002E5C18" w:rsidRDefault="00DD583B" w:rsidP="005D2A90">
            <w:pPr>
              <w:rPr>
                <w:lang w:val="fr-FR"/>
              </w:rPr>
            </w:pPr>
            <w:r w:rsidRPr="00C85CEE">
              <w:rPr>
                <w:rFonts w:ascii="Times New Roman" w:hAnsi="Times New Roman" w:cs="Times New Roman"/>
                <w:bCs/>
              </w:rPr>
              <w:t>Produit 3.7 : Les mécanismes nationaux formels et informels de promotion et de protection des droits Humains disposent des capacités institutionnelles et techniques pour mieux accomplir leurs missions en conformité avec les standards internationaux.</w:t>
            </w:r>
          </w:p>
        </w:tc>
        <w:tc>
          <w:tcPr>
            <w:tcW w:w="2832" w:type="dxa"/>
            <w:vAlign w:val="center"/>
          </w:tcPr>
          <w:p w14:paraId="0954B8BA" w14:textId="77777777" w:rsidR="00DD583B" w:rsidRDefault="00DD583B" w:rsidP="005D2A90">
            <w:pPr>
              <w:rPr>
                <w:rFonts w:ascii="Times New Roman" w:hAnsi="Times New Roman" w:cs="Times New Roman"/>
              </w:rPr>
            </w:pPr>
            <w:r>
              <w:rPr>
                <w:rFonts w:ascii="Times New Roman" w:hAnsi="Times New Roman" w:cs="Times New Roman"/>
                <w:bCs/>
              </w:rPr>
              <w:t xml:space="preserve">Indicateur </w:t>
            </w:r>
            <w:r w:rsidRPr="00C85CEE">
              <w:rPr>
                <w:rFonts w:ascii="Times New Roman" w:hAnsi="Times New Roman" w:cs="Times New Roman"/>
                <w:bCs/>
              </w:rPr>
              <w:t>3.7.1</w:t>
            </w:r>
            <w:r w:rsidRPr="00C85CEE">
              <w:rPr>
                <w:rFonts w:ascii="Times New Roman" w:hAnsi="Times New Roman" w:cs="Times New Roman"/>
              </w:rPr>
              <w:t xml:space="preserve"> Nombre de rapports périodiques conformes aux standards produits et soumis aux organes des Traités </w:t>
            </w:r>
            <w:r>
              <w:rPr>
                <w:rFonts w:ascii="Times New Roman" w:hAnsi="Times New Roman" w:cs="Times New Roman"/>
              </w:rPr>
              <w:t>et</w:t>
            </w:r>
            <w:r w:rsidRPr="00C85CEE">
              <w:rPr>
                <w:rFonts w:ascii="Times New Roman" w:hAnsi="Times New Roman" w:cs="Times New Roman"/>
              </w:rPr>
              <w:t xml:space="preserve"> Conseil de Droit de l’Homme, appuyés </w:t>
            </w:r>
          </w:p>
          <w:p w14:paraId="123F66DA" w14:textId="77777777" w:rsidR="00DD583B" w:rsidRDefault="00DD583B" w:rsidP="005D2A90">
            <w:pPr>
              <w:rPr>
                <w:rFonts w:ascii="Times New Roman" w:hAnsi="Times New Roman" w:cs="Times New Roman"/>
              </w:rPr>
            </w:pPr>
          </w:p>
          <w:p w14:paraId="25598447" w14:textId="77777777" w:rsidR="00DD583B" w:rsidRDefault="00DD583B" w:rsidP="005D2A90">
            <w:pPr>
              <w:rPr>
                <w:rFonts w:ascii="Times New Roman" w:hAnsi="Times New Roman" w:cs="Times New Roman"/>
                <w:lang w:val="fr-FR"/>
              </w:rPr>
            </w:pPr>
            <w:r w:rsidRPr="002E5C18">
              <w:rPr>
                <w:rFonts w:ascii="Times New Roman" w:hAnsi="Times New Roman" w:cs="Times New Roman"/>
                <w:lang w:val="fr-FR"/>
              </w:rPr>
              <w:t>Base</w:t>
            </w:r>
            <w:r>
              <w:rPr>
                <w:rFonts w:ascii="Times New Roman" w:hAnsi="Times New Roman" w:cs="Times New Roman"/>
                <w:lang w:val="fr-FR"/>
              </w:rPr>
              <w:t> : 0</w:t>
            </w:r>
          </w:p>
          <w:p w14:paraId="76344B6A"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1</w:t>
            </w:r>
          </w:p>
          <w:p w14:paraId="4F3E277B" w14:textId="77777777" w:rsidR="00DD583B" w:rsidRDefault="00DD583B" w:rsidP="005D2A90">
            <w:pPr>
              <w:rPr>
                <w:rFonts w:ascii="Times New Roman" w:hAnsi="Times New Roman" w:cs="Times New Roman"/>
                <w:lang w:val="fr-FR"/>
              </w:rPr>
            </w:pPr>
          </w:p>
          <w:p w14:paraId="1E7D6AD5" w14:textId="77777777" w:rsidR="00DD583B" w:rsidRPr="002E5C18" w:rsidRDefault="00DD583B" w:rsidP="005D2A90">
            <w:pPr>
              <w:rPr>
                <w:lang w:val="fr-FR"/>
              </w:rPr>
            </w:pPr>
            <w:r>
              <w:rPr>
                <w:rFonts w:ascii="Times New Roman" w:hAnsi="Times New Roman" w:cs="Times New Roman"/>
                <w:lang w:val="fr-FR"/>
              </w:rPr>
              <w:t>Cible : 3</w:t>
            </w:r>
          </w:p>
        </w:tc>
        <w:tc>
          <w:tcPr>
            <w:tcW w:w="3874" w:type="dxa"/>
            <w:vAlign w:val="center"/>
          </w:tcPr>
          <w:p w14:paraId="4C783C5A"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Mode de calcul : Dénombrement des  rapports périodiques conformes aux standards produits et soumis aux organes des Traités and Conseil de Droit de l’Homme, appuyés par le programme</w:t>
            </w:r>
          </w:p>
          <w:p w14:paraId="3BB033C5"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Sources de données</w:t>
            </w:r>
            <w:r>
              <w:rPr>
                <w:rFonts w:ascii="Times New Roman" w:hAnsi="Times New Roman" w:cs="Times New Roman"/>
              </w:rPr>
              <w:t>/Moyens de vérification</w:t>
            </w:r>
            <w:r w:rsidRPr="00C85CEE">
              <w:rPr>
                <w:rFonts w:ascii="Times New Roman" w:hAnsi="Times New Roman" w:cs="Times New Roman"/>
              </w:rPr>
              <w:t> : Structures nationales chargées de ces rapports</w:t>
            </w:r>
          </w:p>
          <w:p w14:paraId="71BED5B2"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Périodicité : Annuelle</w:t>
            </w:r>
          </w:p>
          <w:p w14:paraId="4118F24B" w14:textId="77777777" w:rsidR="00DD583B" w:rsidRPr="002E5C18" w:rsidRDefault="00DD583B" w:rsidP="005D2A90">
            <w:pPr>
              <w:pStyle w:val="Paragraphedeliste"/>
              <w:numPr>
                <w:ilvl w:val="0"/>
                <w:numId w:val="16"/>
              </w:numPr>
              <w:ind w:left="357" w:hanging="357"/>
              <w:rPr>
                <w:lang w:val="fr-FR"/>
              </w:rPr>
            </w:pPr>
            <w:r w:rsidRPr="00C85CEE">
              <w:rPr>
                <w:rFonts w:ascii="Times New Roman" w:hAnsi="Times New Roman" w:cs="Times New Roman"/>
              </w:rPr>
              <w:t>Maître d’œuvre : Groupe de Résultat</w:t>
            </w:r>
          </w:p>
        </w:tc>
        <w:tc>
          <w:tcPr>
            <w:tcW w:w="2648" w:type="dxa"/>
            <w:vMerge w:val="restart"/>
          </w:tcPr>
          <w:p w14:paraId="7513FEFC" w14:textId="77777777" w:rsidR="00DD583B" w:rsidRPr="004D4BFB" w:rsidRDefault="00DD583B" w:rsidP="005D2A90">
            <w:pPr>
              <w:rPr>
                <w:lang w:val="fr-FR"/>
              </w:rPr>
            </w:pPr>
          </w:p>
          <w:p w14:paraId="1B29FE4A" w14:textId="77777777" w:rsidR="00DD583B" w:rsidRPr="004D4BFB" w:rsidRDefault="00DD583B" w:rsidP="005D2A90">
            <w:pPr>
              <w:rPr>
                <w:lang w:val="fr-FR"/>
              </w:rPr>
            </w:pPr>
          </w:p>
          <w:p w14:paraId="350D105C" w14:textId="77777777" w:rsidR="00DD583B" w:rsidRPr="004D4BFB" w:rsidRDefault="00DD583B" w:rsidP="005D2A90">
            <w:pPr>
              <w:rPr>
                <w:lang w:val="fr-FR"/>
              </w:rPr>
            </w:pPr>
          </w:p>
          <w:p w14:paraId="51396B18" w14:textId="77777777" w:rsidR="00DD583B" w:rsidRPr="004D4BFB" w:rsidRDefault="00DD583B" w:rsidP="005D2A90">
            <w:pPr>
              <w:rPr>
                <w:lang w:val="fr-FR"/>
              </w:rPr>
            </w:pPr>
          </w:p>
          <w:p w14:paraId="22CE511C" w14:textId="77777777" w:rsidR="00DD583B" w:rsidRPr="004D4BFB" w:rsidRDefault="00DD583B" w:rsidP="005D2A90">
            <w:pPr>
              <w:rPr>
                <w:lang w:val="fr-FR"/>
              </w:rPr>
            </w:pPr>
          </w:p>
          <w:p w14:paraId="600A6D65" w14:textId="77777777" w:rsidR="00DD583B" w:rsidRPr="004D4BFB" w:rsidRDefault="00DD583B" w:rsidP="005D2A90">
            <w:pPr>
              <w:rPr>
                <w:lang w:val="fr-FR"/>
              </w:rPr>
            </w:pPr>
          </w:p>
          <w:p w14:paraId="0B13ADD0" w14:textId="77777777" w:rsidR="00DD583B" w:rsidRPr="004D4BFB" w:rsidRDefault="00DD583B" w:rsidP="005D2A90">
            <w:pPr>
              <w:rPr>
                <w:lang w:val="fr-FR"/>
              </w:rPr>
            </w:pPr>
          </w:p>
          <w:p w14:paraId="0CFFAA2E" w14:textId="77777777" w:rsidR="00DD583B" w:rsidRPr="004D4BFB" w:rsidRDefault="00DD583B" w:rsidP="005D2A90">
            <w:pPr>
              <w:rPr>
                <w:lang w:val="fr-FR"/>
              </w:rPr>
            </w:pPr>
          </w:p>
          <w:p w14:paraId="4730613B" w14:textId="77777777" w:rsidR="00DD583B" w:rsidRPr="004D4BFB" w:rsidRDefault="00DD583B" w:rsidP="005D2A90">
            <w:pPr>
              <w:rPr>
                <w:lang w:val="fr-FR"/>
              </w:rPr>
            </w:pPr>
          </w:p>
          <w:p w14:paraId="260EE8F4" w14:textId="77777777" w:rsidR="00DD583B" w:rsidRPr="004D4BFB" w:rsidRDefault="00DD583B" w:rsidP="005D2A90">
            <w:pPr>
              <w:rPr>
                <w:lang w:val="fr-FR"/>
              </w:rPr>
            </w:pPr>
          </w:p>
          <w:p w14:paraId="250BAE49" w14:textId="77777777" w:rsidR="00DD583B" w:rsidRPr="004D4BFB" w:rsidRDefault="00DD583B" w:rsidP="005D2A90">
            <w:pPr>
              <w:rPr>
                <w:lang w:val="fr-FR"/>
              </w:rPr>
            </w:pPr>
          </w:p>
          <w:p w14:paraId="4C29F199" w14:textId="77777777" w:rsidR="00DD583B" w:rsidRPr="004D4BFB" w:rsidRDefault="00DD583B" w:rsidP="005D2A90">
            <w:pPr>
              <w:rPr>
                <w:lang w:val="fr-FR"/>
              </w:rPr>
            </w:pPr>
          </w:p>
          <w:p w14:paraId="00265493" w14:textId="77777777" w:rsidR="00DD583B" w:rsidRPr="004D4BFB" w:rsidRDefault="00DD583B" w:rsidP="005D2A90">
            <w:pPr>
              <w:rPr>
                <w:lang w:val="fr-FR"/>
              </w:rPr>
            </w:pPr>
            <w:r w:rsidRPr="004D4BFB">
              <w:rPr>
                <w:lang w:val="fr-FR"/>
              </w:rPr>
              <w:t>Risque que persiste un hiatus entre des structures qui existent formellement et une situation de fait défavorable aux droits humains</w:t>
            </w:r>
          </w:p>
          <w:p w14:paraId="598744A5" w14:textId="77777777" w:rsidR="00DD583B" w:rsidRPr="004D4BFB" w:rsidRDefault="00DD583B" w:rsidP="005D2A90">
            <w:pPr>
              <w:rPr>
                <w:lang w:val="fr-FR"/>
              </w:rPr>
            </w:pPr>
          </w:p>
          <w:p w14:paraId="35616574" w14:textId="77777777" w:rsidR="00DD583B" w:rsidRPr="004D4BFB" w:rsidRDefault="00DD583B" w:rsidP="005D2A90">
            <w:pPr>
              <w:rPr>
                <w:lang w:val="fr-FR"/>
              </w:rPr>
            </w:pPr>
            <w:r w:rsidRPr="004D4BFB">
              <w:rPr>
                <w:lang w:val="fr-FR"/>
              </w:rPr>
              <w:t>Mitigation : formation sensibilisation des corps demétiers clés comme la lustice et les forces de sécurité et de défense</w:t>
            </w:r>
          </w:p>
        </w:tc>
        <w:tc>
          <w:tcPr>
            <w:tcW w:w="1974" w:type="dxa"/>
            <w:vMerge w:val="restart"/>
          </w:tcPr>
          <w:p w14:paraId="747DF080" w14:textId="77777777" w:rsidR="00DD583B" w:rsidRPr="002E5C18" w:rsidRDefault="00DD583B" w:rsidP="005D2A90">
            <w:pPr>
              <w:rPr>
                <w:lang w:val="fr-FR"/>
              </w:rPr>
            </w:pPr>
            <w:r w:rsidRPr="002E5C18">
              <w:rPr>
                <w:sz w:val="18"/>
                <w:szCs w:val="18"/>
              </w:rPr>
              <w:t>Soutien politique pour faire accepter l’harmonisation avec les conventions internationales</w:t>
            </w:r>
          </w:p>
        </w:tc>
        <w:tc>
          <w:tcPr>
            <w:tcW w:w="1250" w:type="dxa"/>
            <w:vMerge w:val="restart"/>
          </w:tcPr>
          <w:p w14:paraId="1E8044C8" w14:textId="77777777" w:rsidR="00DD583B" w:rsidRPr="002E5C18" w:rsidRDefault="00DD583B" w:rsidP="005D2A90">
            <w:pPr>
              <w:rPr>
                <w:lang w:val="fr-FR"/>
              </w:rPr>
            </w:pPr>
          </w:p>
        </w:tc>
      </w:tr>
      <w:tr w:rsidR="00DD583B" w:rsidRPr="002E5C18" w14:paraId="3CDB8BD4" w14:textId="77777777" w:rsidTr="005D2A90">
        <w:tc>
          <w:tcPr>
            <w:tcW w:w="2590" w:type="dxa"/>
            <w:vMerge/>
            <w:shd w:val="clear" w:color="auto" w:fill="DBE5F1" w:themeFill="accent1" w:themeFillTint="33"/>
            <w:vAlign w:val="center"/>
          </w:tcPr>
          <w:p w14:paraId="2FAD8DE8" w14:textId="77777777" w:rsidR="00DD583B" w:rsidRPr="002E5C18" w:rsidRDefault="00DD583B" w:rsidP="005D2A90">
            <w:pPr>
              <w:rPr>
                <w:lang w:val="fr-FR"/>
              </w:rPr>
            </w:pPr>
          </w:p>
        </w:tc>
        <w:tc>
          <w:tcPr>
            <w:tcW w:w="2832" w:type="dxa"/>
            <w:vAlign w:val="center"/>
          </w:tcPr>
          <w:p w14:paraId="3029B8DA" w14:textId="77777777" w:rsidR="00DD583B" w:rsidRDefault="00DD583B" w:rsidP="005D2A90">
            <w:pPr>
              <w:rPr>
                <w:rFonts w:ascii="Times New Roman" w:hAnsi="Times New Roman" w:cs="Times New Roman"/>
              </w:rPr>
            </w:pPr>
            <w:r>
              <w:rPr>
                <w:rFonts w:ascii="Times New Roman" w:hAnsi="Times New Roman" w:cs="Times New Roman"/>
                <w:bCs/>
              </w:rPr>
              <w:t xml:space="preserve">Indicateur </w:t>
            </w:r>
            <w:r w:rsidRPr="00C85CEE">
              <w:rPr>
                <w:rFonts w:ascii="Times New Roman" w:hAnsi="Times New Roman" w:cs="Times New Roman"/>
                <w:bCs/>
              </w:rPr>
              <w:t>3.7.2</w:t>
            </w:r>
            <w:r>
              <w:rPr>
                <w:rFonts w:ascii="Times New Roman" w:hAnsi="Times New Roman" w:cs="Times New Roman"/>
                <w:bCs/>
              </w:rPr>
              <w:t> :</w:t>
            </w:r>
            <w:r w:rsidRPr="00C85CEE">
              <w:rPr>
                <w:rFonts w:ascii="Times New Roman" w:hAnsi="Times New Roman" w:cs="Times New Roman"/>
              </w:rPr>
              <w:t> Nombre de rapports alternatifs produits et soumis aux organes des Traités et Conseil de Droit de l’Homme par les organisations de la société civile, appuyés par le programme</w:t>
            </w:r>
          </w:p>
          <w:p w14:paraId="4BA5462E" w14:textId="77777777" w:rsidR="00DD583B" w:rsidRDefault="00DD583B" w:rsidP="005D2A90">
            <w:pPr>
              <w:rPr>
                <w:rFonts w:ascii="Times New Roman" w:hAnsi="Times New Roman" w:cs="Times New Roman"/>
              </w:rPr>
            </w:pPr>
          </w:p>
          <w:p w14:paraId="1E823B63" w14:textId="77777777" w:rsidR="00DD583B" w:rsidRDefault="00DD583B" w:rsidP="005D2A90">
            <w:pPr>
              <w:rPr>
                <w:rFonts w:ascii="Times New Roman" w:hAnsi="Times New Roman" w:cs="Times New Roman"/>
                <w:lang w:val="fr-FR"/>
              </w:rPr>
            </w:pPr>
            <w:r w:rsidRPr="002E5C18">
              <w:rPr>
                <w:rFonts w:ascii="Times New Roman" w:hAnsi="Times New Roman" w:cs="Times New Roman"/>
                <w:lang w:val="fr-FR"/>
              </w:rPr>
              <w:t>Base</w:t>
            </w:r>
            <w:r>
              <w:rPr>
                <w:rFonts w:ascii="Times New Roman" w:hAnsi="Times New Roman" w:cs="Times New Roman"/>
                <w:lang w:val="fr-FR"/>
              </w:rPr>
              <w:t> : 0</w:t>
            </w:r>
          </w:p>
          <w:p w14:paraId="052D154B"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1</w:t>
            </w:r>
          </w:p>
          <w:p w14:paraId="2D9686EF" w14:textId="77777777" w:rsidR="00DD583B" w:rsidRDefault="00DD583B" w:rsidP="005D2A90">
            <w:pPr>
              <w:rPr>
                <w:rFonts w:ascii="Times New Roman" w:hAnsi="Times New Roman" w:cs="Times New Roman"/>
                <w:lang w:val="fr-FR"/>
              </w:rPr>
            </w:pPr>
          </w:p>
          <w:p w14:paraId="02C34A81" w14:textId="77777777" w:rsidR="00DD583B" w:rsidRPr="002E5C18" w:rsidRDefault="00DD583B" w:rsidP="005D2A90">
            <w:pPr>
              <w:rPr>
                <w:lang w:val="fr-FR"/>
              </w:rPr>
            </w:pPr>
            <w:r>
              <w:rPr>
                <w:rFonts w:ascii="Times New Roman" w:hAnsi="Times New Roman" w:cs="Times New Roman"/>
                <w:lang w:val="fr-FR"/>
              </w:rPr>
              <w:t>Cible : 3</w:t>
            </w:r>
          </w:p>
        </w:tc>
        <w:tc>
          <w:tcPr>
            <w:tcW w:w="3874" w:type="dxa"/>
            <w:vAlign w:val="center"/>
          </w:tcPr>
          <w:p w14:paraId="190DFBE0"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Mode de calcul : Dénombrement des  rapports alternatifs produits et soumis aux organes des Traités et Conseil de Droit de l’Homme par les organisations de la société civile, appuyés par le programme</w:t>
            </w:r>
          </w:p>
          <w:p w14:paraId="48847F04"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Sources de données</w:t>
            </w:r>
            <w:r>
              <w:rPr>
                <w:rFonts w:ascii="Times New Roman" w:hAnsi="Times New Roman" w:cs="Times New Roman"/>
              </w:rPr>
              <w:t>/Moyens de vérification</w:t>
            </w:r>
            <w:r w:rsidRPr="00C85CEE">
              <w:rPr>
                <w:rFonts w:ascii="Times New Roman" w:hAnsi="Times New Roman" w:cs="Times New Roman"/>
              </w:rPr>
              <w:t> : Structures faîtières de la société civile</w:t>
            </w:r>
          </w:p>
          <w:p w14:paraId="1E09A79A"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Périodicité : Annuelle</w:t>
            </w:r>
          </w:p>
          <w:p w14:paraId="736F8F0A" w14:textId="77777777" w:rsidR="00DD583B" w:rsidRPr="002E5C18" w:rsidRDefault="00DD583B" w:rsidP="005D2A90">
            <w:pPr>
              <w:pStyle w:val="Paragraphedeliste"/>
              <w:numPr>
                <w:ilvl w:val="0"/>
                <w:numId w:val="16"/>
              </w:numPr>
              <w:ind w:left="357" w:hanging="357"/>
              <w:rPr>
                <w:lang w:val="fr-FR"/>
              </w:rPr>
            </w:pPr>
            <w:r w:rsidRPr="00C85CEE">
              <w:rPr>
                <w:rFonts w:ascii="Times New Roman" w:hAnsi="Times New Roman" w:cs="Times New Roman"/>
              </w:rPr>
              <w:t>Maître d’œuvre : Groupe de Résultat</w:t>
            </w:r>
          </w:p>
        </w:tc>
        <w:tc>
          <w:tcPr>
            <w:tcW w:w="2648" w:type="dxa"/>
            <w:vMerge/>
          </w:tcPr>
          <w:p w14:paraId="19CF7982" w14:textId="77777777" w:rsidR="00DD583B" w:rsidRPr="002E5C18" w:rsidRDefault="00DD583B" w:rsidP="005D2A90">
            <w:pPr>
              <w:rPr>
                <w:lang w:val="fr-FR"/>
              </w:rPr>
            </w:pPr>
          </w:p>
        </w:tc>
        <w:tc>
          <w:tcPr>
            <w:tcW w:w="1974" w:type="dxa"/>
            <w:vMerge/>
          </w:tcPr>
          <w:p w14:paraId="477521E7" w14:textId="77777777" w:rsidR="00DD583B" w:rsidRPr="002E5C18" w:rsidRDefault="00DD583B" w:rsidP="005D2A90">
            <w:pPr>
              <w:rPr>
                <w:lang w:val="fr-FR"/>
              </w:rPr>
            </w:pPr>
          </w:p>
        </w:tc>
        <w:tc>
          <w:tcPr>
            <w:tcW w:w="1250" w:type="dxa"/>
            <w:vMerge/>
          </w:tcPr>
          <w:p w14:paraId="73A2852A" w14:textId="77777777" w:rsidR="00DD583B" w:rsidRPr="002E5C18" w:rsidRDefault="00DD583B" w:rsidP="005D2A90">
            <w:pPr>
              <w:rPr>
                <w:lang w:val="fr-FR"/>
              </w:rPr>
            </w:pPr>
          </w:p>
        </w:tc>
      </w:tr>
      <w:tr w:rsidR="00DD583B" w:rsidRPr="002E5C18" w14:paraId="5BB36EFE" w14:textId="77777777" w:rsidTr="005D2A90">
        <w:tc>
          <w:tcPr>
            <w:tcW w:w="2590" w:type="dxa"/>
            <w:vMerge/>
            <w:shd w:val="clear" w:color="auto" w:fill="DBE5F1" w:themeFill="accent1" w:themeFillTint="33"/>
            <w:vAlign w:val="center"/>
          </w:tcPr>
          <w:p w14:paraId="4D900953" w14:textId="77777777" w:rsidR="00DD583B" w:rsidRPr="002E5C18" w:rsidRDefault="00DD583B" w:rsidP="005D2A90">
            <w:pPr>
              <w:rPr>
                <w:lang w:val="fr-FR"/>
              </w:rPr>
            </w:pPr>
          </w:p>
        </w:tc>
        <w:tc>
          <w:tcPr>
            <w:tcW w:w="2832" w:type="dxa"/>
            <w:vAlign w:val="center"/>
          </w:tcPr>
          <w:p w14:paraId="29C28FAB" w14:textId="77777777" w:rsidR="00DD583B" w:rsidRDefault="00DD583B" w:rsidP="005D2A90">
            <w:pPr>
              <w:rPr>
                <w:rFonts w:ascii="Times New Roman" w:hAnsi="Times New Roman" w:cs="Times New Roman"/>
              </w:rPr>
            </w:pPr>
            <w:r w:rsidRPr="00C85CEE">
              <w:rPr>
                <w:rFonts w:ascii="Times New Roman" w:hAnsi="Times New Roman" w:cs="Times New Roman"/>
                <w:bCs/>
              </w:rPr>
              <w:t>Indicateur 3.7.3</w:t>
            </w:r>
            <w:r w:rsidRPr="00C85CEE">
              <w:rPr>
                <w:rFonts w:ascii="Times New Roman" w:hAnsi="Times New Roman" w:cs="Times New Roman"/>
              </w:rPr>
              <w:t xml:space="preserve"> Nombre d’initiatives appuyées par le programme en faveur de lois spécifiques aux droits des femmes et des enfants qui soient en conformité avec les standards internationaux</w:t>
            </w:r>
          </w:p>
          <w:p w14:paraId="280E56C8" w14:textId="77777777" w:rsidR="00DD583B" w:rsidRDefault="00DD583B" w:rsidP="005D2A90">
            <w:pPr>
              <w:rPr>
                <w:rFonts w:ascii="Times New Roman" w:hAnsi="Times New Roman" w:cs="Times New Roman"/>
              </w:rPr>
            </w:pPr>
          </w:p>
          <w:p w14:paraId="49241152" w14:textId="77777777" w:rsidR="00DD583B" w:rsidRDefault="00DD583B" w:rsidP="005D2A90">
            <w:pPr>
              <w:rPr>
                <w:rFonts w:ascii="Times New Roman" w:hAnsi="Times New Roman" w:cs="Times New Roman"/>
                <w:lang w:val="fr-FR"/>
              </w:rPr>
            </w:pPr>
            <w:r w:rsidRPr="002E5C18">
              <w:rPr>
                <w:rFonts w:ascii="Times New Roman" w:hAnsi="Times New Roman" w:cs="Times New Roman"/>
                <w:lang w:val="fr-FR"/>
              </w:rPr>
              <w:t>Base</w:t>
            </w:r>
            <w:r>
              <w:rPr>
                <w:rFonts w:ascii="Times New Roman" w:hAnsi="Times New Roman" w:cs="Times New Roman"/>
                <w:lang w:val="fr-FR"/>
              </w:rPr>
              <w:t> : 0/5</w:t>
            </w:r>
          </w:p>
          <w:p w14:paraId="07B94864" w14:textId="77777777" w:rsidR="00DD583B" w:rsidRDefault="00DD583B" w:rsidP="005D2A90">
            <w:pPr>
              <w:rPr>
                <w:rFonts w:ascii="Calibri" w:hAnsi="Calibri"/>
                <w:i/>
                <w:iCs/>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 xml:space="preserve"> 3/5 </w:t>
            </w:r>
          </w:p>
          <w:p w14:paraId="6A1AD062" w14:textId="77777777" w:rsidR="00DD583B" w:rsidRPr="002E5C18" w:rsidRDefault="00DD583B" w:rsidP="005D2A90">
            <w:pPr>
              <w:rPr>
                <w:lang w:val="fr-FR"/>
              </w:rPr>
            </w:pPr>
            <w:r>
              <w:rPr>
                <w:rFonts w:ascii="Times New Roman" w:hAnsi="Times New Roman" w:cs="Times New Roman"/>
                <w:lang w:val="fr-FR"/>
              </w:rPr>
              <w:t>Cible : 5/5</w:t>
            </w:r>
          </w:p>
        </w:tc>
        <w:tc>
          <w:tcPr>
            <w:tcW w:w="3874" w:type="dxa"/>
            <w:vAlign w:val="center"/>
          </w:tcPr>
          <w:p w14:paraId="21B93850"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Mode de calcul : Dénombrement des  initiatives appuyées par le programme en faveur de lois spécifiques aux droits des femmes et des enfants qui soient en conformité avec les standards internationaux</w:t>
            </w:r>
          </w:p>
          <w:p w14:paraId="59B22070"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Sources de données</w:t>
            </w:r>
            <w:r>
              <w:rPr>
                <w:rFonts w:ascii="Times New Roman" w:hAnsi="Times New Roman" w:cs="Times New Roman"/>
              </w:rPr>
              <w:t>/Moyens de vérification</w:t>
            </w:r>
            <w:r w:rsidRPr="00C85CEE">
              <w:rPr>
                <w:rFonts w:ascii="Times New Roman" w:hAnsi="Times New Roman" w:cs="Times New Roman"/>
              </w:rPr>
              <w:t> : Structures nationales promotrices de telles initiatives</w:t>
            </w:r>
          </w:p>
          <w:p w14:paraId="21935E8D" w14:textId="77777777" w:rsidR="00DD583B" w:rsidRPr="00C85CEE" w:rsidRDefault="00DD583B" w:rsidP="005D2A90">
            <w:pPr>
              <w:numPr>
                <w:ilvl w:val="0"/>
                <w:numId w:val="35"/>
              </w:numPr>
              <w:suppressAutoHyphens/>
              <w:rPr>
                <w:rFonts w:ascii="Times New Roman" w:hAnsi="Times New Roman" w:cs="Times New Roman"/>
              </w:rPr>
            </w:pPr>
            <w:r w:rsidRPr="00C85CEE">
              <w:rPr>
                <w:rFonts w:ascii="Times New Roman" w:hAnsi="Times New Roman" w:cs="Times New Roman"/>
              </w:rPr>
              <w:t>Périodicité : Annuelle</w:t>
            </w:r>
          </w:p>
          <w:p w14:paraId="2D9F1659" w14:textId="77777777" w:rsidR="00DD583B" w:rsidRPr="002E5C18" w:rsidRDefault="00DD583B" w:rsidP="005D2A90">
            <w:pPr>
              <w:pStyle w:val="Paragraphedeliste"/>
              <w:numPr>
                <w:ilvl w:val="0"/>
                <w:numId w:val="16"/>
              </w:numPr>
              <w:ind w:left="357" w:hanging="357"/>
              <w:rPr>
                <w:lang w:val="fr-FR"/>
              </w:rPr>
            </w:pPr>
            <w:r w:rsidRPr="00C85CEE">
              <w:rPr>
                <w:rFonts w:ascii="Times New Roman" w:hAnsi="Times New Roman" w:cs="Times New Roman"/>
              </w:rPr>
              <w:t>Maître d’œuvre : Groupe de Résultat</w:t>
            </w:r>
          </w:p>
        </w:tc>
        <w:tc>
          <w:tcPr>
            <w:tcW w:w="2648" w:type="dxa"/>
            <w:vMerge/>
          </w:tcPr>
          <w:p w14:paraId="4B2926FA" w14:textId="77777777" w:rsidR="00DD583B" w:rsidRPr="002E5C18" w:rsidRDefault="00DD583B" w:rsidP="005D2A90">
            <w:pPr>
              <w:rPr>
                <w:lang w:val="fr-FR"/>
              </w:rPr>
            </w:pPr>
          </w:p>
        </w:tc>
        <w:tc>
          <w:tcPr>
            <w:tcW w:w="1974" w:type="dxa"/>
            <w:vMerge/>
          </w:tcPr>
          <w:p w14:paraId="04C92C13" w14:textId="77777777" w:rsidR="00DD583B" w:rsidRPr="002E5C18" w:rsidRDefault="00DD583B" w:rsidP="005D2A90">
            <w:pPr>
              <w:rPr>
                <w:lang w:val="fr-FR"/>
              </w:rPr>
            </w:pPr>
          </w:p>
        </w:tc>
        <w:tc>
          <w:tcPr>
            <w:tcW w:w="1250" w:type="dxa"/>
            <w:vMerge/>
          </w:tcPr>
          <w:p w14:paraId="34AC93EB" w14:textId="77777777" w:rsidR="00DD583B" w:rsidRPr="002E5C18" w:rsidRDefault="00DD583B" w:rsidP="005D2A90">
            <w:pPr>
              <w:rPr>
                <w:lang w:val="fr-FR"/>
              </w:rPr>
            </w:pPr>
          </w:p>
        </w:tc>
      </w:tr>
      <w:tr w:rsidR="00DD583B" w:rsidRPr="002E5C18" w14:paraId="2256D892" w14:textId="77777777" w:rsidTr="005D2A90">
        <w:tc>
          <w:tcPr>
            <w:tcW w:w="15168" w:type="dxa"/>
            <w:gridSpan w:val="6"/>
          </w:tcPr>
          <w:p w14:paraId="277A8541" w14:textId="77777777" w:rsidR="00DD583B" w:rsidRPr="006749DE" w:rsidRDefault="00DD583B" w:rsidP="005D2A90">
            <w:pPr>
              <w:pStyle w:val="Titre2"/>
              <w:jc w:val="center"/>
              <w:outlineLvl w:val="1"/>
              <w:rPr>
                <w:color w:val="auto"/>
                <w:sz w:val="28"/>
                <w:szCs w:val="28"/>
                <w:lang w:val="fr-FR"/>
              </w:rPr>
            </w:pPr>
            <w:r w:rsidRPr="006749DE">
              <w:rPr>
                <w:rFonts w:ascii="Calibri" w:hAnsi="Calibri" w:cs="Calibri"/>
                <w:color w:val="auto"/>
                <w:sz w:val="28"/>
                <w:szCs w:val="28"/>
              </w:rPr>
              <w:lastRenderedPageBreak/>
              <w:br w:type="page"/>
            </w:r>
            <w:r w:rsidRPr="006749DE">
              <w:rPr>
                <w:rFonts w:cs="Calibri"/>
                <w:color w:val="auto"/>
                <w:sz w:val="28"/>
                <w:szCs w:val="28"/>
              </w:rPr>
              <w:t xml:space="preserve">Matrice des résultats UNDAF+ </w:t>
            </w:r>
            <w:r w:rsidRPr="006749DE">
              <w:rPr>
                <w:color w:val="auto"/>
                <w:sz w:val="28"/>
                <w:szCs w:val="28"/>
              </w:rPr>
              <w:t>Axe 3 : Services Sociaux de Base</w:t>
            </w:r>
          </w:p>
        </w:tc>
      </w:tr>
      <w:tr w:rsidR="00DD583B" w:rsidRPr="003A5F01" w14:paraId="55EB0321" w14:textId="77777777" w:rsidTr="005D2A90">
        <w:tc>
          <w:tcPr>
            <w:tcW w:w="15168" w:type="dxa"/>
            <w:gridSpan w:val="6"/>
            <w:shd w:val="clear" w:color="auto" w:fill="DBE5F1" w:themeFill="accent1" w:themeFillTint="33"/>
            <w:vAlign w:val="center"/>
          </w:tcPr>
          <w:p w14:paraId="78BF173A" w14:textId="77777777" w:rsidR="00DD583B" w:rsidRPr="003A5F01" w:rsidRDefault="00DD583B" w:rsidP="005D2A90">
            <w:pPr>
              <w:jc w:val="center"/>
              <w:rPr>
                <w:b/>
                <w:sz w:val="24"/>
                <w:szCs w:val="24"/>
                <w:lang w:val="fr-FR"/>
              </w:rPr>
            </w:pPr>
            <w:r w:rsidRPr="003A5F01">
              <w:rPr>
                <w:rFonts w:asciiTheme="minorHAnsi" w:hAnsiTheme="minorHAnsi" w:cs="Calibri"/>
                <w:b/>
                <w:bCs/>
                <w:sz w:val="24"/>
                <w:szCs w:val="24"/>
              </w:rPr>
              <w:t xml:space="preserve">Priorité nationale : </w:t>
            </w:r>
            <w:r w:rsidRPr="003A5F01">
              <w:rPr>
                <w:rFonts w:asciiTheme="minorHAnsi" w:hAnsiTheme="minorHAnsi"/>
                <w:b/>
                <w:sz w:val="24"/>
                <w:szCs w:val="24"/>
              </w:rPr>
              <w:t xml:space="preserve">reconstruction de l’école malienne et  </w:t>
            </w:r>
            <w:r w:rsidRPr="003A5F01">
              <w:rPr>
                <w:rFonts w:asciiTheme="minorHAnsi" w:hAnsiTheme="minorHAnsi" w:cs="TimesNewRomanPS-BoldMT"/>
                <w:b/>
                <w:bCs/>
                <w:sz w:val="24"/>
                <w:szCs w:val="24"/>
              </w:rPr>
              <w:t>mise en œuvre d’une politique active de développement social</w:t>
            </w:r>
          </w:p>
        </w:tc>
      </w:tr>
      <w:tr w:rsidR="00DD583B" w:rsidRPr="002E5C18" w14:paraId="7DA1008D" w14:textId="77777777" w:rsidTr="005D2A90">
        <w:tc>
          <w:tcPr>
            <w:tcW w:w="2590" w:type="dxa"/>
          </w:tcPr>
          <w:p w14:paraId="33E3FAF5" w14:textId="77777777" w:rsidR="00DD583B" w:rsidRPr="002E5C18" w:rsidRDefault="00DD583B" w:rsidP="005D2A90">
            <w:pPr>
              <w:pStyle w:val="Corpsdetexte"/>
              <w:spacing w:line="240" w:lineRule="auto"/>
              <w:jc w:val="left"/>
              <w:rPr>
                <w:rFonts w:asciiTheme="minorHAnsi" w:hAnsiTheme="minorHAnsi" w:cstheme="minorHAnsi"/>
                <w:b/>
                <w:bCs/>
                <w:i/>
                <w:sz w:val="20"/>
                <w:szCs w:val="20"/>
                <w:u w:val="single"/>
                <w:lang w:val="fr-FR"/>
              </w:rPr>
            </w:pPr>
            <w:r w:rsidRPr="002E5C18">
              <w:rPr>
                <w:lang w:val="fr-FR"/>
              </w:rPr>
              <w:t>Effet UNDAF</w:t>
            </w:r>
          </w:p>
        </w:tc>
        <w:tc>
          <w:tcPr>
            <w:tcW w:w="2832" w:type="dxa"/>
          </w:tcPr>
          <w:p w14:paraId="4C1F470B" w14:textId="77777777" w:rsidR="00DD583B" w:rsidRPr="002E5C18" w:rsidRDefault="00DD583B" w:rsidP="005D2A90">
            <w:pPr>
              <w:rPr>
                <w:lang w:val="fr-FR"/>
              </w:rPr>
            </w:pPr>
            <w:r w:rsidRPr="002E5C18">
              <w:rPr>
                <w:rFonts w:asciiTheme="minorHAnsi" w:hAnsiTheme="minorHAnsi" w:cs="Calibri"/>
                <w:b/>
                <w:bCs/>
                <w:sz w:val="18"/>
                <w:szCs w:val="18"/>
                <w:lang w:val="fr-FR"/>
              </w:rPr>
              <w:t>Indicateurs, lignes de base, Cible</w:t>
            </w:r>
          </w:p>
        </w:tc>
        <w:tc>
          <w:tcPr>
            <w:tcW w:w="3874" w:type="dxa"/>
          </w:tcPr>
          <w:p w14:paraId="66F55A1E" w14:textId="77777777" w:rsidR="00DD583B" w:rsidRPr="002E5C18" w:rsidRDefault="00DD583B" w:rsidP="005D2A90">
            <w:pPr>
              <w:rPr>
                <w:lang w:val="fr-FR"/>
              </w:rPr>
            </w:pPr>
            <w:r w:rsidRPr="002E5C18">
              <w:rPr>
                <w:lang w:val="fr-FR"/>
              </w:rPr>
              <w:t>Fiche technique</w:t>
            </w:r>
          </w:p>
        </w:tc>
        <w:tc>
          <w:tcPr>
            <w:tcW w:w="2648" w:type="dxa"/>
            <w:vAlign w:val="center"/>
          </w:tcPr>
          <w:p w14:paraId="6D8F2B07" w14:textId="77777777" w:rsidR="00DD583B" w:rsidRPr="002E5C18" w:rsidRDefault="00DD583B" w:rsidP="005D2A90">
            <w:pPr>
              <w:rPr>
                <w:lang w:val="fr-FR"/>
              </w:rPr>
            </w:pPr>
            <w:r w:rsidRPr="002E5C18">
              <w:rPr>
                <w:rFonts w:asciiTheme="minorHAnsi" w:hAnsiTheme="minorHAnsi" w:cs="Calibri"/>
                <w:b/>
                <w:bCs/>
                <w:sz w:val="18"/>
                <w:szCs w:val="18"/>
                <w:lang w:val="fr-FR"/>
              </w:rPr>
              <w:t>Risques et hypothèses</w:t>
            </w:r>
          </w:p>
        </w:tc>
        <w:tc>
          <w:tcPr>
            <w:tcW w:w="1974" w:type="dxa"/>
            <w:vAlign w:val="center"/>
          </w:tcPr>
          <w:p w14:paraId="2872AE98" w14:textId="77777777" w:rsidR="00DD583B" w:rsidRPr="002E5C18" w:rsidRDefault="00DD583B" w:rsidP="005D2A90">
            <w:pPr>
              <w:rPr>
                <w:lang w:val="fr-FR"/>
              </w:rPr>
            </w:pPr>
            <w:r w:rsidRPr="002E5C18">
              <w:rPr>
                <w:rFonts w:asciiTheme="minorHAnsi" w:hAnsiTheme="minorHAnsi" w:cs="Calibri"/>
                <w:b/>
                <w:bCs/>
                <w:sz w:val="18"/>
                <w:szCs w:val="18"/>
                <w:lang w:val="fr-FR"/>
              </w:rPr>
              <w:t>Rôle des  Partenaires</w:t>
            </w:r>
          </w:p>
        </w:tc>
        <w:tc>
          <w:tcPr>
            <w:tcW w:w="1250" w:type="dxa"/>
          </w:tcPr>
          <w:p w14:paraId="52A0CB38" w14:textId="77777777" w:rsidR="00DD583B" w:rsidRPr="002E5C18" w:rsidRDefault="00DD583B" w:rsidP="005D2A90">
            <w:pPr>
              <w:rPr>
                <w:lang w:val="fr-FR"/>
              </w:rPr>
            </w:pPr>
            <w:r w:rsidRPr="002E5C18">
              <w:rPr>
                <w:lang w:val="fr-FR"/>
              </w:rPr>
              <w:t>Ressources</w:t>
            </w:r>
          </w:p>
        </w:tc>
      </w:tr>
      <w:tr w:rsidR="00DD583B" w:rsidRPr="002E5C18" w14:paraId="46BD8A02" w14:textId="77777777" w:rsidTr="005D2A90">
        <w:tc>
          <w:tcPr>
            <w:tcW w:w="2590" w:type="dxa"/>
            <w:shd w:val="clear" w:color="auto" w:fill="8DB3E2" w:themeFill="text2" w:themeFillTint="66"/>
          </w:tcPr>
          <w:p w14:paraId="249F1FEE" w14:textId="77777777" w:rsidR="00DD583B" w:rsidRPr="002E5C18" w:rsidRDefault="00DD583B" w:rsidP="005D2A90">
            <w:pPr>
              <w:pStyle w:val="Corpsdetexte"/>
              <w:spacing w:line="240" w:lineRule="auto"/>
              <w:jc w:val="left"/>
              <w:rPr>
                <w:rFonts w:asciiTheme="minorHAnsi" w:hAnsiTheme="minorHAnsi" w:cs="Times New Roman"/>
                <w:b/>
                <w:bCs/>
                <w:iCs/>
                <w:sz w:val="20"/>
                <w:szCs w:val="20"/>
                <w:lang w:val="fr-FR"/>
              </w:rPr>
            </w:pPr>
            <w:r w:rsidRPr="002E5C18">
              <w:rPr>
                <w:rFonts w:asciiTheme="minorHAnsi" w:hAnsiTheme="minorHAnsi" w:cs="Times New Roman"/>
                <w:b/>
                <w:bCs/>
                <w:i/>
                <w:sz w:val="20"/>
                <w:szCs w:val="20"/>
                <w:u w:val="single"/>
                <w:lang w:val="fr-FR"/>
              </w:rPr>
              <w:t xml:space="preserve">Effet 4 </w:t>
            </w:r>
            <w:r w:rsidRPr="002E5C18">
              <w:rPr>
                <w:rFonts w:asciiTheme="minorHAnsi" w:hAnsiTheme="minorHAnsi" w:cs="Times New Roman"/>
                <w:b/>
                <w:bCs/>
                <w:i/>
                <w:sz w:val="20"/>
                <w:szCs w:val="20"/>
                <w:lang w:val="fr-FR"/>
              </w:rPr>
              <w:t xml:space="preserve">: </w:t>
            </w:r>
            <w:r w:rsidRPr="002E5C18">
              <w:rPr>
                <w:rFonts w:asciiTheme="minorHAnsi" w:hAnsiTheme="minorHAnsi" w:cs="Times New Roman"/>
                <w:b/>
                <w:bCs/>
                <w:iCs/>
                <w:sz w:val="20"/>
                <w:szCs w:val="20"/>
                <w:lang w:val="fr-FR"/>
              </w:rPr>
              <w:t>D’ici 2019, les populations, en particulier les femmes et les enfants les plus vulnérables et celles affectées par les crises, ont un accès accru et équitable et utilisent les SSB de qualité</w:t>
            </w:r>
          </w:p>
          <w:p w14:paraId="0798A6EF" w14:textId="77777777" w:rsidR="00DD583B" w:rsidRPr="002E5C18" w:rsidRDefault="00DD583B" w:rsidP="005D2A90">
            <w:pPr>
              <w:pStyle w:val="Corpsdetexte"/>
              <w:spacing w:line="240" w:lineRule="auto"/>
              <w:jc w:val="left"/>
              <w:rPr>
                <w:rFonts w:asciiTheme="minorHAnsi" w:hAnsiTheme="minorHAnsi" w:cs="Times New Roman"/>
                <w:b/>
                <w:sz w:val="20"/>
                <w:szCs w:val="20"/>
                <w:u w:val="single"/>
                <w:lang w:val="fr-FR"/>
              </w:rPr>
            </w:pPr>
          </w:p>
          <w:p w14:paraId="0648DE84" w14:textId="77777777" w:rsidR="00DD583B" w:rsidRPr="002E5C18" w:rsidRDefault="00DD583B" w:rsidP="005D2A90">
            <w:pPr>
              <w:pStyle w:val="Corpsdetexte"/>
              <w:spacing w:line="240" w:lineRule="auto"/>
              <w:jc w:val="left"/>
              <w:rPr>
                <w:rFonts w:asciiTheme="minorHAnsi" w:hAnsiTheme="minorHAnsi" w:cs="Times New Roman"/>
                <w:b/>
                <w:sz w:val="20"/>
                <w:szCs w:val="20"/>
                <w:lang w:val="fr-FR"/>
              </w:rPr>
            </w:pPr>
            <w:r w:rsidRPr="002E5C18">
              <w:rPr>
                <w:rFonts w:asciiTheme="minorHAnsi" w:hAnsiTheme="minorHAnsi" w:cs="Times New Roman"/>
                <w:b/>
                <w:sz w:val="20"/>
                <w:szCs w:val="20"/>
                <w:u w:val="single"/>
                <w:lang w:val="fr-FR"/>
              </w:rPr>
              <w:t>Lead</w:t>
            </w:r>
            <w:r w:rsidRPr="002E5C18">
              <w:rPr>
                <w:rFonts w:asciiTheme="minorHAnsi" w:hAnsiTheme="minorHAnsi" w:cs="Times New Roman"/>
                <w:b/>
                <w:sz w:val="20"/>
                <w:szCs w:val="20"/>
                <w:lang w:val="fr-FR"/>
              </w:rPr>
              <w:t xml:space="preserve"> : Gouvernement</w:t>
            </w:r>
          </w:p>
          <w:p w14:paraId="348D3091" w14:textId="77777777" w:rsidR="00DD583B" w:rsidRPr="002E5C18" w:rsidRDefault="00DD583B" w:rsidP="005D2A90">
            <w:pPr>
              <w:pStyle w:val="Corpsdetexte"/>
              <w:spacing w:line="240" w:lineRule="auto"/>
              <w:jc w:val="left"/>
              <w:rPr>
                <w:rFonts w:asciiTheme="minorHAnsi" w:hAnsiTheme="minorHAnsi" w:cs="Times New Roman"/>
                <w:b/>
                <w:sz w:val="20"/>
                <w:szCs w:val="20"/>
                <w:u w:val="single"/>
                <w:lang w:val="fr-FR"/>
              </w:rPr>
            </w:pPr>
            <w:r w:rsidRPr="002E5C18">
              <w:rPr>
                <w:rFonts w:asciiTheme="minorHAnsi" w:hAnsiTheme="minorHAnsi" w:cs="Times New Roman"/>
                <w:b/>
                <w:sz w:val="20"/>
                <w:szCs w:val="20"/>
                <w:u w:val="single"/>
                <w:lang w:val="fr-FR"/>
              </w:rPr>
              <w:t>Co-lead</w:t>
            </w:r>
            <w:r w:rsidRPr="002E5C18">
              <w:rPr>
                <w:rFonts w:asciiTheme="minorHAnsi" w:hAnsiTheme="minorHAnsi" w:cs="Times New Roman"/>
                <w:b/>
                <w:sz w:val="20"/>
                <w:szCs w:val="20"/>
                <w:lang w:val="fr-FR"/>
              </w:rPr>
              <w:t> : UNFPA, UNICEF,</w:t>
            </w:r>
          </w:p>
          <w:p w14:paraId="278CF083" w14:textId="77777777" w:rsidR="00DD583B" w:rsidRPr="002E5C18" w:rsidRDefault="00DD583B" w:rsidP="005D2A90">
            <w:pPr>
              <w:pStyle w:val="Corpsdetexte"/>
              <w:spacing w:line="240" w:lineRule="auto"/>
              <w:jc w:val="left"/>
              <w:rPr>
                <w:rFonts w:asciiTheme="minorHAnsi" w:hAnsiTheme="minorHAnsi" w:cs="Times New Roman"/>
                <w:b/>
                <w:sz w:val="20"/>
                <w:szCs w:val="20"/>
                <w:u w:val="single"/>
                <w:lang w:val="fr-FR"/>
              </w:rPr>
            </w:pPr>
          </w:p>
          <w:p w14:paraId="64F39027" w14:textId="77777777" w:rsidR="00DD583B" w:rsidRPr="002E5C18" w:rsidRDefault="00DD583B" w:rsidP="005D2A90">
            <w:pPr>
              <w:pStyle w:val="Corpsdetexte"/>
              <w:spacing w:line="240" w:lineRule="auto"/>
              <w:jc w:val="left"/>
              <w:rPr>
                <w:rFonts w:asciiTheme="minorHAnsi" w:hAnsiTheme="minorHAnsi" w:cs="Times New Roman"/>
                <w:b/>
                <w:sz w:val="20"/>
                <w:szCs w:val="20"/>
                <w:lang w:val="fr-FR"/>
              </w:rPr>
            </w:pPr>
          </w:p>
          <w:p w14:paraId="6EEE1BB4" w14:textId="77777777" w:rsidR="00DD583B" w:rsidRPr="002E5C18" w:rsidRDefault="00DD583B" w:rsidP="005D2A90">
            <w:pPr>
              <w:pStyle w:val="Corpsdetexte"/>
              <w:spacing w:line="240" w:lineRule="auto"/>
              <w:jc w:val="left"/>
              <w:rPr>
                <w:rFonts w:asciiTheme="minorHAnsi" w:hAnsiTheme="minorHAnsi" w:cs="Times New Roman"/>
                <w:sz w:val="20"/>
                <w:szCs w:val="20"/>
                <w:lang w:val="fr-FR"/>
              </w:rPr>
            </w:pPr>
            <w:r w:rsidRPr="002E5C18">
              <w:rPr>
                <w:rFonts w:asciiTheme="minorHAnsi" w:hAnsiTheme="minorHAnsi" w:cs="Times New Roman"/>
                <w:b/>
                <w:sz w:val="20"/>
                <w:szCs w:val="20"/>
                <w:u w:val="single"/>
                <w:lang w:val="fr-FR"/>
              </w:rPr>
              <w:t>Autre</w:t>
            </w:r>
            <w:r w:rsidRPr="002E5C18">
              <w:rPr>
                <w:rFonts w:asciiTheme="minorHAnsi" w:hAnsiTheme="minorHAnsi" w:cs="Times New Roman"/>
                <w:b/>
                <w:sz w:val="20"/>
                <w:szCs w:val="20"/>
                <w:lang w:val="fr-FR"/>
              </w:rPr>
              <w:t xml:space="preserve"> : </w:t>
            </w:r>
          </w:p>
          <w:p w14:paraId="3FA9CC0A" w14:textId="77777777" w:rsidR="00DD583B" w:rsidRPr="002E5C18" w:rsidRDefault="00DD583B" w:rsidP="005D2A90">
            <w:pPr>
              <w:pStyle w:val="Corpsdetexte"/>
              <w:spacing w:line="240" w:lineRule="auto"/>
              <w:jc w:val="left"/>
              <w:rPr>
                <w:rFonts w:asciiTheme="minorHAnsi" w:hAnsiTheme="minorHAnsi" w:cs="Times New Roman"/>
                <w:b/>
                <w:sz w:val="20"/>
                <w:szCs w:val="20"/>
                <w:lang w:val="fr-FR"/>
              </w:rPr>
            </w:pPr>
            <w:r w:rsidRPr="002E5C18">
              <w:rPr>
                <w:rFonts w:asciiTheme="minorHAnsi" w:hAnsiTheme="minorHAnsi" w:cs="Times New Roman"/>
                <w:b/>
                <w:sz w:val="20"/>
                <w:szCs w:val="20"/>
                <w:lang w:val="fr-FR"/>
              </w:rPr>
              <w:t>OMS, PAM, UNESCO, ONUSIDA, ONUFEMME, FAO, UNHCR ; OCHA ;  PNUD ; Banque Mondiale</w:t>
            </w:r>
          </w:p>
          <w:p w14:paraId="70057B04" w14:textId="77777777" w:rsidR="00DD583B" w:rsidRPr="002E5C18" w:rsidRDefault="00DD583B" w:rsidP="005D2A90">
            <w:pPr>
              <w:pStyle w:val="Corpsdetexte"/>
              <w:spacing w:line="240" w:lineRule="auto"/>
              <w:jc w:val="left"/>
              <w:rPr>
                <w:rFonts w:asciiTheme="minorHAnsi" w:hAnsiTheme="minorHAnsi" w:cs="Times New Roman"/>
                <w:b/>
                <w:sz w:val="20"/>
                <w:szCs w:val="20"/>
                <w:lang w:val="fr-FR"/>
              </w:rPr>
            </w:pPr>
          </w:p>
          <w:p w14:paraId="1D4D2B10" w14:textId="77777777" w:rsidR="00DD583B" w:rsidRPr="002E5C18" w:rsidRDefault="00DD583B" w:rsidP="005D2A90">
            <w:pPr>
              <w:pStyle w:val="Corpsdetexte"/>
              <w:spacing w:line="240" w:lineRule="auto"/>
              <w:jc w:val="left"/>
              <w:rPr>
                <w:rFonts w:asciiTheme="minorHAnsi" w:hAnsiTheme="minorHAnsi" w:cs="Times New Roman"/>
                <w:b/>
                <w:bCs/>
                <w:i/>
                <w:sz w:val="20"/>
                <w:szCs w:val="20"/>
                <w:u w:val="single"/>
              </w:rPr>
            </w:pPr>
          </w:p>
        </w:tc>
        <w:tc>
          <w:tcPr>
            <w:tcW w:w="2832" w:type="dxa"/>
            <w:vAlign w:val="center"/>
          </w:tcPr>
          <w:p w14:paraId="3479B9CA" w14:textId="77777777" w:rsidR="00DD583B" w:rsidRDefault="00DD583B" w:rsidP="005D2A90">
            <w:pPr>
              <w:rPr>
                <w:rFonts w:ascii="Times New Roman" w:hAnsi="Times New Roman" w:cs="Times New Roman"/>
                <w:bCs/>
              </w:rPr>
            </w:pPr>
            <w:r w:rsidRPr="008B71B5">
              <w:rPr>
                <w:rFonts w:ascii="Times New Roman" w:hAnsi="Times New Roman" w:cs="Times New Roman"/>
                <w:bCs/>
              </w:rPr>
              <w:t>Prévalence contraceptive</w:t>
            </w:r>
          </w:p>
          <w:p w14:paraId="3CD93DF8" w14:textId="77777777" w:rsidR="00DD583B" w:rsidRDefault="00DD583B" w:rsidP="005D2A90">
            <w:pPr>
              <w:rPr>
                <w:rFonts w:ascii="Times New Roman" w:hAnsi="Times New Roman" w:cs="Times New Roman"/>
                <w:bCs/>
              </w:rPr>
            </w:pPr>
          </w:p>
          <w:p w14:paraId="752B26C9" w14:textId="77777777" w:rsidR="00DD583B" w:rsidRDefault="00DD583B" w:rsidP="005D2A90">
            <w:pPr>
              <w:rPr>
                <w:rFonts w:ascii="Times New Roman" w:hAnsi="Times New Roman" w:cs="Times New Roman"/>
                <w:bCs/>
              </w:rPr>
            </w:pPr>
            <w:r>
              <w:rPr>
                <w:rFonts w:ascii="Times New Roman" w:hAnsi="Times New Roman" w:cs="Times New Roman"/>
                <w:bCs/>
              </w:rPr>
              <w:t xml:space="preserve">Base : </w:t>
            </w:r>
            <w:r w:rsidRPr="008B71B5">
              <w:rPr>
                <w:rFonts w:ascii="Times New Roman" w:hAnsi="Times New Roman" w:cs="Times New Roman"/>
                <w:bCs/>
              </w:rPr>
              <w:t>10 % (EDS-M V  2012);</w:t>
            </w:r>
          </w:p>
          <w:p w14:paraId="137BE91B" w14:textId="77777777" w:rsidR="00DD583B" w:rsidRDefault="00DD583B" w:rsidP="005D2A90">
            <w:pPr>
              <w:rPr>
                <w:rFonts w:ascii="Times New Roman" w:hAnsi="Times New Roman" w:cs="Times New Roman"/>
                <w:bCs/>
              </w:rPr>
            </w:pPr>
          </w:p>
          <w:p w14:paraId="13AA5C7F"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20,01%</w:t>
            </w:r>
          </w:p>
          <w:p w14:paraId="09AB23A5" w14:textId="77777777" w:rsidR="00DD583B" w:rsidRDefault="00DD583B" w:rsidP="005D2A90">
            <w:pPr>
              <w:rPr>
                <w:rFonts w:ascii="Times New Roman" w:hAnsi="Times New Roman" w:cs="Times New Roman"/>
                <w:bCs/>
              </w:rPr>
            </w:pPr>
          </w:p>
          <w:p w14:paraId="05832A91" w14:textId="77777777" w:rsidR="00DD583B" w:rsidRPr="002E5C18" w:rsidRDefault="00DD583B" w:rsidP="005D2A90">
            <w:r>
              <w:rPr>
                <w:rFonts w:ascii="Times New Roman" w:hAnsi="Times New Roman" w:cs="Times New Roman"/>
                <w:bCs/>
              </w:rPr>
              <w:t xml:space="preserve">Cible : </w:t>
            </w:r>
            <w:r w:rsidRPr="008B71B5">
              <w:rPr>
                <w:rFonts w:ascii="Times New Roman" w:hAnsi="Times New Roman" w:cs="Times New Roman"/>
                <w:bCs/>
              </w:rPr>
              <w:t>15%</w:t>
            </w:r>
          </w:p>
        </w:tc>
        <w:tc>
          <w:tcPr>
            <w:tcW w:w="3874" w:type="dxa"/>
            <w:vAlign w:val="center"/>
          </w:tcPr>
          <w:p w14:paraId="1404A3F1" w14:textId="77777777" w:rsidR="00DD583B" w:rsidRDefault="00DD583B" w:rsidP="005D2A90">
            <w:pPr>
              <w:pStyle w:val="Paragraphedeliste"/>
              <w:numPr>
                <w:ilvl w:val="0"/>
                <w:numId w:val="36"/>
              </w:numPr>
              <w:suppressAutoHyphens/>
              <w:rPr>
                <w:rFonts w:ascii="Times New Roman" w:hAnsi="Times New Roman" w:cs="Times New Roman"/>
              </w:rPr>
            </w:pPr>
            <w:r w:rsidRPr="00880F37">
              <w:rPr>
                <w:rFonts w:ascii="Times New Roman" w:hAnsi="Times New Roman" w:cs="Times New Roman"/>
              </w:rPr>
              <w:t>Mode de calcul : Rapport Nb de personnes utilisant la contraception, sur population éligible à la contraception</w:t>
            </w:r>
          </w:p>
          <w:p w14:paraId="11120EEC" w14:textId="77777777" w:rsidR="00DD583B" w:rsidRDefault="00DD583B" w:rsidP="005D2A90">
            <w:pPr>
              <w:pStyle w:val="Paragraphedeliste"/>
              <w:numPr>
                <w:ilvl w:val="0"/>
                <w:numId w:val="36"/>
              </w:numPr>
              <w:suppressAutoHyphens/>
              <w:rPr>
                <w:rFonts w:ascii="Times New Roman" w:hAnsi="Times New Roman" w:cs="Times New Roman"/>
              </w:rPr>
            </w:pPr>
            <w:r w:rsidRPr="00880F37">
              <w:rPr>
                <w:rFonts w:ascii="Times New Roman" w:hAnsi="Times New Roman" w:cs="Times New Roman"/>
              </w:rPr>
              <w:t>Sources de données</w:t>
            </w:r>
            <w:r>
              <w:rPr>
                <w:rFonts w:ascii="Times New Roman" w:hAnsi="Times New Roman" w:cs="Times New Roman"/>
              </w:rPr>
              <w:t>/Moyens de vérification</w:t>
            </w:r>
            <w:r w:rsidRPr="00880F37">
              <w:rPr>
                <w:rFonts w:ascii="Times New Roman" w:hAnsi="Times New Roman" w:cs="Times New Roman"/>
              </w:rPr>
              <w:t> : Enquêtes nationales</w:t>
            </w:r>
          </w:p>
          <w:p w14:paraId="7CD33A50" w14:textId="77777777" w:rsidR="00DD583B" w:rsidRDefault="00DD583B" w:rsidP="005D2A90">
            <w:pPr>
              <w:pStyle w:val="Paragraphedeliste"/>
              <w:numPr>
                <w:ilvl w:val="0"/>
                <w:numId w:val="36"/>
              </w:numPr>
              <w:suppressAutoHyphens/>
              <w:rPr>
                <w:rFonts w:ascii="Times New Roman" w:hAnsi="Times New Roman" w:cs="Times New Roman"/>
              </w:rPr>
            </w:pPr>
            <w:r w:rsidRPr="00880F37">
              <w:rPr>
                <w:rFonts w:ascii="Times New Roman" w:hAnsi="Times New Roman" w:cs="Times New Roman"/>
              </w:rPr>
              <w:t xml:space="preserve">Périodicité : </w:t>
            </w:r>
            <w:r>
              <w:rPr>
                <w:rFonts w:ascii="Times New Roman" w:hAnsi="Times New Roman" w:cs="Times New Roman"/>
              </w:rPr>
              <w:t xml:space="preserve">Prochain EDSM prevu en 2018 </w:t>
            </w:r>
          </w:p>
          <w:p w14:paraId="4E71134F" w14:textId="77777777" w:rsidR="00DD583B" w:rsidRDefault="00DD583B" w:rsidP="005D2A90">
            <w:pPr>
              <w:pStyle w:val="Paragraphedeliste"/>
              <w:numPr>
                <w:ilvl w:val="0"/>
                <w:numId w:val="36"/>
              </w:numPr>
            </w:pPr>
            <w:r w:rsidRPr="00880F37">
              <w:rPr>
                <w:rFonts w:ascii="Times New Roman" w:hAnsi="Times New Roman" w:cs="Times New Roman"/>
              </w:rPr>
              <w:t>Maître d’œuvre : Système statistique national</w:t>
            </w:r>
          </w:p>
        </w:tc>
        <w:tc>
          <w:tcPr>
            <w:tcW w:w="2648" w:type="dxa"/>
          </w:tcPr>
          <w:p w14:paraId="62FEAE77" w14:textId="77777777" w:rsidR="00DD583B" w:rsidRPr="002E5C18" w:rsidRDefault="00DD583B" w:rsidP="005D2A90">
            <w:pPr>
              <w:rPr>
                <w:rFonts w:cs="Calibri"/>
                <w:b/>
                <w:sz w:val="18"/>
                <w:szCs w:val="18"/>
              </w:rPr>
            </w:pPr>
            <w:r w:rsidRPr="002E5C18">
              <w:rPr>
                <w:rFonts w:cs="Calibri"/>
                <w:b/>
                <w:sz w:val="18"/>
                <w:szCs w:val="18"/>
              </w:rPr>
              <w:t>Hypothèses :</w:t>
            </w:r>
          </w:p>
          <w:p w14:paraId="5F77F33B" w14:textId="77777777" w:rsidR="00DD583B" w:rsidRPr="002E5C18" w:rsidRDefault="00DD583B" w:rsidP="005D2A90">
            <w:pPr>
              <w:rPr>
                <w:rFonts w:cs="Calibri"/>
                <w:sz w:val="18"/>
                <w:szCs w:val="18"/>
              </w:rPr>
            </w:pPr>
            <w:r w:rsidRPr="002E5C18">
              <w:rPr>
                <w:rFonts w:cs="Calibri"/>
                <w:sz w:val="18"/>
                <w:szCs w:val="18"/>
              </w:rPr>
              <w:t>Disponibilité de ressources (matérielles, financières et humaines)</w:t>
            </w:r>
          </w:p>
          <w:p w14:paraId="17BAFCC5" w14:textId="77777777" w:rsidR="00DD583B" w:rsidRPr="002E5C18" w:rsidRDefault="00DD583B" w:rsidP="005D2A90">
            <w:pPr>
              <w:rPr>
                <w:rFonts w:cs="Calibri"/>
                <w:b/>
                <w:sz w:val="18"/>
                <w:szCs w:val="18"/>
              </w:rPr>
            </w:pPr>
          </w:p>
          <w:p w14:paraId="7B7FDF57" w14:textId="77777777" w:rsidR="00DD583B" w:rsidRPr="002E5C18" w:rsidRDefault="00DD583B" w:rsidP="005D2A90">
            <w:pPr>
              <w:rPr>
                <w:rFonts w:cs="Calibri"/>
                <w:sz w:val="18"/>
                <w:szCs w:val="18"/>
              </w:rPr>
            </w:pPr>
            <w:r w:rsidRPr="002E5C18">
              <w:rPr>
                <w:rFonts w:cs="Calibri"/>
                <w:sz w:val="18"/>
                <w:szCs w:val="18"/>
              </w:rPr>
              <w:t>Maitrise des effectifs des populations déplacées et d’accueil</w:t>
            </w:r>
          </w:p>
          <w:p w14:paraId="73A7FB46" w14:textId="77777777" w:rsidR="00DD583B" w:rsidRPr="002E5C18" w:rsidRDefault="00DD583B" w:rsidP="005D2A90">
            <w:pPr>
              <w:rPr>
                <w:rFonts w:cs="Calibri"/>
                <w:sz w:val="18"/>
                <w:szCs w:val="18"/>
              </w:rPr>
            </w:pPr>
          </w:p>
          <w:p w14:paraId="0E5F9136" w14:textId="77777777" w:rsidR="00DD583B" w:rsidRPr="002E5C18" w:rsidRDefault="00DD583B" w:rsidP="005D2A90">
            <w:pPr>
              <w:rPr>
                <w:rFonts w:cs="Calibri"/>
                <w:sz w:val="18"/>
                <w:szCs w:val="18"/>
              </w:rPr>
            </w:pPr>
            <w:r w:rsidRPr="002E5C18">
              <w:rPr>
                <w:rFonts w:cs="Calibri"/>
                <w:sz w:val="18"/>
                <w:szCs w:val="18"/>
              </w:rPr>
              <w:t>Risques :</w:t>
            </w:r>
          </w:p>
          <w:p w14:paraId="035283F0" w14:textId="77777777" w:rsidR="00DD583B" w:rsidRPr="002E5C18" w:rsidRDefault="00DD583B" w:rsidP="005D2A90">
            <w:pPr>
              <w:rPr>
                <w:rFonts w:cs="Calibri"/>
                <w:b/>
                <w:sz w:val="18"/>
                <w:szCs w:val="18"/>
              </w:rPr>
            </w:pPr>
            <w:r w:rsidRPr="002E5C18">
              <w:rPr>
                <w:rFonts w:cs="Calibri"/>
                <w:sz w:val="18"/>
                <w:szCs w:val="18"/>
              </w:rPr>
              <w:t>instabilité  politique et institutionnelle</w:t>
            </w:r>
            <w:r w:rsidRPr="002E5C18">
              <w:rPr>
                <w:rFonts w:cs="Calibri"/>
                <w:b/>
                <w:sz w:val="18"/>
                <w:szCs w:val="18"/>
              </w:rPr>
              <w:t xml:space="preserve">. </w:t>
            </w:r>
          </w:p>
          <w:p w14:paraId="0F9C2DF6" w14:textId="77777777" w:rsidR="00DD583B" w:rsidRPr="002E5C18" w:rsidRDefault="00DD583B" w:rsidP="005D2A90">
            <w:pPr>
              <w:rPr>
                <w:rFonts w:cs="Calibri"/>
                <w:b/>
                <w:sz w:val="18"/>
                <w:szCs w:val="18"/>
              </w:rPr>
            </w:pPr>
          </w:p>
          <w:p w14:paraId="759BEA71" w14:textId="77777777" w:rsidR="00DD583B" w:rsidRPr="002E5C18" w:rsidRDefault="00DD583B" w:rsidP="005D2A90">
            <w:pPr>
              <w:rPr>
                <w:rFonts w:cs="Calibri"/>
                <w:sz w:val="18"/>
                <w:szCs w:val="18"/>
              </w:rPr>
            </w:pPr>
            <w:r w:rsidRPr="002E5C18">
              <w:rPr>
                <w:rFonts w:cs="Calibri"/>
                <w:sz w:val="18"/>
                <w:szCs w:val="18"/>
              </w:rPr>
              <w:t>Persistance de la crise sécuritaire</w:t>
            </w:r>
          </w:p>
          <w:p w14:paraId="797DEB1B" w14:textId="77777777" w:rsidR="00DD583B" w:rsidRPr="002E5C18" w:rsidRDefault="00DD583B" w:rsidP="005D2A90">
            <w:pPr>
              <w:rPr>
                <w:rFonts w:cs="Calibri"/>
                <w:sz w:val="18"/>
                <w:szCs w:val="18"/>
              </w:rPr>
            </w:pPr>
          </w:p>
          <w:p w14:paraId="6EB166F6" w14:textId="77777777" w:rsidR="00DD583B" w:rsidRPr="002E5C18" w:rsidRDefault="00DD583B" w:rsidP="005D2A90">
            <w:pPr>
              <w:rPr>
                <w:rFonts w:cs="Calibri"/>
                <w:sz w:val="18"/>
                <w:szCs w:val="18"/>
              </w:rPr>
            </w:pPr>
            <w:r w:rsidRPr="002E5C18">
              <w:rPr>
                <w:rFonts w:cs="Calibri"/>
                <w:sz w:val="18"/>
                <w:szCs w:val="18"/>
              </w:rPr>
              <w:t xml:space="preserve">insécurité dans les   zones d’intervention </w:t>
            </w:r>
          </w:p>
          <w:p w14:paraId="26C7EAD2" w14:textId="77777777" w:rsidR="00DD583B" w:rsidRPr="002E5C18" w:rsidRDefault="00DD583B" w:rsidP="005D2A90">
            <w:pPr>
              <w:rPr>
                <w:sz w:val="18"/>
                <w:szCs w:val="18"/>
              </w:rPr>
            </w:pPr>
          </w:p>
          <w:p w14:paraId="5E885314" w14:textId="77777777" w:rsidR="00DD583B" w:rsidRPr="002E5C18" w:rsidRDefault="00DD583B" w:rsidP="005D2A90">
            <w:pPr>
              <w:rPr>
                <w:rFonts w:cs="Calibri"/>
                <w:sz w:val="18"/>
                <w:szCs w:val="18"/>
              </w:rPr>
            </w:pPr>
            <w:r w:rsidRPr="002E5C18">
              <w:rPr>
                <w:rFonts w:cs="Calibri"/>
                <w:sz w:val="18"/>
                <w:szCs w:val="18"/>
              </w:rPr>
              <w:t>Persistance des barrières socioculturelles</w:t>
            </w:r>
          </w:p>
          <w:p w14:paraId="2EE80979" w14:textId="77777777" w:rsidR="00DD583B" w:rsidRPr="002E5C18" w:rsidRDefault="00DD583B" w:rsidP="005D2A90">
            <w:pPr>
              <w:rPr>
                <w:rFonts w:cs="Calibri"/>
                <w:b/>
                <w:sz w:val="18"/>
                <w:szCs w:val="18"/>
              </w:rPr>
            </w:pPr>
          </w:p>
        </w:tc>
        <w:tc>
          <w:tcPr>
            <w:tcW w:w="1974" w:type="dxa"/>
          </w:tcPr>
          <w:p w14:paraId="16C02D51" w14:textId="77777777" w:rsidR="00DD583B" w:rsidRPr="002E5C18" w:rsidRDefault="00DD583B" w:rsidP="005D2A90">
            <w:pPr>
              <w:rPr>
                <w:rFonts w:cs="Calibri"/>
                <w:b/>
                <w:bCs/>
                <w:sz w:val="18"/>
                <w:szCs w:val="18"/>
                <w:u w:val="single"/>
              </w:rPr>
            </w:pPr>
            <w:r w:rsidRPr="002E5C18">
              <w:rPr>
                <w:rFonts w:cs="Calibri"/>
                <w:b/>
                <w:bCs/>
                <w:sz w:val="18"/>
                <w:szCs w:val="18"/>
                <w:u w:val="single"/>
              </w:rPr>
              <w:t>S’applique à tous les produits</w:t>
            </w:r>
          </w:p>
          <w:p w14:paraId="65974567" w14:textId="77777777" w:rsidR="00DD583B" w:rsidRPr="002E5C18" w:rsidRDefault="00DD583B" w:rsidP="005D2A90">
            <w:pPr>
              <w:rPr>
                <w:rFonts w:cs="Calibri"/>
                <w:b/>
                <w:bCs/>
                <w:sz w:val="18"/>
                <w:szCs w:val="18"/>
                <w:u w:val="single"/>
              </w:rPr>
            </w:pPr>
          </w:p>
          <w:p w14:paraId="774E7D78" w14:textId="77777777" w:rsidR="00DD583B" w:rsidRPr="002E5C18" w:rsidRDefault="00DD583B" w:rsidP="005D2A90">
            <w:pPr>
              <w:rPr>
                <w:rFonts w:cs="Calibri"/>
                <w:sz w:val="18"/>
                <w:szCs w:val="18"/>
                <w:lang w:val="fr-FR"/>
              </w:rPr>
            </w:pPr>
            <w:r w:rsidRPr="002E5C18">
              <w:rPr>
                <w:rFonts w:cs="Calibri"/>
                <w:b/>
                <w:bCs/>
                <w:sz w:val="18"/>
                <w:szCs w:val="18"/>
                <w:u w:val="single"/>
              </w:rPr>
              <w:t>Gouvernement</w:t>
            </w:r>
            <w:r w:rsidRPr="002E5C18">
              <w:rPr>
                <w:rFonts w:cs="Calibri"/>
                <w:sz w:val="18"/>
                <w:szCs w:val="18"/>
              </w:rPr>
              <w:t> :</w:t>
            </w:r>
          </w:p>
          <w:p w14:paraId="19306ADE" w14:textId="77777777" w:rsidR="00DD583B" w:rsidRPr="002E5C18" w:rsidRDefault="00DD583B" w:rsidP="005D2A90">
            <w:pPr>
              <w:rPr>
                <w:rFonts w:cs="Calibri"/>
                <w:sz w:val="18"/>
                <w:szCs w:val="18"/>
              </w:rPr>
            </w:pPr>
            <w:r w:rsidRPr="002E5C18">
              <w:rPr>
                <w:rFonts w:cs="Calibri"/>
                <w:sz w:val="18"/>
                <w:szCs w:val="18"/>
              </w:rPr>
              <w:t>Leadership, financement, mise en œuvre et S/E, coordination</w:t>
            </w:r>
          </w:p>
          <w:p w14:paraId="71808D4E" w14:textId="77777777" w:rsidR="00DD583B" w:rsidRPr="002E5C18" w:rsidRDefault="00DD583B" w:rsidP="005D2A90">
            <w:pPr>
              <w:rPr>
                <w:rFonts w:cs="Calibri"/>
                <w:b/>
                <w:sz w:val="18"/>
                <w:szCs w:val="18"/>
                <w:u w:val="single"/>
              </w:rPr>
            </w:pPr>
          </w:p>
          <w:p w14:paraId="6BB9CE30" w14:textId="77777777" w:rsidR="00DD583B" w:rsidRPr="002E5C18" w:rsidRDefault="00DD583B" w:rsidP="005D2A90">
            <w:pPr>
              <w:rPr>
                <w:rFonts w:cs="Calibri"/>
                <w:sz w:val="18"/>
                <w:szCs w:val="18"/>
              </w:rPr>
            </w:pPr>
            <w:r w:rsidRPr="002E5C18">
              <w:rPr>
                <w:rFonts w:cs="Calibri"/>
                <w:b/>
                <w:sz w:val="18"/>
                <w:szCs w:val="18"/>
                <w:u w:val="single"/>
              </w:rPr>
              <w:t>Collectivités locales</w:t>
            </w:r>
            <w:r w:rsidRPr="002E5C18">
              <w:rPr>
                <w:rFonts w:cs="Calibri"/>
                <w:sz w:val="18"/>
                <w:szCs w:val="18"/>
              </w:rPr>
              <w:t xml:space="preserve"> : </w:t>
            </w:r>
          </w:p>
          <w:p w14:paraId="5227F428" w14:textId="77777777" w:rsidR="00DD583B" w:rsidRPr="002E5C18" w:rsidRDefault="00DD583B" w:rsidP="005D2A90">
            <w:pPr>
              <w:rPr>
                <w:rFonts w:cs="Calibri"/>
                <w:sz w:val="18"/>
                <w:szCs w:val="18"/>
              </w:rPr>
            </w:pPr>
            <w:r w:rsidRPr="002E5C18">
              <w:rPr>
                <w:rFonts w:cs="Calibri"/>
                <w:sz w:val="18"/>
                <w:szCs w:val="18"/>
              </w:rPr>
              <w:t>Maîtrise d’ouvrage du développement local dans le domaine de la santé</w:t>
            </w:r>
          </w:p>
          <w:p w14:paraId="61CE91F3" w14:textId="77777777" w:rsidR="00DD583B" w:rsidRPr="002E5C18" w:rsidRDefault="00DD583B" w:rsidP="005D2A90">
            <w:pPr>
              <w:rPr>
                <w:rFonts w:cs="Calibri"/>
                <w:b/>
                <w:bCs/>
                <w:sz w:val="18"/>
                <w:szCs w:val="18"/>
                <w:u w:val="single"/>
              </w:rPr>
            </w:pPr>
          </w:p>
          <w:p w14:paraId="4CC1F4F0" w14:textId="77777777" w:rsidR="00DD583B" w:rsidRPr="002E5C18" w:rsidRDefault="00DD583B" w:rsidP="005D2A90">
            <w:pPr>
              <w:rPr>
                <w:rFonts w:cs="Calibri"/>
                <w:sz w:val="18"/>
                <w:szCs w:val="18"/>
              </w:rPr>
            </w:pPr>
            <w:r w:rsidRPr="002E5C18">
              <w:rPr>
                <w:rFonts w:cs="Calibri"/>
                <w:b/>
                <w:bCs/>
                <w:sz w:val="18"/>
                <w:szCs w:val="18"/>
                <w:u w:val="single"/>
              </w:rPr>
              <w:t>Société Civile</w:t>
            </w:r>
            <w:r w:rsidRPr="002E5C18">
              <w:rPr>
                <w:rFonts w:cs="Calibri"/>
                <w:sz w:val="18"/>
                <w:szCs w:val="18"/>
                <w:u w:val="single"/>
              </w:rPr>
              <w:t> :</w:t>
            </w:r>
            <w:r w:rsidRPr="002E5C18">
              <w:rPr>
                <w:rFonts w:cs="Calibri"/>
                <w:sz w:val="18"/>
                <w:szCs w:val="18"/>
              </w:rPr>
              <w:t xml:space="preserve"> prestation de services, suivi / évaluation sur le terrain, plaidoyer </w:t>
            </w:r>
          </w:p>
          <w:p w14:paraId="47DE76F9" w14:textId="77777777" w:rsidR="00DD583B" w:rsidRPr="002E5C18" w:rsidRDefault="00DD583B" w:rsidP="005D2A90">
            <w:pPr>
              <w:rPr>
                <w:rFonts w:cs="Calibri"/>
                <w:b/>
                <w:bCs/>
                <w:sz w:val="18"/>
                <w:szCs w:val="18"/>
                <w:u w:val="single"/>
                <w:lang w:val="fr-FR"/>
              </w:rPr>
            </w:pPr>
          </w:p>
          <w:p w14:paraId="3C871BDA" w14:textId="77777777" w:rsidR="00DD583B" w:rsidRPr="002E5C18" w:rsidRDefault="00DD583B" w:rsidP="005D2A90">
            <w:pPr>
              <w:rPr>
                <w:rFonts w:cs="Calibri"/>
                <w:sz w:val="18"/>
                <w:szCs w:val="18"/>
                <w:lang w:val="fr-FR"/>
              </w:rPr>
            </w:pPr>
            <w:r w:rsidRPr="002E5C18">
              <w:rPr>
                <w:rFonts w:cs="Calibri"/>
                <w:b/>
                <w:bCs/>
                <w:sz w:val="18"/>
                <w:szCs w:val="18"/>
                <w:u w:val="single"/>
                <w:lang w:val="fr-FR"/>
              </w:rPr>
              <w:t xml:space="preserve">Communautés : </w:t>
            </w:r>
            <w:r w:rsidRPr="002E5C18">
              <w:rPr>
                <w:rFonts w:cs="Calibri"/>
                <w:sz w:val="18"/>
                <w:szCs w:val="18"/>
                <w:lang w:val="fr-FR"/>
              </w:rPr>
              <w:t>mobilisation sociale en faveur des populations surtout des déplacés dans les zones d’accueil</w:t>
            </w:r>
          </w:p>
          <w:p w14:paraId="26445B87" w14:textId="77777777" w:rsidR="00DD583B" w:rsidRPr="002E5C18" w:rsidRDefault="00DD583B" w:rsidP="005D2A90">
            <w:pPr>
              <w:rPr>
                <w:rFonts w:cs="Calibri"/>
                <w:b/>
                <w:bCs/>
                <w:sz w:val="18"/>
                <w:szCs w:val="18"/>
                <w:u w:val="single"/>
              </w:rPr>
            </w:pPr>
            <w:r w:rsidRPr="002E5C18">
              <w:rPr>
                <w:rFonts w:cs="Calibri"/>
                <w:sz w:val="18"/>
                <w:szCs w:val="18"/>
                <w:u w:val="single"/>
                <w:lang w:val="fr-FR"/>
              </w:rPr>
              <w:t>Secteur privé</w:t>
            </w:r>
            <w:r w:rsidRPr="002E5C18">
              <w:rPr>
                <w:rFonts w:cs="Calibri"/>
                <w:sz w:val="18"/>
                <w:szCs w:val="18"/>
                <w:lang w:val="fr-FR"/>
              </w:rPr>
              <w:t> : mobilisation de ressources additionnelles</w:t>
            </w:r>
          </w:p>
        </w:tc>
        <w:tc>
          <w:tcPr>
            <w:tcW w:w="1250" w:type="dxa"/>
          </w:tcPr>
          <w:p w14:paraId="27782203" w14:textId="77777777" w:rsidR="00DD583B" w:rsidRPr="002E5C18" w:rsidRDefault="00DD583B" w:rsidP="005D2A90"/>
        </w:tc>
      </w:tr>
      <w:tr w:rsidR="00DD583B" w:rsidRPr="002E5C18" w14:paraId="33E464B6" w14:textId="77777777" w:rsidTr="005D2A90">
        <w:tc>
          <w:tcPr>
            <w:tcW w:w="2590" w:type="dxa"/>
            <w:shd w:val="clear" w:color="auto" w:fill="8DB3E2" w:themeFill="text2" w:themeFillTint="66"/>
          </w:tcPr>
          <w:p w14:paraId="70643C0D" w14:textId="77777777" w:rsidR="00DD583B" w:rsidRPr="002E5C18" w:rsidRDefault="00DD583B" w:rsidP="005D2A90">
            <w:pPr>
              <w:pStyle w:val="Corpsdetexte"/>
              <w:spacing w:line="240" w:lineRule="auto"/>
              <w:jc w:val="left"/>
              <w:rPr>
                <w:rFonts w:asciiTheme="minorHAnsi" w:hAnsiTheme="minorHAnsi" w:cs="Times New Roman"/>
                <w:b/>
                <w:bCs/>
                <w:i/>
                <w:sz w:val="20"/>
                <w:szCs w:val="20"/>
                <w:u w:val="single"/>
              </w:rPr>
            </w:pPr>
          </w:p>
        </w:tc>
        <w:tc>
          <w:tcPr>
            <w:tcW w:w="2832" w:type="dxa"/>
            <w:vAlign w:val="center"/>
          </w:tcPr>
          <w:p w14:paraId="5060A9F2" w14:textId="77777777" w:rsidR="00DD583B" w:rsidRDefault="00DD583B" w:rsidP="005D2A90">
            <w:pPr>
              <w:rPr>
                <w:rFonts w:ascii="Times New Roman" w:hAnsi="Times New Roman" w:cs="Times New Roman"/>
                <w:bCs/>
              </w:rPr>
            </w:pPr>
            <w:r w:rsidRPr="008B71B5">
              <w:rPr>
                <w:rFonts w:ascii="Times New Roman" w:hAnsi="Times New Roman" w:cs="Times New Roman"/>
                <w:bCs/>
              </w:rPr>
              <w:t>Taux d’accouchement assisté par un personnel qualifié</w:t>
            </w:r>
          </w:p>
          <w:p w14:paraId="2764800F" w14:textId="77777777" w:rsidR="00DD583B" w:rsidRDefault="00DD583B" w:rsidP="005D2A90">
            <w:pPr>
              <w:rPr>
                <w:rFonts w:ascii="Times New Roman" w:hAnsi="Times New Roman" w:cs="Times New Roman"/>
                <w:bCs/>
              </w:rPr>
            </w:pPr>
          </w:p>
          <w:p w14:paraId="55917C71" w14:textId="77777777" w:rsidR="00DD583B" w:rsidRDefault="00DD583B" w:rsidP="005D2A90">
            <w:pPr>
              <w:rPr>
                <w:rFonts w:ascii="Times New Roman" w:hAnsi="Times New Roman" w:cs="Times New Roman"/>
                <w:bCs/>
              </w:rPr>
            </w:pPr>
            <w:r>
              <w:rPr>
                <w:rFonts w:ascii="Times New Roman" w:hAnsi="Times New Roman" w:cs="Times New Roman"/>
                <w:bCs/>
              </w:rPr>
              <w:t xml:space="preserve">Base : </w:t>
            </w:r>
            <w:r w:rsidRPr="008B71B5">
              <w:rPr>
                <w:rFonts w:ascii="Times New Roman" w:hAnsi="Times New Roman" w:cs="Times New Roman"/>
                <w:bCs/>
              </w:rPr>
              <w:t>56%  (2013);</w:t>
            </w:r>
          </w:p>
          <w:p w14:paraId="495FCF58"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32,08%</w:t>
            </w:r>
          </w:p>
          <w:p w14:paraId="7BA24A11" w14:textId="77777777" w:rsidR="00DD583B" w:rsidRDefault="00DD583B" w:rsidP="005D2A90">
            <w:pPr>
              <w:rPr>
                <w:rFonts w:ascii="Times New Roman" w:hAnsi="Times New Roman" w:cs="Times New Roman"/>
                <w:bCs/>
              </w:rPr>
            </w:pPr>
          </w:p>
          <w:p w14:paraId="1C006BFC" w14:textId="77777777" w:rsidR="00DD583B" w:rsidRPr="002E5C18" w:rsidRDefault="00DD583B" w:rsidP="005D2A90">
            <w:r>
              <w:rPr>
                <w:rFonts w:ascii="Times New Roman" w:hAnsi="Times New Roman" w:cs="Times New Roman"/>
                <w:bCs/>
              </w:rPr>
              <w:lastRenderedPageBreak/>
              <w:t xml:space="preserve">Cible : </w:t>
            </w:r>
            <w:r w:rsidRPr="008B71B5">
              <w:rPr>
                <w:rFonts w:ascii="Times New Roman" w:hAnsi="Times New Roman" w:cs="Times New Roman"/>
                <w:bCs/>
              </w:rPr>
              <w:t>65%</w:t>
            </w:r>
          </w:p>
        </w:tc>
        <w:tc>
          <w:tcPr>
            <w:tcW w:w="3874" w:type="dxa"/>
            <w:vAlign w:val="center"/>
          </w:tcPr>
          <w:p w14:paraId="573B551F" w14:textId="77777777" w:rsidR="00DD583B" w:rsidRDefault="00DD583B" w:rsidP="005D2A90">
            <w:pPr>
              <w:pStyle w:val="Paragraphedeliste"/>
              <w:numPr>
                <w:ilvl w:val="0"/>
                <w:numId w:val="36"/>
              </w:numPr>
              <w:suppressAutoHyphens/>
              <w:rPr>
                <w:rFonts w:ascii="Times New Roman" w:hAnsi="Times New Roman" w:cs="Times New Roman"/>
              </w:rPr>
            </w:pPr>
            <w:r w:rsidRPr="00880F37">
              <w:rPr>
                <w:rFonts w:ascii="Times New Roman" w:hAnsi="Times New Roman" w:cs="Times New Roman"/>
              </w:rPr>
              <w:lastRenderedPageBreak/>
              <w:t>Mode de calcul : Rapport Nb d’accouchements assistés par un personnel qualifié, sur Nb total d’accouchement</w:t>
            </w:r>
          </w:p>
          <w:p w14:paraId="1A3D7768" w14:textId="77777777" w:rsidR="00DD583B" w:rsidRDefault="00DD583B" w:rsidP="005D2A90">
            <w:pPr>
              <w:pStyle w:val="Paragraphedeliste"/>
              <w:numPr>
                <w:ilvl w:val="0"/>
                <w:numId w:val="36"/>
              </w:numPr>
              <w:suppressAutoHyphens/>
              <w:rPr>
                <w:rFonts w:ascii="Times New Roman" w:hAnsi="Times New Roman" w:cs="Times New Roman"/>
              </w:rPr>
            </w:pPr>
            <w:r w:rsidRPr="00CB0E70">
              <w:rPr>
                <w:rFonts w:ascii="Times New Roman" w:hAnsi="Times New Roman" w:cs="Times New Roman"/>
              </w:rPr>
              <w:lastRenderedPageBreak/>
              <w:t>Sources de données</w:t>
            </w:r>
            <w:r>
              <w:rPr>
                <w:rFonts w:ascii="Times New Roman" w:hAnsi="Times New Roman" w:cs="Times New Roman"/>
              </w:rPr>
              <w:t>/Moyens de vérification</w:t>
            </w:r>
            <w:r w:rsidRPr="00CB0E70">
              <w:rPr>
                <w:rFonts w:ascii="Times New Roman" w:hAnsi="Times New Roman" w:cs="Times New Roman"/>
              </w:rPr>
              <w:t> </w:t>
            </w:r>
            <w:r w:rsidRPr="00880F37">
              <w:rPr>
                <w:rFonts w:ascii="Times New Roman" w:hAnsi="Times New Roman" w:cs="Times New Roman"/>
              </w:rPr>
              <w:t>: Système sanitaire et Appareil statistique nationaux</w:t>
            </w:r>
          </w:p>
          <w:p w14:paraId="431A8EE6" w14:textId="77777777" w:rsidR="00DD583B" w:rsidRDefault="00DD583B" w:rsidP="005D2A90">
            <w:pPr>
              <w:pStyle w:val="Paragraphedeliste"/>
              <w:numPr>
                <w:ilvl w:val="0"/>
                <w:numId w:val="36"/>
              </w:numPr>
              <w:suppressAutoHyphens/>
              <w:rPr>
                <w:rFonts w:ascii="Times New Roman" w:hAnsi="Times New Roman" w:cs="Times New Roman"/>
              </w:rPr>
            </w:pPr>
            <w:r w:rsidRPr="00880F37">
              <w:rPr>
                <w:rFonts w:ascii="Times New Roman" w:hAnsi="Times New Roman" w:cs="Times New Roman"/>
              </w:rPr>
              <w:t>Périodicité : Annuelle</w:t>
            </w:r>
          </w:p>
          <w:p w14:paraId="6CE8D748" w14:textId="77777777" w:rsidR="00DD583B" w:rsidRDefault="00DD583B" w:rsidP="005D2A90">
            <w:pPr>
              <w:pStyle w:val="Paragraphedeliste"/>
              <w:numPr>
                <w:ilvl w:val="0"/>
                <w:numId w:val="36"/>
              </w:numPr>
            </w:pPr>
            <w:r w:rsidRPr="00880F37">
              <w:rPr>
                <w:rFonts w:ascii="Times New Roman" w:hAnsi="Times New Roman" w:cs="Times New Roman"/>
              </w:rPr>
              <w:t>Maître d’œuvre : Groupe de Résultat en rapport avec le Système statistique national</w:t>
            </w:r>
          </w:p>
        </w:tc>
        <w:tc>
          <w:tcPr>
            <w:tcW w:w="2648" w:type="dxa"/>
          </w:tcPr>
          <w:p w14:paraId="3B97DB2B" w14:textId="77777777" w:rsidR="00DD583B" w:rsidRPr="002E5C18" w:rsidRDefault="00DD583B" w:rsidP="005D2A90">
            <w:pPr>
              <w:rPr>
                <w:rFonts w:cs="Calibri"/>
                <w:b/>
                <w:sz w:val="18"/>
                <w:szCs w:val="18"/>
              </w:rPr>
            </w:pPr>
          </w:p>
        </w:tc>
        <w:tc>
          <w:tcPr>
            <w:tcW w:w="1974" w:type="dxa"/>
          </w:tcPr>
          <w:p w14:paraId="4BBFDDC2" w14:textId="77777777" w:rsidR="00DD583B" w:rsidRPr="002E5C18" w:rsidRDefault="00DD583B" w:rsidP="005D2A90">
            <w:pPr>
              <w:rPr>
                <w:rFonts w:cs="Calibri"/>
                <w:b/>
                <w:bCs/>
                <w:sz w:val="18"/>
                <w:szCs w:val="18"/>
                <w:u w:val="single"/>
              </w:rPr>
            </w:pPr>
          </w:p>
        </w:tc>
        <w:tc>
          <w:tcPr>
            <w:tcW w:w="1250" w:type="dxa"/>
          </w:tcPr>
          <w:p w14:paraId="1AAB2CDA" w14:textId="77777777" w:rsidR="00DD583B" w:rsidRPr="002E5C18" w:rsidRDefault="00DD583B" w:rsidP="005D2A90"/>
        </w:tc>
      </w:tr>
      <w:tr w:rsidR="00DD583B" w:rsidRPr="002E5C18" w14:paraId="261AE101" w14:textId="77777777" w:rsidTr="005D2A90">
        <w:tc>
          <w:tcPr>
            <w:tcW w:w="2590" w:type="dxa"/>
            <w:shd w:val="clear" w:color="auto" w:fill="8DB3E2" w:themeFill="text2" w:themeFillTint="66"/>
          </w:tcPr>
          <w:p w14:paraId="5BF878D3" w14:textId="77777777" w:rsidR="00DD583B" w:rsidRPr="002E5C18" w:rsidRDefault="00DD583B" w:rsidP="005D2A90">
            <w:pPr>
              <w:pStyle w:val="Corpsdetexte"/>
              <w:spacing w:line="240" w:lineRule="auto"/>
              <w:jc w:val="left"/>
              <w:rPr>
                <w:rFonts w:asciiTheme="minorHAnsi" w:hAnsiTheme="minorHAnsi" w:cs="Times New Roman"/>
                <w:b/>
                <w:bCs/>
                <w:i/>
                <w:sz w:val="20"/>
                <w:szCs w:val="20"/>
                <w:u w:val="single"/>
              </w:rPr>
            </w:pPr>
          </w:p>
        </w:tc>
        <w:tc>
          <w:tcPr>
            <w:tcW w:w="2832" w:type="dxa"/>
            <w:vAlign w:val="center"/>
          </w:tcPr>
          <w:p w14:paraId="66402744" w14:textId="77777777" w:rsidR="00DD583B" w:rsidRDefault="00DD583B" w:rsidP="005D2A90">
            <w:pPr>
              <w:rPr>
                <w:rFonts w:ascii="Times New Roman" w:hAnsi="Times New Roman" w:cs="Times New Roman"/>
                <w:bCs/>
              </w:rPr>
            </w:pPr>
            <w:r w:rsidRPr="008B71B5">
              <w:rPr>
                <w:rFonts w:ascii="Times New Roman" w:hAnsi="Times New Roman" w:cs="Times New Roman"/>
                <w:bCs/>
              </w:rPr>
              <w:t>Taux de prévalence du VIH/SIDA</w:t>
            </w:r>
          </w:p>
          <w:p w14:paraId="462F5C21" w14:textId="77777777" w:rsidR="00DD583B" w:rsidRDefault="00DD583B" w:rsidP="005D2A90">
            <w:pPr>
              <w:rPr>
                <w:rFonts w:ascii="Times New Roman" w:hAnsi="Times New Roman" w:cs="Times New Roman"/>
                <w:bCs/>
              </w:rPr>
            </w:pPr>
          </w:p>
          <w:p w14:paraId="21EE4491" w14:textId="77777777" w:rsidR="00DD583B" w:rsidRDefault="00DD583B" w:rsidP="005D2A90">
            <w:pPr>
              <w:rPr>
                <w:rFonts w:ascii="Times New Roman" w:hAnsi="Times New Roman" w:cs="Times New Roman"/>
                <w:bCs/>
              </w:rPr>
            </w:pPr>
            <w:r>
              <w:rPr>
                <w:rFonts w:ascii="Times New Roman" w:hAnsi="Times New Roman" w:cs="Times New Roman"/>
                <w:bCs/>
              </w:rPr>
              <w:t>Base : 1,1% (EDSM, 2012-2013)</w:t>
            </w:r>
          </w:p>
          <w:p w14:paraId="4CC93BB4"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1,1%</w:t>
            </w:r>
          </w:p>
          <w:p w14:paraId="5F0437BD" w14:textId="77777777" w:rsidR="00DD583B" w:rsidRDefault="00DD583B" w:rsidP="005D2A90">
            <w:pPr>
              <w:rPr>
                <w:rFonts w:ascii="Times New Roman" w:hAnsi="Times New Roman" w:cs="Times New Roman"/>
                <w:bCs/>
              </w:rPr>
            </w:pPr>
          </w:p>
          <w:p w14:paraId="3FDB3536" w14:textId="77777777" w:rsidR="00DD583B" w:rsidRPr="002E5C18" w:rsidRDefault="00DD583B" w:rsidP="005D2A90">
            <w:r>
              <w:rPr>
                <w:rFonts w:ascii="Times New Roman" w:hAnsi="Times New Roman" w:cs="Times New Roman"/>
                <w:bCs/>
              </w:rPr>
              <w:t xml:space="preserve">Cible : 0,6% </w:t>
            </w:r>
          </w:p>
        </w:tc>
        <w:tc>
          <w:tcPr>
            <w:tcW w:w="3874" w:type="dxa"/>
            <w:vAlign w:val="center"/>
          </w:tcPr>
          <w:p w14:paraId="57953381" w14:textId="77777777" w:rsidR="00DD583B" w:rsidRDefault="00DD583B" w:rsidP="005D2A90">
            <w:pPr>
              <w:pStyle w:val="Paragraphedeliste"/>
              <w:numPr>
                <w:ilvl w:val="0"/>
                <w:numId w:val="36"/>
              </w:numPr>
              <w:suppressAutoHyphens/>
              <w:rPr>
                <w:rFonts w:ascii="Times New Roman" w:hAnsi="Times New Roman" w:cs="Times New Roman"/>
              </w:rPr>
            </w:pPr>
            <w:r w:rsidRPr="00880F37">
              <w:rPr>
                <w:rFonts w:ascii="Times New Roman" w:hAnsi="Times New Roman" w:cs="Times New Roman"/>
              </w:rPr>
              <w:t>Mode de calcul : Rapport Nb de personnes infectées, sur population générale</w:t>
            </w:r>
          </w:p>
          <w:p w14:paraId="11E5C25E" w14:textId="77777777" w:rsidR="00DD583B" w:rsidRDefault="00DD583B" w:rsidP="005D2A90">
            <w:pPr>
              <w:pStyle w:val="Paragraphedeliste"/>
              <w:numPr>
                <w:ilvl w:val="0"/>
                <w:numId w:val="36"/>
              </w:numPr>
              <w:suppressAutoHyphens/>
              <w:rPr>
                <w:rFonts w:ascii="Times New Roman" w:hAnsi="Times New Roman" w:cs="Times New Roman"/>
              </w:rPr>
            </w:pPr>
            <w:r w:rsidRPr="00CB0E70">
              <w:rPr>
                <w:rFonts w:ascii="Times New Roman" w:hAnsi="Times New Roman" w:cs="Times New Roman"/>
              </w:rPr>
              <w:t>Sources de données</w:t>
            </w:r>
            <w:r>
              <w:rPr>
                <w:rFonts w:ascii="Times New Roman" w:hAnsi="Times New Roman" w:cs="Times New Roman"/>
              </w:rPr>
              <w:t>/Moyens de vérification</w:t>
            </w:r>
            <w:r w:rsidRPr="00CB0E70">
              <w:rPr>
                <w:rFonts w:ascii="Times New Roman" w:hAnsi="Times New Roman" w:cs="Times New Roman"/>
              </w:rPr>
              <w:t> </w:t>
            </w:r>
            <w:r w:rsidRPr="00880F37">
              <w:rPr>
                <w:rFonts w:ascii="Times New Roman" w:hAnsi="Times New Roman" w:cs="Times New Roman"/>
              </w:rPr>
              <w:t>: Enquêtes nationales</w:t>
            </w:r>
          </w:p>
          <w:p w14:paraId="365E5635" w14:textId="77777777" w:rsidR="00DD583B" w:rsidRDefault="00DD583B" w:rsidP="005D2A90">
            <w:pPr>
              <w:pStyle w:val="Paragraphedeliste"/>
              <w:numPr>
                <w:ilvl w:val="0"/>
                <w:numId w:val="36"/>
              </w:numPr>
              <w:suppressAutoHyphens/>
              <w:rPr>
                <w:rFonts w:ascii="Times New Roman" w:hAnsi="Times New Roman" w:cs="Times New Roman"/>
              </w:rPr>
            </w:pPr>
            <w:r w:rsidRPr="00880F37">
              <w:rPr>
                <w:rFonts w:ascii="Times New Roman" w:hAnsi="Times New Roman" w:cs="Times New Roman"/>
              </w:rPr>
              <w:t xml:space="preserve">Périodicité : </w:t>
            </w:r>
            <w:r>
              <w:rPr>
                <w:rFonts w:ascii="Times New Roman" w:hAnsi="Times New Roman" w:cs="Times New Roman"/>
              </w:rPr>
              <w:t xml:space="preserve">Quinquennal  </w:t>
            </w:r>
          </w:p>
          <w:p w14:paraId="5C1E02B9" w14:textId="77777777" w:rsidR="00DD583B" w:rsidRDefault="00DD583B" w:rsidP="005D2A90">
            <w:pPr>
              <w:pStyle w:val="Paragraphedeliste"/>
              <w:numPr>
                <w:ilvl w:val="0"/>
                <w:numId w:val="36"/>
              </w:numPr>
            </w:pPr>
            <w:r w:rsidRPr="00880F37">
              <w:rPr>
                <w:rFonts w:ascii="Times New Roman" w:hAnsi="Times New Roman" w:cs="Times New Roman"/>
              </w:rPr>
              <w:t>Maître d’œuvre : Groupe de Résultat en rapport avec l’Appareil statistique national</w:t>
            </w:r>
          </w:p>
        </w:tc>
        <w:tc>
          <w:tcPr>
            <w:tcW w:w="2648" w:type="dxa"/>
          </w:tcPr>
          <w:p w14:paraId="065B5A63" w14:textId="77777777" w:rsidR="00DD583B" w:rsidRPr="002E5C18" w:rsidRDefault="00DD583B" w:rsidP="005D2A90">
            <w:pPr>
              <w:rPr>
                <w:rFonts w:cs="Calibri"/>
                <w:b/>
                <w:sz w:val="18"/>
                <w:szCs w:val="18"/>
              </w:rPr>
            </w:pPr>
          </w:p>
        </w:tc>
        <w:tc>
          <w:tcPr>
            <w:tcW w:w="1974" w:type="dxa"/>
          </w:tcPr>
          <w:p w14:paraId="79A74002" w14:textId="77777777" w:rsidR="00DD583B" w:rsidRPr="002E5C18" w:rsidRDefault="00DD583B" w:rsidP="005D2A90">
            <w:pPr>
              <w:rPr>
                <w:rFonts w:cs="Calibri"/>
                <w:b/>
                <w:bCs/>
                <w:sz w:val="18"/>
                <w:szCs w:val="18"/>
                <w:u w:val="single"/>
              </w:rPr>
            </w:pPr>
          </w:p>
        </w:tc>
        <w:tc>
          <w:tcPr>
            <w:tcW w:w="1250" w:type="dxa"/>
          </w:tcPr>
          <w:p w14:paraId="204F87D6" w14:textId="77777777" w:rsidR="00DD583B" w:rsidRPr="002E5C18" w:rsidRDefault="00DD583B" w:rsidP="005D2A90"/>
        </w:tc>
      </w:tr>
      <w:tr w:rsidR="00DD583B" w:rsidRPr="002E5C18" w14:paraId="52CF863A" w14:textId="77777777" w:rsidTr="005D2A90">
        <w:tc>
          <w:tcPr>
            <w:tcW w:w="2590" w:type="dxa"/>
            <w:shd w:val="clear" w:color="auto" w:fill="8DB3E2" w:themeFill="text2" w:themeFillTint="66"/>
          </w:tcPr>
          <w:p w14:paraId="7036A90B" w14:textId="77777777" w:rsidR="00DD583B" w:rsidRPr="002E5C18" w:rsidRDefault="00DD583B" w:rsidP="005D2A90">
            <w:pPr>
              <w:pStyle w:val="Corpsdetexte"/>
              <w:spacing w:line="240" w:lineRule="auto"/>
              <w:jc w:val="left"/>
              <w:rPr>
                <w:rFonts w:asciiTheme="minorHAnsi" w:hAnsiTheme="minorHAnsi" w:cs="Times New Roman"/>
                <w:b/>
                <w:bCs/>
                <w:i/>
                <w:sz w:val="20"/>
                <w:szCs w:val="20"/>
                <w:u w:val="single"/>
              </w:rPr>
            </w:pPr>
          </w:p>
        </w:tc>
        <w:tc>
          <w:tcPr>
            <w:tcW w:w="2832" w:type="dxa"/>
            <w:vAlign w:val="center"/>
          </w:tcPr>
          <w:p w14:paraId="7C000859" w14:textId="77777777" w:rsidR="00DD583B" w:rsidRDefault="00DD583B" w:rsidP="005D2A90">
            <w:pPr>
              <w:rPr>
                <w:rFonts w:ascii="Times New Roman" w:hAnsi="Times New Roman" w:cs="Times New Roman"/>
                <w:bCs/>
              </w:rPr>
            </w:pPr>
            <w:r w:rsidRPr="008B71B5">
              <w:rPr>
                <w:rFonts w:ascii="Times New Roman" w:hAnsi="Times New Roman" w:cs="Times New Roman"/>
                <w:bCs/>
              </w:rPr>
              <w:t xml:space="preserve">Taux </w:t>
            </w:r>
            <w:r>
              <w:rPr>
                <w:rFonts w:ascii="Times New Roman" w:hAnsi="Times New Roman" w:cs="Times New Roman"/>
                <w:bCs/>
              </w:rPr>
              <w:t xml:space="preserve"> Brut </w:t>
            </w:r>
            <w:r w:rsidRPr="008B71B5">
              <w:rPr>
                <w:rFonts w:ascii="Times New Roman" w:hAnsi="Times New Roman" w:cs="Times New Roman"/>
                <w:bCs/>
              </w:rPr>
              <w:t xml:space="preserve">de Préscolarisation </w:t>
            </w:r>
          </w:p>
          <w:p w14:paraId="284D3A31" w14:textId="77777777" w:rsidR="00DD583B" w:rsidRDefault="00DD583B" w:rsidP="005D2A90">
            <w:pPr>
              <w:rPr>
                <w:rFonts w:ascii="Times New Roman" w:hAnsi="Times New Roman" w:cs="Times New Roman"/>
                <w:bCs/>
              </w:rPr>
            </w:pPr>
          </w:p>
          <w:p w14:paraId="35BE2705" w14:textId="77777777" w:rsidR="00DD583B" w:rsidRDefault="00DD583B" w:rsidP="005D2A90">
            <w:pPr>
              <w:rPr>
                <w:rFonts w:ascii="Times New Roman" w:hAnsi="Times New Roman" w:cs="Times New Roman"/>
                <w:bCs/>
              </w:rPr>
            </w:pPr>
            <w:r>
              <w:rPr>
                <w:rFonts w:ascii="Times New Roman" w:hAnsi="Times New Roman" w:cs="Times New Roman"/>
                <w:bCs/>
              </w:rPr>
              <w:t xml:space="preserve">Base : </w:t>
            </w:r>
            <w:r w:rsidRPr="008B71B5">
              <w:rPr>
                <w:rFonts w:ascii="Times New Roman" w:hAnsi="Times New Roman" w:cs="Times New Roman"/>
                <w:bCs/>
              </w:rPr>
              <w:t>3,6%</w:t>
            </w:r>
          </w:p>
          <w:p w14:paraId="5AEBADA7"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6,1%  (Raport UNESCO)</w:t>
            </w:r>
          </w:p>
          <w:p w14:paraId="1E71BA69" w14:textId="77777777" w:rsidR="00DD583B" w:rsidRDefault="00DD583B" w:rsidP="005D2A90">
            <w:pPr>
              <w:rPr>
                <w:rFonts w:ascii="Times New Roman" w:hAnsi="Times New Roman" w:cs="Times New Roman"/>
                <w:bCs/>
              </w:rPr>
            </w:pPr>
          </w:p>
          <w:p w14:paraId="0C09005A" w14:textId="77777777" w:rsidR="00DD583B" w:rsidRPr="002E5C18" w:rsidRDefault="00DD583B" w:rsidP="005D2A90">
            <w:r>
              <w:rPr>
                <w:rFonts w:ascii="Times New Roman" w:hAnsi="Times New Roman" w:cs="Times New Roman"/>
                <w:bCs/>
              </w:rPr>
              <w:t xml:space="preserve">Cible : </w:t>
            </w:r>
            <w:r w:rsidRPr="008B71B5">
              <w:rPr>
                <w:rFonts w:ascii="Times New Roman" w:hAnsi="Times New Roman" w:cs="Times New Roman"/>
                <w:bCs/>
              </w:rPr>
              <w:t>10%</w:t>
            </w:r>
          </w:p>
        </w:tc>
        <w:tc>
          <w:tcPr>
            <w:tcW w:w="3874" w:type="dxa"/>
            <w:vAlign w:val="center"/>
          </w:tcPr>
          <w:p w14:paraId="505F24A2" w14:textId="77777777" w:rsidR="00DD583B" w:rsidRDefault="00DD583B" w:rsidP="005D2A90">
            <w:pPr>
              <w:pStyle w:val="Paragraphedeliste"/>
              <w:numPr>
                <w:ilvl w:val="0"/>
                <w:numId w:val="36"/>
              </w:numPr>
              <w:suppressAutoHyphens/>
              <w:rPr>
                <w:rFonts w:ascii="Times New Roman" w:hAnsi="Times New Roman" w:cs="Times New Roman"/>
              </w:rPr>
            </w:pPr>
            <w:r w:rsidRPr="00880F37">
              <w:rPr>
                <w:rFonts w:ascii="Times New Roman" w:hAnsi="Times New Roman" w:cs="Times New Roman"/>
              </w:rPr>
              <w:t>Mode de calcul : Rapport Nb d’enfants préscolarisés, sur Nb total d’enfants en âge de l’être</w:t>
            </w:r>
          </w:p>
          <w:p w14:paraId="6D0D2D92" w14:textId="77777777" w:rsidR="00DD583B" w:rsidRDefault="00DD583B" w:rsidP="005D2A90">
            <w:pPr>
              <w:pStyle w:val="Paragraphedeliste"/>
              <w:numPr>
                <w:ilvl w:val="0"/>
                <w:numId w:val="36"/>
              </w:numPr>
              <w:suppressAutoHyphens/>
              <w:rPr>
                <w:rFonts w:ascii="Times New Roman" w:hAnsi="Times New Roman" w:cs="Times New Roman"/>
              </w:rPr>
            </w:pPr>
            <w:r w:rsidRPr="00CB0E70">
              <w:rPr>
                <w:rFonts w:ascii="Times New Roman" w:hAnsi="Times New Roman" w:cs="Times New Roman"/>
              </w:rPr>
              <w:t>Sources de données</w:t>
            </w:r>
            <w:r>
              <w:rPr>
                <w:rFonts w:ascii="Times New Roman" w:hAnsi="Times New Roman" w:cs="Times New Roman"/>
              </w:rPr>
              <w:t>/Moyens de vérification</w:t>
            </w:r>
            <w:r w:rsidRPr="00CB0E70">
              <w:rPr>
                <w:rFonts w:ascii="Times New Roman" w:hAnsi="Times New Roman" w:cs="Times New Roman"/>
              </w:rPr>
              <w:t> </w:t>
            </w:r>
            <w:r w:rsidRPr="00880F37">
              <w:rPr>
                <w:rFonts w:ascii="Times New Roman" w:hAnsi="Times New Roman" w:cs="Times New Roman"/>
              </w:rPr>
              <w:t>: Statiques scolaires</w:t>
            </w:r>
          </w:p>
          <w:p w14:paraId="2D9A2843" w14:textId="77777777" w:rsidR="00DD583B" w:rsidRDefault="00DD583B" w:rsidP="005D2A90">
            <w:pPr>
              <w:numPr>
                <w:ilvl w:val="0"/>
                <w:numId w:val="36"/>
              </w:numPr>
              <w:suppressAutoHyphens/>
              <w:rPr>
                <w:rFonts w:ascii="Times New Roman" w:hAnsi="Times New Roman" w:cs="Times New Roman"/>
              </w:rPr>
            </w:pPr>
            <w:r w:rsidRPr="00880F37">
              <w:rPr>
                <w:rFonts w:ascii="Times New Roman" w:hAnsi="Times New Roman" w:cs="Times New Roman"/>
              </w:rPr>
              <w:t>Périodicité : Annuelle</w:t>
            </w:r>
          </w:p>
          <w:p w14:paraId="0E074D50" w14:textId="77777777" w:rsidR="00DD583B" w:rsidRDefault="00DD583B" w:rsidP="005D2A90">
            <w:pPr>
              <w:pStyle w:val="Paragraphedeliste"/>
              <w:numPr>
                <w:ilvl w:val="0"/>
                <w:numId w:val="36"/>
              </w:numPr>
            </w:pPr>
            <w:r w:rsidRPr="00880F37">
              <w:rPr>
                <w:rFonts w:ascii="Times New Roman" w:hAnsi="Times New Roman" w:cs="Times New Roman"/>
              </w:rPr>
              <w:t>Maître d’œuvre : Groupe de Résultat en rapport avec l’Appareil statistique national et sectoriel Education</w:t>
            </w:r>
          </w:p>
        </w:tc>
        <w:tc>
          <w:tcPr>
            <w:tcW w:w="2648" w:type="dxa"/>
          </w:tcPr>
          <w:p w14:paraId="492DA7AA" w14:textId="77777777" w:rsidR="00DD583B" w:rsidRPr="002E5C18" w:rsidRDefault="00DD583B" w:rsidP="005D2A90">
            <w:pPr>
              <w:rPr>
                <w:rFonts w:cs="Calibri"/>
                <w:b/>
                <w:sz w:val="18"/>
                <w:szCs w:val="18"/>
              </w:rPr>
            </w:pPr>
          </w:p>
        </w:tc>
        <w:tc>
          <w:tcPr>
            <w:tcW w:w="1974" w:type="dxa"/>
          </w:tcPr>
          <w:p w14:paraId="77860809" w14:textId="77777777" w:rsidR="00DD583B" w:rsidRPr="002E5C18" w:rsidRDefault="00DD583B" w:rsidP="005D2A90">
            <w:pPr>
              <w:rPr>
                <w:rFonts w:cs="Calibri"/>
                <w:b/>
                <w:bCs/>
                <w:sz w:val="18"/>
                <w:szCs w:val="18"/>
                <w:u w:val="single"/>
              </w:rPr>
            </w:pPr>
          </w:p>
        </w:tc>
        <w:tc>
          <w:tcPr>
            <w:tcW w:w="1250" w:type="dxa"/>
          </w:tcPr>
          <w:p w14:paraId="6BEF34F5" w14:textId="77777777" w:rsidR="00DD583B" w:rsidRPr="002E5C18" w:rsidRDefault="00DD583B" w:rsidP="005D2A90"/>
        </w:tc>
      </w:tr>
      <w:tr w:rsidR="00DD583B" w:rsidRPr="002E5C18" w14:paraId="580B1791" w14:textId="77777777" w:rsidTr="005D2A90">
        <w:tc>
          <w:tcPr>
            <w:tcW w:w="2590" w:type="dxa"/>
            <w:shd w:val="clear" w:color="auto" w:fill="8DB3E2" w:themeFill="text2" w:themeFillTint="66"/>
          </w:tcPr>
          <w:p w14:paraId="7E5D3635" w14:textId="77777777" w:rsidR="00DD583B" w:rsidRPr="002E5C18" w:rsidRDefault="00DD583B" w:rsidP="005D2A90">
            <w:pPr>
              <w:pStyle w:val="Corpsdetexte"/>
              <w:spacing w:line="240" w:lineRule="auto"/>
              <w:jc w:val="left"/>
              <w:rPr>
                <w:rFonts w:asciiTheme="minorHAnsi" w:hAnsiTheme="minorHAnsi" w:cs="Times New Roman"/>
                <w:b/>
                <w:bCs/>
                <w:i/>
                <w:sz w:val="20"/>
                <w:szCs w:val="20"/>
                <w:u w:val="single"/>
              </w:rPr>
            </w:pPr>
          </w:p>
        </w:tc>
        <w:tc>
          <w:tcPr>
            <w:tcW w:w="2832" w:type="dxa"/>
            <w:vAlign w:val="center"/>
          </w:tcPr>
          <w:p w14:paraId="58F598F9" w14:textId="77777777" w:rsidR="00DD583B" w:rsidRDefault="00DD583B" w:rsidP="005D2A90">
            <w:pPr>
              <w:rPr>
                <w:rFonts w:ascii="Times New Roman" w:hAnsi="Times New Roman" w:cs="Times New Roman"/>
                <w:bCs/>
              </w:rPr>
            </w:pPr>
            <w:r w:rsidRPr="008B71B5">
              <w:rPr>
                <w:rFonts w:ascii="Times New Roman" w:hAnsi="Times New Roman" w:cs="Times New Roman"/>
                <w:bCs/>
              </w:rPr>
              <w:t xml:space="preserve">Taux brut  d’admission au premier cycle du fondamental </w:t>
            </w:r>
          </w:p>
          <w:p w14:paraId="60FA5CE6" w14:textId="77777777" w:rsidR="00DD583B" w:rsidRDefault="00DD583B" w:rsidP="005D2A90">
            <w:pPr>
              <w:rPr>
                <w:rFonts w:ascii="Times New Roman" w:hAnsi="Times New Roman" w:cs="Times New Roman"/>
                <w:bCs/>
              </w:rPr>
            </w:pPr>
          </w:p>
          <w:p w14:paraId="7FCAD897" w14:textId="77777777" w:rsidR="00DD583B" w:rsidRDefault="00DD583B" w:rsidP="005D2A90">
            <w:pPr>
              <w:rPr>
                <w:rFonts w:ascii="Times New Roman" w:hAnsi="Times New Roman" w:cs="Times New Roman"/>
                <w:bCs/>
              </w:rPr>
            </w:pPr>
            <w:r>
              <w:rPr>
                <w:rFonts w:ascii="Times New Roman" w:hAnsi="Times New Roman" w:cs="Times New Roman"/>
                <w:bCs/>
              </w:rPr>
              <w:t>Base : Garcon :</w:t>
            </w:r>
            <w:r w:rsidRPr="008B71B5">
              <w:rPr>
                <w:rFonts w:ascii="Times New Roman" w:hAnsi="Times New Roman" w:cs="Times New Roman"/>
                <w:bCs/>
              </w:rPr>
              <w:t>80,1%</w:t>
            </w:r>
            <w:r>
              <w:rPr>
                <w:rFonts w:ascii="Times New Roman" w:hAnsi="Times New Roman" w:cs="Times New Roman"/>
                <w:bCs/>
              </w:rPr>
              <w:t xml:space="preserve"> - Filles: 55%</w:t>
            </w:r>
          </w:p>
          <w:p w14:paraId="23E40E6C" w14:textId="77777777" w:rsidR="00DD583B" w:rsidRDefault="00DD583B" w:rsidP="005D2A90">
            <w:pPr>
              <w:rPr>
                <w:rFonts w:ascii="Times New Roman" w:hAnsi="Times New Roman" w:cs="Times New Roman"/>
                <w:bCs/>
              </w:rPr>
            </w:pPr>
            <w:r w:rsidRPr="00CE2384">
              <w:rPr>
                <w:rFonts w:ascii="Calibri" w:hAnsi="Calibri"/>
                <w:color w:val="FF0000"/>
                <w:sz w:val="18"/>
                <w:szCs w:val="18"/>
              </w:rPr>
              <w:t xml:space="preserve">Situation en fin 2017: </w:t>
            </w:r>
            <w:r>
              <w:rPr>
                <w:rFonts w:ascii="Times New Roman" w:hAnsi="Times New Roman" w:cs="Times New Roman"/>
                <w:bCs/>
              </w:rPr>
              <w:t>Garcon :74</w:t>
            </w:r>
            <w:r w:rsidRPr="008B71B5">
              <w:rPr>
                <w:rFonts w:ascii="Times New Roman" w:hAnsi="Times New Roman" w:cs="Times New Roman"/>
                <w:bCs/>
              </w:rPr>
              <w:t>%</w:t>
            </w:r>
            <w:r>
              <w:rPr>
                <w:rFonts w:ascii="Times New Roman" w:hAnsi="Times New Roman" w:cs="Times New Roman"/>
                <w:bCs/>
              </w:rPr>
              <w:t xml:space="preserve"> - Filles: 63% (Annuaire statique du MEN )</w:t>
            </w:r>
          </w:p>
          <w:p w14:paraId="7F09F88F" w14:textId="77777777" w:rsidR="00DD583B" w:rsidRPr="00D8205F" w:rsidRDefault="00DD583B" w:rsidP="005D2A90">
            <w:pPr>
              <w:snapToGrid w:val="0"/>
              <w:rPr>
                <w:rFonts w:ascii="Calibri" w:hAnsi="Calibri"/>
                <w:color w:val="FF0000"/>
                <w:sz w:val="18"/>
                <w:szCs w:val="18"/>
              </w:rPr>
            </w:pPr>
          </w:p>
          <w:p w14:paraId="3C91700C" w14:textId="77777777" w:rsidR="00DD583B" w:rsidRPr="00B126E2" w:rsidRDefault="00DD583B" w:rsidP="005D2A90">
            <w:pPr>
              <w:rPr>
                <w:rFonts w:ascii="Times New Roman" w:hAnsi="Times New Roman" w:cs="Times New Roman"/>
                <w:bCs/>
                <w:lang w:val="fr-FR"/>
              </w:rPr>
            </w:pPr>
          </w:p>
          <w:p w14:paraId="32845DFE" w14:textId="77777777" w:rsidR="00DD583B" w:rsidRPr="002E5C18" w:rsidRDefault="00DD583B" w:rsidP="005D2A90">
            <w:r>
              <w:rPr>
                <w:rFonts w:ascii="Times New Roman" w:hAnsi="Times New Roman" w:cs="Times New Roman"/>
                <w:bCs/>
              </w:rPr>
              <w:t xml:space="preserve">Cible : Garcons: </w:t>
            </w:r>
            <w:r w:rsidRPr="008B71B5">
              <w:rPr>
                <w:rFonts w:ascii="Times New Roman" w:hAnsi="Times New Roman" w:cs="Times New Roman"/>
                <w:bCs/>
              </w:rPr>
              <w:t>85%</w:t>
            </w:r>
            <w:r>
              <w:rPr>
                <w:rFonts w:ascii="Times New Roman" w:hAnsi="Times New Roman" w:cs="Times New Roman"/>
                <w:bCs/>
              </w:rPr>
              <w:t xml:space="preserve"> - Filles: 85%</w:t>
            </w:r>
          </w:p>
        </w:tc>
        <w:tc>
          <w:tcPr>
            <w:tcW w:w="3874" w:type="dxa"/>
            <w:vAlign w:val="center"/>
          </w:tcPr>
          <w:p w14:paraId="1B16A6C0" w14:textId="77777777" w:rsidR="00DD583B" w:rsidRDefault="00DD583B" w:rsidP="005D2A90">
            <w:pPr>
              <w:pStyle w:val="Paragraphedeliste"/>
              <w:numPr>
                <w:ilvl w:val="0"/>
                <w:numId w:val="36"/>
              </w:numPr>
              <w:suppressAutoHyphens/>
              <w:rPr>
                <w:rFonts w:ascii="Times New Roman" w:hAnsi="Times New Roman" w:cs="Times New Roman"/>
              </w:rPr>
            </w:pPr>
            <w:r w:rsidRPr="00880F37">
              <w:rPr>
                <w:rFonts w:ascii="Times New Roman" w:hAnsi="Times New Roman" w:cs="Times New Roman"/>
              </w:rPr>
              <w:t>Mode de calcul : Rapport Nb d’enfants inscrits en premier cycle fondamental, sur Nb total d’enfants en âge de l’être</w:t>
            </w:r>
          </w:p>
          <w:p w14:paraId="4F07E68C" w14:textId="77777777" w:rsidR="00DD583B" w:rsidRDefault="00DD583B" w:rsidP="005D2A90">
            <w:pPr>
              <w:pStyle w:val="Paragraphedeliste"/>
              <w:numPr>
                <w:ilvl w:val="0"/>
                <w:numId w:val="36"/>
              </w:numPr>
              <w:suppressAutoHyphens/>
              <w:rPr>
                <w:rFonts w:ascii="Times New Roman" w:hAnsi="Times New Roman" w:cs="Times New Roman"/>
              </w:rPr>
            </w:pPr>
            <w:r w:rsidRPr="00CB0E70">
              <w:rPr>
                <w:rFonts w:ascii="Times New Roman" w:hAnsi="Times New Roman" w:cs="Times New Roman"/>
              </w:rPr>
              <w:t>Sources de données</w:t>
            </w:r>
            <w:r>
              <w:rPr>
                <w:rFonts w:ascii="Times New Roman" w:hAnsi="Times New Roman" w:cs="Times New Roman"/>
              </w:rPr>
              <w:t>/Moyens de vérification</w:t>
            </w:r>
            <w:r w:rsidRPr="00CB0E70">
              <w:rPr>
                <w:rFonts w:ascii="Times New Roman" w:hAnsi="Times New Roman" w:cs="Times New Roman"/>
              </w:rPr>
              <w:t> </w:t>
            </w:r>
            <w:r w:rsidRPr="00880F37">
              <w:rPr>
                <w:rFonts w:ascii="Times New Roman" w:hAnsi="Times New Roman" w:cs="Times New Roman"/>
              </w:rPr>
              <w:t>: Statiques scolaires</w:t>
            </w:r>
          </w:p>
          <w:p w14:paraId="7D2457AE" w14:textId="77777777" w:rsidR="00DD583B" w:rsidRDefault="00DD583B" w:rsidP="005D2A90">
            <w:pPr>
              <w:numPr>
                <w:ilvl w:val="0"/>
                <w:numId w:val="36"/>
              </w:numPr>
              <w:suppressAutoHyphens/>
              <w:rPr>
                <w:rFonts w:ascii="Times New Roman" w:hAnsi="Times New Roman" w:cs="Times New Roman"/>
              </w:rPr>
            </w:pPr>
            <w:r w:rsidRPr="00880F37">
              <w:rPr>
                <w:rFonts w:ascii="Times New Roman" w:hAnsi="Times New Roman" w:cs="Times New Roman"/>
              </w:rPr>
              <w:t>Périodicité : Annuelle</w:t>
            </w:r>
          </w:p>
          <w:p w14:paraId="7644B1B5" w14:textId="77777777" w:rsidR="00DD583B" w:rsidRDefault="00DD583B" w:rsidP="005D2A90">
            <w:pPr>
              <w:pStyle w:val="Paragraphedeliste"/>
              <w:numPr>
                <w:ilvl w:val="0"/>
                <w:numId w:val="36"/>
              </w:numPr>
            </w:pPr>
            <w:r w:rsidRPr="00880F37">
              <w:rPr>
                <w:rFonts w:ascii="Times New Roman" w:hAnsi="Times New Roman" w:cs="Times New Roman"/>
              </w:rPr>
              <w:t>Maître d’œuvre : Groupe de Résultat en rapport  l’Appareil statistique national et sectoriel Education</w:t>
            </w:r>
          </w:p>
        </w:tc>
        <w:tc>
          <w:tcPr>
            <w:tcW w:w="2648" w:type="dxa"/>
          </w:tcPr>
          <w:p w14:paraId="44626490" w14:textId="77777777" w:rsidR="00DD583B" w:rsidRPr="002E5C18" w:rsidRDefault="00DD583B" w:rsidP="005D2A90">
            <w:pPr>
              <w:rPr>
                <w:rFonts w:cs="Calibri"/>
                <w:b/>
                <w:sz w:val="18"/>
                <w:szCs w:val="18"/>
              </w:rPr>
            </w:pPr>
          </w:p>
        </w:tc>
        <w:tc>
          <w:tcPr>
            <w:tcW w:w="1974" w:type="dxa"/>
          </w:tcPr>
          <w:p w14:paraId="0DB8D33D" w14:textId="77777777" w:rsidR="00DD583B" w:rsidRPr="002E5C18" w:rsidRDefault="00DD583B" w:rsidP="005D2A90">
            <w:pPr>
              <w:rPr>
                <w:rFonts w:cs="Calibri"/>
                <w:b/>
                <w:bCs/>
                <w:sz w:val="18"/>
                <w:szCs w:val="18"/>
                <w:u w:val="single"/>
              </w:rPr>
            </w:pPr>
          </w:p>
        </w:tc>
        <w:tc>
          <w:tcPr>
            <w:tcW w:w="1250" w:type="dxa"/>
          </w:tcPr>
          <w:p w14:paraId="068C865B" w14:textId="77777777" w:rsidR="00DD583B" w:rsidRPr="002E5C18" w:rsidRDefault="00DD583B" w:rsidP="005D2A90"/>
        </w:tc>
      </w:tr>
      <w:tr w:rsidR="00DD583B" w:rsidRPr="002E5C18" w14:paraId="16F177C6" w14:textId="77777777" w:rsidTr="005D2A90">
        <w:tc>
          <w:tcPr>
            <w:tcW w:w="2590" w:type="dxa"/>
            <w:shd w:val="clear" w:color="auto" w:fill="8DB3E2" w:themeFill="text2" w:themeFillTint="66"/>
          </w:tcPr>
          <w:p w14:paraId="3C93EC98" w14:textId="77777777" w:rsidR="00DD583B" w:rsidRPr="002E5C18" w:rsidRDefault="00DD583B" w:rsidP="005D2A90">
            <w:pPr>
              <w:pStyle w:val="Corpsdetexte"/>
              <w:spacing w:line="240" w:lineRule="auto"/>
              <w:jc w:val="left"/>
              <w:rPr>
                <w:rFonts w:asciiTheme="minorHAnsi" w:hAnsiTheme="minorHAnsi" w:cs="Times New Roman"/>
                <w:b/>
                <w:bCs/>
                <w:i/>
                <w:sz w:val="20"/>
                <w:szCs w:val="20"/>
                <w:u w:val="single"/>
              </w:rPr>
            </w:pPr>
          </w:p>
        </w:tc>
        <w:tc>
          <w:tcPr>
            <w:tcW w:w="2832" w:type="dxa"/>
            <w:vAlign w:val="center"/>
          </w:tcPr>
          <w:p w14:paraId="11E851AC" w14:textId="77777777" w:rsidR="00DD583B" w:rsidRDefault="00DD583B" w:rsidP="005D2A90">
            <w:pPr>
              <w:rPr>
                <w:rFonts w:ascii="Times New Roman" w:hAnsi="Times New Roman" w:cs="Times New Roman"/>
                <w:bCs/>
              </w:rPr>
            </w:pPr>
            <w:r>
              <w:rPr>
                <w:rFonts w:ascii="Times New Roman" w:hAnsi="Times New Roman" w:cs="Times New Roman"/>
                <w:bCs/>
              </w:rPr>
              <w:t>Education:</w:t>
            </w:r>
          </w:p>
          <w:p w14:paraId="1891EDC8" w14:textId="77777777" w:rsidR="00DD583B" w:rsidRDefault="00DD583B" w:rsidP="005D2A90">
            <w:pPr>
              <w:rPr>
                <w:rFonts w:ascii="Times New Roman" w:hAnsi="Times New Roman" w:cs="Times New Roman"/>
                <w:bCs/>
              </w:rPr>
            </w:pPr>
            <w:r w:rsidRPr="008B71B5">
              <w:rPr>
                <w:rFonts w:ascii="Times New Roman" w:hAnsi="Times New Roman" w:cs="Times New Roman"/>
                <w:bCs/>
              </w:rPr>
              <w:t xml:space="preserve">Taux brut de scolarisation au primaire  </w:t>
            </w:r>
          </w:p>
          <w:p w14:paraId="315BD146" w14:textId="77777777" w:rsidR="00DD583B" w:rsidRDefault="00DD583B" w:rsidP="005D2A90">
            <w:pPr>
              <w:rPr>
                <w:rFonts w:ascii="Times New Roman" w:hAnsi="Times New Roman" w:cs="Times New Roman"/>
                <w:bCs/>
              </w:rPr>
            </w:pPr>
          </w:p>
          <w:p w14:paraId="2A782613" w14:textId="77777777" w:rsidR="00DD583B" w:rsidRPr="006F2636" w:rsidRDefault="00DD583B" w:rsidP="005D2A90">
            <w:pPr>
              <w:rPr>
                <w:rFonts w:ascii="Times New Roman" w:hAnsi="Times New Roman" w:cs="Times New Roman"/>
                <w:bCs/>
                <w:highlight w:val="yellow"/>
              </w:rPr>
            </w:pPr>
            <w:r w:rsidRPr="006F2636">
              <w:rPr>
                <w:rFonts w:ascii="Times New Roman" w:hAnsi="Times New Roman" w:cs="Times New Roman"/>
                <w:bCs/>
                <w:highlight w:val="yellow"/>
              </w:rPr>
              <w:lastRenderedPageBreak/>
              <w:t>Base : Garcons: 76,4% - Filles: 64%</w:t>
            </w:r>
          </w:p>
          <w:p w14:paraId="5E5970DB" w14:textId="77777777" w:rsidR="00DD583B" w:rsidRDefault="00DD583B" w:rsidP="005D2A90">
            <w:pPr>
              <w:rPr>
                <w:rFonts w:ascii="Times New Roman" w:hAnsi="Times New Roman" w:cs="Times New Roman"/>
                <w:bCs/>
              </w:rPr>
            </w:pPr>
            <w:r w:rsidRPr="006F2636">
              <w:rPr>
                <w:rFonts w:ascii="Calibri" w:hAnsi="Calibri"/>
                <w:color w:val="FF0000"/>
                <w:sz w:val="18"/>
                <w:szCs w:val="18"/>
                <w:highlight w:val="yellow"/>
              </w:rPr>
              <w:t xml:space="preserve">Situation en fin 2017: </w:t>
            </w:r>
            <w:r w:rsidRPr="006F2636">
              <w:rPr>
                <w:rFonts w:ascii="Times New Roman" w:hAnsi="Times New Roman" w:cs="Times New Roman"/>
                <w:bCs/>
                <w:highlight w:val="yellow"/>
              </w:rPr>
              <w:t>Garcon :78,3% - Filles: 66% (Annuaire statique du MEN )</w:t>
            </w:r>
          </w:p>
          <w:p w14:paraId="284B661D" w14:textId="77777777" w:rsidR="00DD583B" w:rsidRPr="00D8205F" w:rsidRDefault="00DD583B" w:rsidP="005D2A90">
            <w:pPr>
              <w:snapToGrid w:val="0"/>
              <w:rPr>
                <w:rFonts w:ascii="Calibri" w:hAnsi="Calibri"/>
                <w:color w:val="FF0000"/>
                <w:sz w:val="18"/>
                <w:szCs w:val="18"/>
              </w:rPr>
            </w:pPr>
          </w:p>
          <w:p w14:paraId="6F99373B" w14:textId="77777777" w:rsidR="00DD583B" w:rsidRPr="00B126E2" w:rsidRDefault="00DD583B" w:rsidP="005D2A90">
            <w:pPr>
              <w:rPr>
                <w:rFonts w:ascii="Times New Roman" w:hAnsi="Times New Roman" w:cs="Times New Roman"/>
                <w:bCs/>
                <w:lang w:val="fr-FR"/>
              </w:rPr>
            </w:pPr>
          </w:p>
          <w:p w14:paraId="63E8C453" w14:textId="77777777" w:rsidR="00DD583B" w:rsidRPr="002E5C18" w:rsidRDefault="00DD583B" w:rsidP="005D2A90">
            <w:r>
              <w:rPr>
                <w:rFonts w:ascii="Times New Roman" w:hAnsi="Times New Roman" w:cs="Times New Roman"/>
                <w:bCs/>
              </w:rPr>
              <w:t xml:space="preserve">Cible : Garcon: </w:t>
            </w:r>
            <w:r w:rsidRPr="008B71B5">
              <w:rPr>
                <w:rFonts w:ascii="Times New Roman" w:hAnsi="Times New Roman" w:cs="Times New Roman"/>
                <w:bCs/>
              </w:rPr>
              <w:t>90%</w:t>
            </w:r>
            <w:r>
              <w:rPr>
                <w:rFonts w:ascii="Times New Roman" w:hAnsi="Times New Roman" w:cs="Times New Roman"/>
                <w:bCs/>
              </w:rPr>
              <w:t>- Filles: 90%</w:t>
            </w:r>
          </w:p>
        </w:tc>
        <w:tc>
          <w:tcPr>
            <w:tcW w:w="3874" w:type="dxa"/>
            <w:vAlign w:val="center"/>
          </w:tcPr>
          <w:p w14:paraId="73C08196" w14:textId="77777777" w:rsidR="00DD583B" w:rsidRDefault="00DD583B" w:rsidP="005D2A90">
            <w:pPr>
              <w:pStyle w:val="Paragraphedeliste"/>
              <w:numPr>
                <w:ilvl w:val="0"/>
                <w:numId w:val="36"/>
              </w:numPr>
              <w:suppressAutoHyphens/>
              <w:rPr>
                <w:rFonts w:ascii="Times New Roman" w:hAnsi="Times New Roman" w:cs="Times New Roman"/>
              </w:rPr>
            </w:pPr>
            <w:r w:rsidRPr="00880F37">
              <w:rPr>
                <w:rFonts w:ascii="Times New Roman" w:hAnsi="Times New Roman" w:cs="Times New Roman"/>
              </w:rPr>
              <w:lastRenderedPageBreak/>
              <w:t>Mode de calcul : Rapport Nb de filles scolarisées en primaire, sur Nb total de filles en âge de l’être</w:t>
            </w:r>
          </w:p>
          <w:p w14:paraId="3B3844BD" w14:textId="77777777" w:rsidR="00DD583B" w:rsidRDefault="00DD583B" w:rsidP="005D2A90">
            <w:pPr>
              <w:pStyle w:val="Paragraphedeliste"/>
              <w:numPr>
                <w:ilvl w:val="0"/>
                <w:numId w:val="36"/>
              </w:numPr>
              <w:suppressAutoHyphens/>
              <w:rPr>
                <w:rFonts w:ascii="Times New Roman" w:hAnsi="Times New Roman" w:cs="Times New Roman"/>
              </w:rPr>
            </w:pPr>
            <w:r w:rsidRPr="00CB0E70">
              <w:rPr>
                <w:rFonts w:ascii="Times New Roman" w:hAnsi="Times New Roman" w:cs="Times New Roman"/>
              </w:rPr>
              <w:lastRenderedPageBreak/>
              <w:t>Sources de données</w:t>
            </w:r>
            <w:r>
              <w:rPr>
                <w:rFonts w:ascii="Times New Roman" w:hAnsi="Times New Roman" w:cs="Times New Roman"/>
              </w:rPr>
              <w:t>/Moyens de vérification</w:t>
            </w:r>
            <w:r w:rsidRPr="00CB0E70">
              <w:rPr>
                <w:rFonts w:ascii="Times New Roman" w:hAnsi="Times New Roman" w:cs="Times New Roman"/>
              </w:rPr>
              <w:t> </w:t>
            </w:r>
            <w:r w:rsidRPr="00880F37">
              <w:rPr>
                <w:rFonts w:ascii="Times New Roman" w:hAnsi="Times New Roman" w:cs="Times New Roman"/>
              </w:rPr>
              <w:t xml:space="preserve">: </w:t>
            </w:r>
          </w:p>
          <w:p w14:paraId="78B1DA34" w14:textId="77777777" w:rsidR="00DD583B" w:rsidRDefault="00DD583B" w:rsidP="005D2A90">
            <w:pPr>
              <w:pStyle w:val="Paragraphedeliste"/>
              <w:numPr>
                <w:ilvl w:val="0"/>
                <w:numId w:val="36"/>
              </w:numPr>
              <w:suppressAutoHyphens/>
              <w:rPr>
                <w:rFonts w:ascii="Times New Roman" w:hAnsi="Times New Roman" w:cs="Times New Roman"/>
              </w:rPr>
            </w:pPr>
            <w:r w:rsidRPr="00880F37">
              <w:rPr>
                <w:rFonts w:ascii="Times New Roman" w:hAnsi="Times New Roman" w:cs="Times New Roman"/>
              </w:rPr>
              <w:t>Périodicité : Annuelle</w:t>
            </w:r>
          </w:p>
          <w:p w14:paraId="5A0CEB09" w14:textId="77777777" w:rsidR="00DD583B" w:rsidRDefault="00DD583B" w:rsidP="005D2A90">
            <w:pPr>
              <w:pStyle w:val="Paragraphedeliste"/>
              <w:numPr>
                <w:ilvl w:val="0"/>
                <w:numId w:val="36"/>
              </w:numPr>
            </w:pPr>
            <w:r w:rsidRPr="00880F37">
              <w:rPr>
                <w:rFonts w:ascii="Times New Roman" w:hAnsi="Times New Roman" w:cs="Times New Roman"/>
              </w:rPr>
              <w:t>Maître d’œuvre : Groupe de Résultat en rapport  l’Appareil statistique national et sectoriel Education</w:t>
            </w:r>
          </w:p>
        </w:tc>
        <w:tc>
          <w:tcPr>
            <w:tcW w:w="2648" w:type="dxa"/>
          </w:tcPr>
          <w:p w14:paraId="3CA192B5" w14:textId="77777777" w:rsidR="00DD583B" w:rsidRPr="002E5C18" w:rsidRDefault="00DD583B" w:rsidP="005D2A90">
            <w:pPr>
              <w:rPr>
                <w:rFonts w:cs="Calibri"/>
                <w:b/>
                <w:sz w:val="18"/>
                <w:szCs w:val="18"/>
              </w:rPr>
            </w:pPr>
          </w:p>
        </w:tc>
        <w:tc>
          <w:tcPr>
            <w:tcW w:w="1974" w:type="dxa"/>
          </w:tcPr>
          <w:p w14:paraId="1D860CD0" w14:textId="77777777" w:rsidR="00DD583B" w:rsidRPr="002E5C18" w:rsidRDefault="00DD583B" w:rsidP="005D2A90">
            <w:pPr>
              <w:rPr>
                <w:rFonts w:cs="Calibri"/>
                <w:b/>
                <w:bCs/>
                <w:sz w:val="18"/>
                <w:szCs w:val="18"/>
                <w:u w:val="single"/>
              </w:rPr>
            </w:pPr>
          </w:p>
        </w:tc>
        <w:tc>
          <w:tcPr>
            <w:tcW w:w="1250" w:type="dxa"/>
          </w:tcPr>
          <w:p w14:paraId="3AA63FFC" w14:textId="77777777" w:rsidR="00DD583B" w:rsidRPr="002E5C18" w:rsidRDefault="00DD583B" w:rsidP="005D2A90"/>
        </w:tc>
      </w:tr>
      <w:tr w:rsidR="00DD583B" w:rsidRPr="002E5C18" w14:paraId="7F552712" w14:textId="77777777" w:rsidTr="005D2A90">
        <w:tc>
          <w:tcPr>
            <w:tcW w:w="2590" w:type="dxa"/>
            <w:shd w:val="clear" w:color="auto" w:fill="8DB3E2" w:themeFill="text2" w:themeFillTint="66"/>
          </w:tcPr>
          <w:p w14:paraId="488C9682" w14:textId="77777777" w:rsidR="00DD583B" w:rsidRPr="002E5C18" w:rsidRDefault="00DD583B" w:rsidP="005D2A90">
            <w:pPr>
              <w:pStyle w:val="Corpsdetexte"/>
              <w:spacing w:line="240" w:lineRule="auto"/>
              <w:jc w:val="left"/>
              <w:rPr>
                <w:rFonts w:asciiTheme="minorHAnsi" w:hAnsiTheme="minorHAnsi" w:cs="Times New Roman"/>
                <w:b/>
                <w:bCs/>
                <w:i/>
                <w:sz w:val="20"/>
                <w:szCs w:val="20"/>
                <w:u w:val="single"/>
              </w:rPr>
            </w:pPr>
          </w:p>
        </w:tc>
        <w:tc>
          <w:tcPr>
            <w:tcW w:w="2832" w:type="dxa"/>
          </w:tcPr>
          <w:p w14:paraId="5476E02D" w14:textId="77777777" w:rsidR="00DD583B" w:rsidRDefault="00DD583B" w:rsidP="005D2A90">
            <w:pPr>
              <w:rPr>
                <w:rFonts w:ascii="Times New Roman" w:hAnsi="Times New Roman" w:cs="Times New Roman"/>
                <w:bCs/>
              </w:rPr>
            </w:pPr>
            <w:r w:rsidRPr="008B71B5">
              <w:rPr>
                <w:rFonts w:ascii="Times New Roman" w:hAnsi="Times New Roman" w:cs="Times New Roman"/>
                <w:bCs/>
              </w:rPr>
              <w:t>Prévalence de la malnutrition chronique</w:t>
            </w:r>
          </w:p>
          <w:p w14:paraId="6F830E37" w14:textId="77777777" w:rsidR="00DD583B" w:rsidRDefault="00DD583B" w:rsidP="005D2A90">
            <w:pPr>
              <w:rPr>
                <w:rFonts w:ascii="Times New Roman" w:hAnsi="Times New Roman" w:cs="Times New Roman"/>
                <w:bCs/>
              </w:rPr>
            </w:pPr>
          </w:p>
          <w:p w14:paraId="11C53517" w14:textId="77777777" w:rsidR="00DD583B" w:rsidRDefault="00DD583B" w:rsidP="005D2A90">
            <w:pPr>
              <w:rPr>
                <w:rFonts w:ascii="Times New Roman" w:hAnsi="Times New Roman" w:cs="Times New Roman"/>
                <w:bCs/>
              </w:rPr>
            </w:pPr>
            <w:r>
              <w:rPr>
                <w:rFonts w:ascii="Times New Roman" w:hAnsi="Times New Roman" w:cs="Times New Roman"/>
                <w:bCs/>
              </w:rPr>
              <w:t xml:space="preserve">Base : </w:t>
            </w:r>
            <w:r w:rsidRPr="008B71B5">
              <w:rPr>
                <w:rFonts w:ascii="Times New Roman" w:hAnsi="Times New Roman" w:cs="Times New Roman"/>
                <w:bCs/>
              </w:rPr>
              <w:t>28%</w:t>
            </w:r>
            <w:r>
              <w:rPr>
                <w:rFonts w:ascii="Times New Roman" w:hAnsi="Times New Roman" w:cs="Times New Roman"/>
                <w:bCs/>
              </w:rPr>
              <w:t xml:space="preserve"> (SMART 2014)</w:t>
            </w:r>
          </w:p>
          <w:p w14:paraId="5592766A" w14:textId="77777777" w:rsidR="00DD583B" w:rsidRDefault="00DD583B" w:rsidP="005D2A90">
            <w:pPr>
              <w:snapToGrid w:val="0"/>
              <w:rPr>
                <w:rFonts w:ascii="Calibri" w:hAnsi="Calibri"/>
                <w:color w:val="FF0000"/>
                <w:sz w:val="18"/>
                <w:szCs w:val="18"/>
              </w:rPr>
            </w:pPr>
            <w:r w:rsidRPr="00D127B3">
              <w:rPr>
                <w:rFonts w:ascii="Calibri" w:hAnsi="Calibri"/>
                <w:b/>
                <w:color w:val="FF0000"/>
                <w:sz w:val="18"/>
                <w:szCs w:val="18"/>
              </w:rPr>
              <w:t>Situation en fin 2017</w:t>
            </w:r>
            <w:r w:rsidRPr="00CE2384">
              <w:rPr>
                <w:rFonts w:ascii="Calibri" w:hAnsi="Calibri"/>
                <w:color w:val="FF0000"/>
                <w:sz w:val="18"/>
                <w:szCs w:val="18"/>
              </w:rPr>
              <w:t xml:space="preserve">: </w:t>
            </w:r>
            <w:r>
              <w:rPr>
                <w:rFonts w:ascii="Calibri" w:hAnsi="Calibri"/>
                <w:color w:val="FF0000"/>
                <w:sz w:val="18"/>
                <w:szCs w:val="18"/>
              </w:rPr>
              <w:t xml:space="preserve">23,1% (Filles:19,9% - garcons 26,7%) </w:t>
            </w:r>
          </w:p>
          <w:p w14:paraId="6ED5B026" w14:textId="77777777" w:rsidR="00DD583B" w:rsidRPr="00CE2384" w:rsidRDefault="00DD583B" w:rsidP="005D2A90">
            <w:pPr>
              <w:snapToGrid w:val="0"/>
              <w:rPr>
                <w:rFonts w:ascii="Calibri" w:hAnsi="Calibri"/>
                <w:color w:val="FF0000"/>
                <w:sz w:val="18"/>
                <w:szCs w:val="18"/>
                <w:lang w:val="fr-FR"/>
              </w:rPr>
            </w:pPr>
            <w:r>
              <w:rPr>
                <w:rFonts w:ascii="Calibri" w:hAnsi="Calibri"/>
                <w:color w:val="FF0000"/>
                <w:sz w:val="18"/>
                <w:szCs w:val="18"/>
              </w:rPr>
              <w:t>(SMART 2017)</w:t>
            </w:r>
          </w:p>
          <w:p w14:paraId="16D3945F" w14:textId="77777777" w:rsidR="00DD583B" w:rsidRDefault="00DD583B" w:rsidP="005D2A90">
            <w:pPr>
              <w:rPr>
                <w:rFonts w:ascii="Times New Roman" w:hAnsi="Times New Roman" w:cs="Times New Roman"/>
                <w:bCs/>
              </w:rPr>
            </w:pPr>
          </w:p>
          <w:p w14:paraId="4DEFD003" w14:textId="77777777" w:rsidR="00DD583B" w:rsidRPr="002E5C18" w:rsidRDefault="00DD583B" w:rsidP="005D2A90">
            <w:r>
              <w:rPr>
                <w:rFonts w:ascii="Times New Roman" w:hAnsi="Times New Roman" w:cs="Times New Roman"/>
                <w:bCs/>
              </w:rPr>
              <w:t>Cible : 23</w:t>
            </w:r>
            <w:r w:rsidRPr="008B71B5">
              <w:rPr>
                <w:rFonts w:ascii="Times New Roman" w:hAnsi="Times New Roman" w:cs="Times New Roman"/>
                <w:bCs/>
              </w:rPr>
              <w:t>%</w:t>
            </w:r>
          </w:p>
        </w:tc>
        <w:tc>
          <w:tcPr>
            <w:tcW w:w="3874" w:type="dxa"/>
            <w:vAlign w:val="center"/>
          </w:tcPr>
          <w:p w14:paraId="040BD238" w14:textId="77777777" w:rsidR="00DD583B" w:rsidRDefault="00DD583B" w:rsidP="005D2A90">
            <w:pPr>
              <w:pStyle w:val="Paragraphedeliste"/>
              <w:numPr>
                <w:ilvl w:val="0"/>
                <w:numId w:val="36"/>
              </w:numPr>
              <w:suppressAutoHyphens/>
              <w:rPr>
                <w:rFonts w:ascii="Times New Roman" w:hAnsi="Times New Roman" w:cs="Times New Roman"/>
              </w:rPr>
            </w:pPr>
            <w:r w:rsidRPr="00880F37">
              <w:rPr>
                <w:rFonts w:ascii="Times New Roman" w:hAnsi="Times New Roman" w:cs="Times New Roman"/>
              </w:rPr>
              <w:t xml:space="preserve">Mode de calcul : Rapport Nb </w:t>
            </w:r>
            <w:r w:rsidRPr="008B71B5">
              <w:rPr>
                <w:rFonts w:ascii="Times New Roman" w:hAnsi="Times New Roman" w:cs="Times New Roman"/>
              </w:rPr>
              <w:t>d</w:t>
            </w:r>
            <w:r>
              <w:rPr>
                <w:rFonts w:ascii="Times New Roman" w:hAnsi="Times New Roman" w:cs="Times New Roman"/>
              </w:rPr>
              <w:t>’enfants souffrant de malnutrition chronique</w:t>
            </w:r>
            <w:r w:rsidRPr="00880F37">
              <w:rPr>
                <w:rFonts w:ascii="Times New Roman" w:hAnsi="Times New Roman" w:cs="Times New Roman"/>
              </w:rPr>
              <w:t xml:space="preserve">, sur </w:t>
            </w:r>
            <w:r>
              <w:rPr>
                <w:rFonts w:ascii="Times New Roman" w:hAnsi="Times New Roman" w:cs="Times New Roman"/>
              </w:rPr>
              <w:t>le nombre total d’enfants de moins de 5 ans.</w:t>
            </w:r>
          </w:p>
          <w:p w14:paraId="548C5AA0" w14:textId="77777777" w:rsidR="00DD583B" w:rsidRDefault="00DD583B" w:rsidP="005D2A90">
            <w:pPr>
              <w:pStyle w:val="Paragraphedeliste"/>
              <w:numPr>
                <w:ilvl w:val="0"/>
                <w:numId w:val="36"/>
              </w:numPr>
              <w:suppressAutoHyphens/>
              <w:rPr>
                <w:rFonts w:ascii="Times New Roman" w:hAnsi="Times New Roman" w:cs="Times New Roman"/>
              </w:rPr>
            </w:pPr>
            <w:r w:rsidRPr="00CB0E70">
              <w:rPr>
                <w:rFonts w:ascii="Times New Roman" w:hAnsi="Times New Roman" w:cs="Times New Roman"/>
              </w:rPr>
              <w:t>Sources de données</w:t>
            </w:r>
            <w:r>
              <w:rPr>
                <w:rFonts w:ascii="Times New Roman" w:hAnsi="Times New Roman" w:cs="Times New Roman"/>
              </w:rPr>
              <w:t>/Moyens de vérification</w:t>
            </w:r>
            <w:r w:rsidRPr="00CB0E70">
              <w:rPr>
                <w:rFonts w:ascii="Times New Roman" w:hAnsi="Times New Roman" w:cs="Times New Roman"/>
              </w:rPr>
              <w:t> </w:t>
            </w:r>
            <w:r w:rsidRPr="00880F37">
              <w:rPr>
                <w:rFonts w:ascii="Times New Roman" w:hAnsi="Times New Roman" w:cs="Times New Roman"/>
              </w:rPr>
              <w:t>: Enquêtes nationales</w:t>
            </w:r>
          </w:p>
          <w:p w14:paraId="277D9361" w14:textId="77777777" w:rsidR="00DD583B" w:rsidRDefault="00DD583B" w:rsidP="005D2A90">
            <w:pPr>
              <w:pStyle w:val="Paragraphedeliste"/>
              <w:numPr>
                <w:ilvl w:val="0"/>
                <w:numId w:val="36"/>
              </w:numPr>
              <w:suppressAutoHyphens/>
              <w:rPr>
                <w:rFonts w:ascii="Times New Roman" w:hAnsi="Times New Roman" w:cs="Times New Roman"/>
              </w:rPr>
            </w:pPr>
            <w:r w:rsidRPr="00880F37">
              <w:rPr>
                <w:rFonts w:ascii="Times New Roman" w:hAnsi="Times New Roman" w:cs="Times New Roman"/>
              </w:rPr>
              <w:t>Périodicité : Annuelle</w:t>
            </w:r>
          </w:p>
          <w:p w14:paraId="178BAF41" w14:textId="77777777" w:rsidR="00DD583B" w:rsidRDefault="00DD583B" w:rsidP="005D2A90">
            <w:pPr>
              <w:pStyle w:val="Paragraphedeliste"/>
              <w:numPr>
                <w:ilvl w:val="0"/>
                <w:numId w:val="36"/>
              </w:numPr>
            </w:pPr>
            <w:r w:rsidRPr="00880F37">
              <w:rPr>
                <w:rFonts w:ascii="Times New Roman" w:hAnsi="Times New Roman" w:cs="Times New Roman"/>
              </w:rPr>
              <w:t>Maître d’œuvre : Groupe de Résultat en rapport avec l’Appareil statistique national</w:t>
            </w:r>
          </w:p>
        </w:tc>
        <w:tc>
          <w:tcPr>
            <w:tcW w:w="2648" w:type="dxa"/>
          </w:tcPr>
          <w:p w14:paraId="64CF213C" w14:textId="77777777" w:rsidR="00DD583B" w:rsidRPr="002E5C18" w:rsidRDefault="00DD583B" w:rsidP="005D2A90">
            <w:pPr>
              <w:rPr>
                <w:rFonts w:cs="Calibri"/>
                <w:b/>
                <w:sz w:val="18"/>
                <w:szCs w:val="18"/>
              </w:rPr>
            </w:pPr>
          </w:p>
        </w:tc>
        <w:tc>
          <w:tcPr>
            <w:tcW w:w="1974" w:type="dxa"/>
          </w:tcPr>
          <w:p w14:paraId="793AE5B7" w14:textId="77777777" w:rsidR="00DD583B" w:rsidRPr="002E5C18" w:rsidRDefault="00DD583B" w:rsidP="005D2A90">
            <w:pPr>
              <w:rPr>
                <w:rFonts w:cs="Calibri"/>
                <w:b/>
                <w:bCs/>
                <w:sz w:val="18"/>
                <w:szCs w:val="18"/>
                <w:u w:val="single"/>
              </w:rPr>
            </w:pPr>
          </w:p>
        </w:tc>
        <w:tc>
          <w:tcPr>
            <w:tcW w:w="1250" w:type="dxa"/>
          </w:tcPr>
          <w:p w14:paraId="638BA566" w14:textId="77777777" w:rsidR="00DD583B" w:rsidRPr="002E5C18" w:rsidRDefault="00DD583B" w:rsidP="005D2A90"/>
        </w:tc>
      </w:tr>
      <w:tr w:rsidR="00DD583B" w:rsidRPr="002E5C18" w14:paraId="46DF52A2" w14:textId="77777777" w:rsidTr="005D2A90">
        <w:tc>
          <w:tcPr>
            <w:tcW w:w="2590" w:type="dxa"/>
            <w:shd w:val="clear" w:color="auto" w:fill="8DB3E2" w:themeFill="text2" w:themeFillTint="66"/>
          </w:tcPr>
          <w:p w14:paraId="00C8E8C3" w14:textId="77777777" w:rsidR="00DD583B" w:rsidRPr="002E5C18" w:rsidRDefault="00DD583B" w:rsidP="005D2A90">
            <w:pPr>
              <w:pStyle w:val="Corpsdetexte"/>
              <w:spacing w:line="240" w:lineRule="auto"/>
              <w:jc w:val="left"/>
              <w:rPr>
                <w:rFonts w:asciiTheme="minorHAnsi" w:hAnsiTheme="minorHAnsi" w:cs="Times New Roman"/>
                <w:b/>
                <w:bCs/>
                <w:i/>
                <w:sz w:val="20"/>
                <w:szCs w:val="20"/>
                <w:u w:val="single"/>
              </w:rPr>
            </w:pPr>
          </w:p>
        </w:tc>
        <w:tc>
          <w:tcPr>
            <w:tcW w:w="2832" w:type="dxa"/>
            <w:vAlign w:val="center"/>
          </w:tcPr>
          <w:p w14:paraId="369620D6" w14:textId="77777777" w:rsidR="00DD583B" w:rsidRDefault="00DD583B" w:rsidP="005D2A90">
            <w:pPr>
              <w:rPr>
                <w:rFonts w:ascii="Times New Roman" w:hAnsi="Times New Roman" w:cs="Times New Roman"/>
                <w:bCs/>
              </w:rPr>
            </w:pPr>
            <w:r>
              <w:rPr>
                <w:rFonts w:ascii="Times New Roman" w:hAnsi="Times New Roman" w:cs="Times New Roman"/>
                <w:bCs/>
              </w:rPr>
              <w:t xml:space="preserve">Taux de </w:t>
            </w:r>
            <w:r w:rsidRPr="008B71B5">
              <w:rPr>
                <w:rFonts w:ascii="Times New Roman" w:hAnsi="Times New Roman" w:cs="Times New Roman"/>
                <w:bCs/>
              </w:rPr>
              <w:t>Prévalence des mutilations génitales féminines</w:t>
            </w:r>
            <w:r w:rsidRPr="00D44350">
              <w:rPr>
                <w:rFonts w:ascii="Calibri" w:eastAsia="Times New Roman" w:hAnsi="Calibri" w:cs="Calibri"/>
                <w:color w:val="000000"/>
                <w:lang w:eastAsia="fr-FR"/>
              </w:rPr>
              <w:t xml:space="preserve"> chez les tranches d’âge (0-14ans ; et 15-49ans)</w:t>
            </w:r>
            <w:r w:rsidRPr="008B71B5">
              <w:rPr>
                <w:rFonts w:ascii="Times New Roman" w:hAnsi="Times New Roman" w:cs="Times New Roman"/>
                <w:bCs/>
              </w:rPr>
              <w:t xml:space="preserve"> </w:t>
            </w:r>
          </w:p>
          <w:p w14:paraId="38767AB9" w14:textId="77777777" w:rsidR="00DD583B" w:rsidRDefault="00DD583B" w:rsidP="005D2A90">
            <w:pPr>
              <w:rPr>
                <w:rFonts w:ascii="Times New Roman" w:hAnsi="Times New Roman" w:cs="Times New Roman"/>
                <w:bCs/>
              </w:rPr>
            </w:pPr>
          </w:p>
          <w:p w14:paraId="344EED5D" w14:textId="77777777" w:rsidR="00DD583B" w:rsidRDefault="00DD583B" w:rsidP="005D2A90">
            <w:pPr>
              <w:rPr>
                <w:rFonts w:ascii="Calibri" w:eastAsia="Times New Roman" w:hAnsi="Calibri" w:cs="Calibri"/>
                <w:color w:val="000000"/>
                <w:lang w:eastAsia="fr-FR"/>
              </w:rPr>
            </w:pPr>
            <w:r>
              <w:rPr>
                <w:rFonts w:ascii="Times New Roman" w:hAnsi="Times New Roman" w:cs="Times New Roman"/>
                <w:bCs/>
              </w:rPr>
              <w:t xml:space="preserve">Base : </w:t>
            </w:r>
            <w:r w:rsidRPr="00D44350">
              <w:rPr>
                <w:rFonts w:ascii="Calibri" w:eastAsia="Times New Roman" w:hAnsi="Calibri" w:cs="Calibri"/>
                <w:color w:val="000000"/>
                <w:lang w:eastAsia="fr-FR"/>
              </w:rPr>
              <w:t>0-14ans : 69%</w:t>
            </w:r>
            <w:r>
              <w:rPr>
                <w:rFonts w:ascii="Times New Roman" w:hAnsi="Times New Roman" w:cs="Times New Roman"/>
                <w:bCs/>
              </w:rPr>
              <w:t xml:space="preserve"> et </w:t>
            </w:r>
            <w:r w:rsidRPr="00D44350">
              <w:rPr>
                <w:rFonts w:ascii="Calibri" w:eastAsia="Times New Roman" w:hAnsi="Calibri" w:cs="Calibri"/>
                <w:color w:val="000000"/>
                <w:lang w:eastAsia="fr-FR"/>
              </w:rPr>
              <w:t>15-49 ans : 91%</w:t>
            </w:r>
            <w:r>
              <w:rPr>
                <w:rFonts w:ascii="Calibri" w:eastAsia="Times New Roman" w:hAnsi="Calibri" w:cs="Calibri"/>
                <w:color w:val="000000"/>
                <w:lang w:eastAsia="fr-FR"/>
              </w:rPr>
              <w:t xml:space="preserve"> (EDSM 2012-2013)</w:t>
            </w:r>
          </w:p>
          <w:p w14:paraId="52F4E0AD" w14:textId="77777777" w:rsidR="00DD583B" w:rsidRDefault="00DD583B" w:rsidP="005D2A90">
            <w:pPr>
              <w:rPr>
                <w:rFonts w:ascii="Calibri" w:eastAsia="Times New Roman" w:hAnsi="Calibri" w:cs="Calibri"/>
                <w:color w:val="000000"/>
                <w:lang w:eastAsia="fr-FR"/>
              </w:rPr>
            </w:pPr>
          </w:p>
          <w:p w14:paraId="175C292A" w14:textId="2BCB1EE6"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sidR="00F27F77">
              <w:rPr>
                <w:rFonts w:ascii="Calibri" w:hAnsi="Calibri"/>
                <w:color w:val="FF0000"/>
                <w:sz w:val="18"/>
                <w:szCs w:val="18"/>
              </w:rPr>
              <w:t>ND</w:t>
            </w:r>
          </w:p>
          <w:p w14:paraId="45A3DB57" w14:textId="77777777" w:rsidR="00DD583B" w:rsidRPr="00B126E2" w:rsidRDefault="00DD583B" w:rsidP="005D2A90">
            <w:pPr>
              <w:rPr>
                <w:rFonts w:ascii="Times New Roman" w:hAnsi="Times New Roman" w:cs="Times New Roman"/>
                <w:bCs/>
                <w:lang w:val="fr-FR"/>
              </w:rPr>
            </w:pPr>
          </w:p>
          <w:p w14:paraId="3A228374" w14:textId="77777777" w:rsidR="00DD583B" w:rsidRPr="002E5C18" w:rsidRDefault="00DD583B" w:rsidP="005D2A90">
            <w:r>
              <w:rPr>
                <w:rFonts w:ascii="Times New Roman" w:hAnsi="Times New Roman" w:cs="Times New Roman"/>
                <w:bCs/>
              </w:rPr>
              <w:t xml:space="preserve">Cible : : </w:t>
            </w:r>
            <w:r>
              <w:rPr>
                <w:rFonts w:ascii="Calibri" w:eastAsia="Times New Roman" w:hAnsi="Calibri" w:cs="Calibri"/>
                <w:color w:val="000000"/>
                <w:lang w:eastAsia="fr-FR"/>
              </w:rPr>
              <w:t>0-14ans : 64</w:t>
            </w:r>
            <w:r w:rsidRPr="00D44350">
              <w:rPr>
                <w:rFonts w:ascii="Calibri" w:eastAsia="Times New Roman" w:hAnsi="Calibri" w:cs="Calibri"/>
                <w:color w:val="000000"/>
                <w:lang w:eastAsia="fr-FR"/>
              </w:rPr>
              <w:t>%</w:t>
            </w:r>
            <w:r>
              <w:rPr>
                <w:rFonts w:ascii="Times New Roman" w:hAnsi="Times New Roman" w:cs="Times New Roman"/>
                <w:bCs/>
              </w:rPr>
              <w:t xml:space="preserve"> et </w:t>
            </w:r>
            <w:r>
              <w:rPr>
                <w:rFonts w:ascii="Calibri" w:eastAsia="Times New Roman" w:hAnsi="Calibri" w:cs="Calibri"/>
                <w:color w:val="000000"/>
                <w:lang w:eastAsia="fr-FR"/>
              </w:rPr>
              <w:t>15-49 ans : 86</w:t>
            </w:r>
            <w:r w:rsidRPr="00D44350">
              <w:rPr>
                <w:rFonts w:ascii="Calibri" w:eastAsia="Times New Roman" w:hAnsi="Calibri" w:cs="Calibri"/>
                <w:color w:val="000000"/>
                <w:lang w:eastAsia="fr-FR"/>
              </w:rPr>
              <w:t>%</w:t>
            </w:r>
          </w:p>
        </w:tc>
        <w:tc>
          <w:tcPr>
            <w:tcW w:w="3874" w:type="dxa"/>
            <w:vAlign w:val="center"/>
          </w:tcPr>
          <w:p w14:paraId="5919D3BA" w14:textId="77777777" w:rsidR="00DD583B" w:rsidRDefault="00DD583B" w:rsidP="005D2A90">
            <w:pPr>
              <w:pStyle w:val="Paragraphedeliste"/>
              <w:numPr>
                <w:ilvl w:val="0"/>
                <w:numId w:val="36"/>
              </w:numPr>
              <w:suppressAutoHyphens/>
              <w:rPr>
                <w:rFonts w:ascii="Times New Roman" w:hAnsi="Times New Roman" w:cs="Times New Roman"/>
              </w:rPr>
            </w:pPr>
            <w:r w:rsidRPr="00880F37">
              <w:rPr>
                <w:rFonts w:ascii="Times New Roman" w:hAnsi="Times New Roman" w:cs="Times New Roman"/>
              </w:rPr>
              <w:t>Mode de calcul :  Rapport Nb de femmes victimes de mutilations génitales sur la population générale des femmes</w:t>
            </w:r>
          </w:p>
          <w:p w14:paraId="4EDC7790" w14:textId="77777777" w:rsidR="00DD583B" w:rsidRDefault="00DD583B" w:rsidP="005D2A90">
            <w:pPr>
              <w:pStyle w:val="Paragraphedeliste"/>
              <w:numPr>
                <w:ilvl w:val="0"/>
                <w:numId w:val="36"/>
              </w:numPr>
              <w:suppressAutoHyphens/>
              <w:rPr>
                <w:rFonts w:ascii="Times New Roman" w:hAnsi="Times New Roman" w:cs="Times New Roman"/>
              </w:rPr>
            </w:pPr>
            <w:r w:rsidRPr="00CB0E70">
              <w:rPr>
                <w:rFonts w:ascii="Times New Roman" w:hAnsi="Times New Roman" w:cs="Times New Roman"/>
              </w:rPr>
              <w:t>Sources de données</w:t>
            </w:r>
            <w:r>
              <w:rPr>
                <w:rFonts w:ascii="Times New Roman" w:hAnsi="Times New Roman" w:cs="Times New Roman"/>
              </w:rPr>
              <w:t>/Moyens de vérification</w:t>
            </w:r>
            <w:r w:rsidRPr="00CB0E70">
              <w:rPr>
                <w:rFonts w:ascii="Times New Roman" w:hAnsi="Times New Roman" w:cs="Times New Roman"/>
              </w:rPr>
              <w:t> </w:t>
            </w:r>
            <w:r w:rsidRPr="00880F37">
              <w:rPr>
                <w:rFonts w:ascii="Times New Roman" w:hAnsi="Times New Roman" w:cs="Times New Roman"/>
              </w:rPr>
              <w:t>: Enquêtes nationales</w:t>
            </w:r>
          </w:p>
          <w:p w14:paraId="7AE3A5DA" w14:textId="77777777" w:rsidR="00DD583B" w:rsidRDefault="00DD583B" w:rsidP="005D2A90">
            <w:pPr>
              <w:pStyle w:val="Paragraphedeliste"/>
              <w:numPr>
                <w:ilvl w:val="0"/>
                <w:numId w:val="36"/>
              </w:numPr>
              <w:suppressAutoHyphens/>
              <w:rPr>
                <w:rFonts w:ascii="Times New Roman" w:hAnsi="Times New Roman" w:cs="Times New Roman"/>
              </w:rPr>
            </w:pPr>
            <w:r w:rsidRPr="00880F37">
              <w:rPr>
                <w:rFonts w:ascii="Times New Roman" w:hAnsi="Times New Roman" w:cs="Times New Roman"/>
              </w:rPr>
              <w:t xml:space="preserve">Périodicité : </w:t>
            </w:r>
            <w:r>
              <w:rPr>
                <w:rFonts w:ascii="Times New Roman" w:hAnsi="Times New Roman" w:cs="Times New Roman"/>
              </w:rPr>
              <w:t xml:space="preserve">Quinquennal </w:t>
            </w:r>
          </w:p>
          <w:p w14:paraId="0A5E9489" w14:textId="77777777" w:rsidR="00DD583B" w:rsidRDefault="00DD583B" w:rsidP="005D2A90">
            <w:pPr>
              <w:pStyle w:val="Paragraphedeliste"/>
              <w:numPr>
                <w:ilvl w:val="0"/>
                <w:numId w:val="36"/>
              </w:numPr>
            </w:pPr>
            <w:r w:rsidRPr="00880F37">
              <w:rPr>
                <w:rFonts w:ascii="Times New Roman" w:hAnsi="Times New Roman" w:cs="Times New Roman"/>
              </w:rPr>
              <w:t>Maître d’œuvre : Groupe de Résultat, en rapport avec l’Appareil statistique national</w:t>
            </w:r>
          </w:p>
        </w:tc>
        <w:tc>
          <w:tcPr>
            <w:tcW w:w="2648" w:type="dxa"/>
          </w:tcPr>
          <w:p w14:paraId="6974F474" w14:textId="77777777" w:rsidR="00DD583B" w:rsidRPr="002E5C18" w:rsidRDefault="00DD583B" w:rsidP="005D2A90">
            <w:pPr>
              <w:rPr>
                <w:rFonts w:cs="Calibri"/>
                <w:b/>
                <w:sz w:val="18"/>
                <w:szCs w:val="18"/>
              </w:rPr>
            </w:pPr>
          </w:p>
        </w:tc>
        <w:tc>
          <w:tcPr>
            <w:tcW w:w="1974" w:type="dxa"/>
          </w:tcPr>
          <w:p w14:paraId="46D2F82E" w14:textId="77777777" w:rsidR="00DD583B" w:rsidRPr="002E5C18" w:rsidRDefault="00DD583B" w:rsidP="005D2A90">
            <w:pPr>
              <w:rPr>
                <w:rFonts w:cs="Calibri"/>
                <w:b/>
                <w:bCs/>
                <w:sz w:val="18"/>
                <w:szCs w:val="18"/>
                <w:u w:val="single"/>
              </w:rPr>
            </w:pPr>
          </w:p>
        </w:tc>
        <w:tc>
          <w:tcPr>
            <w:tcW w:w="1250" w:type="dxa"/>
          </w:tcPr>
          <w:p w14:paraId="2687E816" w14:textId="77777777" w:rsidR="00DD583B" w:rsidRPr="002E5C18" w:rsidRDefault="00DD583B" w:rsidP="005D2A90"/>
        </w:tc>
      </w:tr>
      <w:tr w:rsidR="00DD583B" w:rsidRPr="002E5C18" w14:paraId="1F883AE5" w14:textId="77777777" w:rsidTr="005D2A90">
        <w:tc>
          <w:tcPr>
            <w:tcW w:w="2590" w:type="dxa"/>
            <w:shd w:val="clear" w:color="auto" w:fill="8DB3E2" w:themeFill="text2" w:themeFillTint="66"/>
          </w:tcPr>
          <w:p w14:paraId="0071E500" w14:textId="77777777" w:rsidR="00DD583B" w:rsidRPr="002E5C18" w:rsidRDefault="00DD583B" w:rsidP="005D2A90">
            <w:pPr>
              <w:pStyle w:val="Corpsdetexte"/>
              <w:spacing w:line="240" w:lineRule="auto"/>
              <w:jc w:val="left"/>
              <w:rPr>
                <w:rFonts w:asciiTheme="minorHAnsi" w:hAnsiTheme="minorHAnsi" w:cs="Times New Roman"/>
                <w:b/>
                <w:bCs/>
                <w:i/>
                <w:sz w:val="20"/>
                <w:szCs w:val="20"/>
                <w:u w:val="single"/>
              </w:rPr>
            </w:pPr>
          </w:p>
        </w:tc>
        <w:tc>
          <w:tcPr>
            <w:tcW w:w="2832" w:type="dxa"/>
            <w:vAlign w:val="center"/>
          </w:tcPr>
          <w:p w14:paraId="2C6AE3CE" w14:textId="77777777" w:rsidR="00DD583B" w:rsidRDefault="00DD583B" w:rsidP="005D2A90">
            <w:pPr>
              <w:rPr>
                <w:rFonts w:ascii="Times New Roman" w:hAnsi="Times New Roman" w:cs="Times New Roman"/>
                <w:bCs/>
              </w:rPr>
            </w:pPr>
            <w:r w:rsidRPr="008B71B5">
              <w:rPr>
                <w:rFonts w:ascii="Times New Roman" w:hAnsi="Times New Roman" w:cs="Times New Roman"/>
                <w:bCs/>
              </w:rPr>
              <w:t>Prévalence du mariage</w:t>
            </w:r>
            <w:r>
              <w:rPr>
                <w:rFonts w:ascii="Times New Roman" w:hAnsi="Times New Roman" w:cs="Times New Roman"/>
                <w:bCs/>
              </w:rPr>
              <w:t xml:space="preserve"> des enfants  (femmes de 20-49 ans)</w:t>
            </w:r>
            <w:r w:rsidRPr="008B71B5">
              <w:rPr>
                <w:rFonts w:ascii="Times New Roman" w:hAnsi="Times New Roman" w:cs="Times New Roman"/>
                <w:bCs/>
              </w:rPr>
              <w:t xml:space="preserve"> </w:t>
            </w:r>
            <w:r w:rsidRPr="00F63D1B">
              <w:rPr>
                <w:rFonts w:ascii="Times New Roman" w:hAnsi="Times New Roman" w:cs="Times New Roman"/>
                <w:bCs/>
              </w:rPr>
              <w:t xml:space="preserve">avant </w:t>
            </w:r>
            <w:r>
              <w:rPr>
                <w:rFonts w:ascii="Times New Roman" w:hAnsi="Times New Roman" w:cs="Times New Roman"/>
                <w:bCs/>
              </w:rPr>
              <w:t>15/</w:t>
            </w:r>
            <w:r w:rsidRPr="00F63D1B">
              <w:rPr>
                <w:rFonts w:ascii="Times New Roman" w:hAnsi="Times New Roman" w:cs="Times New Roman"/>
                <w:bCs/>
              </w:rPr>
              <w:t xml:space="preserve">18 ans </w:t>
            </w:r>
          </w:p>
          <w:p w14:paraId="1BB20F29" w14:textId="77777777" w:rsidR="00DD583B" w:rsidRDefault="00DD583B" w:rsidP="005D2A90">
            <w:pPr>
              <w:rPr>
                <w:rFonts w:ascii="Times New Roman" w:hAnsi="Times New Roman" w:cs="Times New Roman"/>
                <w:bCs/>
              </w:rPr>
            </w:pPr>
          </w:p>
          <w:p w14:paraId="18FC5527" w14:textId="77777777" w:rsidR="00DD583B" w:rsidRDefault="00DD583B" w:rsidP="005D2A90">
            <w:pPr>
              <w:rPr>
                <w:rFonts w:ascii="Times New Roman" w:hAnsi="Times New Roman" w:cs="Times New Roman"/>
                <w:bCs/>
              </w:rPr>
            </w:pPr>
          </w:p>
          <w:p w14:paraId="235B6C4F" w14:textId="77777777" w:rsidR="00DD583B" w:rsidRDefault="00DD583B" w:rsidP="005D2A90">
            <w:pPr>
              <w:rPr>
                <w:rFonts w:ascii="Times New Roman" w:hAnsi="Times New Roman" w:cs="Times New Roman"/>
                <w:bCs/>
              </w:rPr>
            </w:pPr>
            <w:r>
              <w:rPr>
                <w:rFonts w:ascii="Times New Roman" w:hAnsi="Times New Roman" w:cs="Times New Roman"/>
                <w:bCs/>
              </w:rPr>
              <w:t>Base : Avant 15 ans: 15%  (MICS 2010</w:t>
            </w:r>
          </w:p>
          <w:p w14:paraId="0556D833" w14:textId="77777777" w:rsidR="00DD583B" w:rsidRDefault="00DD583B" w:rsidP="005D2A90">
            <w:pPr>
              <w:rPr>
                <w:rFonts w:ascii="Times New Roman" w:hAnsi="Times New Roman" w:cs="Times New Roman"/>
                <w:bCs/>
              </w:rPr>
            </w:pPr>
            <w:r>
              <w:rPr>
                <w:rFonts w:ascii="Times New Roman" w:hAnsi="Times New Roman" w:cs="Times New Roman"/>
                <w:bCs/>
              </w:rPr>
              <w:t xml:space="preserve">           Avant 18 ans: 61% (MICS 2010)</w:t>
            </w:r>
          </w:p>
          <w:p w14:paraId="6FB0CEEA" w14:textId="6311C54E"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sidR="008E1510">
              <w:rPr>
                <w:rFonts w:ascii="Calibri" w:hAnsi="Calibri"/>
                <w:color w:val="FF0000"/>
                <w:sz w:val="18"/>
                <w:szCs w:val="18"/>
              </w:rPr>
              <w:t>ND (17% et</w:t>
            </w:r>
          </w:p>
          <w:p w14:paraId="6CFED9E8" w14:textId="413AF39F" w:rsidR="00DD583B" w:rsidRPr="008E1510" w:rsidRDefault="008E1510" w:rsidP="005D2A90">
            <w:pPr>
              <w:rPr>
                <w:rFonts w:ascii="Times New Roman" w:hAnsi="Times New Roman" w:cs="Times New Roman"/>
                <w:bCs/>
                <w:color w:val="FF0000"/>
                <w:lang w:val="fr-FR"/>
              </w:rPr>
            </w:pPr>
            <w:r w:rsidRPr="008E1510">
              <w:rPr>
                <w:rFonts w:ascii="Times New Roman" w:hAnsi="Times New Roman" w:cs="Times New Roman"/>
                <w:bCs/>
                <w:color w:val="FF0000"/>
                <w:lang w:val="fr-FR"/>
              </w:rPr>
              <w:lastRenderedPageBreak/>
              <w:t>49% selon MICS 2015)</w:t>
            </w:r>
          </w:p>
          <w:p w14:paraId="07FA9B49" w14:textId="77777777" w:rsidR="00DD583B" w:rsidRPr="00B126E2" w:rsidRDefault="00DD583B" w:rsidP="005D2A90">
            <w:pPr>
              <w:rPr>
                <w:rFonts w:ascii="Times New Roman" w:hAnsi="Times New Roman" w:cs="Times New Roman"/>
                <w:bCs/>
                <w:lang w:val="fr-FR"/>
              </w:rPr>
            </w:pPr>
          </w:p>
          <w:p w14:paraId="3423F8B1" w14:textId="77777777" w:rsidR="00DD583B" w:rsidRDefault="00DD583B" w:rsidP="005D2A90">
            <w:pPr>
              <w:rPr>
                <w:rFonts w:ascii="Times New Roman" w:hAnsi="Times New Roman" w:cs="Times New Roman"/>
                <w:bCs/>
              </w:rPr>
            </w:pPr>
            <w:r>
              <w:rPr>
                <w:rFonts w:ascii="Times New Roman" w:hAnsi="Times New Roman" w:cs="Times New Roman"/>
                <w:bCs/>
              </w:rPr>
              <w:t>Cible : Avant 15 ans: 18%</w:t>
            </w:r>
          </w:p>
          <w:p w14:paraId="278D01FE" w14:textId="4F449512" w:rsidR="00DD583B" w:rsidRDefault="00DD583B" w:rsidP="005D2A90">
            <w:pPr>
              <w:rPr>
                <w:rFonts w:ascii="Times New Roman" w:hAnsi="Times New Roman" w:cs="Times New Roman"/>
                <w:bCs/>
              </w:rPr>
            </w:pPr>
            <w:r>
              <w:rPr>
                <w:rFonts w:ascii="Times New Roman" w:hAnsi="Times New Roman" w:cs="Times New Roman"/>
                <w:bCs/>
              </w:rPr>
              <w:t xml:space="preserve">            </w:t>
            </w:r>
            <w:r w:rsidR="008E1510">
              <w:rPr>
                <w:rFonts w:ascii="Times New Roman" w:hAnsi="Times New Roman" w:cs="Times New Roman"/>
                <w:bCs/>
              </w:rPr>
              <w:t>Avant 18 ans: 48%</w:t>
            </w:r>
          </w:p>
        </w:tc>
        <w:tc>
          <w:tcPr>
            <w:tcW w:w="3874" w:type="dxa"/>
            <w:vAlign w:val="center"/>
          </w:tcPr>
          <w:p w14:paraId="679239EC" w14:textId="77777777" w:rsidR="00DD583B" w:rsidRDefault="00DD583B" w:rsidP="005D2A90">
            <w:pPr>
              <w:pStyle w:val="Paragraphedeliste"/>
              <w:numPr>
                <w:ilvl w:val="0"/>
                <w:numId w:val="36"/>
              </w:numPr>
              <w:suppressAutoHyphens/>
              <w:rPr>
                <w:rFonts w:ascii="Times New Roman" w:hAnsi="Times New Roman" w:cs="Times New Roman"/>
              </w:rPr>
            </w:pPr>
            <w:r w:rsidRPr="00880F37">
              <w:rPr>
                <w:rFonts w:ascii="Times New Roman" w:hAnsi="Times New Roman" w:cs="Times New Roman"/>
              </w:rPr>
              <w:lastRenderedPageBreak/>
              <w:t xml:space="preserve">Mode de calcul : Rapport Nb de </w:t>
            </w:r>
            <w:r>
              <w:rPr>
                <w:rFonts w:ascii="Times New Roman" w:hAnsi="Times New Roman" w:cs="Times New Roman"/>
              </w:rPr>
              <w:t>femmes/</w:t>
            </w:r>
            <w:r w:rsidRPr="00880F37">
              <w:rPr>
                <w:rFonts w:ascii="Times New Roman" w:hAnsi="Times New Roman" w:cs="Times New Roman"/>
              </w:rPr>
              <w:t xml:space="preserve">filles </w:t>
            </w:r>
            <w:r>
              <w:rPr>
                <w:rFonts w:ascii="Times New Roman" w:hAnsi="Times New Roman" w:cs="Times New Roman"/>
              </w:rPr>
              <w:t xml:space="preserve"> de 20-49 ans mariees avant l’age de 15/ 18 ans </w:t>
            </w:r>
            <w:r w:rsidRPr="00880F37">
              <w:rPr>
                <w:rFonts w:ascii="Times New Roman" w:hAnsi="Times New Roman" w:cs="Times New Roman"/>
              </w:rPr>
              <w:t xml:space="preserve"> sur Population générale des filles</w:t>
            </w:r>
            <w:r>
              <w:rPr>
                <w:rFonts w:ascii="Times New Roman" w:hAnsi="Times New Roman" w:cs="Times New Roman"/>
              </w:rPr>
              <w:t xml:space="preserve">/femmes de 20-49 ans </w:t>
            </w:r>
          </w:p>
          <w:p w14:paraId="6FC50BF7" w14:textId="77777777" w:rsidR="00DD583B" w:rsidRDefault="00DD583B" w:rsidP="005D2A90">
            <w:pPr>
              <w:pStyle w:val="Paragraphedeliste"/>
              <w:numPr>
                <w:ilvl w:val="0"/>
                <w:numId w:val="36"/>
              </w:numPr>
              <w:suppressAutoHyphens/>
              <w:rPr>
                <w:rFonts w:ascii="Times New Roman" w:hAnsi="Times New Roman" w:cs="Times New Roman"/>
              </w:rPr>
            </w:pPr>
            <w:r w:rsidRPr="00CB0E70">
              <w:rPr>
                <w:rFonts w:ascii="Times New Roman" w:hAnsi="Times New Roman" w:cs="Times New Roman"/>
              </w:rPr>
              <w:t>Sources de données</w:t>
            </w:r>
            <w:r>
              <w:rPr>
                <w:rFonts w:ascii="Times New Roman" w:hAnsi="Times New Roman" w:cs="Times New Roman"/>
              </w:rPr>
              <w:t>/Moyens de vérification</w:t>
            </w:r>
            <w:r w:rsidRPr="00CB0E70">
              <w:rPr>
                <w:rFonts w:ascii="Times New Roman" w:hAnsi="Times New Roman" w:cs="Times New Roman"/>
              </w:rPr>
              <w:t> </w:t>
            </w:r>
            <w:r w:rsidRPr="00880F37">
              <w:rPr>
                <w:rFonts w:ascii="Times New Roman" w:hAnsi="Times New Roman" w:cs="Times New Roman"/>
              </w:rPr>
              <w:t xml:space="preserve">: </w:t>
            </w:r>
            <w:r>
              <w:rPr>
                <w:rFonts w:ascii="Times New Roman" w:hAnsi="Times New Roman" w:cs="Times New Roman"/>
              </w:rPr>
              <w:t xml:space="preserve">Quinquennal, </w:t>
            </w:r>
            <w:r w:rsidRPr="00880F37">
              <w:rPr>
                <w:rFonts w:ascii="Times New Roman" w:hAnsi="Times New Roman" w:cs="Times New Roman"/>
              </w:rPr>
              <w:t>Données et Enquêtes nationales</w:t>
            </w:r>
          </w:p>
          <w:p w14:paraId="7568FEE2" w14:textId="77777777" w:rsidR="00DD583B" w:rsidRDefault="00DD583B" w:rsidP="005D2A90">
            <w:pPr>
              <w:pStyle w:val="Paragraphedeliste"/>
              <w:numPr>
                <w:ilvl w:val="0"/>
                <w:numId w:val="36"/>
              </w:numPr>
              <w:suppressAutoHyphens/>
              <w:rPr>
                <w:rFonts w:ascii="Times New Roman" w:hAnsi="Times New Roman" w:cs="Times New Roman"/>
              </w:rPr>
            </w:pPr>
            <w:r w:rsidRPr="00880F37">
              <w:rPr>
                <w:rFonts w:ascii="Times New Roman" w:hAnsi="Times New Roman" w:cs="Times New Roman"/>
              </w:rPr>
              <w:t>Périodicité : Annuelle</w:t>
            </w:r>
          </w:p>
          <w:p w14:paraId="5807238E" w14:textId="77777777" w:rsidR="00DD583B" w:rsidRDefault="00DD583B" w:rsidP="005D2A90">
            <w:pPr>
              <w:pStyle w:val="Paragraphedeliste"/>
              <w:numPr>
                <w:ilvl w:val="0"/>
                <w:numId w:val="36"/>
              </w:numPr>
            </w:pPr>
            <w:r w:rsidRPr="00880F37">
              <w:rPr>
                <w:rFonts w:ascii="Times New Roman" w:hAnsi="Times New Roman" w:cs="Times New Roman"/>
              </w:rPr>
              <w:lastRenderedPageBreak/>
              <w:t>Maître d’œuvre : Groupe de Résultat, en rapport avec l’Appareil statistique national</w:t>
            </w:r>
          </w:p>
        </w:tc>
        <w:tc>
          <w:tcPr>
            <w:tcW w:w="2648" w:type="dxa"/>
          </w:tcPr>
          <w:p w14:paraId="24EBD761" w14:textId="77777777" w:rsidR="00DD583B" w:rsidRPr="002E5C18" w:rsidRDefault="00DD583B" w:rsidP="005D2A90">
            <w:pPr>
              <w:rPr>
                <w:rFonts w:cs="Calibri"/>
                <w:b/>
                <w:sz w:val="18"/>
                <w:szCs w:val="18"/>
              </w:rPr>
            </w:pPr>
          </w:p>
        </w:tc>
        <w:tc>
          <w:tcPr>
            <w:tcW w:w="1974" w:type="dxa"/>
          </w:tcPr>
          <w:p w14:paraId="06B26115" w14:textId="77777777" w:rsidR="00DD583B" w:rsidRPr="002E5C18" w:rsidRDefault="00DD583B" w:rsidP="005D2A90">
            <w:pPr>
              <w:rPr>
                <w:rFonts w:cs="Calibri"/>
                <w:b/>
                <w:bCs/>
                <w:sz w:val="18"/>
                <w:szCs w:val="18"/>
                <w:u w:val="single"/>
              </w:rPr>
            </w:pPr>
          </w:p>
        </w:tc>
        <w:tc>
          <w:tcPr>
            <w:tcW w:w="1250" w:type="dxa"/>
          </w:tcPr>
          <w:p w14:paraId="044328FE" w14:textId="77777777" w:rsidR="00DD583B" w:rsidRPr="002E5C18" w:rsidRDefault="00DD583B" w:rsidP="005D2A90"/>
        </w:tc>
      </w:tr>
      <w:tr w:rsidR="00DD583B" w:rsidRPr="002E5C18" w14:paraId="458ABFAA" w14:textId="77777777" w:rsidTr="005D2A90">
        <w:tc>
          <w:tcPr>
            <w:tcW w:w="2590" w:type="dxa"/>
            <w:vMerge w:val="restart"/>
            <w:shd w:val="clear" w:color="auto" w:fill="DBE5F1" w:themeFill="accent1" w:themeFillTint="33"/>
            <w:vAlign w:val="center"/>
          </w:tcPr>
          <w:p w14:paraId="48481385" w14:textId="77777777" w:rsidR="00DD583B" w:rsidRPr="002E5C18" w:rsidRDefault="00DD583B" w:rsidP="005D2A90">
            <w:pPr>
              <w:rPr>
                <w:lang w:val="fr-FR"/>
              </w:rPr>
            </w:pPr>
            <w:r w:rsidRPr="008B71B5">
              <w:rPr>
                <w:rFonts w:ascii="Times New Roman" w:hAnsi="Times New Roman" w:cs="Times New Roman"/>
                <w:bCs/>
              </w:rPr>
              <w:t>Produit 4.1 : Les femmes, enfants et jeunes, en particulier les plus vulnérables utilisent un paquet intégré de services de santé de qualité</w:t>
            </w:r>
          </w:p>
        </w:tc>
        <w:tc>
          <w:tcPr>
            <w:tcW w:w="2832" w:type="dxa"/>
            <w:vAlign w:val="center"/>
          </w:tcPr>
          <w:p w14:paraId="1021B53A" w14:textId="77777777" w:rsidR="00DD583B" w:rsidRDefault="00DD583B" w:rsidP="005D2A90">
            <w:pPr>
              <w:rPr>
                <w:rFonts w:ascii="Times New Roman" w:hAnsi="Times New Roman" w:cs="Times New Roman"/>
                <w:bCs/>
              </w:rPr>
            </w:pPr>
            <w:r w:rsidRPr="008B71B5">
              <w:rPr>
                <w:rFonts w:ascii="Times New Roman" w:hAnsi="Times New Roman" w:cs="Times New Roman"/>
                <w:bCs/>
              </w:rPr>
              <w:t xml:space="preserve">Indicateur 4.1.1 Taux de couverture vaccinale en Penta valent  3 chez les enfants de </w:t>
            </w:r>
            <w:r>
              <w:rPr>
                <w:rFonts w:ascii="Times New Roman" w:hAnsi="Times New Roman" w:cs="Times New Roman"/>
                <w:bCs/>
              </w:rPr>
              <w:t>0-11</w:t>
            </w:r>
            <w:r w:rsidRPr="008B71B5">
              <w:rPr>
                <w:rFonts w:ascii="Times New Roman" w:hAnsi="Times New Roman" w:cs="Times New Roman"/>
                <w:bCs/>
              </w:rPr>
              <w:t xml:space="preserve"> mois (identification district les plus faibles UNICEF/OMS)</w:t>
            </w:r>
          </w:p>
          <w:p w14:paraId="783238B9" w14:textId="77777777" w:rsidR="00DD583B" w:rsidRDefault="00DD583B" w:rsidP="005D2A90">
            <w:pPr>
              <w:rPr>
                <w:rFonts w:ascii="Times New Roman" w:hAnsi="Times New Roman" w:cs="Times New Roman"/>
                <w:bCs/>
              </w:rPr>
            </w:pPr>
            <w:r w:rsidRPr="008B71B5">
              <w:rPr>
                <w:rFonts w:ascii="Times New Roman" w:hAnsi="Times New Roman" w:cs="Times New Roman"/>
                <w:bCs/>
              </w:rPr>
              <w:t>(désagrégation F/G)</w:t>
            </w:r>
          </w:p>
          <w:p w14:paraId="39B71C6D" w14:textId="77777777" w:rsidR="00DD583B" w:rsidRDefault="00DD583B" w:rsidP="005D2A90">
            <w:pPr>
              <w:rPr>
                <w:rFonts w:ascii="Times New Roman" w:hAnsi="Times New Roman" w:cs="Times New Roman"/>
                <w:bCs/>
              </w:rPr>
            </w:pPr>
          </w:p>
          <w:p w14:paraId="40CA47F5" w14:textId="77777777" w:rsidR="00DD583B" w:rsidRPr="0032075B" w:rsidRDefault="00DD583B" w:rsidP="005D2A90">
            <w:pPr>
              <w:rPr>
                <w:rFonts w:ascii="Times New Roman" w:hAnsi="Times New Roman" w:cs="Times New Roman"/>
                <w:bCs/>
              </w:rPr>
            </w:pPr>
            <w:r w:rsidRPr="0032075B">
              <w:rPr>
                <w:rFonts w:ascii="Times New Roman" w:hAnsi="Times New Roman" w:cs="Times New Roman"/>
                <w:bCs/>
              </w:rPr>
              <w:t>Base : 89 % (Annuaire SLIS 2013)</w:t>
            </w:r>
          </w:p>
          <w:p w14:paraId="2B374AFC" w14:textId="77777777" w:rsidR="00DD583B" w:rsidRPr="0032075B" w:rsidRDefault="00DD583B" w:rsidP="005D2A90">
            <w:pPr>
              <w:rPr>
                <w:rFonts w:ascii="Times New Roman" w:hAnsi="Times New Roman" w:cs="Times New Roman"/>
                <w:bCs/>
                <w:color w:val="FF0000"/>
              </w:rPr>
            </w:pPr>
            <w:r w:rsidRPr="0032075B">
              <w:rPr>
                <w:rFonts w:ascii="Times New Roman" w:hAnsi="Times New Roman" w:cs="Times New Roman"/>
                <w:bCs/>
                <w:color w:val="FF0000"/>
              </w:rPr>
              <w:t xml:space="preserve">Situation en fin 2017: 89%  </w:t>
            </w:r>
          </w:p>
          <w:p w14:paraId="03447C3E" w14:textId="77777777" w:rsidR="00DD583B" w:rsidRPr="0032075B" w:rsidRDefault="00DD583B" w:rsidP="005D2A90">
            <w:pPr>
              <w:rPr>
                <w:rFonts w:ascii="Times New Roman" w:hAnsi="Times New Roman" w:cs="Times New Roman"/>
                <w:bCs/>
                <w:color w:val="FF0000"/>
              </w:rPr>
            </w:pPr>
            <w:r w:rsidRPr="0032075B">
              <w:rPr>
                <w:rFonts w:ascii="Times New Roman" w:hAnsi="Times New Roman" w:cs="Times New Roman"/>
                <w:bCs/>
                <w:color w:val="FF0000"/>
              </w:rPr>
              <w:t>(données de routine :DVD-MT)</w:t>
            </w:r>
          </w:p>
          <w:p w14:paraId="755F1011" w14:textId="77777777" w:rsidR="00DD583B" w:rsidRPr="0032075B" w:rsidRDefault="00DD583B" w:rsidP="005D2A90">
            <w:pPr>
              <w:rPr>
                <w:rFonts w:ascii="Times New Roman" w:hAnsi="Times New Roman" w:cs="Times New Roman"/>
                <w:bCs/>
                <w:color w:val="FF0000"/>
              </w:rPr>
            </w:pPr>
            <w:r w:rsidRPr="0032075B">
              <w:rPr>
                <w:rFonts w:ascii="Times New Roman" w:hAnsi="Times New Roman" w:cs="Times New Roman"/>
                <w:bCs/>
                <w:color w:val="FF0000"/>
              </w:rPr>
              <w:t>Cible : 90%</w:t>
            </w:r>
            <w:r w:rsidRPr="0032075B" w:rsidDel="0032075B">
              <w:rPr>
                <w:rFonts w:ascii="Times New Roman" w:hAnsi="Times New Roman" w:cs="Times New Roman"/>
                <w:bCs/>
                <w:color w:val="FF0000"/>
              </w:rPr>
              <w:t xml:space="preserve"> </w:t>
            </w:r>
          </w:p>
          <w:p w14:paraId="5AF84933" w14:textId="77777777" w:rsidR="00DD583B" w:rsidRDefault="00DD583B" w:rsidP="005D2A90">
            <w:pPr>
              <w:rPr>
                <w:rFonts w:ascii="Times New Roman" w:hAnsi="Times New Roman" w:cs="Times New Roman"/>
                <w:bCs/>
              </w:rPr>
            </w:pPr>
          </w:p>
          <w:p w14:paraId="021CFF06" w14:textId="77777777" w:rsidR="00DD583B" w:rsidRPr="002E5C18" w:rsidRDefault="00DD583B" w:rsidP="005D2A90">
            <w:pPr>
              <w:rPr>
                <w:lang w:val="fr-FR"/>
              </w:rPr>
            </w:pPr>
            <w:r>
              <w:rPr>
                <w:rFonts w:ascii="Times New Roman" w:hAnsi="Times New Roman" w:cs="Times New Roman"/>
                <w:bCs/>
              </w:rPr>
              <w:t xml:space="preserve">Cible : </w:t>
            </w:r>
            <w:r w:rsidRPr="008B71B5">
              <w:rPr>
                <w:rFonts w:ascii="Times New Roman" w:hAnsi="Times New Roman" w:cs="Times New Roman"/>
                <w:bCs/>
              </w:rPr>
              <w:t>90%</w:t>
            </w:r>
          </w:p>
        </w:tc>
        <w:tc>
          <w:tcPr>
            <w:tcW w:w="3874" w:type="dxa"/>
            <w:vAlign w:val="center"/>
          </w:tcPr>
          <w:p w14:paraId="2D704653"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 xml:space="preserve">Mode de calcul : Rapport Nb </w:t>
            </w:r>
            <w:r w:rsidRPr="008B71B5">
              <w:rPr>
                <w:rFonts w:ascii="Times New Roman" w:hAnsi="Times New Roman" w:cs="Times New Roman"/>
                <w:bCs/>
              </w:rPr>
              <w:t xml:space="preserve"> enfants de </w:t>
            </w:r>
            <w:r>
              <w:rPr>
                <w:rFonts w:ascii="Times New Roman" w:hAnsi="Times New Roman" w:cs="Times New Roman"/>
                <w:bCs/>
              </w:rPr>
              <w:t xml:space="preserve">0-11 </w:t>
            </w:r>
            <w:r w:rsidRPr="008B71B5">
              <w:rPr>
                <w:rFonts w:ascii="Times New Roman" w:hAnsi="Times New Roman" w:cs="Times New Roman"/>
                <w:bCs/>
              </w:rPr>
              <w:t xml:space="preserve"> mois vaccinés au Penta valent, sur population générale des  enfants de </w:t>
            </w:r>
            <w:r>
              <w:rPr>
                <w:rFonts w:ascii="Times New Roman" w:hAnsi="Times New Roman" w:cs="Times New Roman"/>
                <w:bCs/>
              </w:rPr>
              <w:t xml:space="preserve">0-11 </w:t>
            </w:r>
            <w:r w:rsidRPr="008B71B5">
              <w:rPr>
                <w:rFonts w:ascii="Times New Roman" w:hAnsi="Times New Roman" w:cs="Times New Roman"/>
                <w:bCs/>
              </w:rPr>
              <w:t xml:space="preserve"> mois</w:t>
            </w:r>
          </w:p>
          <w:p w14:paraId="47469A06" w14:textId="77777777" w:rsidR="00DD583B" w:rsidRPr="008B71B5" w:rsidRDefault="00DD583B" w:rsidP="005D2A90">
            <w:pPr>
              <w:numPr>
                <w:ilvl w:val="0"/>
                <w:numId w:val="35"/>
              </w:numPr>
              <w:suppressAutoHyphens/>
              <w:rPr>
                <w:rFonts w:ascii="Times New Roman" w:hAnsi="Times New Roman" w:cs="Times New Roman"/>
              </w:rPr>
            </w:pPr>
            <w:r w:rsidRPr="00CB0E70">
              <w:rPr>
                <w:rFonts w:ascii="Times New Roman" w:hAnsi="Times New Roman" w:cs="Times New Roman"/>
              </w:rPr>
              <w:t>Sources de données</w:t>
            </w:r>
            <w:r>
              <w:rPr>
                <w:rFonts w:ascii="Times New Roman" w:hAnsi="Times New Roman" w:cs="Times New Roman"/>
              </w:rPr>
              <w:t>/Moyens de vérification</w:t>
            </w:r>
            <w:r w:rsidRPr="00CB0E70">
              <w:rPr>
                <w:rFonts w:ascii="Times New Roman" w:hAnsi="Times New Roman" w:cs="Times New Roman"/>
              </w:rPr>
              <w:t> </w:t>
            </w:r>
            <w:r w:rsidRPr="008B71B5">
              <w:rPr>
                <w:rFonts w:ascii="Times New Roman" w:hAnsi="Times New Roman" w:cs="Times New Roman"/>
              </w:rPr>
              <w:t xml:space="preserve">: Données </w:t>
            </w:r>
            <w:r>
              <w:rPr>
                <w:rFonts w:ascii="Times New Roman" w:hAnsi="Times New Roman" w:cs="Times New Roman"/>
              </w:rPr>
              <w:t xml:space="preserve"> de routine de la vaccinations (DVD-MT) </w:t>
            </w:r>
          </w:p>
          <w:p w14:paraId="7A8FA7AD"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w:t>
            </w:r>
          </w:p>
          <w:p w14:paraId="74208D55" w14:textId="77777777" w:rsidR="00DD583B" w:rsidRDefault="00DD583B" w:rsidP="005D2A90">
            <w:pPr>
              <w:pStyle w:val="Paragraphedeliste"/>
              <w:numPr>
                <w:ilvl w:val="0"/>
                <w:numId w:val="35"/>
              </w:numPr>
              <w:rPr>
                <w:lang w:val="fr-FR"/>
              </w:rPr>
            </w:pPr>
            <w:r w:rsidRPr="00880F37">
              <w:rPr>
                <w:rFonts w:ascii="Times New Roman" w:hAnsi="Times New Roman" w:cs="Times New Roman"/>
              </w:rPr>
              <w:t>Maître d’œuvre : Groupe de Résultat, en rapport avec l’Appareil statistique national</w:t>
            </w:r>
          </w:p>
        </w:tc>
        <w:tc>
          <w:tcPr>
            <w:tcW w:w="2648" w:type="dxa"/>
            <w:vMerge w:val="restart"/>
          </w:tcPr>
          <w:p w14:paraId="1FDAEEE4" w14:textId="77777777" w:rsidR="00DD583B" w:rsidRPr="002E5C18" w:rsidRDefault="00DD583B" w:rsidP="005D2A90">
            <w:pPr>
              <w:keepNext/>
              <w:contextualSpacing/>
              <w:rPr>
                <w:rFonts w:cs="Times New Roman"/>
                <w:sz w:val="18"/>
                <w:szCs w:val="18"/>
                <w:lang w:val="fr-FR"/>
              </w:rPr>
            </w:pPr>
            <w:r w:rsidRPr="002E5C18">
              <w:rPr>
                <w:rFonts w:cs="Times New Roman"/>
                <w:sz w:val="18"/>
                <w:szCs w:val="18"/>
                <w:lang w:val="fr-FR"/>
              </w:rPr>
              <w:t>Insécurité dans les zones d’intervention</w:t>
            </w:r>
          </w:p>
          <w:p w14:paraId="2D0B61CB" w14:textId="77777777" w:rsidR="00DD583B" w:rsidRPr="002E5C18" w:rsidRDefault="00DD583B" w:rsidP="005D2A90">
            <w:pPr>
              <w:keepNext/>
              <w:contextualSpacing/>
              <w:rPr>
                <w:rFonts w:cs="Times New Roman"/>
                <w:sz w:val="18"/>
                <w:szCs w:val="18"/>
                <w:lang w:val="fr-FR"/>
              </w:rPr>
            </w:pPr>
          </w:p>
          <w:p w14:paraId="28B36EBB" w14:textId="77777777" w:rsidR="00DD583B" w:rsidRPr="002E5C18" w:rsidRDefault="00DD583B" w:rsidP="005D2A90">
            <w:pPr>
              <w:keepNext/>
              <w:contextualSpacing/>
              <w:rPr>
                <w:rFonts w:cs="Times New Roman"/>
                <w:sz w:val="18"/>
                <w:szCs w:val="18"/>
                <w:lang w:val="fr-FR"/>
              </w:rPr>
            </w:pPr>
          </w:p>
          <w:p w14:paraId="06ABC870" w14:textId="77777777" w:rsidR="00DD583B" w:rsidRPr="002E5C18" w:rsidRDefault="00DD583B" w:rsidP="005D2A90">
            <w:pPr>
              <w:keepNext/>
              <w:contextualSpacing/>
              <w:rPr>
                <w:rFonts w:cs="Times New Roman"/>
                <w:sz w:val="18"/>
                <w:szCs w:val="18"/>
                <w:lang w:val="fr-FR"/>
              </w:rPr>
            </w:pPr>
          </w:p>
          <w:p w14:paraId="073535A0" w14:textId="6AEFCB02" w:rsidR="00DD583B" w:rsidRPr="002E5C18" w:rsidRDefault="00186DD5" w:rsidP="005D2A90">
            <w:pPr>
              <w:rPr>
                <w:lang w:val="fr-FR"/>
              </w:rPr>
            </w:pPr>
            <w:r>
              <w:rPr>
                <w:rFonts w:cs="Times New Roman"/>
                <w:sz w:val="18"/>
                <w:szCs w:val="18"/>
                <w:lang w:val="fr-FR"/>
              </w:rPr>
              <w:t>Diminution des</w:t>
            </w:r>
            <w:r w:rsidR="00DD583B" w:rsidRPr="002E5C18">
              <w:rPr>
                <w:rFonts w:cs="Times New Roman"/>
                <w:sz w:val="18"/>
                <w:szCs w:val="18"/>
                <w:lang w:val="fr-FR"/>
              </w:rPr>
              <w:t xml:space="preserve"> ressources financières</w:t>
            </w:r>
          </w:p>
        </w:tc>
        <w:tc>
          <w:tcPr>
            <w:tcW w:w="1974" w:type="dxa"/>
            <w:vMerge w:val="restart"/>
          </w:tcPr>
          <w:p w14:paraId="1F56F2CD" w14:textId="77777777" w:rsidR="00DD583B" w:rsidRPr="002E5C18" w:rsidRDefault="00DD583B" w:rsidP="005D2A90">
            <w:pPr>
              <w:rPr>
                <w:lang w:val="fr-FR"/>
              </w:rPr>
            </w:pPr>
          </w:p>
        </w:tc>
        <w:tc>
          <w:tcPr>
            <w:tcW w:w="1250" w:type="dxa"/>
          </w:tcPr>
          <w:p w14:paraId="65AD545F" w14:textId="77777777" w:rsidR="00DD583B" w:rsidRPr="002E5C18" w:rsidRDefault="00DD583B" w:rsidP="005D2A90">
            <w:pPr>
              <w:rPr>
                <w:lang w:val="fr-FR"/>
              </w:rPr>
            </w:pPr>
          </w:p>
        </w:tc>
      </w:tr>
      <w:tr w:rsidR="00DD583B" w:rsidRPr="002E5C18" w14:paraId="075EC384" w14:textId="77777777" w:rsidTr="005D2A90">
        <w:tc>
          <w:tcPr>
            <w:tcW w:w="2590" w:type="dxa"/>
            <w:vMerge/>
            <w:shd w:val="clear" w:color="auto" w:fill="DBE5F1" w:themeFill="accent1" w:themeFillTint="33"/>
            <w:vAlign w:val="center"/>
          </w:tcPr>
          <w:p w14:paraId="76E7BFF6" w14:textId="77777777" w:rsidR="00DD583B" w:rsidRPr="002E5C18" w:rsidRDefault="00DD583B" w:rsidP="005D2A90">
            <w:pPr>
              <w:widowControl w:val="0"/>
              <w:snapToGrid w:val="0"/>
              <w:ind w:left="-2" w:right="-144"/>
              <w:rPr>
                <w:rFonts w:cstheme="minorHAnsi"/>
                <w:sz w:val="18"/>
                <w:szCs w:val="18"/>
                <w:lang w:val="fr-FR"/>
              </w:rPr>
            </w:pPr>
          </w:p>
        </w:tc>
        <w:tc>
          <w:tcPr>
            <w:tcW w:w="2832" w:type="dxa"/>
            <w:vAlign w:val="center"/>
          </w:tcPr>
          <w:p w14:paraId="33BC2D17" w14:textId="77777777" w:rsidR="00DD583B" w:rsidRDefault="00DD583B" w:rsidP="005D2A90">
            <w:pPr>
              <w:rPr>
                <w:rFonts w:ascii="Times New Roman" w:hAnsi="Times New Roman" w:cs="Times New Roman"/>
                <w:bCs/>
              </w:rPr>
            </w:pPr>
            <w:r w:rsidRPr="008B71B5">
              <w:rPr>
                <w:rFonts w:ascii="Times New Roman" w:hAnsi="Times New Roman" w:cs="Times New Roman"/>
                <w:bCs/>
              </w:rPr>
              <w:t xml:space="preserve">Indicateur 4.1.2 </w:t>
            </w:r>
            <w:r>
              <w:rPr>
                <w:rFonts w:ascii="Times New Roman" w:hAnsi="Times New Roman" w:cs="Times New Roman"/>
                <w:bCs/>
              </w:rPr>
              <w:t>Pourcentage de structures de santé qui offrent des services d’accouchement avec un équipement fonctionnel de réanimation néonatale (sac et masque fonctionnels de taille néonatal).</w:t>
            </w:r>
          </w:p>
          <w:p w14:paraId="551A9469" w14:textId="77777777" w:rsidR="00DD583B" w:rsidRDefault="00DD583B" w:rsidP="005D2A90">
            <w:pPr>
              <w:rPr>
                <w:rFonts w:ascii="Times New Roman" w:hAnsi="Times New Roman" w:cs="Times New Roman"/>
                <w:bCs/>
              </w:rPr>
            </w:pPr>
          </w:p>
          <w:p w14:paraId="77BC5DCD" w14:textId="77777777" w:rsidR="00DD583B" w:rsidRPr="0032075B" w:rsidRDefault="00DD583B" w:rsidP="005D2A90">
            <w:pPr>
              <w:rPr>
                <w:rFonts w:ascii="Times New Roman" w:hAnsi="Times New Roman" w:cs="Times New Roman"/>
                <w:bCs/>
                <w:lang w:val="fr-FR"/>
              </w:rPr>
            </w:pPr>
            <w:r w:rsidRPr="0032075B">
              <w:rPr>
                <w:rFonts w:ascii="Times New Roman" w:hAnsi="Times New Roman" w:cs="Times New Roman"/>
                <w:bCs/>
                <w:lang w:val="fr-FR"/>
              </w:rPr>
              <w:t>Base : 15 % en 2015</w:t>
            </w:r>
          </w:p>
          <w:p w14:paraId="106783A0" w14:textId="77777777" w:rsidR="00DD583B" w:rsidRPr="0032075B" w:rsidRDefault="00DD583B" w:rsidP="005D2A90">
            <w:pPr>
              <w:rPr>
                <w:rFonts w:ascii="Times New Roman" w:hAnsi="Times New Roman" w:cs="Times New Roman"/>
                <w:bCs/>
                <w:lang w:val="fr-FR"/>
              </w:rPr>
            </w:pPr>
            <w:r w:rsidRPr="0032075B">
              <w:rPr>
                <w:rFonts w:ascii="Times New Roman" w:hAnsi="Times New Roman" w:cs="Times New Roman"/>
                <w:b/>
                <w:bCs/>
                <w:color w:val="FF0000"/>
                <w:lang w:val="fr-FR"/>
              </w:rPr>
              <w:t>Situation en fin 2017:</w:t>
            </w:r>
            <w:r w:rsidRPr="0032075B">
              <w:rPr>
                <w:rFonts w:ascii="Times New Roman" w:hAnsi="Times New Roman" w:cs="Times New Roman"/>
                <w:bCs/>
                <w:color w:val="FF0000"/>
                <w:lang w:val="fr-FR"/>
              </w:rPr>
              <w:t xml:space="preserve"> 24.6 % </w:t>
            </w:r>
            <w:r w:rsidRPr="0032075B">
              <w:rPr>
                <w:rFonts w:ascii="Times New Roman" w:hAnsi="Times New Roman" w:cs="Times New Roman"/>
                <w:bCs/>
                <w:lang w:val="fr-FR"/>
              </w:rPr>
              <w:t>(347/1410)</w:t>
            </w:r>
          </w:p>
          <w:p w14:paraId="6E31583B" w14:textId="77777777" w:rsidR="00DD583B" w:rsidRPr="002E5C18" w:rsidRDefault="00DD583B" w:rsidP="005D2A90">
            <w:pPr>
              <w:rPr>
                <w:lang w:val="fr-FR"/>
              </w:rPr>
            </w:pPr>
            <w:r w:rsidRPr="0032075B">
              <w:rPr>
                <w:rFonts w:ascii="Times New Roman" w:hAnsi="Times New Roman" w:cs="Times New Roman"/>
                <w:bCs/>
                <w:lang w:val="fr-FR"/>
              </w:rPr>
              <w:t>Cible : 55%</w:t>
            </w:r>
          </w:p>
        </w:tc>
        <w:tc>
          <w:tcPr>
            <w:tcW w:w="3874" w:type="dxa"/>
            <w:vAlign w:val="center"/>
          </w:tcPr>
          <w:p w14:paraId="7612B7BB"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 xml:space="preserve">Mode de calcul : Rapport </w:t>
            </w:r>
            <w:r>
              <w:rPr>
                <w:rFonts w:ascii="Times New Roman" w:hAnsi="Times New Roman" w:cs="Times New Roman"/>
                <w:bCs/>
              </w:rPr>
              <w:t>structures de santé qui offrent des services d’accouchement avec un équipement fonctionnel de réanimation néonatale</w:t>
            </w:r>
            <w:r w:rsidRPr="008B71B5">
              <w:rPr>
                <w:rFonts w:ascii="Times New Roman" w:hAnsi="Times New Roman" w:cs="Times New Roman"/>
              </w:rPr>
              <w:t xml:space="preserve">, </w:t>
            </w:r>
            <w:r>
              <w:rPr>
                <w:rFonts w:ascii="Times New Roman" w:hAnsi="Times New Roman" w:cs="Times New Roman"/>
              </w:rPr>
              <w:t>structures de santé qui offrent des services d’accouchement</w:t>
            </w:r>
          </w:p>
          <w:p w14:paraId="471F7B24" w14:textId="77777777" w:rsidR="00DD583B" w:rsidRPr="008B71B5" w:rsidRDefault="00DD583B" w:rsidP="005D2A90">
            <w:pPr>
              <w:numPr>
                <w:ilvl w:val="0"/>
                <w:numId w:val="35"/>
              </w:numPr>
              <w:suppressAutoHyphens/>
              <w:rPr>
                <w:rFonts w:ascii="Times New Roman" w:hAnsi="Times New Roman" w:cs="Times New Roman"/>
              </w:rPr>
            </w:pPr>
            <w:r w:rsidRPr="00CB0E70">
              <w:rPr>
                <w:rFonts w:ascii="Times New Roman" w:hAnsi="Times New Roman" w:cs="Times New Roman"/>
              </w:rPr>
              <w:t>Sources de données</w:t>
            </w:r>
            <w:r>
              <w:rPr>
                <w:rFonts w:ascii="Times New Roman" w:hAnsi="Times New Roman" w:cs="Times New Roman"/>
              </w:rPr>
              <w:t>/Moyens de vérification</w:t>
            </w:r>
            <w:r w:rsidRPr="00CB0E70">
              <w:rPr>
                <w:rFonts w:ascii="Times New Roman" w:hAnsi="Times New Roman" w:cs="Times New Roman"/>
              </w:rPr>
              <w:t> </w:t>
            </w:r>
            <w:r w:rsidRPr="008B71B5">
              <w:rPr>
                <w:rFonts w:ascii="Times New Roman" w:hAnsi="Times New Roman" w:cs="Times New Roman"/>
              </w:rPr>
              <w:t>: Données et enquêtes nationales</w:t>
            </w:r>
          </w:p>
          <w:p w14:paraId="1DC3F7CF"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w:t>
            </w:r>
          </w:p>
          <w:p w14:paraId="020690FA" w14:textId="77777777" w:rsidR="00DD583B" w:rsidRDefault="00DD583B" w:rsidP="005D2A90">
            <w:pPr>
              <w:pStyle w:val="Paragraphedeliste"/>
              <w:numPr>
                <w:ilvl w:val="0"/>
                <w:numId w:val="35"/>
              </w:numPr>
              <w:rPr>
                <w:color w:val="00B0F0"/>
                <w:lang w:val="fr-FR"/>
              </w:rPr>
            </w:pPr>
            <w:r w:rsidRPr="00880F37">
              <w:rPr>
                <w:rFonts w:ascii="Times New Roman" w:hAnsi="Times New Roman" w:cs="Times New Roman"/>
              </w:rPr>
              <w:t>Maître d’œuvre : Groupe de Résultat, en rapport avec l’Appareil statistique national</w:t>
            </w:r>
          </w:p>
        </w:tc>
        <w:tc>
          <w:tcPr>
            <w:tcW w:w="2648" w:type="dxa"/>
            <w:vMerge/>
          </w:tcPr>
          <w:p w14:paraId="50F472F4" w14:textId="77777777" w:rsidR="00DD583B" w:rsidRPr="002E5C18" w:rsidRDefault="00DD583B" w:rsidP="005D2A90">
            <w:pPr>
              <w:rPr>
                <w:lang w:val="fr-FR"/>
              </w:rPr>
            </w:pPr>
          </w:p>
        </w:tc>
        <w:tc>
          <w:tcPr>
            <w:tcW w:w="1974" w:type="dxa"/>
            <w:vMerge/>
          </w:tcPr>
          <w:p w14:paraId="4CEAD3F5" w14:textId="77777777" w:rsidR="00DD583B" w:rsidRPr="002E5C18" w:rsidRDefault="00DD583B" w:rsidP="005D2A90">
            <w:pPr>
              <w:rPr>
                <w:lang w:val="fr-FR"/>
              </w:rPr>
            </w:pPr>
          </w:p>
        </w:tc>
        <w:tc>
          <w:tcPr>
            <w:tcW w:w="1250" w:type="dxa"/>
          </w:tcPr>
          <w:p w14:paraId="67D23C43" w14:textId="77777777" w:rsidR="00DD583B" w:rsidRPr="002E5C18" w:rsidRDefault="00DD583B" w:rsidP="005D2A90">
            <w:pPr>
              <w:rPr>
                <w:lang w:val="fr-FR"/>
              </w:rPr>
            </w:pPr>
          </w:p>
        </w:tc>
      </w:tr>
      <w:tr w:rsidR="00DD583B" w:rsidRPr="002E5C18" w14:paraId="1DD73AE0" w14:textId="77777777" w:rsidTr="005D2A90">
        <w:tc>
          <w:tcPr>
            <w:tcW w:w="2590" w:type="dxa"/>
            <w:vMerge/>
            <w:shd w:val="clear" w:color="auto" w:fill="DBE5F1" w:themeFill="accent1" w:themeFillTint="33"/>
            <w:vAlign w:val="center"/>
          </w:tcPr>
          <w:p w14:paraId="597F4504" w14:textId="77777777" w:rsidR="00DD583B" w:rsidRPr="002E5C18" w:rsidRDefault="00DD583B" w:rsidP="005D2A90">
            <w:pPr>
              <w:rPr>
                <w:lang w:val="fr-FR"/>
              </w:rPr>
            </w:pPr>
          </w:p>
        </w:tc>
        <w:tc>
          <w:tcPr>
            <w:tcW w:w="2832" w:type="dxa"/>
            <w:vAlign w:val="center"/>
          </w:tcPr>
          <w:p w14:paraId="02878EC9" w14:textId="77777777" w:rsidR="00DD583B" w:rsidRDefault="00DD583B" w:rsidP="005D2A90">
            <w:pPr>
              <w:widowControl w:val="0"/>
              <w:snapToGrid w:val="0"/>
              <w:rPr>
                <w:rFonts w:ascii="Times New Roman" w:hAnsi="Times New Roman" w:cs="Times New Roman"/>
                <w:bCs/>
              </w:rPr>
            </w:pPr>
            <w:r>
              <w:rPr>
                <w:rFonts w:ascii="Times New Roman" w:hAnsi="Times New Roman" w:cs="Times New Roman"/>
                <w:bCs/>
              </w:rPr>
              <w:t>Indicateur 4.1.3</w:t>
            </w:r>
            <w:r w:rsidRPr="008B71B5">
              <w:rPr>
                <w:rFonts w:ascii="Times New Roman" w:hAnsi="Times New Roman" w:cs="Times New Roman"/>
                <w:bCs/>
              </w:rPr>
              <w:t> </w:t>
            </w:r>
            <w:r>
              <w:rPr>
                <w:rFonts w:ascii="Times New Roman" w:hAnsi="Times New Roman" w:cs="Times New Roman"/>
                <w:bCs/>
              </w:rPr>
              <w:t>Nombre de structures publiques de santé prodiguant des soins cliniques aux enfants de moins de cinq ans selon l’approche PCIME</w:t>
            </w:r>
            <w:r w:rsidRPr="008B71B5">
              <w:rPr>
                <w:rFonts w:ascii="Times New Roman" w:hAnsi="Times New Roman" w:cs="Times New Roman"/>
                <w:bCs/>
              </w:rPr>
              <w:t xml:space="preserve"> </w:t>
            </w:r>
          </w:p>
          <w:p w14:paraId="257D70D0" w14:textId="77777777" w:rsidR="00DD583B" w:rsidRDefault="00DD583B" w:rsidP="005D2A90">
            <w:pPr>
              <w:rPr>
                <w:rFonts w:ascii="Times New Roman" w:hAnsi="Times New Roman" w:cs="Times New Roman"/>
                <w:bCs/>
              </w:rPr>
            </w:pPr>
          </w:p>
          <w:p w14:paraId="585DB374" w14:textId="77777777" w:rsidR="00DD583B" w:rsidRDefault="00DD583B" w:rsidP="005D2A90">
            <w:pPr>
              <w:rPr>
                <w:rFonts w:ascii="Times New Roman" w:hAnsi="Times New Roman" w:cs="Times New Roman"/>
                <w:bCs/>
              </w:rPr>
            </w:pPr>
            <w:r>
              <w:rPr>
                <w:rFonts w:ascii="Times New Roman" w:hAnsi="Times New Roman" w:cs="Times New Roman"/>
                <w:bCs/>
              </w:rPr>
              <w:t xml:space="preserve">Base : 162 (2017)  </w:t>
            </w:r>
          </w:p>
          <w:p w14:paraId="1DBA5C75"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162</w:t>
            </w:r>
          </w:p>
          <w:p w14:paraId="1179BCE3" w14:textId="77777777" w:rsidR="00DD583B" w:rsidRDefault="00DD583B" w:rsidP="005D2A90">
            <w:pPr>
              <w:rPr>
                <w:rFonts w:ascii="Times New Roman" w:hAnsi="Times New Roman" w:cs="Times New Roman"/>
                <w:bCs/>
              </w:rPr>
            </w:pPr>
          </w:p>
          <w:p w14:paraId="065015C7" w14:textId="77777777" w:rsidR="00DD583B" w:rsidRPr="002E5C18" w:rsidRDefault="00DD583B" w:rsidP="005D2A90">
            <w:pPr>
              <w:widowControl w:val="0"/>
              <w:snapToGrid w:val="0"/>
              <w:rPr>
                <w:rFonts w:cstheme="minorHAnsi"/>
                <w:bCs/>
                <w:color w:val="548DD4" w:themeColor="text2" w:themeTint="99"/>
                <w:sz w:val="18"/>
                <w:szCs w:val="18"/>
                <w:lang w:val="fr-FR"/>
              </w:rPr>
            </w:pPr>
            <w:r>
              <w:rPr>
                <w:rFonts w:ascii="Times New Roman" w:hAnsi="Times New Roman" w:cs="Times New Roman"/>
                <w:bCs/>
              </w:rPr>
              <w:t xml:space="preserve">Cible : 516  </w:t>
            </w:r>
          </w:p>
        </w:tc>
        <w:tc>
          <w:tcPr>
            <w:tcW w:w="3874" w:type="dxa"/>
            <w:vAlign w:val="center"/>
          </w:tcPr>
          <w:p w14:paraId="49602771"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 xml:space="preserve">Mode de calcul : </w:t>
            </w:r>
            <w:r>
              <w:rPr>
                <w:rFonts w:ascii="Times New Roman" w:hAnsi="Times New Roman" w:cs="Times New Roman"/>
              </w:rPr>
              <w:t xml:space="preserve">Somme totale des </w:t>
            </w:r>
            <w:r>
              <w:rPr>
                <w:rFonts w:ascii="Times New Roman" w:hAnsi="Times New Roman" w:cs="Times New Roman"/>
                <w:bCs/>
              </w:rPr>
              <w:t>Nombre de structures de santé prodiguant des soins cliniques aux enfants de moins de cinq ans selon l’approche PCIME</w:t>
            </w:r>
          </w:p>
          <w:p w14:paraId="08D60414" w14:textId="77777777" w:rsidR="00DD583B" w:rsidRPr="008B71B5" w:rsidRDefault="00DD583B" w:rsidP="005D2A90">
            <w:pPr>
              <w:numPr>
                <w:ilvl w:val="0"/>
                <w:numId w:val="35"/>
              </w:numPr>
              <w:suppressAutoHyphens/>
              <w:rPr>
                <w:rFonts w:ascii="Times New Roman" w:hAnsi="Times New Roman" w:cs="Times New Roman"/>
              </w:rPr>
            </w:pPr>
            <w:r w:rsidRPr="00CB0E70">
              <w:rPr>
                <w:rFonts w:ascii="Times New Roman" w:hAnsi="Times New Roman" w:cs="Times New Roman"/>
              </w:rPr>
              <w:t>Sources de données</w:t>
            </w:r>
            <w:r>
              <w:rPr>
                <w:rFonts w:ascii="Times New Roman" w:hAnsi="Times New Roman" w:cs="Times New Roman"/>
              </w:rPr>
              <w:t>/Moyens de vérification</w:t>
            </w:r>
            <w:r w:rsidRPr="00CB0E70">
              <w:rPr>
                <w:rFonts w:ascii="Times New Roman" w:hAnsi="Times New Roman" w:cs="Times New Roman"/>
              </w:rPr>
              <w:t> </w:t>
            </w:r>
            <w:r w:rsidRPr="008B71B5">
              <w:rPr>
                <w:rFonts w:ascii="Times New Roman" w:hAnsi="Times New Roman" w:cs="Times New Roman"/>
              </w:rPr>
              <w:t xml:space="preserve">: </w:t>
            </w:r>
            <w:r>
              <w:rPr>
                <w:rFonts w:ascii="Times New Roman" w:hAnsi="Times New Roman" w:cs="Times New Roman"/>
              </w:rPr>
              <w:t xml:space="preserve">Rapport annuel des agences </w:t>
            </w:r>
          </w:p>
          <w:p w14:paraId="15672792"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w:t>
            </w:r>
          </w:p>
          <w:p w14:paraId="3165B746" w14:textId="77777777" w:rsidR="00DD583B" w:rsidRPr="002E5C18" w:rsidRDefault="00DD583B" w:rsidP="005D2A90">
            <w:pPr>
              <w:pStyle w:val="Paragraphedeliste"/>
              <w:numPr>
                <w:ilvl w:val="0"/>
                <w:numId w:val="10"/>
              </w:numPr>
              <w:rPr>
                <w:color w:val="00B0F0"/>
                <w:lang w:val="fr-FR"/>
              </w:rPr>
            </w:pPr>
            <w:r w:rsidRPr="008B71B5">
              <w:rPr>
                <w:rFonts w:ascii="Times New Roman" w:hAnsi="Times New Roman" w:cs="Times New Roman"/>
              </w:rPr>
              <w:lastRenderedPageBreak/>
              <w:t>Maître d’œuvre : Groupe de Résultat, en rapport avec l’Appareil statistique national</w:t>
            </w:r>
          </w:p>
        </w:tc>
        <w:tc>
          <w:tcPr>
            <w:tcW w:w="2648" w:type="dxa"/>
            <w:vMerge/>
          </w:tcPr>
          <w:p w14:paraId="2634CADA" w14:textId="77777777" w:rsidR="00DD583B" w:rsidRPr="002E5C18" w:rsidRDefault="00DD583B" w:rsidP="005D2A90">
            <w:pPr>
              <w:rPr>
                <w:lang w:val="fr-FR"/>
              </w:rPr>
            </w:pPr>
          </w:p>
        </w:tc>
        <w:tc>
          <w:tcPr>
            <w:tcW w:w="1974" w:type="dxa"/>
            <w:vMerge/>
          </w:tcPr>
          <w:p w14:paraId="5256DF8A" w14:textId="77777777" w:rsidR="00DD583B" w:rsidRPr="002E5C18" w:rsidRDefault="00DD583B" w:rsidP="005D2A90">
            <w:pPr>
              <w:rPr>
                <w:lang w:val="fr-FR"/>
              </w:rPr>
            </w:pPr>
          </w:p>
        </w:tc>
        <w:tc>
          <w:tcPr>
            <w:tcW w:w="1250" w:type="dxa"/>
          </w:tcPr>
          <w:p w14:paraId="69CAA2DF" w14:textId="77777777" w:rsidR="00DD583B" w:rsidRPr="002E5C18" w:rsidRDefault="00DD583B" w:rsidP="005D2A90">
            <w:pPr>
              <w:rPr>
                <w:lang w:val="fr-FR"/>
              </w:rPr>
            </w:pPr>
          </w:p>
        </w:tc>
      </w:tr>
      <w:tr w:rsidR="00DD583B" w:rsidRPr="002E5C18" w14:paraId="4996E725" w14:textId="77777777" w:rsidTr="005D2A90">
        <w:trPr>
          <w:trHeight w:val="495"/>
        </w:trPr>
        <w:tc>
          <w:tcPr>
            <w:tcW w:w="2590" w:type="dxa"/>
            <w:vMerge w:val="restart"/>
            <w:shd w:val="clear" w:color="auto" w:fill="DBE5F1" w:themeFill="accent1" w:themeFillTint="33"/>
            <w:vAlign w:val="center"/>
          </w:tcPr>
          <w:p w14:paraId="64FA727F" w14:textId="77777777" w:rsidR="00DD583B" w:rsidRPr="002E5C18" w:rsidRDefault="00DD583B" w:rsidP="005D2A90">
            <w:pPr>
              <w:rPr>
                <w:lang w:val="fr-FR"/>
              </w:rPr>
            </w:pPr>
            <w:r w:rsidRPr="008B71B5">
              <w:rPr>
                <w:rFonts w:ascii="Times New Roman" w:hAnsi="Times New Roman" w:cs="Times New Roman"/>
                <w:bCs/>
              </w:rPr>
              <w:t>Produit 4.2: Les populations, en particulier les plus vulnérables ont accès à des services de qualité  de prévention et de prise en charge du VIH et du Sida.</w:t>
            </w:r>
          </w:p>
        </w:tc>
        <w:tc>
          <w:tcPr>
            <w:tcW w:w="2832" w:type="dxa"/>
            <w:vAlign w:val="center"/>
          </w:tcPr>
          <w:p w14:paraId="77076B25" w14:textId="77777777" w:rsidR="00DD583B" w:rsidRDefault="00DD583B" w:rsidP="005D2A90">
            <w:pPr>
              <w:widowControl w:val="0"/>
              <w:snapToGrid w:val="0"/>
              <w:rPr>
                <w:rFonts w:ascii="Times New Roman" w:hAnsi="Times New Roman" w:cs="Times New Roman"/>
                <w:bCs/>
              </w:rPr>
            </w:pPr>
            <w:r w:rsidRPr="008B71B5">
              <w:rPr>
                <w:rFonts w:ascii="Times New Roman" w:hAnsi="Times New Roman" w:cs="Times New Roman"/>
                <w:bCs/>
              </w:rPr>
              <w:t xml:space="preserve">Indicateur 4.2.1 </w:t>
            </w:r>
            <w:r>
              <w:rPr>
                <w:rFonts w:ascii="Times New Roman" w:hAnsi="Times New Roman" w:cs="Times New Roman"/>
                <w:bCs/>
              </w:rPr>
              <w:t xml:space="preserve"> </w:t>
            </w:r>
            <w:r w:rsidRPr="008B71B5">
              <w:rPr>
                <w:rFonts w:ascii="Times New Roman" w:hAnsi="Times New Roman" w:cs="Times New Roman"/>
                <w:bCs/>
              </w:rPr>
              <w:t xml:space="preserve">% de jeunes âgés de 15 à 24 ans connaissant les moyens de prévention de la transmission sexuelle du VIH et qui rejettent les principales idées fausses concernant la transmission du virus. </w:t>
            </w:r>
          </w:p>
          <w:p w14:paraId="72A651B1" w14:textId="77777777" w:rsidR="00DD583B" w:rsidRDefault="00DD583B" w:rsidP="005D2A90">
            <w:pPr>
              <w:rPr>
                <w:rFonts w:ascii="Times New Roman" w:hAnsi="Times New Roman" w:cs="Times New Roman"/>
                <w:bCs/>
              </w:rPr>
            </w:pPr>
          </w:p>
          <w:p w14:paraId="7198D8D3" w14:textId="77777777" w:rsidR="00DD583B" w:rsidRDefault="00DD583B" w:rsidP="005D2A90">
            <w:pPr>
              <w:rPr>
                <w:rFonts w:ascii="Times New Roman" w:hAnsi="Times New Roman" w:cs="Times New Roman"/>
                <w:bCs/>
              </w:rPr>
            </w:pPr>
            <w:r>
              <w:rPr>
                <w:rFonts w:ascii="Times New Roman" w:hAnsi="Times New Roman" w:cs="Times New Roman"/>
                <w:bCs/>
              </w:rPr>
              <w:t xml:space="preserve">Base 1 : </w:t>
            </w:r>
            <w:r w:rsidRPr="008B71B5">
              <w:rPr>
                <w:rFonts w:ascii="Times New Roman" w:hAnsi="Times New Roman" w:cs="Times New Roman"/>
                <w:bCs/>
              </w:rPr>
              <w:t>Homme 33%</w:t>
            </w:r>
            <w:r>
              <w:rPr>
                <w:rFonts w:ascii="Times New Roman" w:hAnsi="Times New Roman" w:cs="Times New Roman"/>
                <w:bCs/>
              </w:rPr>
              <w:t xml:space="preserve"> (EDS 2012-2013)</w:t>
            </w:r>
          </w:p>
          <w:p w14:paraId="0FC31BA7"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28,7% (MICS 2015)</w:t>
            </w:r>
          </w:p>
          <w:p w14:paraId="4B089907" w14:textId="77777777" w:rsidR="00DD583B" w:rsidRDefault="00DD583B" w:rsidP="005D2A90">
            <w:pPr>
              <w:rPr>
                <w:rFonts w:ascii="Times New Roman" w:hAnsi="Times New Roman" w:cs="Times New Roman"/>
                <w:bCs/>
              </w:rPr>
            </w:pPr>
            <w:r>
              <w:rPr>
                <w:rFonts w:ascii="Times New Roman" w:hAnsi="Times New Roman" w:cs="Times New Roman"/>
                <w:bCs/>
              </w:rPr>
              <w:t xml:space="preserve">Cible 1 : </w:t>
            </w:r>
            <w:r w:rsidRPr="008B71B5">
              <w:rPr>
                <w:rFonts w:ascii="Times New Roman" w:hAnsi="Times New Roman" w:cs="Times New Roman"/>
                <w:bCs/>
              </w:rPr>
              <w:t>Homme 40%</w:t>
            </w:r>
          </w:p>
          <w:p w14:paraId="23E386B3" w14:textId="77777777" w:rsidR="00DD583B" w:rsidRDefault="00DD583B" w:rsidP="005D2A90">
            <w:pPr>
              <w:rPr>
                <w:rFonts w:ascii="Times New Roman" w:hAnsi="Times New Roman" w:cs="Times New Roman"/>
                <w:bCs/>
              </w:rPr>
            </w:pPr>
          </w:p>
          <w:p w14:paraId="6AB33CBE" w14:textId="77777777" w:rsidR="00DD583B" w:rsidRDefault="00DD583B" w:rsidP="005D2A90">
            <w:pPr>
              <w:rPr>
                <w:rFonts w:ascii="Times New Roman" w:hAnsi="Times New Roman" w:cs="Times New Roman"/>
                <w:bCs/>
              </w:rPr>
            </w:pPr>
            <w:r>
              <w:rPr>
                <w:rFonts w:ascii="Times New Roman" w:hAnsi="Times New Roman" w:cs="Times New Roman"/>
                <w:bCs/>
              </w:rPr>
              <w:t>Base 2 : Femme</w:t>
            </w:r>
            <w:r w:rsidRPr="008B71B5">
              <w:rPr>
                <w:rFonts w:ascii="Times New Roman" w:hAnsi="Times New Roman" w:cs="Times New Roman"/>
                <w:bCs/>
              </w:rPr>
              <w:t xml:space="preserve"> 23.7%</w:t>
            </w:r>
            <w:r>
              <w:rPr>
                <w:rFonts w:ascii="Times New Roman" w:hAnsi="Times New Roman" w:cs="Times New Roman"/>
                <w:bCs/>
              </w:rPr>
              <w:t xml:space="preserve"> (EDS 2012-2013)</w:t>
            </w:r>
          </w:p>
          <w:p w14:paraId="792E3C4E"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20,4% (MICS 2015)</w:t>
            </w:r>
          </w:p>
          <w:p w14:paraId="7DCC8321" w14:textId="77777777" w:rsidR="00DD583B" w:rsidRPr="002E5C18" w:rsidRDefault="00DD583B" w:rsidP="005D2A90">
            <w:pPr>
              <w:widowControl w:val="0"/>
              <w:snapToGrid w:val="0"/>
              <w:rPr>
                <w:rFonts w:cstheme="minorHAnsi"/>
                <w:bCs/>
                <w:sz w:val="18"/>
                <w:szCs w:val="18"/>
                <w:lang w:val="fr-FR"/>
              </w:rPr>
            </w:pPr>
            <w:r>
              <w:rPr>
                <w:rFonts w:ascii="Times New Roman" w:hAnsi="Times New Roman" w:cs="Times New Roman"/>
                <w:bCs/>
              </w:rPr>
              <w:t>Cible 2 : Fe</w:t>
            </w:r>
            <w:r w:rsidRPr="008B71B5">
              <w:rPr>
                <w:rFonts w:ascii="Times New Roman" w:hAnsi="Times New Roman" w:cs="Times New Roman"/>
                <w:bCs/>
              </w:rPr>
              <w:t>mme 33%</w:t>
            </w:r>
          </w:p>
        </w:tc>
        <w:tc>
          <w:tcPr>
            <w:tcW w:w="3874" w:type="dxa"/>
            <w:vAlign w:val="center"/>
          </w:tcPr>
          <w:p w14:paraId="29CF8080"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 xml:space="preserve">Mode de calcul : Rapport Nb du </w:t>
            </w:r>
            <w:r w:rsidRPr="008B71B5">
              <w:rPr>
                <w:rFonts w:ascii="Times New Roman" w:hAnsi="Times New Roman" w:cs="Times New Roman"/>
                <w:bCs/>
              </w:rPr>
              <w:t xml:space="preserve"> de jeunes âgés de 15 à 24 ans connaissant les moyens de prévention de la transmission sexuelle du VIH et qui rejettent les principales idées fausses concernant la transmission du virus, sur population générale des  jeunes âgés de 15 à 24 ans</w:t>
            </w:r>
          </w:p>
          <w:p w14:paraId="18817D8D" w14:textId="77777777" w:rsidR="00DD583B" w:rsidRPr="008B71B5" w:rsidRDefault="00DD583B" w:rsidP="005D2A90">
            <w:pPr>
              <w:numPr>
                <w:ilvl w:val="0"/>
                <w:numId w:val="35"/>
              </w:numPr>
              <w:suppressAutoHyphens/>
              <w:rPr>
                <w:rFonts w:ascii="Times New Roman" w:hAnsi="Times New Roman" w:cs="Times New Roman"/>
              </w:rPr>
            </w:pPr>
            <w:r w:rsidRPr="00CB0E70">
              <w:rPr>
                <w:rFonts w:ascii="Times New Roman" w:hAnsi="Times New Roman" w:cs="Times New Roman"/>
              </w:rPr>
              <w:t>Sources de données</w:t>
            </w:r>
            <w:r>
              <w:rPr>
                <w:rFonts w:ascii="Times New Roman" w:hAnsi="Times New Roman" w:cs="Times New Roman"/>
              </w:rPr>
              <w:t>/Moyens de vérification</w:t>
            </w:r>
            <w:r w:rsidRPr="00CB0E70">
              <w:rPr>
                <w:rFonts w:ascii="Times New Roman" w:hAnsi="Times New Roman" w:cs="Times New Roman"/>
              </w:rPr>
              <w:t> </w:t>
            </w:r>
            <w:r w:rsidRPr="008B71B5">
              <w:rPr>
                <w:rFonts w:ascii="Times New Roman" w:hAnsi="Times New Roman" w:cs="Times New Roman"/>
              </w:rPr>
              <w:t>: Enquêtes nationales</w:t>
            </w:r>
          </w:p>
          <w:p w14:paraId="3ABA55E7"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w:t>
            </w:r>
          </w:p>
          <w:p w14:paraId="197E43EE" w14:textId="77777777" w:rsidR="00DD583B" w:rsidRPr="002E5C18" w:rsidRDefault="00DD583B" w:rsidP="005D2A90">
            <w:pPr>
              <w:pStyle w:val="Paragraphedeliste"/>
              <w:numPr>
                <w:ilvl w:val="0"/>
                <w:numId w:val="11"/>
              </w:numPr>
              <w:rPr>
                <w:lang w:val="fr-FR"/>
              </w:rPr>
            </w:pPr>
            <w:r w:rsidRPr="008B71B5">
              <w:rPr>
                <w:rFonts w:ascii="Times New Roman" w:hAnsi="Times New Roman" w:cs="Times New Roman"/>
              </w:rPr>
              <w:t>Maître d’œuvre : Groupe de Résultat, en rapport avec l’Appareil statistique national</w:t>
            </w:r>
          </w:p>
        </w:tc>
        <w:tc>
          <w:tcPr>
            <w:tcW w:w="2648" w:type="dxa"/>
            <w:vMerge w:val="restart"/>
          </w:tcPr>
          <w:p w14:paraId="1C00C01A" w14:textId="77777777" w:rsidR="00DD583B" w:rsidRPr="002E5C18" w:rsidRDefault="00DD583B" w:rsidP="005D2A90">
            <w:pPr>
              <w:keepNext/>
              <w:contextualSpacing/>
              <w:rPr>
                <w:rFonts w:cs="Times New Roman"/>
                <w:sz w:val="18"/>
                <w:szCs w:val="18"/>
                <w:lang w:val="fr-FR"/>
              </w:rPr>
            </w:pPr>
            <w:r w:rsidRPr="002E5C18">
              <w:rPr>
                <w:rFonts w:cs="Times New Roman"/>
                <w:sz w:val="18"/>
                <w:szCs w:val="18"/>
                <w:lang w:val="fr-FR"/>
              </w:rPr>
              <w:t>Situation d’insécurité/ conflit armé dans les zones d’intervention</w:t>
            </w:r>
          </w:p>
          <w:p w14:paraId="63D67997" w14:textId="77777777" w:rsidR="00DD583B" w:rsidRPr="002E5C18" w:rsidRDefault="00DD583B" w:rsidP="005D2A90">
            <w:pPr>
              <w:keepNext/>
              <w:contextualSpacing/>
              <w:rPr>
                <w:rFonts w:cs="Times New Roman"/>
                <w:sz w:val="18"/>
                <w:szCs w:val="18"/>
                <w:lang w:val="fr-FR"/>
              </w:rPr>
            </w:pPr>
          </w:p>
          <w:p w14:paraId="36036F05" w14:textId="77777777" w:rsidR="00DD583B" w:rsidRPr="002E5C18" w:rsidRDefault="00DD583B" w:rsidP="005D2A90">
            <w:pPr>
              <w:keepNext/>
              <w:contextualSpacing/>
              <w:rPr>
                <w:rFonts w:cs="Times New Roman"/>
                <w:sz w:val="18"/>
                <w:szCs w:val="18"/>
                <w:lang w:val="fr-FR"/>
              </w:rPr>
            </w:pPr>
          </w:p>
          <w:p w14:paraId="3CC6F280" w14:textId="77777777" w:rsidR="00DD583B" w:rsidRPr="002E5C18" w:rsidRDefault="00DD583B" w:rsidP="005D2A90">
            <w:pPr>
              <w:keepNext/>
              <w:contextualSpacing/>
              <w:rPr>
                <w:rFonts w:cs="Times New Roman"/>
                <w:sz w:val="18"/>
                <w:szCs w:val="18"/>
                <w:lang w:val="fr-FR"/>
              </w:rPr>
            </w:pPr>
          </w:p>
          <w:p w14:paraId="3751F09E" w14:textId="77777777" w:rsidR="00DD583B" w:rsidRPr="002E5C18" w:rsidRDefault="00DD583B" w:rsidP="005D2A90">
            <w:pPr>
              <w:keepNext/>
              <w:contextualSpacing/>
              <w:rPr>
                <w:rFonts w:cs="Times New Roman"/>
                <w:sz w:val="18"/>
                <w:szCs w:val="18"/>
                <w:lang w:val="fr-FR"/>
              </w:rPr>
            </w:pPr>
            <w:r w:rsidRPr="002E5C18">
              <w:rPr>
                <w:rFonts w:cs="Times New Roman"/>
                <w:sz w:val="18"/>
                <w:szCs w:val="18"/>
                <w:lang w:val="fr-FR"/>
              </w:rPr>
              <w:t>Diminution des  ressources financières</w:t>
            </w:r>
          </w:p>
          <w:p w14:paraId="5D88A840" w14:textId="77777777" w:rsidR="00DD583B" w:rsidRPr="002E5C18" w:rsidRDefault="00DD583B" w:rsidP="005D2A90">
            <w:pPr>
              <w:keepNext/>
              <w:contextualSpacing/>
              <w:rPr>
                <w:rFonts w:cs="Times New Roman"/>
                <w:sz w:val="18"/>
                <w:szCs w:val="18"/>
                <w:lang w:val="fr-FR"/>
              </w:rPr>
            </w:pPr>
          </w:p>
          <w:p w14:paraId="5EAB8AB2" w14:textId="77777777" w:rsidR="00DD583B" w:rsidRPr="002E5C18" w:rsidRDefault="00DD583B" w:rsidP="005D2A90">
            <w:pPr>
              <w:keepNext/>
              <w:contextualSpacing/>
              <w:rPr>
                <w:rFonts w:cs="Times New Roman"/>
                <w:sz w:val="18"/>
                <w:szCs w:val="18"/>
                <w:lang w:val="fr-FR"/>
              </w:rPr>
            </w:pPr>
          </w:p>
          <w:p w14:paraId="75F4BAA2" w14:textId="77777777" w:rsidR="00DD583B" w:rsidRPr="002E5C18" w:rsidRDefault="00DD583B" w:rsidP="005D2A90">
            <w:pPr>
              <w:keepNext/>
              <w:contextualSpacing/>
              <w:rPr>
                <w:rFonts w:cs="Times New Roman"/>
                <w:sz w:val="18"/>
                <w:szCs w:val="18"/>
                <w:lang w:val="fr-FR"/>
              </w:rPr>
            </w:pPr>
            <w:r w:rsidRPr="002E5C18">
              <w:rPr>
                <w:rFonts w:cs="Times New Roman"/>
                <w:sz w:val="18"/>
                <w:szCs w:val="18"/>
                <w:lang w:val="fr-FR"/>
              </w:rPr>
              <w:t>Mauvaise gouvernance</w:t>
            </w:r>
          </w:p>
          <w:p w14:paraId="48A8CF3D" w14:textId="77777777" w:rsidR="00DD583B" w:rsidRPr="002E5C18" w:rsidRDefault="00DD583B" w:rsidP="005D2A90">
            <w:pPr>
              <w:keepNext/>
              <w:contextualSpacing/>
              <w:rPr>
                <w:rFonts w:cs="Times New Roman"/>
                <w:sz w:val="18"/>
                <w:szCs w:val="18"/>
                <w:lang w:val="fr-FR"/>
              </w:rPr>
            </w:pPr>
          </w:p>
          <w:p w14:paraId="0F2330B4" w14:textId="77777777" w:rsidR="00DD583B" w:rsidRPr="002E5C18" w:rsidRDefault="00DD583B" w:rsidP="005D2A90">
            <w:pPr>
              <w:keepNext/>
              <w:tabs>
                <w:tab w:val="center" w:pos="4536"/>
                <w:tab w:val="right" w:pos="9072"/>
              </w:tabs>
              <w:contextualSpacing/>
              <w:rPr>
                <w:rFonts w:cs="Times New Roman"/>
                <w:sz w:val="18"/>
                <w:szCs w:val="18"/>
                <w:lang w:val="fr-FR"/>
              </w:rPr>
            </w:pPr>
            <w:r w:rsidRPr="002E5C18">
              <w:rPr>
                <w:rFonts w:cs="Times New Roman"/>
                <w:sz w:val="18"/>
                <w:szCs w:val="18"/>
                <w:lang w:val="fr-FR"/>
              </w:rPr>
              <w:t>Insécurité dans les zones d’intervention</w:t>
            </w:r>
          </w:p>
          <w:p w14:paraId="54101F30" w14:textId="77777777" w:rsidR="00DD583B" w:rsidRPr="002E5C18" w:rsidRDefault="00DD583B" w:rsidP="005D2A90">
            <w:pPr>
              <w:keepNext/>
              <w:contextualSpacing/>
              <w:rPr>
                <w:rFonts w:cs="Times New Roman"/>
                <w:sz w:val="18"/>
                <w:szCs w:val="18"/>
                <w:lang w:val="fr-FR"/>
              </w:rPr>
            </w:pPr>
          </w:p>
          <w:p w14:paraId="09895E51" w14:textId="77777777" w:rsidR="00DD583B" w:rsidRPr="002E5C18" w:rsidRDefault="00DD583B" w:rsidP="005D2A90">
            <w:pPr>
              <w:keepNext/>
              <w:contextualSpacing/>
              <w:rPr>
                <w:rFonts w:cs="Times New Roman"/>
                <w:sz w:val="18"/>
                <w:szCs w:val="18"/>
                <w:lang w:val="fr-FR"/>
              </w:rPr>
            </w:pPr>
          </w:p>
          <w:p w14:paraId="75F3EFC9" w14:textId="77777777" w:rsidR="00DD583B" w:rsidRPr="002E5C18" w:rsidRDefault="00DD583B" w:rsidP="005D2A90">
            <w:pPr>
              <w:keepNext/>
              <w:contextualSpacing/>
              <w:rPr>
                <w:rFonts w:cs="Times New Roman"/>
                <w:sz w:val="18"/>
                <w:szCs w:val="18"/>
                <w:lang w:val="fr-FR"/>
              </w:rPr>
            </w:pPr>
            <w:r w:rsidRPr="002E5C18">
              <w:rPr>
                <w:rFonts w:cs="Times New Roman"/>
                <w:sz w:val="18"/>
                <w:szCs w:val="18"/>
                <w:lang w:val="fr-FR"/>
              </w:rPr>
              <w:t>Diminution des  ressources financières</w:t>
            </w:r>
          </w:p>
          <w:p w14:paraId="2A42F239" w14:textId="77777777" w:rsidR="00DD583B" w:rsidRPr="002E5C18" w:rsidRDefault="00DD583B" w:rsidP="005D2A90">
            <w:pPr>
              <w:keepNext/>
              <w:contextualSpacing/>
              <w:rPr>
                <w:rFonts w:cs="Times New Roman"/>
                <w:sz w:val="18"/>
                <w:szCs w:val="18"/>
                <w:lang w:val="fr-FR"/>
              </w:rPr>
            </w:pPr>
          </w:p>
          <w:p w14:paraId="65534674" w14:textId="77777777" w:rsidR="00DD583B" w:rsidRPr="002E5C18" w:rsidRDefault="00DD583B" w:rsidP="005D2A90">
            <w:pPr>
              <w:keepNext/>
              <w:contextualSpacing/>
              <w:rPr>
                <w:rFonts w:cs="Times New Roman"/>
                <w:sz w:val="18"/>
                <w:szCs w:val="18"/>
                <w:lang w:val="fr-FR"/>
              </w:rPr>
            </w:pPr>
            <w:r w:rsidRPr="002E5C18">
              <w:rPr>
                <w:rFonts w:cs="Times New Roman"/>
                <w:sz w:val="18"/>
                <w:szCs w:val="18"/>
                <w:lang w:val="fr-FR"/>
              </w:rPr>
              <w:t xml:space="preserve">Situations de crise </w:t>
            </w:r>
          </w:p>
          <w:p w14:paraId="46C2B080" w14:textId="77777777" w:rsidR="00DD583B" w:rsidRPr="002E5C18" w:rsidRDefault="00DD583B" w:rsidP="005D2A90">
            <w:pPr>
              <w:rPr>
                <w:lang w:val="fr-FR"/>
              </w:rPr>
            </w:pPr>
          </w:p>
        </w:tc>
        <w:tc>
          <w:tcPr>
            <w:tcW w:w="1974" w:type="dxa"/>
            <w:vMerge w:val="restart"/>
          </w:tcPr>
          <w:p w14:paraId="35F9E89B" w14:textId="77777777" w:rsidR="00DD583B" w:rsidRPr="002E5C18" w:rsidRDefault="00DD583B" w:rsidP="005D2A90">
            <w:pPr>
              <w:rPr>
                <w:lang w:val="fr-FR"/>
              </w:rPr>
            </w:pPr>
          </w:p>
        </w:tc>
        <w:tc>
          <w:tcPr>
            <w:tcW w:w="1250" w:type="dxa"/>
            <w:vMerge w:val="restart"/>
          </w:tcPr>
          <w:p w14:paraId="4F5D4E6F" w14:textId="77777777" w:rsidR="00DD583B" w:rsidRPr="002E5C18" w:rsidRDefault="00DD583B" w:rsidP="005D2A90">
            <w:pPr>
              <w:rPr>
                <w:lang w:val="fr-FR"/>
              </w:rPr>
            </w:pPr>
          </w:p>
        </w:tc>
      </w:tr>
      <w:tr w:rsidR="00DD583B" w:rsidRPr="002E5C18" w14:paraId="2B575219" w14:textId="77777777" w:rsidTr="005D2A90">
        <w:trPr>
          <w:trHeight w:val="2373"/>
        </w:trPr>
        <w:tc>
          <w:tcPr>
            <w:tcW w:w="2590" w:type="dxa"/>
            <w:vMerge/>
            <w:shd w:val="clear" w:color="auto" w:fill="DBE5F1" w:themeFill="accent1" w:themeFillTint="33"/>
            <w:vAlign w:val="center"/>
          </w:tcPr>
          <w:p w14:paraId="3D2E42B8" w14:textId="77777777" w:rsidR="00DD583B" w:rsidRPr="002E5C18" w:rsidRDefault="00DD583B" w:rsidP="005D2A90">
            <w:pPr>
              <w:rPr>
                <w:lang w:val="fr-FR"/>
              </w:rPr>
            </w:pPr>
          </w:p>
        </w:tc>
        <w:tc>
          <w:tcPr>
            <w:tcW w:w="2832" w:type="dxa"/>
            <w:vAlign w:val="center"/>
          </w:tcPr>
          <w:p w14:paraId="32C2633D" w14:textId="77777777" w:rsidR="00DD583B" w:rsidRDefault="00DD583B" w:rsidP="005D2A90">
            <w:pPr>
              <w:rPr>
                <w:rFonts w:ascii="Times New Roman" w:hAnsi="Times New Roman" w:cs="Times New Roman"/>
                <w:bCs/>
              </w:rPr>
            </w:pPr>
            <w:r w:rsidRPr="008B71B5">
              <w:rPr>
                <w:rFonts w:ascii="Times New Roman" w:hAnsi="Times New Roman" w:cs="Times New Roman"/>
                <w:bCs/>
              </w:rPr>
              <w:t>Indicateur 4.2.</w:t>
            </w:r>
            <w:r>
              <w:rPr>
                <w:rFonts w:ascii="Times New Roman" w:hAnsi="Times New Roman" w:cs="Times New Roman"/>
                <w:bCs/>
              </w:rPr>
              <w:t>2</w:t>
            </w:r>
            <w:r w:rsidRPr="008B71B5">
              <w:rPr>
                <w:rFonts w:ascii="Times New Roman" w:hAnsi="Times New Roman" w:cs="Times New Roman"/>
                <w:bCs/>
              </w:rPr>
              <w:t xml:space="preserve"> </w:t>
            </w:r>
            <w:r>
              <w:rPr>
                <w:rFonts w:ascii="Times New Roman" w:hAnsi="Times New Roman" w:cs="Times New Roman"/>
                <w:bCs/>
              </w:rPr>
              <w:t xml:space="preserve">Pourcentage de femmes enceintes seropositives </w:t>
            </w:r>
            <w:r w:rsidRPr="008B71B5">
              <w:rPr>
                <w:rFonts w:ascii="Times New Roman" w:hAnsi="Times New Roman" w:cs="Times New Roman"/>
                <w:bCs/>
              </w:rPr>
              <w:t xml:space="preserve">qui reçoivent les ARV pour réduire la transmission mère enfant du VIH).  </w:t>
            </w:r>
          </w:p>
          <w:p w14:paraId="6665DF31" w14:textId="77777777" w:rsidR="00DD583B" w:rsidRDefault="00DD583B" w:rsidP="005D2A90">
            <w:pPr>
              <w:rPr>
                <w:rFonts w:ascii="Times New Roman" w:hAnsi="Times New Roman" w:cs="Times New Roman"/>
                <w:bCs/>
              </w:rPr>
            </w:pPr>
          </w:p>
          <w:p w14:paraId="6D30584E" w14:textId="77777777" w:rsidR="00DD583B" w:rsidRDefault="00DD583B" w:rsidP="005D2A90">
            <w:pPr>
              <w:rPr>
                <w:rFonts w:ascii="Times New Roman" w:hAnsi="Times New Roman" w:cs="Times New Roman"/>
                <w:bCs/>
              </w:rPr>
            </w:pPr>
          </w:p>
          <w:p w14:paraId="72B88BB0" w14:textId="77777777" w:rsidR="00DD583B" w:rsidRDefault="00DD583B" w:rsidP="005D2A90">
            <w:pPr>
              <w:rPr>
                <w:rFonts w:ascii="Times New Roman" w:hAnsi="Times New Roman" w:cs="Times New Roman"/>
                <w:bCs/>
              </w:rPr>
            </w:pPr>
            <w:r>
              <w:rPr>
                <w:rFonts w:ascii="Times New Roman" w:hAnsi="Times New Roman" w:cs="Times New Roman"/>
                <w:bCs/>
              </w:rPr>
              <w:t xml:space="preserve">Base : </w:t>
            </w:r>
            <w:r w:rsidRPr="008B71B5">
              <w:rPr>
                <w:rFonts w:ascii="Times New Roman" w:hAnsi="Times New Roman" w:cs="Times New Roman"/>
                <w:bCs/>
              </w:rPr>
              <w:t>28,9% (2014)</w:t>
            </w:r>
          </w:p>
          <w:p w14:paraId="2CD3D9BF"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sidRPr="00D940EF">
              <w:rPr>
                <w:rFonts w:ascii="Calibri" w:hAnsi="Calibri"/>
                <w:color w:val="FF0000"/>
                <w:sz w:val="18"/>
                <w:szCs w:val="18"/>
              </w:rPr>
              <w:t>41,60%</w:t>
            </w:r>
          </w:p>
          <w:p w14:paraId="56554323" w14:textId="77777777" w:rsidR="00DD583B" w:rsidRDefault="00DD583B" w:rsidP="005D2A90">
            <w:pPr>
              <w:rPr>
                <w:rFonts w:ascii="Times New Roman" w:hAnsi="Times New Roman" w:cs="Times New Roman"/>
                <w:bCs/>
              </w:rPr>
            </w:pPr>
          </w:p>
          <w:p w14:paraId="1FFD6BE2" w14:textId="77777777" w:rsidR="00DD583B" w:rsidRPr="003D0638" w:rsidRDefault="00DD583B" w:rsidP="005D2A90">
            <w:pPr>
              <w:rPr>
                <w:rFonts w:ascii="Times New Roman" w:hAnsi="Times New Roman" w:cs="Times New Roman"/>
                <w:bCs/>
              </w:rPr>
            </w:pPr>
            <w:r>
              <w:rPr>
                <w:rFonts w:ascii="Times New Roman" w:hAnsi="Times New Roman" w:cs="Times New Roman"/>
                <w:bCs/>
              </w:rPr>
              <w:t xml:space="preserve">Cible : </w:t>
            </w:r>
            <w:r w:rsidRPr="008B71B5">
              <w:rPr>
                <w:rFonts w:ascii="Times New Roman" w:hAnsi="Times New Roman" w:cs="Times New Roman"/>
                <w:bCs/>
              </w:rPr>
              <w:t>90%</w:t>
            </w:r>
          </w:p>
        </w:tc>
        <w:tc>
          <w:tcPr>
            <w:tcW w:w="3874" w:type="dxa"/>
            <w:vAlign w:val="center"/>
          </w:tcPr>
          <w:p w14:paraId="58209298"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Mode de calcul : Rapport Nb de cas d’administration du protocole PTME, sur Nb total de cas éligibles</w:t>
            </w:r>
          </w:p>
          <w:p w14:paraId="74A4B4B8" w14:textId="77777777" w:rsidR="00DD583B" w:rsidRPr="008B71B5" w:rsidRDefault="00DD583B" w:rsidP="005D2A90">
            <w:pPr>
              <w:numPr>
                <w:ilvl w:val="0"/>
                <w:numId w:val="35"/>
              </w:numPr>
              <w:suppressAutoHyphens/>
              <w:rPr>
                <w:rFonts w:ascii="Times New Roman" w:hAnsi="Times New Roman" w:cs="Times New Roman"/>
              </w:rPr>
            </w:pPr>
            <w:r w:rsidRPr="00CB0E70">
              <w:rPr>
                <w:rFonts w:ascii="Times New Roman" w:hAnsi="Times New Roman" w:cs="Times New Roman"/>
              </w:rPr>
              <w:t>Sources de données</w:t>
            </w:r>
            <w:r>
              <w:rPr>
                <w:rFonts w:ascii="Times New Roman" w:hAnsi="Times New Roman" w:cs="Times New Roman"/>
              </w:rPr>
              <w:t>/Moyens de vérification</w:t>
            </w:r>
            <w:r w:rsidRPr="00CB0E70">
              <w:rPr>
                <w:rFonts w:ascii="Times New Roman" w:hAnsi="Times New Roman" w:cs="Times New Roman"/>
              </w:rPr>
              <w:t> </w:t>
            </w:r>
            <w:r w:rsidRPr="008B71B5">
              <w:rPr>
                <w:rFonts w:ascii="Times New Roman" w:hAnsi="Times New Roman" w:cs="Times New Roman"/>
              </w:rPr>
              <w:t>: Données et Enquêtes nationales</w:t>
            </w:r>
          </w:p>
          <w:p w14:paraId="6DB5FF70"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w:t>
            </w:r>
          </w:p>
          <w:p w14:paraId="7A154A9E" w14:textId="77777777" w:rsidR="00DD583B" w:rsidRPr="002E5C18" w:rsidRDefault="00DD583B" w:rsidP="005D2A90">
            <w:pPr>
              <w:pStyle w:val="Paragraphedeliste"/>
              <w:numPr>
                <w:ilvl w:val="0"/>
                <w:numId w:val="9"/>
              </w:numPr>
              <w:rPr>
                <w:lang w:val="fr-FR"/>
              </w:rPr>
            </w:pPr>
            <w:r w:rsidRPr="008B71B5">
              <w:rPr>
                <w:rFonts w:ascii="Times New Roman" w:hAnsi="Times New Roman" w:cs="Times New Roman"/>
              </w:rPr>
              <w:t>Maître d’œuvre : Groupe de Résultat, en rapport avec l’Appareil statistique national</w:t>
            </w:r>
          </w:p>
        </w:tc>
        <w:tc>
          <w:tcPr>
            <w:tcW w:w="2648" w:type="dxa"/>
            <w:vMerge/>
          </w:tcPr>
          <w:p w14:paraId="1DDC94FF" w14:textId="77777777" w:rsidR="00DD583B" w:rsidRPr="002E5C18" w:rsidRDefault="00DD583B" w:rsidP="005D2A90">
            <w:pPr>
              <w:rPr>
                <w:lang w:val="fr-FR"/>
              </w:rPr>
            </w:pPr>
          </w:p>
        </w:tc>
        <w:tc>
          <w:tcPr>
            <w:tcW w:w="1974" w:type="dxa"/>
            <w:vMerge/>
          </w:tcPr>
          <w:p w14:paraId="324CCF62" w14:textId="77777777" w:rsidR="00DD583B" w:rsidRPr="002E5C18" w:rsidRDefault="00DD583B" w:rsidP="005D2A90">
            <w:pPr>
              <w:rPr>
                <w:lang w:val="fr-FR"/>
              </w:rPr>
            </w:pPr>
          </w:p>
        </w:tc>
        <w:tc>
          <w:tcPr>
            <w:tcW w:w="1250" w:type="dxa"/>
            <w:vMerge/>
          </w:tcPr>
          <w:p w14:paraId="47BCA6C9" w14:textId="77777777" w:rsidR="00DD583B" w:rsidRPr="002E5C18" w:rsidRDefault="00DD583B" w:rsidP="005D2A90">
            <w:pPr>
              <w:rPr>
                <w:lang w:val="fr-FR"/>
              </w:rPr>
            </w:pPr>
          </w:p>
        </w:tc>
      </w:tr>
      <w:tr w:rsidR="00DD583B" w:rsidRPr="002E5C18" w14:paraId="08428D23" w14:textId="77777777" w:rsidTr="005D2A90">
        <w:tc>
          <w:tcPr>
            <w:tcW w:w="2590" w:type="dxa"/>
            <w:shd w:val="clear" w:color="auto" w:fill="DBE5F1" w:themeFill="accent1" w:themeFillTint="33"/>
            <w:vAlign w:val="center"/>
          </w:tcPr>
          <w:p w14:paraId="4FF56432" w14:textId="77777777" w:rsidR="00DD583B" w:rsidRPr="002E5C18" w:rsidRDefault="00DD583B" w:rsidP="005D2A90"/>
        </w:tc>
        <w:tc>
          <w:tcPr>
            <w:tcW w:w="2832" w:type="dxa"/>
            <w:vAlign w:val="center"/>
          </w:tcPr>
          <w:p w14:paraId="1411A736" w14:textId="77777777" w:rsidR="00DD583B" w:rsidRDefault="00DD583B" w:rsidP="005D2A90">
            <w:pPr>
              <w:rPr>
                <w:rFonts w:ascii="Times New Roman" w:hAnsi="Times New Roman" w:cs="Times New Roman"/>
                <w:bCs/>
              </w:rPr>
            </w:pPr>
            <w:r w:rsidRPr="008B71B5">
              <w:rPr>
                <w:rFonts w:ascii="Times New Roman" w:hAnsi="Times New Roman" w:cs="Times New Roman"/>
                <w:bCs/>
              </w:rPr>
              <w:t>Indicateur 4.2.</w:t>
            </w:r>
            <w:r>
              <w:rPr>
                <w:rFonts w:ascii="Times New Roman" w:hAnsi="Times New Roman" w:cs="Times New Roman"/>
                <w:bCs/>
              </w:rPr>
              <w:t>3 Nombre de structures de santé qui fournissent des ARV pédiatriques</w:t>
            </w:r>
          </w:p>
          <w:p w14:paraId="04487C51" w14:textId="77777777" w:rsidR="00DD583B" w:rsidRDefault="00DD583B" w:rsidP="005D2A90">
            <w:pPr>
              <w:rPr>
                <w:rFonts w:ascii="Times New Roman" w:hAnsi="Times New Roman" w:cs="Times New Roman"/>
                <w:bCs/>
              </w:rPr>
            </w:pPr>
            <w:r>
              <w:rPr>
                <w:rFonts w:ascii="Times New Roman" w:hAnsi="Times New Roman" w:cs="Times New Roman"/>
                <w:bCs/>
              </w:rPr>
              <w:t xml:space="preserve">Base : 79 </w:t>
            </w:r>
          </w:p>
          <w:p w14:paraId="6BD5DDA7"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 xml:space="preserve"> 138</w:t>
            </w:r>
          </w:p>
          <w:p w14:paraId="06A552A5" w14:textId="77777777" w:rsidR="00DD583B" w:rsidRDefault="00DD583B" w:rsidP="005D2A90">
            <w:pPr>
              <w:rPr>
                <w:rFonts w:ascii="Times New Roman" w:hAnsi="Times New Roman" w:cs="Times New Roman"/>
                <w:bCs/>
              </w:rPr>
            </w:pPr>
          </w:p>
          <w:p w14:paraId="0F604AE7" w14:textId="77777777" w:rsidR="00DD583B" w:rsidRPr="008B71B5" w:rsidRDefault="00DD583B" w:rsidP="005D2A90">
            <w:pPr>
              <w:rPr>
                <w:rFonts w:ascii="Times New Roman" w:hAnsi="Times New Roman" w:cs="Times New Roman"/>
                <w:bCs/>
              </w:rPr>
            </w:pPr>
            <w:r>
              <w:rPr>
                <w:rFonts w:ascii="Times New Roman" w:hAnsi="Times New Roman" w:cs="Times New Roman"/>
                <w:bCs/>
              </w:rPr>
              <w:t>Cible : 377</w:t>
            </w:r>
          </w:p>
        </w:tc>
        <w:tc>
          <w:tcPr>
            <w:tcW w:w="3874" w:type="dxa"/>
            <w:vAlign w:val="center"/>
          </w:tcPr>
          <w:p w14:paraId="7C2633EA" w14:textId="77777777" w:rsidR="00DD583B"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Mode de calcul :</w:t>
            </w:r>
            <w:r>
              <w:rPr>
                <w:rFonts w:ascii="Times New Roman" w:hAnsi="Times New Roman" w:cs="Times New Roman"/>
              </w:rPr>
              <w:t xml:space="preserve"> Somme totale des structures de santé qui fournissent des ARV pédiatriques.</w:t>
            </w:r>
          </w:p>
          <w:p w14:paraId="60A29A75" w14:textId="77777777" w:rsidR="00DD583B" w:rsidRDefault="00DD583B" w:rsidP="005D2A90">
            <w:pPr>
              <w:numPr>
                <w:ilvl w:val="0"/>
                <w:numId w:val="35"/>
              </w:numPr>
              <w:suppressAutoHyphens/>
              <w:rPr>
                <w:rFonts w:ascii="Times New Roman" w:hAnsi="Times New Roman" w:cs="Times New Roman"/>
              </w:rPr>
            </w:pPr>
            <w:r>
              <w:rPr>
                <w:rFonts w:ascii="Times New Roman" w:hAnsi="Times New Roman" w:cs="Times New Roman"/>
              </w:rPr>
              <w:t>Sources de données/Moyens de vérification : Données et enquêtes nationales.</w:t>
            </w:r>
          </w:p>
          <w:p w14:paraId="590C5D7C" w14:textId="77777777" w:rsidR="00DD583B" w:rsidRDefault="00DD583B" w:rsidP="005D2A90">
            <w:pPr>
              <w:numPr>
                <w:ilvl w:val="0"/>
                <w:numId w:val="35"/>
              </w:numPr>
              <w:suppressAutoHyphens/>
              <w:rPr>
                <w:rFonts w:ascii="Times New Roman" w:hAnsi="Times New Roman" w:cs="Times New Roman"/>
              </w:rPr>
            </w:pPr>
            <w:r>
              <w:rPr>
                <w:rFonts w:ascii="Times New Roman" w:hAnsi="Times New Roman" w:cs="Times New Roman"/>
              </w:rPr>
              <w:t>Périodicité : Annuelle</w:t>
            </w:r>
          </w:p>
          <w:p w14:paraId="4A6B35DD" w14:textId="77777777" w:rsidR="00DD583B" w:rsidRPr="008B71B5" w:rsidRDefault="00DD583B" w:rsidP="005D2A90">
            <w:pPr>
              <w:numPr>
                <w:ilvl w:val="0"/>
                <w:numId w:val="35"/>
              </w:numPr>
              <w:suppressAutoHyphens/>
              <w:rPr>
                <w:rFonts w:ascii="Times New Roman" w:hAnsi="Times New Roman" w:cs="Times New Roman"/>
              </w:rPr>
            </w:pPr>
            <w:r>
              <w:rPr>
                <w:rFonts w:ascii="Times New Roman" w:hAnsi="Times New Roman" w:cs="Times New Roman"/>
              </w:rPr>
              <w:lastRenderedPageBreak/>
              <w:t>Maître d’oeuvre : Groupe de Résultat, en rapport avec l’appareil statistique national.</w:t>
            </w:r>
          </w:p>
        </w:tc>
        <w:tc>
          <w:tcPr>
            <w:tcW w:w="2648" w:type="dxa"/>
          </w:tcPr>
          <w:p w14:paraId="0DFE34A2" w14:textId="77777777" w:rsidR="00DD583B" w:rsidRPr="002E5C18" w:rsidRDefault="00DD583B" w:rsidP="005D2A90"/>
        </w:tc>
        <w:tc>
          <w:tcPr>
            <w:tcW w:w="1974" w:type="dxa"/>
          </w:tcPr>
          <w:p w14:paraId="6C35DA0E" w14:textId="77777777" w:rsidR="00DD583B" w:rsidRPr="002E5C18" w:rsidRDefault="00DD583B" w:rsidP="005D2A90"/>
        </w:tc>
        <w:tc>
          <w:tcPr>
            <w:tcW w:w="1250" w:type="dxa"/>
          </w:tcPr>
          <w:p w14:paraId="68FB358F" w14:textId="77777777" w:rsidR="00DD583B" w:rsidRPr="002E5C18" w:rsidRDefault="00DD583B" w:rsidP="005D2A90"/>
        </w:tc>
      </w:tr>
      <w:tr w:rsidR="00DD583B" w:rsidRPr="002E5C18" w14:paraId="2F94D4BD" w14:textId="77777777" w:rsidTr="005D2A90">
        <w:tc>
          <w:tcPr>
            <w:tcW w:w="2590" w:type="dxa"/>
            <w:shd w:val="clear" w:color="auto" w:fill="DBE5F1" w:themeFill="accent1" w:themeFillTint="33"/>
            <w:vAlign w:val="center"/>
          </w:tcPr>
          <w:p w14:paraId="7C2D378D" w14:textId="77777777" w:rsidR="00DD583B" w:rsidRPr="002E5C18" w:rsidRDefault="00DD583B" w:rsidP="005D2A90"/>
        </w:tc>
        <w:tc>
          <w:tcPr>
            <w:tcW w:w="2832" w:type="dxa"/>
            <w:vAlign w:val="center"/>
          </w:tcPr>
          <w:p w14:paraId="6DB91322" w14:textId="77777777" w:rsidR="00DD583B" w:rsidRDefault="00DD583B" w:rsidP="005D2A90">
            <w:pPr>
              <w:rPr>
                <w:rFonts w:ascii="Times New Roman" w:hAnsi="Times New Roman" w:cs="Times New Roman"/>
                <w:bCs/>
              </w:rPr>
            </w:pPr>
            <w:r w:rsidRPr="008B71B5">
              <w:rPr>
                <w:rFonts w:ascii="Times New Roman" w:hAnsi="Times New Roman" w:cs="Times New Roman"/>
                <w:bCs/>
              </w:rPr>
              <w:t>Indicateur 4.2.</w:t>
            </w:r>
            <w:r>
              <w:rPr>
                <w:rFonts w:ascii="Times New Roman" w:hAnsi="Times New Roman" w:cs="Times New Roman"/>
                <w:bCs/>
              </w:rPr>
              <w:t>4</w:t>
            </w:r>
            <w:r w:rsidRPr="008B71B5">
              <w:rPr>
                <w:rFonts w:ascii="Times New Roman" w:hAnsi="Times New Roman" w:cs="Times New Roman"/>
                <w:bCs/>
              </w:rPr>
              <w:t xml:space="preserve"> </w:t>
            </w:r>
            <w:r>
              <w:rPr>
                <w:rFonts w:ascii="Times New Roman" w:hAnsi="Times New Roman" w:cs="Times New Roman"/>
                <w:bCs/>
              </w:rPr>
              <w:t xml:space="preserve">Pourcentage de femmes enceintes seropositives </w:t>
            </w:r>
            <w:r w:rsidRPr="00AB50E8">
              <w:rPr>
                <w:rFonts w:ascii="Times New Roman" w:hAnsi="Times New Roman" w:cs="Times New Roman"/>
                <w:bCs/>
              </w:rPr>
              <w:t xml:space="preserve">sous ARV </w:t>
            </w:r>
          </w:p>
          <w:p w14:paraId="701FE361" w14:textId="77777777" w:rsidR="00DD583B" w:rsidRDefault="00DD583B" w:rsidP="005D2A90">
            <w:pPr>
              <w:rPr>
                <w:rFonts w:ascii="Times New Roman" w:hAnsi="Times New Roman" w:cs="Times New Roman"/>
                <w:bCs/>
              </w:rPr>
            </w:pPr>
          </w:p>
          <w:p w14:paraId="1262ECF6" w14:textId="77777777" w:rsidR="00DD583B" w:rsidRDefault="00DD583B" w:rsidP="005D2A90">
            <w:pPr>
              <w:rPr>
                <w:rFonts w:ascii="Times New Roman" w:hAnsi="Times New Roman" w:cs="Times New Roman"/>
                <w:bCs/>
              </w:rPr>
            </w:pPr>
            <w:r>
              <w:rPr>
                <w:rFonts w:ascii="Times New Roman" w:hAnsi="Times New Roman" w:cs="Times New Roman"/>
                <w:bCs/>
              </w:rPr>
              <w:t xml:space="preserve">Base : 28,9% (2014, </w:t>
            </w:r>
            <w:r w:rsidRPr="00D44350">
              <w:rPr>
                <w:rFonts w:ascii="Calibri" w:eastAsia="Times New Roman" w:hAnsi="Calibri" w:cs="Calibri"/>
                <w:color w:val="000000"/>
                <w:lang w:eastAsia="fr-FR"/>
              </w:rPr>
              <w:t>Rapport annuel HCNLS</w:t>
            </w:r>
            <w:r>
              <w:rPr>
                <w:rFonts w:ascii="Times New Roman" w:hAnsi="Times New Roman" w:cs="Times New Roman"/>
                <w:bCs/>
              </w:rPr>
              <w:t>)</w:t>
            </w:r>
          </w:p>
          <w:p w14:paraId="7829626B"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 xml:space="preserve">48% </w:t>
            </w:r>
          </w:p>
          <w:p w14:paraId="66B1A6E5" w14:textId="77777777" w:rsidR="00DD583B" w:rsidRDefault="00DD583B" w:rsidP="005D2A90">
            <w:pPr>
              <w:rPr>
                <w:rFonts w:ascii="Times New Roman" w:hAnsi="Times New Roman" w:cs="Times New Roman"/>
                <w:bCs/>
              </w:rPr>
            </w:pPr>
          </w:p>
          <w:p w14:paraId="485C7B21" w14:textId="77777777" w:rsidR="00DD583B" w:rsidRDefault="00DD583B" w:rsidP="005D2A90">
            <w:pPr>
              <w:rPr>
                <w:rFonts w:ascii="Times New Roman" w:hAnsi="Times New Roman" w:cs="Times New Roman"/>
                <w:bCs/>
              </w:rPr>
            </w:pPr>
            <w:r>
              <w:rPr>
                <w:rFonts w:ascii="Times New Roman" w:hAnsi="Times New Roman" w:cs="Times New Roman"/>
                <w:bCs/>
              </w:rPr>
              <w:t>Cible : 90%</w:t>
            </w:r>
          </w:p>
        </w:tc>
        <w:tc>
          <w:tcPr>
            <w:tcW w:w="3874" w:type="dxa"/>
            <w:vAlign w:val="center"/>
          </w:tcPr>
          <w:p w14:paraId="1EEC75F6" w14:textId="77777777" w:rsidR="00DD583B"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Mode de calcul :</w:t>
            </w:r>
            <w:r>
              <w:rPr>
                <w:rFonts w:ascii="Times New Roman" w:hAnsi="Times New Roman" w:cs="Times New Roman"/>
              </w:rPr>
              <w:t xml:space="preserve"> </w:t>
            </w:r>
            <w:r w:rsidRPr="00AB50E8">
              <w:rPr>
                <w:rFonts w:ascii="Times New Roman" w:hAnsi="Times New Roman" w:cs="Times New Roman"/>
              </w:rPr>
              <w:t>Rapport Nb d</w:t>
            </w:r>
            <w:r>
              <w:rPr>
                <w:rFonts w:ascii="Times New Roman" w:hAnsi="Times New Roman" w:cs="Times New Roman"/>
              </w:rPr>
              <w:t>e femmes enceintes seropositives beneficiants d</w:t>
            </w:r>
            <w:r w:rsidRPr="00AB50E8">
              <w:rPr>
                <w:rFonts w:ascii="Times New Roman" w:hAnsi="Times New Roman" w:cs="Times New Roman"/>
              </w:rPr>
              <w:t>’</w:t>
            </w:r>
            <w:r>
              <w:rPr>
                <w:rFonts w:ascii="Times New Roman" w:hAnsi="Times New Roman" w:cs="Times New Roman"/>
              </w:rPr>
              <w:t>ARV</w:t>
            </w:r>
            <w:r w:rsidRPr="00AB50E8">
              <w:rPr>
                <w:rFonts w:ascii="Times New Roman" w:hAnsi="Times New Roman" w:cs="Times New Roman"/>
              </w:rPr>
              <w:t>, sur Nb total d</w:t>
            </w:r>
            <w:r>
              <w:rPr>
                <w:rFonts w:ascii="Times New Roman" w:hAnsi="Times New Roman" w:cs="Times New Roman"/>
              </w:rPr>
              <w:t>e femmes enceintes seropositives attendues.</w:t>
            </w:r>
          </w:p>
          <w:p w14:paraId="70761117" w14:textId="77777777" w:rsidR="00DD583B" w:rsidRDefault="00DD583B" w:rsidP="005D2A90">
            <w:pPr>
              <w:numPr>
                <w:ilvl w:val="0"/>
                <w:numId w:val="35"/>
              </w:numPr>
              <w:suppressAutoHyphens/>
              <w:rPr>
                <w:rFonts w:ascii="Times New Roman" w:hAnsi="Times New Roman" w:cs="Times New Roman"/>
              </w:rPr>
            </w:pPr>
            <w:r>
              <w:rPr>
                <w:rFonts w:ascii="Times New Roman" w:hAnsi="Times New Roman" w:cs="Times New Roman"/>
              </w:rPr>
              <w:t>Sources de données/Moyens de vérification : Données et enquêtes nationales.</w:t>
            </w:r>
          </w:p>
          <w:p w14:paraId="7C7A9E6E" w14:textId="77777777" w:rsidR="00DD583B" w:rsidRDefault="00DD583B" w:rsidP="005D2A90">
            <w:pPr>
              <w:numPr>
                <w:ilvl w:val="0"/>
                <w:numId w:val="35"/>
              </w:numPr>
              <w:suppressAutoHyphens/>
              <w:rPr>
                <w:rFonts w:ascii="Times New Roman" w:hAnsi="Times New Roman" w:cs="Times New Roman"/>
              </w:rPr>
            </w:pPr>
            <w:r>
              <w:rPr>
                <w:rFonts w:ascii="Times New Roman" w:hAnsi="Times New Roman" w:cs="Times New Roman"/>
              </w:rPr>
              <w:t>Périodicité : Annuelle</w:t>
            </w:r>
          </w:p>
          <w:p w14:paraId="071CE491" w14:textId="77777777" w:rsidR="00DD583B" w:rsidRPr="008B71B5" w:rsidRDefault="00DD583B" w:rsidP="005D2A90">
            <w:pPr>
              <w:numPr>
                <w:ilvl w:val="0"/>
                <w:numId w:val="35"/>
              </w:numPr>
              <w:suppressAutoHyphens/>
              <w:rPr>
                <w:rFonts w:ascii="Times New Roman" w:hAnsi="Times New Roman" w:cs="Times New Roman"/>
              </w:rPr>
            </w:pPr>
            <w:r>
              <w:rPr>
                <w:rFonts w:ascii="Times New Roman" w:hAnsi="Times New Roman" w:cs="Times New Roman"/>
              </w:rPr>
              <w:t>Maître d’oeuvre : Groupe de Résultat, en rapport avec l’appareil statistique national.</w:t>
            </w:r>
          </w:p>
        </w:tc>
        <w:tc>
          <w:tcPr>
            <w:tcW w:w="2648" w:type="dxa"/>
          </w:tcPr>
          <w:p w14:paraId="7A7932DD" w14:textId="77777777" w:rsidR="00DD583B" w:rsidRPr="002E5C18" w:rsidRDefault="00DD583B" w:rsidP="005D2A90"/>
        </w:tc>
        <w:tc>
          <w:tcPr>
            <w:tcW w:w="1974" w:type="dxa"/>
          </w:tcPr>
          <w:p w14:paraId="16A13E3A" w14:textId="77777777" w:rsidR="00DD583B" w:rsidRPr="002E5C18" w:rsidRDefault="00DD583B" w:rsidP="005D2A90"/>
        </w:tc>
        <w:tc>
          <w:tcPr>
            <w:tcW w:w="1250" w:type="dxa"/>
          </w:tcPr>
          <w:p w14:paraId="42DCE6F3" w14:textId="77777777" w:rsidR="00DD583B" w:rsidRPr="002E5C18" w:rsidRDefault="00DD583B" w:rsidP="005D2A90"/>
        </w:tc>
      </w:tr>
      <w:tr w:rsidR="00DD583B" w:rsidRPr="002E5C18" w14:paraId="6C3F9FEC" w14:textId="77777777" w:rsidTr="005D2A90">
        <w:tc>
          <w:tcPr>
            <w:tcW w:w="2590" w:type="dxa"/>
            <w:vMerge w:val="restart"/>
            <w:shd w:val="clear" w:color="auto" w:fill="DBE5F1" w:themeFill="accent1" w:themeFillTint="33"/>
            <w:vAlign w:val="center"/>
          </w:tcPr>
          <w:p w14:paraId="7BB2360A" w14:textId="77777777" w:rsidR="00DD583B" w:rsidRPr="002E5C18" w:rsidRDefault="00DD583B" w:rsidP="005D2A90">
            <w:pPr>
              <w:rPr>
                <w:lang w:val="fr-FR"/>
              </w:rPr>
            </w:pPr>
            <w:r w:rsidRPr="008B71B5">
              <w:rPr>
                <w:rFonts w:ascii="Times New Roman" w:hAnsi="Times New Roman" w:cs="Times New Roman"/>
                <w:bCs/>
              </w:rPr>
              <w:t>Produit 4.3 Les mères et les enfants, particulièrement les plus vulnérables ou affectées par les crises alimentaire et nutritionnelle, bénéficient d’un paquet complet d’interventions nutritionnelles au niveau des communautés et des services</w:t>
            </w:r>
          </w:p>
        </w:tc>
        <w:tc>
          <w:tcPr>
            <w:tcW w:w="2832" w:type="dxa"/>
            <w:vAlign w:val="center"/>
          </w:tcPr>
          <w:p w14:paraId="7ED02699" w14:textId="77777777" w:rsidR="00DD583B" w:rsidRDefault="00DD583B" w:rsidP="005D2A90">
            <w:pPr>
              <w:rPr>
                <w:rFonts w:ascii="Times New Roman" w:hAnsi="Times New Roman" w:cs="Times New Roman"/>
                <w:bCs/>
              </w:rPr>
            </w:pPr>
            <w:r w:rsidRPr="008B71B5">
              <w:rPr>
                <w:rFonts w:ascii="Times New Roman" w:hAnsi="Times New Roman" w:cs="Times New Roman"/>
                <w:bCs/>
              </w:rPr>
              <w:t xml:space="preserve">Indicateur 4.3.1 % d’enfants souffrant de la malnutrition </w:t>
            </w:r>
            <w:r>
              <w:rPr>
                <w:rFonts w:ascii="Times New Roman" w:hAnsi="Times New Roman" w:cs="Times New Roman"/>
                <w:bCs/>
              </w:rPr>
              <w:t xml:space="preserve">aigüe </w:t>
            </w:r>
            <w:r w:rsidRPr="008B71B5">
              <w:rPr>
                <w:rFonts w:ascii="Times New Roman" w:hAnsi="Times New Roman" w:cs="Times New Roman"/>
                <w:bCs/>
              </w:rPr>
              <w:t>pris en charge dans les centres nutritionnels</w:t>
            </w:r>
            <w:r>
              <w:rPr>
                <w:rFonts w:ascii="Times New Roman" w:hAnsi="Times New Roman" w:cs="Times New Roman"/>
                <w:bCs/>
              </w:rPr>
              <w:t xml:space="preserve"> </w:t>
            </w:r>
            <w:r w:rsidRPr="008B71B5">
              <w:rPr>
                <w:rFonts w:ascii="Times New Roman" w:hAnsi="Times New Roman" w:cs="Times New Roman"/>
                <w:bCs/>
              </w:rPr>
              <w:t>(désagrégation F/G)</w:t>
            </w:r>
          </w:p>
          <w:p w14:paraId="1265BD49" w14:textId="77777777" w:rsidR="00DD583B" w:rsidRDefault="00DD583B" w:rsidP="005D2A90">
            <w:pPr>
              <w:rPr>
                <w:rFonts w:ascii="Times New Roman" w:hAnsi="Times New Roman" w:cs="Times New Roman"/>
                <w:bCs/>
              </w:rPr>
            </w:pPr>
          </w:p>
          <w:p w14:paraId="641B5D2E" w14:textId="77777777" w:rsidR="00DD583B" w:rsidRDefault="00DD583B" w:rsidP="005D2A90">
            <w:pPr>
              <w:rPr>
                <w:rFonts w:ascii="Times New Roman" w:hAnsi="Times New Roman" w:cs="Times New Roman"/>
                <w:bCs/>
              </w:rPr>
            </w:pPr>
            <w:r>
              <w:rPr>
                <w:rFonts w:ascii="Times New Roman" w:hAnsi="Times New Roman" w:cs="Times New Roman"/>
                <w:bCs/>
              </w:rPr>
              <w:t xml:space="preserve">Base : </w:t>
            </w:r>
            <w:r w:rsidRPr="008B71B5">
              <w:rPr>
                <w:rFonts w:ascii="Times New Roman" w:hAnsi="Times New Roman" w:cs="Times New Roman"/>
                <w:bCs/>
              </w:rPr>
              <w:t xml:space="preserve">57% </w:t>
            </w:r>
            <w:r>
              <w:rPr>
                <w:rFonts w:ascii="Times New Roman" w:hAnsi="Times New Roman" w:cs="Times New Roman"/>
                <w:bCs/>
              </w:rPr>
              <w:t xml:space="preserve"> (</w:t>
            </w:r>
            <w:r w:rsidRPr="008B71B5">
              <w:rPr>
                <w:rFonts w:ascii="Times New Roman" w:hAnsi="Times New Roman" w:cs="Times New Roman"/>
                <w:bCs/>
              </w:rPr>
              <w:t>2013</w:t>
            </w:r>
            <w:r>
              <w:rPr>
                <w:rFonts w:ascii="Times New Roman" w:hAnsi="Times New Roman" w:cs="Times New Roman"/>
                <w:bCs/>
              </w:rPr>
              <w:t>, SNIS)</w:t>
            </w:r>
          </w:p>
          <w:p w14:paraId="08D28861" w14:textId="77777777" w:rsidR="00DD583B" w:rsidRDefault="00DD583B" w:rsidP="005D2A90">
            <w:pPr>
              <w:rPr>
                <w:rFonts w:ascii="Times New Roman" w:hAnsi="Times New Roman" w:cs="Times New Roman"/>
                <w:bCs/>
              </w:rPr>
            </w:pPr>
          </w:p>
          <w:p w14:paraId="0FC69C7A" w14:textId="77777777" w:rsidR="00DD583B" w:rsidRPr="004C432E" w:rsidRDefault="00DD583B" w:rsidP="005D2A90">
            <w:pPr>
              <w:snapToGrid w:val="0"/>
              <w:rPr>
                <w:rFonts w:ascii="Calibri" w:hAnsi="Calibri"/>
                <w:b/>
                <w:color w:val="FF0000"/>
                <w:sz w:val="18"/>
                <w:szCs w:val="18"/>
              </w:rPr>
            </w:pPr>
            <w:r w:rsidRPr="004C432E">
              <w:rPr>
                <w:rFonts w:ascii="Calibri" w:hAnsi="Calibri"/>
                <w:b/>
                <w:color w:val="FF0000"/>
                <w:sz w:val="18"/>
                <w:szCs w:val="18"/>
              </w:rPr>
              <w:t xml:space="preserve">Situation en fin 2017: </w:t>
            </w:r>
          </w:p>
          <w:p w14:paraId="516DA061" w14:textId="77777777" w:rsidR="00DD583B" w:rsidRDefault="00DD583B" w:rsidP="005D2A90">
            <w:pPr>
              <w:snapToGrid w:val="0"/>
              <w:rPr>
                <w:rFonts w:ascii="Calibri" w:hAnsi="Calibri"/>
                <w:color w:val="FF0000"/>
                <w:sz w:val="18"/>
                <w:szCs w:val="18"/>
              </w:rPr>
            </w:pPr>
          </w:p>
          <w:p w14:paraId="75AE7B95" w14:textId="77777777" w:rsidR="00DD583B" w:rsidRPr="004C432E" w:rsidRDefault="00DD583B" w:rsidP="005D2A90">
            <w:pPr>
              <w:snapToGrid w:val="0"/>
              <w:rPr>
                <w:rFonts w:ascii="Calibri" w:hAnsi="Calibri"/>
                <w:color w:val="FF0000"/>
                <w:sz w:val="18"/>
                <w:szCs w:val="18"/>
                <w:lang w:val="fr-FR"/>
              </w:rPr>
            </w:pPr>
            <w:r w:rsidRPr="004C432E">
              <w:rPr>
                <w:rFonts w:ascii="Calibri" w:hAnsi="Calibri"/>
                <w:b/>
                <w:bCs/>
                <w:color w:val="FF0000"/>
                <w:sz w:val="18"/>
                <w:szCs w:val="18"/>
                <w:lang w:val="fr-FR"/>
              </w:rPr>
              <w:t>MAS : 85%</w:t>
            </w:r>
          </w:p>
          <w:p w14:paraId="41C7F4DF" w14:textId="77777777" w:rsidR="00DD583B" w:rsidRDefault="00DD583B" w:rsidP="005D2A90">
            <w:pPr>
              <w:snapToGrid w:val="0"/>
              <w:rPr>
                <w:rFonts w:ascii="Calibri" w:hAnsi="Calibri"/>
                <w:b/>
                <w:bCs/>
                <w:color w:val="FF0000"/>
                <w:sz w:val="18"/>
                <w:szCs w:val="18"/>
                <w:lang w:val="fr-FR"/>
              </w:rPr>
            </w:pPr>
            <w:r w:rsidRPr="004C432E">
              <w:rPr>
                <w:rFonts w:ascii="Calibri" w:hAnsi="Calibri"/>
                <w:b/>
                <w:bCs/>
                <w:color w:val="FF0000"/>
                <w:sz w:val="18"/>
                <w:szCs w:val="18"/>
                <w:lang w:val="fr-FR"/>
              </w:rPr>
              <w:t>120510/142398</w:t>
            </w:r>
            <w:r>
              <w:rPr>
                <w:rFonts w:ascii="Calibri" w:hAnsi="Calibri"/>
                <w:b/>
                <w:bCs/>
                <w:color w:val="FF0000"/>
                <w:sz w:val="18"/>
                <w:szCs w:val="18"/>
                <w:lang w:val="fr-FR"/>
              </w:rPr>
              <w:t xml:space="preserve"> </w:t>
            </w:r>
          </w:p>
          <w:p w14:paraId="2F09DEA9" w14:textId="77777777" w:rsidR="00DD583B" w:rsidRDefault="00DD583B" w:rsidP="005D2A90">
            <w:pPr>
              <w:snapToGrid w:val="0"/>
              <w:rPr>
                <w:rFonts w:ascii="Calibri" w:hAnsi="Calibri"/>
                <w:b/>
                <w:bCs/>
                <w:color w:val="FF0000"/>
                <w:sz w:val="18"/>
                <w:szCs w:val="18"/>
                <w:lang w:val="fr-FR"/>
              </w:rPr>
            </w:pPr>
            <w:r>
              <w:rPr>
                <w:rFonts w:ascii="Calibri" w:hAnsi="Calibri"/>
                <w:b/>
                <w:bCs/>
                <w:color w:val="FF0000"/>
                <w:sz w:val="18"/>
                <w:szCs w:val="18"/>
                <w:lang w:val="fr-FR"/>
              </w:rPr>
              <w:t>(Rapport Cluster)</w:t>
            </w:r>
          </w:p>
          <w:p w14:paraId="28AFD675" w14:textId="77777777" w:rsidR="00DD583B" w:rsidRDefault="00DD583B" w:rsidP="005D2A90">
            <w:pPr>
              <w:snapToGrid w:val="0"/>
              <w:rPr>
                <w:rFonts w:ascii="Calibri" w:hAnsi="Calibri"/>
                <w:b/>
                <w:bCs/>
                <w:color w:val="FF0000"/>
                <w:sz w:val="18"/>
                <w:szCs w:val="18"/>
                <w:lang w:val="fr-FR"/>
              </w:rPr>
            </w:pPr>
          </w:p>
          <w:p w14:paraId="7CC310E8" w14:textId="77777777" w:rsidR="00DD583B" w:rsidRDefault="00DD583B" w:rsidP="005D2A90">
            <w:pPr>
              <w:snapToGrid w:val="0"/>
              <w:rPr>
                <w:rFonts w:ascii="Times New Roman" w:hAnsi="Times New Roman" w:cs="Times New Roman"/>
                <w:bCs/>
              </w:rPr>
            </w:pPr>
          </w:p>
          <w:p w14:paraId="626C7C48" w14:textId="77777777" w:rsidR="00DD583B" w:rsidRPr="002E5C18" w:rsidRDefault="00DD583B" w:rsidP="005D2A90">
            <w:pPr>
              <w:rPr>
                <w:lang w:val="fr-FR"/>
              </w:rPr>
            </w:pPr>
            <w:r>
              <w:rPr>
                <w:rFonts w:ascii="Times New Roman" w:hAnsi="Times New Roman" w:cs="Times New Roman"/>
                <w:bCs/>
              </w:rPr>
              <w:t xml:space="preserve">Cible : </w:t>
            </w:r>
            <w:r w:rsidRPr="008B71B5">
              <w:rPr>
                <w:rFonts w:ascii="Times New Roman" w:hAnsi="Times New Roman" w:cs="Times New Roman"/>
                <w:bCs/>
              </w:rPr>
              <w:t>80%</w:t>
            </w:r>
          </w:p>
        </w:tc>
        <w:tc>
          <w:tcPr>
            <w:tcW w:w="3874" w:type="dxa"/>
            <w:vAlign w:val="center"/>
          </w:tcPr>
          <w:p w14:paraId="76E8B47D"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Mode de calcul : Rapport Nb d’enfants malnutris pris en charge dans les centres nutritionnels, sur Nb total d’enfants malnutris</w:t>
            </w:r>
          </w:p>
          <w:p w14:paraId="5861138C" w14:textId="77777777" w:rsidR="00DD583B" w:rsidRPr="008B71B5" w:rsidRDefault="00DD583B" w:rsidP="005D2A90">
            <w:pPr>
              <w:numPr>
                <w:ilvl w:val="0"/>
                <w:numId w:val="35"/>
              </w:numPr>
              <w:suppressAutoHyphens/>
              <w:rPr>
                <w:rFonts w:ascii="Times New Roman" w:hAnsi="Times New Roman" w:cs="Times New Roman"/>
              </w:rPr>
            </w:pPr>
            <w:r w:rsidRPr="00CB0E70">
              <w:rPr>
                <w:rFonts w:ascii="Times New Roman" w:hAnsi="Times New Roman" w:cs="Times New Roman"/>
              </w:rPr>
              <w:t>Sources de données</w:t>
            </w:r>
            <w:r>
              <w:rPr>
                <w:rFonts w:ascii="Times New Roman" w:hAnsi="Times New Roman" w:cs="Times New Roman"/>
              </w:rPr>
              <w:t>/Moyens de vérification</w:t>
            </w:r>
            <w:r w:rsidRPr="00CB0E70">
              <w:rPr>
                <w:rFonts w:ascii="Times New Roman" w:hAnsi="Times New Roman" w:cs="Times New Roman"/>
              </w:rPr>
              <w:t> </w:t>
            </w:r>
            <w:r w:rsidRPr="008B71B5">
              <w:rPr>
                <w:rFonts w:ascii="Times New Roman" w:hAnsi="Times New Roman" w:cs="Times New Roman"/>
              </w:rPr>
              <w:t xml:space="preserve">: </w:t>
            </w:r>
            <w:r>
              <w:rPr>
                <w:rFonts w:ascii="Times New Roman" w:hAnsi="Times New Roman" w:cs="Times New Roman"/>
              </w:rPr>
              <w:t>Système d’Information Sanitaire National</w:t>
            </w:r>
          </w:p>
          <w:p w14:paraId="1F37D0AE"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w:t>
            </w:r>
          </w:p>
          <w:p w14:paraId="3B4D6F7D" w14:textId="77777777" w:rsidR="00DD583B" w:rsidRPr="00655783" w:rsidRDefault="00DD583B" w:rsidP="005D2A90">
            <w:pPr>
              <w:pStyle w:val="Paragraphedeliste"/>
              <w:numPr>
                <w:ilvl w:val="0"/>
                <w:numId w:val="13"/>
              </w:numPr>
              <w:rPr>
                <w:lang w:val="fr-FR"/>
              </w:rPr>
            </w:pPr>
            <w:r w:rsidRPr="008B71B5">
              <w:rPr>
                <w:rFonts w:ascii="Times New Roman" w:hAnsi="Times New Roman" w:cs="Times New Roman"/>
              </w:rPr>
              <w:t>Maître d’œuvre : Groupe de Résultat, en rapport avec l’Appareil statistique national</w:t>
            </w:r>
          </w:p>
          <w:p w14:paraId="24BAE4CE" w14:textId="77777777" w:rsidR="00DD583B" w:rsidRDefault="00DD583B" w:rsidP="005D2A90">
            <w:pPr>
              <w:rPr>
                <w:lang w:val="fr-FR"/>
              </w:rPr>
            </w:pPr>
          </w:p>
          <w:p w14:paraId="30E876DF" w14:textId="77777777" w:rsidR="00DD583B" w:rsidRDefault="00DD583B" w:rsidP="005D2A90">
            <w:pPr>
              <w:rPr>
                <w:lang w:val="fr-FR"/>
              </w:rPr>
            </w:pPr>
          </w:p>
          <w:p w14:paraId="61252027" w14:textId="77777777" w:rsidR="00DD583B" w:rsidRDefault="00DD583B" w:rsidP="005D2A90">
            <w:pPr>
              <w:rPr>
                <w:lang w:val="fr-FR"/>
              </w:rPr>
            </w:pPr>
          </w:p>
          <w:p w14:paraId="684F5B85" w14:textId="77777777" w:rsidR="00DD583B" w:rsidRDefault="00DD583B" w:rsidP="005D2A90">
            <w:pPr>
              <w:rPr>
                <w:lang w:val="fr-FR"/>
              </w:rPr>
            </w:pPr>
          </w:p>
          <w:p w14:paraId="4776F7F9" w14:textId="77777777" w:rsidR="00DD583B" w:rsidRDefault="00DD583B" w:rsidP="005D2A90">
            <w:pPr>
              <w:rPr>
                <w:lang w:val="fr-FR"/>
              </w:rPr>
            </w:pPr>
          </w:p>
          <w:p w14:paraId="3A13F28F" w14:textId="77777777" w:rsidR="00DD583B" w:rsidRPr="00655783" w:rsidRDefault="00DD583B" w:rsidP="005D2A90">
            <w:pPr>
              <w:rPr>
                <w:lang w:val="fr-FR"/>
              </w:rPr>
            </w:pPr>
          </w:p>
        </w:tc>
        <w:tc>
          <w:tcPr>
            <w:tcW w:w="2648" w:type="dxa"/>
            <w:vMerge w:val="restart"/>
          </w:tcPr>
          <w:p w14:paraId="2A4D2F64" w14:textId="77777777" w:rsidR="00DD583B" w:rsidRPr="002E5C18" w:rsidRDefault="00DD583B" w:rsidP="005D2A90">
            <w:pPr>
              <w:keepNext/>
              <w:contextualSpacing/>
              <w:rPr>
                <w:rFonts w:cs="Times New Roman"/>
                <w:sz w:val="18"/>
                <w:szCs w:val="18"/>
                <w:lang w:val="fr-FR"/>
              </w:rPr>
            </w:pPr>
            <w:r w:rsidRPr="002E5C18">
              <w:rPr>
                <w:rFonts w:cs="Times New Roman"/>
                <w:sz w:val="18"/>
                <w:szCs w:val="18"/>
                <w:lang w:val="fr-FR"/>
              </w:rPr>
              <w:t>Insécurité dans les zones d’intervention</w:t>
            </w:r>
          </w:p>
          <w:p w14:paraId="6E1FE831" w14:textId="77777777" w:rsidR="00DD583B" w:rsidRPr="002E5C18" w:rsidRDefault="00DD583B" w:rsidP="005D2A90">
            <w:pPr>
              <w:keepNext/>
              <w:contextualSpacing/>
              <w:rPr>
                <w:rFonts w:cs="Times New Roman"/>
                <w:sz w:val="18"/>
                <w:szCs w:val="18"/>
                <w:lang w:val="fr-FR"/>
              </w:rPr>
            </w:pPr>
          </w:p>
          <w:p w14:paraId="591B89F9" w14:textId="77777777" w:rsidR="00DD583B" w:rsidRPr="002E5C18" w:rsidRDefault="00DD583B" w:rsidP="005D2A90">
            <w:pPr>
              <w:keepNext/>
              <w:contextualSpacing/>
              <w:rPr>
                <w:rFonts w:cs="Times New Roman"/>
                <w:sz w:val="18"/>
                <w:szCs w:val="18"/>
                <w:lang w:val="fr-FR"/>
              </w:rPr>
            </w:pPr>
          </w:p>
          <w:p w14:paraId="1088FE23" w14:textId="77777777" w:rsidR="00DD583B" w:rsidRPr="002E5C18" w:rsidRDefault="00DD583B" w:rsidP="005D2A90">
            <w:pPr>
              <w:widowControl w:val="0"/>
              <w:snapToGrid w:val="0"/>
              <w:rPr>
                <w:rFonts w:cstheme="minorHAnsi"/>
                <w:sz w:val="18"/>
                <w:szCs w:val="18"/>
                <w:lang w:val="fr-FR"/>
              </w:rPr>
            </w:pPr>
            <w:r w:rsidRPr="002E5C18">
              <w:rPr>
                <w:rFonts w:cs="Times New Roman"/>
                <w:sz w:val="18"/>
                <w:szCs w:val="18"/>
                <w:lang w:val="fr-FR"/>
              </w:rPr>
              <w:t>Diminution des  ressources financières</w:t>
            </w:r>
          </w:p>
          <w:p w14:paraId="728A2EAC" w14:textId="77777777" w:rsidR="00DD583B" w:rsidRPr="002E5C18" w:rsidRDefault="00DD583B" w:rsidP="005D2A90">
            <w:pPr>
              <w:keepNext/>
              <w:contextualSpacing/>
              <w:rPr>
                <w:rFonts w:cs="Times New Roman"/>
                <w:sz w:val="18"/>
                <w:szCs w:val="18"/>
                <w:lang w:val="fr-FR"/>
              </w:rPr>
            </w:pPr>
          </w:p>
          <w:p w14:paraId="3A2D71E6" w14:textId="77777777" w:rsidR="00DD583B" w:rsidRPr="002E5C18" w:rsidRDefault="00DD583B" w:rsidP="005D2A90">
            <w:pPr>
              <w:keepNext/>
              <w:contextualSpacing/>
              <w:rPr>
                <w:rFonts w:cs="Times New Roman"/>
                <w:sz w:val="18"/>
                <w:szCs w:val="18"/>
                <w:lang w:val="fr-FR"/>
              </w:rPr>
            </w:pPr>
          </w:p>
          <w:p w14:paraId="7C77504E" w14:textId="77777777" w:rsidR="00DD583B" w:rsidRPr="002E5C18" w:rsidRDefault="00DD583B" w:rsidP="005D2A90">
            <w:pPr>
              <w:keepNext/>
              <w:contextualSpacing/>
              <w:rPr>
                <w:rFonts w:cs="Times New Roman"/>
                <w:sz w:val="18"/>
                <w:szCs w:val="18"/>
                <w:lang w:val="fr-FR"/>
              </w:rPr>
            </w:pPr>
            <w:r w:rsidRPr="002E5C18">
              <w:rPr>
                <w:rFonts w:cs="Times New Roman"/>
                <w:sz w:val="18"/>
                <w:szCs w:val="18"/>
                <w:lang w:val="fr-FR"/>
              </w:rPr>
              <w:t>Engagement politique national</w:t>
            </w:r>
          </w:p>
          <w:p w14:paraId="0850B2AE" w14:textId="77777777" w:rsidR="00DD583B" w:rsidRPr="002E5C18" w:rsidRDefault="00DD583B" w:rsidP="005D2A90">
            <w:pPr>
              <w:keepNext/>
              <w:contextualSpacing/>
              <w:rPr>
                <w:rFonts w:cs="Times New Roman"/>
                <w:sz w:val="18"/>
                <w:szCs w:val="18"/>
                <w:lang w:val="fr-FR"/>
              </w:rPr>
            </w:pPr>
          </w:p>
          <w:p w14:paraId="1AE377E2" w14:textId="77777777" w:rsidR="00DD583B" w:rsidRPr="002E5C18" w:rsidRDefault="00DD583B" w:rsidP="005D2A90">
            <w:pPr>
              <w:keepNext/>
              <w:contextualSpacing/>
              <w:rPr>
                <w:rFonts w:cs="Times New Roman"/>
                <w:sz w:val="18"/>
                <w:szCs w:val="18"/>
                <w:lang w:val="fr-FR"/>
              </w:rPr>
            </w:pPr>
            <w:r w:rsidRPr="002E5C18">
              <w:rPr>
                <w:rFonts w:cs="Times New Roman"/>
                <w:sz w:val="18"/>
                <w:szCs w:val="18"/>
                <w:lang w:val="fr-FR"/>
              </w:rPr>
              <w:t>Pesanteurs socio-culturelles</w:t>
            </w:r>
          </w:p>
          <w:p w14:paraId="237AD532" w14:textId="77777777" w:rsidR="00DD583B" w:rsidRPr="002E5C18" w:rsidRDefault="00DD583B" w:rsidP="005D2A90">
            <w:pPr>
              <w:keepNext/>
              <w:contextualSpacing/>
              <w:rPr>
                <w:rFonts w:cs="Times New Roman"/>
                <w:sz w:val="18"/>
                <w:szCs w:val="18"/>
                <w:lang w:val="fr-FR"/>
              </w:rPr>
            </w:pPr>
          </w:p>
          <w:p w14:paraId="3A51AC91" w14:textId="77777777" w:rsidR="00DD583B" w:rsidRPr="002E5C18" w:rsidRDefault="00DD583B" w:rsidP="005D2A90">
            <w:pPr>
              <w:keepNext/>
              <w:contextualSpacing/>
              <w:rPr>
                <w:rFonts w:cs="Times New Roman"/>
                <w:sz w:val="18"/>
                <w:szCs w:val="18"/>
                <w:lang w:val="fr-FR"/>
              </w:rPr>
            </w:pPr>
          </w:p>
          <w:p w14:paraId="6A560280" w14:textId="77777777" w:rsidR="00DD583B" w:rsidRPr="002E5C18" w:rsidRDefault="00DD583B" w:rsidP="005D2A90">
            <w:pPr>
              <w:keepNext/>
              <w:contextualSpacing/>
              <w:rPr>
                <w:rFonts w:cs="Times New Roman"/>
                <w:sz w:val="18"/>
                <w:szCs w:val="18"/>
              </w:rPr>
            </w:pPr>
            <w:r w:rsidRPr="002E5C18">
              <w:rPr>
                <w:rFonts w:cs="Times New Roman"/>
                <w:sz w:val="18"/>
                <w:szCs w:val="18"/>
              </w:rPr>
              <w:t xml:space="preserve">Accroissement de la pauvreté </w:t>
            </w:r>
          </w:p>
          <w:p w14:paraId="00AAE1D0" w14:textId="77777777" w:rsidR="00DD583B" w:rsidRPr="002E5C18" w:rsidRDefault="00DD583B" w:rsidP="005D2A90">
            <w:pPr>
              <w:widowControl w:val="0"/>
              <w:snapToGrid w:val="0"/>
              <w:rPr>
                <w:rFonts w:cstheme="minorHAnsi"/>
                <w:sz w:val="18"/>
                <w:szCs w:val="18"/>
                <w:lang w:val="fr-FR"/>
              </w:rPr>
            </w:pPr>
            <w:r w:rsidRPr="002E5C18">
              <w:rPr>
                <w:rFonts w:cs="Times New Roman"/>
                <w:sz w:val="18"/>
                <w:szCs w:val="18"/>
              </w:rPr>
              <w:t>Explosion démographique</w:t>
            </w:r>
          </w:p>
        </w:tc>
        <w:tc>
          <w:tcPr>
            <w:tcW w:w="1974" w:type="dxa"/>
            <w:vMerge w:val="restart"/>
          </w:tcPr>
          <w:p w14:paraId="36A59EF6" w14:textId="77777777" w:rsidR="00DD583B" w:rsidRPr="002E5C18" w:rsidRDefault="00DD583B" w:rsidP="005D2A90">
            <w:pPr>
              <w:rPr>
                <w:lang w:val="fr-FR"/>
              </w:rPr>
            </w:pPr>
          </w:p>
        </w:tc>
        <w:tc>
          <w:tcPr>
            <w:tcW w:w="1250" w:type="dxa"/>
            <w:vMerge w:val="restart"/>
          </w:tcPr>
          <w:p w14:paraId="0AD01844" w14:textId="77777777" w:rsidR="00DD583B" w:rsidRPr="002E5C18" w:rsidRDefault="00DD583B" w:rsidP="005D2A90">
            <w:pPr>
              <w:rPr>
                <w:lang w:val="fr-FR"/>
              </w:rPr>
            </w:pPr>
          </w:p>
        </w:tc>
      </w:tr>
      <w:tr w:rsidR="00DD583B" w:rsidRPr="002E5C18" w14:paraId="4B7925B5" w14:textId="77777777" w:rsidTr="005D2A90">
        <w:tc>
          <w:tcPr>
            <w:tcW w:w="2590" w:type="dxa"/>
            <w:vMerge/>
            <w:shd w:val="clear" w:color="auto" w:fill="DBE5F1" w:themeFill="accent1" w:themeFillTint="33"/>
            <w:vAlign w:val="center"/>
          </w:tcPr>
          <w:p w14:paraId="5FE71BEA" w14:textId="77777777" w:rsidR="00DD583B" w:rsidRPr="008B71B5" w:rsidRDefault="00DD583B" w:rsidP="005D2A90">
            <w:pPr>
              <w:rPr>
                <w:rFonts w:ascii="Times New Roman" w:hAnsi="Times New Roman" w:cs="Times New Roman"/>
                <w:bCs/>
              </w:rPr>
            </w:pPr>
          </w:p>
        </w:tc>
        <w:tc>
          <w:tcPr>
            <w:tcW w:w="2832" w:type="dxa"/>
            <w:vAlign w:val="center"/>
          </w:tcPr>
          <w:p w14:paraId="4026D186" w14:textId="77777777" w:rsidR="00DD583B" w:rsidRPr="001C1F32" w:rsidRDefault="00DD583B" w:rsidP="005D2A90">
            <w:pPr>
              <w:rPr>
                <w:rFonts w:ascii="Times New Roman" w:hAnsi="Times New Roman" w:cs="Times New Roman"/>
                <w:bCs/>
              </w:rPr>
            </w:pPr>
            <w:r w:rsidRPr="008B71B5">
              <w:rPr>
                <w:rFonts w:ascii="Times New Roman" w:hAnsi="Times New Roman" w:cs="Times New Roman"/>
                <w:bCs/>
              </w:rPr>
              <w:t>Indicateur 4.3.</w:t>
            </w:r>
            <w:r>
              <w:rPr>
                <w:rFonts w:ascii="Times New Roman" w:hAnsi="Times New Roman" w:cs="Times New Roman"/>
                <w:bCs/>
              </w:rPr>
              <w:t>2</w:t>
            </w:r>
            <w:r w:rsidRPr="008B71B5">
              <w:rPr>
                <w:rFonts w:ascii="Times New Roman" w:hAnsi="Times New Roman" w:cs="Times New Roman"/>
                <w:bCs/>
              </w:rPr>
              <w:t xml:space="preserve"> </w:t>
            </w:r>
            <w:r w:rsidRPr="001C1F32">
              <w:rPr>
                <w:rFonts w:ascii="Times New Roman" w:hAnsi="Times New Roman" w:cs="Times New Roman"/>
                <w:bCs/>
              </w:rPr>
              <w:t>% d’enfants et de femmes enceintes et allaitantes souffrant de malnutrition aigue modérée pris en charge dans les centres de santé</w:t>
            </w:r>
          </w:p>
          <w:p w14:paraId="2C40E2A3" w14:textId="77777777" w:rsidR="00DD583B" w:rsidRPr="001C1F32" w:rsidRDefault="00DD583B" w:rsidP="005D2A90">
            <w:pPr>
              <w:rPr>
                <w:rFonts w:ascii="Times New Roman" w:hAnsi="Times New Roman" w:cs="Times New Roman"/>
                <w:bCs/>
              </w:rPr>
            </w:pPr>
          </w:p>
          <w:p w14:paraId="504362B4" w14:textId="77777777" w:rsidR="00DD583B" w:rsidRDefault="00DD583B" w:rsidP="005D2A90">
            <w:pPr>
              <w:snapToGrid w:val="0"/>
              <w:rPr>
                <w:rFonts w:ascii="Calibri" w:hAnsi="Calibri"/>
                <w:b/>
                <w:color w:val="FF0000"/>
                <w:sz w:val="18"/>
                <w:szCs w:val="18"/>
              </w:rPr>
            </w:pPr>
            <w:r w:rsidRPr="001C1F32">
              <w:rPr>
                <w:rFonts w:ascii="Times New Roman" w:hAnsi="Times New Roman" w:cs="Times New Roman"/>
                <w:bCs/>
              </w:rPr>
              <w:t>Base : 74% (Rapport annuel SPR - 2015)</w:t>
            </w:r>
            <w:r w:rsidRPr="004C432E">
              <w:rPr>
                <w:rFonts w:ascii="Calibri" w:hAnsi="Calibri"/>
                <w:b/>
                <w:color w:val="FF0000"/>
                <w:sz w:val="18"/>
                <w:szCs w:val="18"/>
              </w:rPr>
              <w:t xml:space="preserve"> </w:t>
            </w:r>
          </w:p>
          <w:p w14:paraId="442E64EA" w14:textId="77777777" w:rsidR="00DD583B" w:rsidRDefault="00DD583B" w:rsidP="005D2A90">
            <w:pPr>
              <w:snapToGrid w:val="0"/>
              <w:rPr>
                <w:rFonts w:ascii="Calibri" w:hAnsi="Calibri"/>
                <w:b/>
                <w:color w:val="FF0000"/>
                <w:sz w:val="18"/>
                <w:szCs w:val="18"/>
              </w:rPr>
            </w:pPr>
          </w:p>
          <w:p w14:paraId="42E23076" w14:textId="77777777" w:rsidR="00DD583B" w:rsidRPr="004C432E" w:rsidRDefault="00DD583B" w:rsidP="005D2A90">
            <w:pPr>
              <w:snapToGrid w:val="0"/>
              <w:rPr>
                <w:rFonts w:ascii="Calibri" w:hAnsi="Calibri"/>
                <w:color w:val="FF0000"/>
                <w:sz w:val="18"/>
                <w:szCs w:val="18"/>
                <w:lang w:val="fr-FR"/>
              </w:rPr>
            </w:pPr>
            <w:r w:rsidRPr="004C432E">
              <w:rPr>
                <w:rFonts w:ascii="Calibri" w:hAnsi="Calibri"/>
                <w:b/>
                <w:color w:val="FF0000"/>
                <w:sz w:val="18"/>
                <w:szCs w:val="18"/>
              </w:rPr>
              <w:t>Situation en fin 2017</w:t>
            </w:r>
            <w:r w:rsidRPr="00CE2384">
              <w:rPr>
                <w:rFonts w:ascii="Calibri" w:hAnsi="Calibri"/>
                <w:color w:val="FF0000"/>
                <w:sz w:val="18"/>
                <w:szCs w:val="18"/>
              </w:rPr>
              <w:t xml:space="preserve">: </w:t>
            </w:r>
            <w:r w:rsidRPr="004C432E">
              <w:rPr>
                <w:rFonts w:ascii="Calibri" w:hAnsi="Calibri"/>
                <w:b/>
                <w:bCs/>
                <w:color w:val="FF0000"/>
                <w:sz w:val="18"/>
                <w:szCs w:val="18"/>
                <w:lang w:val="fr-FR"/>
              </w:rPr>
              <w:t xml:space="preserve">MAM: 29% </w:t>
            </w:r>
          </w:p>
          <w:p w14:paraId="7A69F555" w14:textId="77777777" w:rsidR="00DD583B" w:rsidRPr="004C432E" w:rsidRDefault="00DD583B" w:rsidP="005D2A90">
            <w:pPr>
              <w:snapToGrid w:val="0"/>
              <w:rPr>
                <w:rFonts w:ascii="Calibri" w:hAnsi="Calibri"/>
                <w:color w:val="FF0000"/>
                <w:sz w:val="18"/>
                <w:szCs w:val="18"/>
                <w:lang w:val="fr-FR"/>
              </w:rPr>
            </w:pPr>
            <w:r w:rsidRPr="004C432E">
              <w:rPr>
                <w:rFonts w:ascii="Calibri" w:hAnsi="Calibri"/>
                <w:b/>
                <w:bCs/>
                <w:color w:val="FF0000"/>
                <w:sz w:val="18"/>
                <w:szCs w:val="18"/>
                <w:lang w:val="fr-FR"/>
              </w:rPr>
              <w:t>128659/432932</w:t>
            </w:r>
            <w:r>
              <w:rPr>
                <w:rFonts w:ascii="Calibri" w:hAnsi="Calibri"/>
                <w:b/>
                <w:bCs/>
                <w:color w:val="FF0000"/>
                <w:sz w:val="18"/>
                <w:szCs w:val="18"/>
                <w:lang w:val="fr-FR"/>
              </w:rPr>
              <w:t xml:space="preserve"> (rapport PAM)</w:t>
            </w:r>
          </w:p>
          <w:p w14:paraId="6550D6FB" w14:textId="77777777" w:rsidR="00DD583B" w:rsidRPr="003947E9" w:rsidRDefault="00DD583B" w:rsidP="005D2A90">
            <w:pPr>
              <w:rPr>
                <w:rFonts w:ascii="Times New Roman" w:hAnsi="Times New Roman" w:cs="Times New Roman"/>
                <w:bCs/>
                <w:highlight w:val="yellow"/>
              </w:rPr>
            </w:pPr>
          </w:p>
          <w:p w14:paraId="10437258" w14:textId="7E800A19" w:rsidR="00DD583B" w:rsidRPr="008B71B5" w:rsidRDefault="00DD583B" w:rsidP="005D2A90">
            <w:pPr>
              <w:rPr>
                <w:rFonts w:ascii="Times New Roman" w:hAnsi="Times New Roman" w:cs="Times New Roman"/>
                <w:bCs/>
              </w:rPr>
            </w:pPr>
            <w:r w:rsidRPr="001C1F32">
              <w:rPr>
                <w:rFonts w:ascii="Times New Roman" w:hAnsi="Times New Roman" w:cs="Times New Roman"/>
                <w:bCs/>
              </w:rPr>
              <w:t xml:space="preserve">Cible: </w:t>
            </w:r>
            <w:r>
              <w:rPr>
                <w:rFonts w:ascii="Times New Roman" w:hAnsi="Times New Roman" w:cs="Times New Roman"/>
                <w:bCs/>
              </w:rPr>
              <w:t xml:space="preserve"> 50</w:t>
            </w:r>
            <w:r w:rsidRPr="001C1F32">
              <w:rPr>
                <w:rFonts w:ascii="Times New Roman" w:hAnsi="Times New Roman" w:cs="Times New Roman"/>
                <w:bCs/>
              </w:rPr>
              <w:t>%</w:t>
            </w:r>
            <w:r w:rsidR="00186DD5">
              <w:rPr>
                <w:rFonts w:ascii="Times New Roman" w:hAnsi="Times New Roman" w:cs="Times New Roman"/>
                <w:bCs/>
              </w:rPr>
              <w:t xml:space="preserve"> </w:t>
            </w:r>
          </w:p>
        </w:tc>
        <w:tc>
          <w:tcPr>
            <w:tcW w:w="3874" w:type="dxa"/>
            <w:vAlign w:val="center"/>
          </w:tcPr>
          <w:p w14:paraId="06864CA0" w14:textId="77777777" w:rsidR="00DD583B" w:rsidRPr="008B71B5" w:rsidRDefault="00DD583B" w:rsidP="005D2A90">
            <w:pPr>
              <w:numPr>
                <w:ilvl w:val="0"/>
                <w:numId w:val="35"/>
              </w:numPr>
              <w:suppressAutoHyphens/>
              <w:rPr>
                <w:rFonts w:ascii="Times New Roman" w:hAnsi="Times New Roman" w:cs="Times New Roman"/>
              </w:rPr>
            </w:pPr>
            <w:r w:rsidRPr="00DC42B2">
              <w:rPr>
                <w:rFonts w:ascii="Times New Roman" w:hAnsi="Times New Roman" w:cs="Times New Roman"/>
              </w:rPr>
              <w:lastRenderedPageBreak/>
              <w:t>Mode de calcul : Rapport Nb d’enfants et de femmes enceintes et allaitantes (FEFA) malnutris pris en charge dans les centres nutritionnels, sur Nb total d’enfants et de FEFA malnutris.</w:t>
            </w:r>
          </w:p>
        </w:tc>
        <w:tc>
          <w:tcPr>
            <w:tcW w:w="2648" w:type="dxa"/>
            <w:vMerge/>
          </w:tcPr>
          <w:p w14:paraId="69364182" w14:textId="77777777" w:rsidR="00DD583B" w:rsidRPr="002E5C18" w:rsidRDefault="00DD583B" w:rsidP="005D2A90">
            <w:pPr>
              <w:keepNext/>
              <w:contextualSpacing/>
              <w:rPr>
                <w:rFonts w:cs="Times New Roman"/>
                <w:sz w:val="18"/>
                <w:szCs w:val="18"/>
              </w:rPr>
            </w:pPr>
          </w:p>
        </w:tc>
        <w:tc>
          <w:tcPr>
            <w:tcW w:w="1974" w:type="dxa"/>
            <w:vMerge/>
          </w:tcPr>
          <w:p w14:paraId="617BF895" w14:textId="77777777" w:rsidR="00DD583B" w:rsidRPr="002E5C18" w:rsidRDefault="00DD583B" w:rsidP="005D2A90"/>
        </w:tc>
        <w:tc>
          <w:tcPr>
            <w:tcW w:w="1250" w:type="dxa"/>
            <w:vMerge/>
          </w:tcPr>
          <w:p w14:paraId="6BFC5C98" w14:textId="77777777" w:rsidR="00DD583B" w:rsidRPr="002E5C18" w:rsidRDefault="00DD583B" w:rsidP="005D2A90"/>
        </w:tc>
      </w:tr>
      <w:tr w:rsidR="00DD583B" w:rsidRPr="002E5C18" w14:paraId="16ACFE36" w14:textId="77777777" w:rsidTr="005D2A90">
        <w:tc>
          <w:tcPr>
            <w:tcW w:w="2590" w:type="dxa"/>
            <w:vMerge/>
            <w:shd w:val="clear" w:color="auto" w:fill="DBE5F1" w:themeFill="accent1" w:themeFillTint="33"/>
            <w:vAlign w:val="center"/>
          </w:tcPr>
          <w:p w14:paraId="01A87F94" w14:textId="77777777" w:rsidR="00DD583B" w:rsidRPr="008B71B5" w:rsidRDefault="00DD583B" w:rsidP="005D2A90">
            <w:pPr>
              <w:rPr>
                <w:rFonts w:ascii="Times New Roman" w:hAnsi="Times New Roman" w:cs="Times New Roman"/>
                <w:bCs/>
              </w:rPr>
            </w:pPr>
          </w:p>
        </w:tc>
        <w:tc>
          <w:tcPr>
            <w:tcW w:w="2832" w:type="dxa"/>
            <w:shd w:val="clear" w:color="auto" w:fill="auto"/>
            <w:vAlign w:val="center"/>
          </w:tcPr>
          <w:p w14:paraId="3832F6AE" w14:textId="77777777" w:rsidR="00DD583B" w:rsidRDefault="00DD583B" w:rsidP="005D2A90">
            <w:pPr>
              <w:rPr>
                <w:rFonts w:ascii="Times New Roman" w:eastAsiaTheme="minorHAnsi" w:hAnsi="Times New Roman" w:cs="Times New Roman"/>
                <w:bCs/>
                <w:sz w:val="22"/>
                <w:szCs w:val="22"/>
                <w:lang w:val="fr-FR" w:eastAsia="en-US"/>
              </w:rPr>
            </w:pPr>
            <w:r w:rsidRPr="00C87C2C">
              <w:rPr>
                <w:rFonts w:ascii="Times New Roman" w:eastAsiaTheme="minorHAnsi" w:hAnsi="Times New Roman" w:cs="Times New Roman"/>
                <w:bCs/>
                <w:sz w:val="22"/>
                <w:szCs w:val="22"/>
                <w:lang w:val="fr-FR" w:eastAsia="en-US"/>
              </w:rPr>
              <w:t>Indicateur 4.3.</w:t>
            </w:r>
            <w:r>
              <w:rPr>
                <w:rFonts w:ascii="Times New Roman" w:eastAsiaTheme="minorHAnsi" w:hAnsi="Times New Roman" w:cs="Times New Roman"/>
                <w:bCs/>
                <w:sz w:val="22"/>
                <w:szCs w:val="22"/>
                <w:lang w:val="fr-FR" w:eastAsia="en-US"/>
              </w:rPr>
              <w:t>4</w:t>
            </w:r>
            <w:r w:rsidRPr="00C87C2C">
              <w:rPr>
                <w:rFonts w:ascii="Times New Roman" w:eastAsiaTheme="minorHAnsi" w:hAnsi="Times New Roman" w:cs="Times New Roman"/>
                <w:bCs/>
                <w:sz w:val="22"/>
                <w:szCs w:val="22"/>
                <w:lang w:val="fr-FR" w:eastAsia="en-US"/>
              </w:rPr>
              <w:t xml:space="preserve"> : Taux de couverture du programme de prévention de la malnutrition aigue modérée:</w:t>
            </w:r>
          </w:p>
          <w:p w14:paraId="162E479B" w14:textId="77777777" w:rsidR="00DD583B" w:rsidRPr="00C87C2C" w:rsidRDefault="00DD583B" w:rsidP="005D2A90">
            <w:pPr>
              <w:rPr>
                <w:rFonts w:ascii="Times New Roman" w:eastAsiaTheme="minorHAnsi" w:hAnsi="Times New Roman" w:cs="Times New Roman"/>
                <w:bCs/>
                <w:sz w:val="22"/>
                <w:szCs w:val="22"/>
                <w:lang w:val="fr-FR" w:eastAsia="en-US"/>
              </w:rPr>
            </w:pPr>
          </w:p>
          <w:p w14:paraId="087DD4D0" w14:textId="77777777" w:rsidR="00DD583B" w:rsidRDefault="00DD583B" w:rsidP="005D2A90">
            <w:pPr>
              <w:rPr>
                <w:rFonts w:ascii="Times New Roman" w:eastAsiaTheme="minorHAnsi" w:hAnsi="Times New Roman" w:cs="Times New Roman"/>
                <w:bCs/>
                <w:sz w:val="22"/>
                <w:szCs w:val="22"/>
                <w:lang w:val="fr-FR" w:eastAsia="en-US"/>
              </w:rPr>
            </w:pPr>
            <w:r w:rsidRPr="00C87C2C">
              <w:rPr>
                <w:rFonts w:ascii="Times New Roman" w:eastAsiaTheme="minorHAnsi" w:hAnsi="Times New Roman" w:cs="Times New Roman"/>
                <w:bCs/>
                <w:sz w:val="22"/>
                <w:szCs w:val="22"/>
                <w:lang w:val="fr-FR" w:eastAsia="en-US"/>
              </w:rPr>
              <w:t>Base: 75</w:t>
            </w:r>
            <w:r>
              <w:rPr>
                <w:rFonts w:ascii="Times New Roman" w:eastAsiaTheme="minorHAnsi" w:hAnsi="Times New Roman" w:cs="Times New Roman"/>
                <w:bCs/>
                <w:sz w:val="22"/>
                <w:szCs w:val="22"/>
                <w:lang w:val="fr-FR" w:eastAsia="en-US"/>
              </w:rPr>
              <w:t>,</w:t>
            </w:r>
            <w:r w:rsidRPr="00C87C2C">
              <w:rPr>
                <w:rFonts w:ascii="Times New Roman" w:eastAsiaTheme="minorHAnsi" w:hAnsi="Times New Roman" w:cs="Times New Roman"/>
                <w:bCs/>
                <w:sz w:val="22"/>
                <w:szCs w:val="22"/>
                <w:lang w:val="fr-FR" w:eastAsia="en-US"/>
              </w:rPr>
              <w:t>6% (Rapport annuel SPR - 2015)</w:t>
            </w:r>
          </w:p>
          <w:p w14:paraId="5E59D852" w14:textId="77777777" w:rsidR="00DD583B" w:rsidRPr="0078348B" w:rsidRDefault="00DD583B" w:rsidP="005D2A90">
            <w:pPr>
              <w:rPr>
                <w:rFonts w:ascii="Calibri" w:hAnsi="Calibri"/>
                <w:b/>
                <w:bCs/>
                <w:color w:val="FF0000"/>
                <w:sz w:val="18"/>
                <w:szCs w:val="18"/>
                <w:lang w:val="fr-FR"/>
              </w:rPr>
            </w:pPr>
            <w:r w:rsidRPr="004C432E">
              <w:rPr>
                <w:rFonts w:ascii="Calibri" w:hAnsi="Calibri"/>
                <w:b/>
                <w:color w:val="FF0000"/>
                <w:sz w:val="18"/>
                <w:szCs w:val="18"/>
              </w:rPr>
              <w:t>Situation en fin 2017</w:t>
            </w:r>
            <w:r>
              <w:rPr>
                <w:rFonts w:ascii="Calibri" w:hAnsi="Calibri"/>
                <w:b/>
                <w:color w:val="FF0000"/>
                <w:sz w:val="18"/>
                <w:szCs w:val="18"/>
              </w:rPr>
              <w:t xml:space="preserve">: </w:t>
            </w:r>
            <w:r w:rsidRPr="0078348B">
              <w:rPr>
                <w:rFonts w:ascii="Calibri" w:hAnsi="Calibri"/>
                <w:b/>
                <w:color w:val="FF0000"/>
                <w:sz w:val="18"/>
                <w:szCs w:val="18"/>
                <w:lang w:val="fr-FR"/>
              </w:rPr>
              <w:t>62 %  SPR 2017</w:t>
            </w:r>
          </w:p>
          <w:p w14:paraId="37CCBACD" w14:textId="77777777" w:rsidR="00DD583B" w:rsidRPr="008B71B5" w:rsidRDefault="00DD583B" w:rsidP="005D2A90">
            <w:pPr>
              <w:rPr>
                <w:rFonts w:ascii="Times New Roman" w:hAnsi="Times New Roman" w:cs="Times New Roman"/>
                <w:bCs/>
              </w:rPr>
            </w:pPr>
            <w:r w:rsidRPr="00C87C2C">
              <w:rPr>
                <w:rFonts w:ascii="Times New Roman" w:eastAsiaTheme="minorHAnsi" w:hAnsi="Times New Roman" w:cs="Times New Roman"/>
                <w:bCs/>
                <w:sz w:val="22"/>
                <w:szCs w:val="22"/>
                <w:lang w:val="fr-FR" w:eastAsia="en-US"/>
              </w:rPr>
              <w:t>Cible: &gt;</w:t>
            </w:r>
            <w:r>
              <w:rPr>
                <w:rFonts w:ascii="Times New Roman" w:eastAsiaTheme="minorHAnsi" w:hAnsi="Times New Roman" w:cs="Times New Roman"/>
                <w:bCs/>
                <w:sz w:val="22"/>
                <w:szCs w:val="22"/>
                <w:lang w:val="fr-FR" w:eastAsia="en-US"/>
              </w:rPr>
              <w:t>7</w:t>
            </w:r>
            <w:r w:rsidRPr="00C87C2C">
              <w:rPr>
                <w:rFonts w:ascii="Times New Roman" w:eastAsiaTheme="minorHAnsi" w:hAnsi="Times New Roman" w:cs="Times New Roman"/>
                <w:bCs/>
                <w:sz w:val="22"/>
                <w:szCs w:val="22"/>
                <w:lang w:val="fr-FR" w:eastAsia="en-US"/>
              </w:rPr>
              <w:t>0%</w:t>
            </w:r>
          </w:p>
        </w:tc>
        <w:tc>
          <w:tcPr>
            <w:tcW w:w="3874" w:type="dxa"/>
            <w:vAlign w:val="center"/>
          </w:tcPr>
          <w:p w14:paraId="44270B5C" w14:textId="77777777" w:rsidR="00DD583B" w:rsidRPr="00DC42B2" w:rsidRDefault="00DD583B" w:rsidP="005D2A90">
            <w:pPr>
              <w:numPr>
                <w:ilvl w:val="0"/>
                <w:numId w:val="35"/>
              </w:numPr>
              <w:suppressAutoHyphens/>
              <w:rPr>
                <w:rFonts w:ascii="Times New Roman" w:hAnsi="Times New Roman" w:cs="Times New Roman"/>
              </w:rPr>
            </w:pPr>
            <w:r w:rsidRPr="00C87C2C">
              <w:rPr>
                <w:rFonts w:ascii="Times New Roman" w:hAnsi="Times New Roman" w:cs="Times New Roman"/>
              </w:rPr>
              <w:t>Mode de calcul : Nbre d’enfants de 6 à 23 mois qui participent effectivement au programme de prévention sur le nbre total d’enfants éligibles au programme.</w:t>
            </w:r>
          </w:p>
        </w:tc>
        <w:tc>
          <w:tcPr>
            <w:tcW w:w="2648" w:type="dxa"/>
            <w:vMerge/>
          </w:tcPr>
          <w:p w14:paraId="28EBADCD" w14:textId="77777777" w:rsidR="00DD583B" w:rsidRPr="002E5C18" w:rsidRDefault="00DD583B" w:rsidP="005D2A90">
            <w:pPr>
              <w:keepNext/>
              <w:contextualSpacing/>
              <w:rPr>
                <w:rFonts w:cs="Times New Roman"/>
                <w:sz w:val="18"/>
                <w:szCs w:val="18"/>
              </w:rPr>
            </w:pPr>
          </w:p>
        </w:tc>
        <w:tc>
          <w:tcPr>
            <w:tcW w:w="1974" w:type="dxa"/>
            <w:vMerge/>
          </w:tcPr>
          <w:p w14:paraId="74776218" w14:textId="77777777" w:rsidR="00DD583B" w:rsidRPr="002E5C18" w:rsidRDefault="00DD583B" w:rsidP="005D2A90"/>
        </w:tc>
        <w:tc>
          <w:tcPr>
            <w:tcW w:w="1250" w:type="dxa"/>
            <w:vMerge/>
          </w:tcPr>
          <w:p w14:paraId="22FB1DA5" w14:textId="77777777" w:rsidR="00DD583B" w:rsidRPr="002E5C18" w:rsidRDefault="00DD583B" w:rsidP="005D2A90"/>
        </w:tc>
      </w:tr>
      <w:tr w:rsidR="00DD583B" w:rsidRPr="002E5C18" w14:paraId="73BDF804" w14:textId="77777777" w:rsidTr="005D2A90">
        <w:tc>
          <w:tcPr>
            <w:tcW w:w="2590" w:type="dxa"/>
            <w:vMerge/>
            <w:shd w:val="clear" w:color="auto" w:fill="DBE5F1" w:themeFill="accent1" w:themeFillTint="33"/>
            <w:vAlign w:val="center"/>
          </w:tcPr>
          <w:p w14:paraId="05A12B19" w14:textId="77777777" w:rsidR="00DD583B" w:rsidRPr="002E5C18" w:rsidRDefault="00DD583B" w:rsidP="005D2A90">
            <w:pPr>
              <w:rPr>
                <w:lang w:val="fr-FR"/>
              </w:rPr>
            </w:pPr>
          </w:p>
        </w:tc>
        <w:tc>
          <w:tcPr>
            <w:tcW w:w="2832" w:type="dxa"/>
            <w:vAlign w:val="center"/>
          </w:tcPr>
          <w:p w14:paraId="12FF0A85" w14:textId="77777777" w:rsidR="00DD583B" w:rsidRDefault="00DD583B" w:rsidP="005D2A90">
            <w:pPr>
              <w:rPr>
                <w:rFonts w:ascii="Times New Roman" w:hAnsi="Times New Roman" w:cs="Times New Roman"/>
                <w:bCs/>
              </w:rPr>
            </w:pPr>
            <w:r w:rsidRPr="008B71B5">
              <w:rPr>
                <w:rFonts w:ascii="Times New Roman" w:hAnsi="Times New Roman" w:cs="Times New Roman"/>
                <w:bCs/>
              </w:rPr>
              <w:t>Indicateur 4.3.</w:t>
            </w:r>
            <w:r>
              <w:rPr>
                <w:rFonts w:ascii="Times New Roman" w:hAnsi="Times New Roman" w:cs="Times New Roman"/>
                <w:bCs/>
              </w:rPr>
              <w:t>5</w:t>
            </w:r>
            <w:r w:rsidRPr="008B71B5">
              <w:rPr>
                <w:rFonts w:ascii="Times New Roman" w:hAnsi="Times New Roman" w:cs="Times New Roman"/>
                <w:bCs/>
              </w:rPr>
              <w:t xml:space="preserve"> prévalence de l’insuffisance pondérale (</w:t>
            </w:r>
            <w:r>
              <w:rPr>
                <w:rFonts w:ascii="Times New Roman" w:hAnsi="Times New Roman" w:cs="Times New Roman"/>
                <w:bCs/>
              </w:rPr>
              <w:t>garçons</w:t>
            </w:r>
            <w:r w:rsidRPr="008B71B5">
              <w:rPr>
                <w:rFonts w:ascii="Times New Roman" w:hAnsi="Times New Roman" w:cs="Times New Roman"/>
                <w:bCs/>
              </w:rPr>
              <w:t xml:space="preserve"> vs </w:t>
            </w:r>
            <w:r>
              <w:rPr>
                <w:rFonts w:ascii="Times New Roman" w:hAnsi="Times New Roman" w:cs="Times New Roman"/>
                <w:bCs/>
              </w:rPr>
              <w:t>filles</w:t>
            </w:r>
            <w:r w:rsidRPr="008B71B5">
              <w:rPr>
                <w:rFonts w:ascii="Times New Roman" w:hAnsi="Times New Roman" w:cs="Times New Roman"/>
                <w:bCs/>
              </w:rPr>
              <w:t>)</w:t>
            </w:r>
          </w:p>
          <w:p w14:paraId="5D4338C7" w14:textId="77777777" w:rsidR="00DD583B" w:rsidRDefault="00DD583B" w:rsidP="005D2A90">
            <w:pPr>
              <w:rPr>
                <w:rFonts w:ascii="Times New Roman" w:hAnsi="Times New Roman" w:cs="Times New Roman"/>
                <w:bCs/>
              </w:rPr>
            </w:pPr>
          </w:p>
          <w:p w14:paraId="76E6076D" w14:textId="77777777" w:rsidR="00DD583B" w:rsidRDefault="00DD583B" w:rsidP="005D2A90">
            <w:pPr>
              <w:rPr>
                <w:rFonts w:ascii="Times New Roman" w:hAnsi="Times New Roman" w:cs="Times New Roman"/>
                <w:bCs/>
              </w:rPr>
            </w:pPr>
            <w:r>
              <w:rPr>
                <w:rFonts w:ascii="Times New Roman" w:hAnsi="Times New Roman" w:cs="Times New Roman"/>
                <w:bCs/>
              </w:rPr>
              <w:t>Base :  Garcon 25</w:t>
            </w:r>
            <w:r w:rsidRPr="008B71B5">
              <w:rPr>
                <w:rFonts w:ascii="Times New Roman" w:hAnsi="Times New Roman" w:cs="Times New Roman"/>
                <w:bCs/>
              </w:rPr>
              <w:t>%</w:t>
            </w:r>
            <w:r>
              <w:rPr>
                <w:rFonts w:ascii="Times New Roman" w:hAnsi="Times New Roman" w:cs="Times New Roman"/>
                <w:bCs/>
              </w:rPr>
              <w:t xml:space="preserve"> et Filles : 24%  (SMART 2014)</w:t>
            </w:r>
          </w:p>
          <w:p w14:paraId="71B7D855" w14:textId="77777777" w:rsidR="00DD583B" w:rsidRDefault="00DD583B" w:rsidP="005D2A90">
            <w:pPr>
              <w:rPr>
                <w:rFonts w:ascii="Times New Roman" w:hAnsi="Times New Roman" w:cs="Times New Roman"/>
                <w:bCs/>
              </w:rPr>
            </w:pPr>
          </w:p>
          <w:p w14:paraId="34F318E9" w14:textId="77777777" w:rsidR="00DD583B" w:rsidRPr="00CE2384" w:rsidRDefault="00DD583B" w:rsidP="005D2A90">
            <w:pPr>
              <w:snapToGrid w:val="0"/>
              <w:rPr>
                <w:rFonts w:ascii="Calibri" w:hAnsi="Calibri"/>
                <w:color w:val="FF0000"/>
                <w:sz w:val="18"/>
                <w:szCs w:val="18"/>
                <w:lang w:val="fr-FR"/>
              </w:rPr>
            </w:pPr>
            <w:r w:rsidRPr="00D2560C">
              <w:rPr>
                <w:rFonts w:ascii="Calibri" w:hAnsi="Calibri"/>
                <w:b/>
                <w:color w:val="FF0000"/>
                <w:sz w:val="18"/>
                <w:szCs w:val="18"/>
              </w:rPr>
              <w:t>Situation en fin 2017</w:t>
            </w:r>
            <w:r w:rsidRPr="00CE2384">
              <w:rPr>
                <w:rFonts w:ascii="Calibri" w:hAnsi="Calibri"/>
                <w:color w:val="FF0000"/>
                <w:sz w:val="18"/>
                <w:szCs w:val="18"/>
              </w:rPr>
              <w:t xml:space="preserve">: </w:t>
            </w:r>
            <w:r>
              <w:rPr>
                <w:rFonts w:ascii="Calibri" w:hAnsi="Calibri"/>
                <w:color w:val="FF0000"/>
                <w:sz w:val="18"/>
                <w:szCs w:val="18"/>
              </w:rPr>
              <w:t>16,3% /  Garcon: 19,1% - Filles: 14,4% (SMART 2017)</w:t>
            </w:r>
          </w:p>
          <w:p w14:paraId="6D0F6900" w14:textId="77777777" w:rsidR="00DD583B" w:rsidRPr="00B126E2" w:rsidRDefault="00DD583B" w:rsidP="005D2A90">
            <w:pPr>
              <w:rPr>
                <w:rFonts w:ascii="Times New Roman" w:hAnsi="Times New Roman" w:cs="Times New Roman"/>
                <w:bCs/>
                <w:lang w:val="fr-FR"/>
              </w:rPr>
            </w:pPr>
          </w:p>
          <w:p w14:paraId="033C1459" w14:textId="77777777" w:rsidR="00DD583B" w:rsidRPr="002E5C18" w:rsidRDefault="00DD583B" w:rsidP="005D2A90">
            <w:pPr>
              <w:rPr>
                <w:lang w:val="fr-FR"/>
              </w:rPr>
            </w:pPr>
            <w:r>
              <w:rPr>
                <w:rFonts w:ascii="Times New Roman" w:hAnsi="Times New Roman" w:cs="Times New Roman"/>
                <w:bCs/>
              </w:rPr>
              <w:t xml:space="preserve">Cible : </w:t>
            </w:r>
            <w:r w:rsidRPr="008B71B5">
              <w:rPr>
                <w:rFonts w:ascii="Times New Roman" w:hAnsi="Times New Roman" w:cs="Times New Roman"/>
                <w:bCs/>
              </w:rPr>
              <w:t>10%</w:t>
            </w:r>
            <w:r>
              <w:rPr>
                <w:rFonts w:ascii="Times New Roman" w:hAnsi="Times New Roman" w:cs="Times New Roman"/>
                <w:bCs/>
              </w:rPr>
              <w:t xml:space="preserve"> (garcon et Filles)</w:t>
            </w:r>
          </w:p>
        </w:tc>
        <w:tc>
          <w:tcPr>
            <w:tcW w:w="3874" w:type="dxa"/>
            <w:vAlign w:val="center"/>
          </w:tcPr>
          <w:p w14:paraId="32E54AD0"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 xml:space="preserve">Mode de calcul : Rapport Nb </w:t>
            </w:r>
            <w:r>
              <w:rPr>
                <w:rFonts w:ascii="Times New Roman" w:hAnsi="Times New Roman" w:cs="Times New Roman"/>
              </w:rPr>
              <w:t>d’enfants</w:t>
            </w:r>
            <w:r w:rsidRPr="008B71B5">
              <w:rPr>
                <w:rFonts w:ascii="Times New Roman" w:hAnsi="Times New Roman" w:cs="Times New Roman"/>
              </w:rPr>
              <w:t xml:space="preserve"> </w:t>
            </w:r>
            <w:r>
              <w:rPr>
                <w:rFonts w:ascii="Times New Roman" w:hAnsi="Times New Roman" w:cs="Times New Roman"/>
              </w:rPr>
              <w:t xml:space="preserve">(garcons et filles) </w:t>
            </w:r>
            <w:r w:rsidRPr="008B71B5">
              <w:rPr>
                <w:rFonts w:ascii="Times New Roman" w:hAnsi="Times New Roman" w:cs="Times New Roman"/>
              </w:rPr>
              <w:t xml:space="preserve">en insuffisance pondérale, sur </w:t>
            </w:r>
            <w:r>
              <w:rPr>
                <w:rFonts w:ascii="Times New Roman" w:hAnsi="Times New Roman" w:cs="Times New Roman"/>
              </w:rPr>
              <w:t>le nb total d’enfants de moins de 5 ans.</w:t>
            </w:r>
          </w:p>
          <w:p w14:paraId="2173D50C" w14:textId="77777777" w:rsidR="00DD583B" w:rsidRPr="008B71B5" w:rsidRDefault="00DD583B" w:rsidP="005D2A90">
            <w:pPr>
              <w:numPr>
                <w:ilvl w:val="0"/>
                <w:numId w:val="35"/>
              </w:numPr>
              <w:suppressAutoHyphens/>
              <w:rPr>
                <w:rFonts w:ascii="Times New Roman" w:hAnsi="Times New Roman" w:cs="Times New Roman"/>
              </w:rPr>
            </w:pPr>
            <w:r w:rsidRPr="00CB0E70">
              <w:rPr>
                <w:rFonts w:ascii="Times New Roman" w:hAnsi="Times New Roman" w:cs="Times New Roman"/>
              </w:rPr>
              <w:t>Sources de données</w:t>
            </w:r>
            <w:r>
              <w:rPr>
                <w:rFonts w:ascii="Times New Roman" w:hAnsi="Times New Roman" w:cs="Times New Roman"/>
              </w:rPr>
              <w:t>/Moyens de vérification</w:t>
            </w:r>
            <w:r w:rsidRPr="00CB0E70">
              <w:rPr>
                <w:rFonts w:ascii="Times New Roman" w:hAnsi="Times New Roman" w:cs="Times New Roman"/>
              </w:rPr>
              <w:t> </w:t>
            </w:r>
            <w:r w:rsidRPr="008B71B5">
              <w:rPr>
                <w:rFonts w:ascii="Times New Roman" w:hAnsi="Times New Roman" w:cs="Times New Roman"/>
              </w:rPr>
              <w:t>: Enquêtes nationales</w:t>
            </w:r>
          </w:p>
          <w:p w14:paraId="73C102C6"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w:t>
            </w:r>
          </w:p>
          <w:p w14:paraId="4E9468D4" w14:textId="77777777" w:rsidR="00DD583B" w:rsidRPr="002E5C18" w:rsidRDefault="00DD583B" w:rsidP="005D2A90">
            <w:pPr>
              <w:pStyle w:val="Paragraphedeliste"/>
              <w:numPr>
                <w:ilvl w:val="0"/>
                <w:numId w:val="13"/>
              </w:numPr>
              <w:rPr>
                <w:lang w:val="fr-FR"/>
              </w:rPr>
            </w:pPr>
            <w:r w:rsidRPr="008B71B5">
              <w:rPr>
                <w:rFonts w:ascii="Times New Roman" w:hAnsi="Times New Roman" w:cs="Times New Roman"/>
              </w:rPr>
              <w:t>Maître d’œuvre : Groupe de Résultat, en rapport avec l’Appareil statistique national</w:t>
            </w:r>
          </w:p>
        </w:tc>
        <w:tc>
          <w:tcPr>
            <w:tcW w:w="2648" w:type="dxa"/>
            <w:vMerge/>
          </w:tcPr>
          <w:p w14:paraId="2E867372" w14:textId="77777777" w:rsidR="00DD583B" w:rsidRPr="002E5C18" w:rsidRDefault="00DD583B" w:rsidP="005D2A90">
            <w:pPr>
              <w:widowControl w:val="0"/>
              <w:snapToGrid w:val="0"/>
              <w:rPr>
                <w:rFonts w:ascii="Times New Roman" w:hAnsi="Times New Roman" w:cs="Times New Roman"/>
                <w:highlight w:val="yellow"/>
                <w:lang w:val="fr-FR"/>
              </w:rPr>
            </w:pPr>
          </w:p>
        </w:tc>
        <w:tc>
          <w:tcPr>
            <w:tcW w:w="1974" w:type="dxa"/>
            <w:vMerge/>
          </w:tcPr>
          <w:p w14:paraId="77079B80" w14:textId="77777777" w:rsidR="00DD583B" w:rsidRPr="002E5C18" w:rsidRDefault="00DD583B" w:rsidP="005D2A90">
            <w:pPr>
              <w:rPr>
                <w:rFonts w:ascii="Times New Roman" w:hAnsi="Times New Roman" w:cs="Times New Roman"/>
                <w:highlight w:val="yellow"/>
                <w:lang w:val="fr-FR"/>
              </w:rPr>
            </w:pPr>
          </w:p>
        </w:tc>
        <w:tc>
          <w:tcPr>
            <w:tcW w:w="1250" w:type="dxa"/>
            <w:vMerge/>
          </w:tcPr>
          <w:p w14:paraId="79E57B74" w14:textId="77777777" w:rsidR="00DD583B" w:rsidRPr="002E5C18" w:rsidRDefault="00DD583B" w:rsidP="005D2A90">
            <w:pPr>
              <w:rPr>
                <w:rFonts w:ascii="Times New Roman" w:hAnsi="Times New Roman" w:cs="Times New Roman"/>
                <w:lang w:val="fr-FR"/>
              </w:rPr>
            </w:pPr>
          </w:p>
        </w:tc>
      </w:tr>
      <w:tr w:rsidR="00DD583B" w:rsidRPr="002E5C18" w14:paraId="4323AB00" w14:textId="77777777" w:rsidTr="005D2A90">
        <w:tc>
          <w:tcPr>
            <w:tcW w:w="2590" w:type="dxa"/>
            <w:vMerge/>
            <w:shd w:val="clear" w:color="auto" w:fill="DBE5F1" w:themeFill="accent1" w:themeFillTint="33"/>
            <w:vAlign w:val="center"/>
          </w:tcPr>
          <w:p w14:paraId="59E09A6D" w14:textId="77777777" w:rsidR="00DD583B" w:rsidRPr="002E5C18" w:rsidRDefault="00DD583B" w:rsidP="005D2A90">
            <w:pPr>
              <w:rPr>
                <w:lang w:val="fr-FR"/>
              </w:rPr>
            </w:pPr>
          </w:p>
        </w:tc>
        <w:tc>
          <w:tcPr>
            <w:tcW w:w="2832" w:type="dxa"/>
            <w:vAlign w:val="center"/>
          </w:tcPr>
          <w:p w14:paraId="189133DF" w14:textId="77777777" w:rsidR="00DD583B" w:rsidRDefault="00DD583B" w:rsidP="005D2A90">
            <w:pPr>
              <w:rPr>
                <w:rFonts w:ascii="Times New Roman" w:hAnsi="Times New Roman" w:cs="Times New Roman"/>
                <w:bCs/>
              </w:rPr>
            </w:pPr>
            <w:r w:rsidRPr="008B71B5">
              <w:rPr>
                <w:rFonts w:ascii="Times New Roman" w:hAnsi="Times New Roman" w:cs="Times New Roman"/>
                <w:bCs/>
              </w:rPr>
              <w:t>Indicateur 4.3.</w:t>
            </w:r>
            <w:r>
              <w:rPr>
                <w:rFonts w:ascii="Times New Roman" w:hAnsi="Times New Roman" w:cs="Times New Roman"/>
                <w:bCs/>
              </w:rPr>
              <w:t>6</w:t>
            </w:r>
            <w:r w:rsidRPr="008B71B5">
              <w:rPr>
                <w:rFonts w:ascii="Times New Roman" w:hAnsi="Times New Roman" w:cs="Times New Roman"/>
                <w:bCs/>
              </w:rPr>
              <w:t xml:space="preserve"> Prévalence de la malnutrition aiguë globale chez les enfants de 6-59 mois</w:t>
            </w:r>
            <w:r>
              <w:rPr>
                <w:rFonts w:ascii="Times New Roman" w:hAnsi="Times New Roman" w:cs="Times New Roman"/>
                <w:bCs/>
              </w:rPr>
              <w:t xml:space="preserve"> </w:t>
            </w:r>
            <w:r w:rsidRPr="008B71B5">
              <w:rPr>
                <w:rFonts w:ascii="Times New Roman" w:hAnsi="Times New Roman" w:cs="Times New Roman"/>
                <w:bCs/>
              </w:rPr>
              <w:t>(désagrégation F/G)</w:t>
            </w:r>
          </w:p>
          <w:p w14:paraId="157FB78C" w14:textId="77777777" w:rsidR="00DD583B" w:rsidRDefault="00DD583B" w:rsidP="005D2A90">
            <w:pPr>
              <w:rPr>
                <w:rFonts w:ascii="Times New Roman" w:hAnsi="Times New Roman" w:cs="Times New Roman"/>
                <w:bCs/>
              </w:rPr>
            </w:pPr>
          </w:p>
          <w:p w14:paraId="5FB13EEA" w14:textId="77777777" w:rsidR="00DD583B" w:rsidRDefault="00DD583B" w:rsidP="005D2A90">
            <w:pPr>
              <w:rPr>
                <w:rFonts w:ascii="Times New Roman" w:hAnsi="Times New Roman" w:cs="Times New Roman"/>
                <w:bCs/>
              </w:rPr>
            </w:pPr>
            <w:r>
              <w:rPr>
                <w:rFonts w:ascii="Times New Roman" w:hAnsi="Times New Roman" w:cs="Times New Roman"/>
                <w:bCs/>
              </w:rPr>
              <w:t>Base : Garcon :14% et Filles : 12% (SMART, 2014)</w:t>
            </w:r>
          </w:p>
          <w:p w14:paraId="2DC774AB" w14:textId="77777777" w:rsidR="00DD583B" w:rsidRDefault="00DD583B" w:rsidP="005D2A90">
            <w:pPr>
              <w:rPr>
                <w:rFonts w:ascii="Times New Roman" w:hAnsi="Times New Roman" w:cs="Times New Roman"/>
                <w:bCs/>
              </w:rPr>
            </w:pPr>
          </w:p>
          <w:p w14:paraId="57D39FE8" w14:textId="77777777" w:rsidR="00DD583B" w:rsidRPr="00CE2384" w:rsidRDefault="00DD583B" w:rsidP="005D2A90">
            <w:pPr>
              <w:snapToGrid w:val="0"/>
              <w:rPr>
                <w:rFonts w:ascii="Calibri" w:hAnsi="Calibri"/>
                <w:color w:val="FF0000"/>
                <w:sz w:val="18"/>
                <w:szCs w:val="18"/>
                <w:lang w:val="fr-FR"/>
              </w:rPr>
            </w:pPr>
            <w:r w:rsidRPr="00D2560C">
              <w:rPr>
                <w:rFonts w:ascii="Calibri" w:hAnsi="Calibri"/>
                <w:b/>
                <w:color w:val="FF0000"/>
                <w:sz w:val="18"/>
                <w:szCs w:val="18"/>
              </w:rPr>
              <w:t>Situation en fin 2017</w:t>
            </w:r>
            <w:r w:rsidRPr="00CE2384">
              <w:rPr>
                <w:rFonts w:ascii="Calibri" w:hAnsi="Calibri"/>
                <w:color w:val="FF0000"/>
                <w:sz w:val="18"/>
                <w:szCs w:val="18"/>
              </w:rPr>
              <w:t xml:space="preserve">: </w:t>
            </w:r>
            <w:r>
              <w:rPr>
                <w:rFonts w:ascii="Calibri" w:hAnsi="Calibri"/>
                <w:color w:val="FF0000"/>
                <w:sz w:val="18"/>
                <w:szCs w:val="18"/>
              </w:rPr>
              <w:t>10,7% /  Garcon: 12,2% - Filles: 9,6% (SMART 2017)</w:t>
            </w:r>
          </w:p>
          <w:p w14:paraId="6CAA74AD" w14:textId="77777777" w:rsidR="00DD583B" w:rsidRPr="00D2560C" w:rsidRDefault="00DD583B" w:rsidP="005D2A90">
            <w:pPr>
              <w:rPr>
                <w:rFonts w:ascii="Times New Roman" w:hAnsi="Times New Roman" w:cs="Times New Roman"/>
                <w:bCs/>
                <w:lang w:val="fr-FR"/>
              </w:rPr>
            </w:pPr>
          </w:p>
          <w:p w14:paraId="624AF22E" w14:textId="77777777" w:rsidR="00DD583B" w:rsidRPr="002E5C18" w:rsidRDefault="00DD583B" w:rsidP="005D2A90">
            <w:pPr>
              <w:rPr>
                <w:rFonts w:ascii="Times New Roman" w:hAnsi="Times New Roman" w:cs="Times New Roman"/>
                <w:lang w:val="fr-FR"/>
              </w:rPr>
            </w:pPr>
            <w:r>
              <w:rPr>
                <w:rFonts w:ascii="Times New Roman" w:hAnsi="Times New Roman" w:cs="Times New Roman"/>
                <w:bCs/>
              </w:rPr>
              <w:t xml:space="preserve"> Cible : </w:t>
            </w:r>
            <w:r w:rsidRPr="008B71B5">
              <w:rPr>
                <w:rFonts w:ascii="Times New Roman" w:hAnsi="Times New Roman" w:cs="Times New Roman"/>
                <w:bCs/>
              </w:rPr>
              <w:t>8%</w:t>
            </w:r>
            <w:r>
              <w:rPr>
                <w:rFonts w:ascii="Times New Roman" w:hAnsi="Times New Roman" w:cs="Times New Roman"/>
                <w:bCs/>
              </w:rPr>
              <w:t xml:space="preserve"> (Filles et Garcons)</w:t>
            </w:r>
          </w:p>
        </w:tc>
        <w:tc>
          <w:tcPr>
            <w:tcW w:w="3874" w:type="dxa"/>
            <w:vAlign w:val="center"/>
          </w:tcPr>
          <w:p w14:paraId="7039A6C0"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Mode de calcul :  Rapport Nb d’enfants de 6-59 mois atteints de malnutrition aiguë, sur population générale des enfants de 6-59 mois</w:t>
            </w:r>
          </w:p>
          <w:p w14:paraId="6EBEFDFF" w14:textId="77777777" w:rsidR="00DD583B" w:rsidRPr="008B71B5" w:rsidRDefault="00DD583B" w:rsidP="005D2A90">
            <w:pPr>
              <w:numPr>
                <w:ilvl w:val="0"/>
                <w:numId w:val="35"/>
              </w:numPr>
              <w:suppressAutoHyphens/>
              <w:rPr>
                <w:rFonts w:ascii="Times New Roman" w:hAnsi="Times New Roman" w:cs="Times New Roman"/>
              </w:rPr>
            </w:pPr>
            <w:r w:rsidRPr="00CB0E70">
              <w:rPr>
                <w:rFonts w:ascii="Times New Roman" w:hAnsi="Times New Roman" w:cs="Times New Roman"/>
              </w:rPr>
              <w:t>Sources de données</w:t>
            </w:r>
            <w:r>
              <w:rPr>
                <w:rFonts w:ascii="Times New Roman" w:hAnsi="Times New Roman" w:cs="Times New Roman"/>
              </w:rPr>
              <w:t>/Moyens de vérification</w:t>
            </w:r>
            <w:r w:rsidRPr="00CB0E70">
              <w:rPr>
                <w:rFonts w:ascii="Times New Roman" w:hAnsi="Times New Roman" w:cs="Times New Roman"/>
              </w:rPr>
              <w:t> </w:t>
            </w:r>
            <w:r w:rsidRPr="008B71B5">
              <w:rPr>
                <w:rFonts w:ascii="Times New Roman" w:hAnsi="Times New Roman" w:cs="Times New Roman"/>
              </w:rPr>
              <w:t>: Enquêtes nationales</w:t>
            </w:r>
          </w:p>
          <w:p w14:paraId="30230F5B"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w:t>
            </w:r>
          </w:p>
          <w:p w14:paraId="4C10E94E" w14:textId="77777777" w:rsidR="00DD583B" w:rsidRPr="002E5C18" w:rsidRDefault="00DD583B" w:rsidP="005D2A90">
            <w:pPr>
              <w:pStyle w:val="Paragraphedeliste"/>
              <w:numPr>
                <w:ilvl w:val="0"/>
                <w:numId w:val="15"/>
              </w:numPr>
              <w:rPr>
                <w:lang w:val="fr-FR"/>
              </w:rPr>
            </w:pPr>
            <w:r w:rsidRPr="008B71B5">
              <w:rPr>
                <w:rFonts w:ascii="Times New Roman" w:hAnsi="Times New Roman" w:cs="Times New Roman"/>
              </w:rPr>
              <w:t>Maître d’œuvre : Groupe de Résultat, en rapport avec l’Appareil statistique national</w:t>
            </w:r>
          </w:p>
        </w:tc>
        <w:tc>
          <w:tcPr>
            <w:tcW w:w="2648" w:type="dxa"/>
            <w:vMerge/>
          </w:tcPr>
          <w:p w14:paraId="3FD3279C" w14:textId="77777777" w:rsidR="00DD583B" w:rsidRPr="002E5C18" w:rsidRDefault="00DD583B" w:rsidP="005D2A90">
            <w:pPr>
              <w:rPr>
                <w:lang w:val="fr-FR"/>
              </w:rPr>
            </w:pPr>
          </w:p>
        </w:tc>
        <w:tc>
          <w:tcPr>
            <w:tcW w:w="1974" w:type="dxa"/>
            <w:vMerge/>
          </w:tcPr>
          <w:p w14:paraId="22A35015" w14:textId="77777777" w:rsidR="00DD583B" w:rsidRPr="002E5C18" w:rsidRDefault="00DD583B" w:rsidP="005D2A90">
            <w:pPr>
              <w:rPr>
                <w:lang w:val="fr-FR"/>
              </w:rPr>
            </w:pPr>
          </w:p>
        </w:tc>
        <w:tc>
          <w:tcPr>
            <w:tcW w:w="1250" w:type="dxa"/>
            <w:vMerge/>
          </w:tcPr>
          <w:p w14:paraId="6E44093F" w14:textId="77777777" w:rsidR="00DD583B" w:rsidRPr="002E5C18" w:rsidRDefault="00DD583B" w:rsidP="005D2A90">
            <w:pPr>
              <w:rPr>
                <w:lang w:val="fr-FR"/>
              </w:rPr>
            </w:pPr>
          </w:p>
        </w:tc>
      </w:tr>
      <w:tr w:rsidR="00DD583B" w:rsidRPr="002E5C18" w14:paraId="6FA602A1" w14:textId="77777777" w:rsidTr="005D2A90">
        <w:trPr>
          <w:trHeight w:val="4371"/>
        </w:trPr>
        <w:tc>
          <w:tcPr>
            <w:tcW w:w="2590" w:type="dxa"/>
            <w:vMerge w:val="restart"/>
            <w:shd w:val="clear" w:color="auto" w:fill="DBE5F1" w:themeFill="accent1" w:themeFillTint="33"/>
            <w:vAlign w:val="center"/>
          </w:tcPr>
          <w:p w14:paraId="3B3ECDEE" w14:textId="3C01512A" w:rsidR="00DD583B" w:rsidRDefault="00DD583B" w:rsidP="005D2A90">
            <w:pPr>
              <w:rPr>
                <w:rFonts w:ascii="Times New Roman" w:hAnsi="Times New Roman" w:cs="Times New Roman"/>
                <w:bCs/>
              </w:rPr>
            </w:pPr>
            <w:r w:rsidRPr="008B71B5">
              <w:rPr>
                <w:rFonts w:ascii="Times New Roman" w:hAnsi="Times New Roman" w:cs="Times New Roman"/>
                <w:bCs/>
              </w:rPr>
              <w:lastRenderedPageBreak/>
              <w:t xml:space="preserve">Produit 4.4 Les enfants d’âge préscolaires et scolaires et les jeunes, particulièrement les plus vulnérables ont accès à une éducation de base de qualité  </w:t>
            </w:r>
          </w:p>
          <w:p w14:paraId="736F0624" w14:textId="77777777" w:rsidR="00DD583B" w:rsidRDefault="00DD583B" w:rsidP="005D2A90">
            <w:pPr>
              <w:pBdr>
                <w:top w:val="single" w:sz="4" w:space="1" w:color="auto"/>
              </w:pBdr>
              <w:rPr>
                <w:rFonts w:ascii="Times New Roman" w:hAnsi="Times New Roman" w:cs="Times New Roman"/>
                <w:bCs/>
              </w:rPr>
            </w:pPr>
          </w:p>
          <w:p w14:paraId="054B7563" w14:textId="77777777" w:rsidR="00DD583B" w:rsidRPr="001170D6" w:rsidRDefault="00DD583B" w:rsidP="005D2A90">
            <w:pPr>
              <w:pBdr>
                <w:top w:val="single" w:sz="4" w:space="1" w:color="auto"/>
              </w:pBdr>
              <w:rPr>
                <w:rFonts w:ascii="Times New Roman" w:hAnsi="Times New Roman" w:cs="Times New Roman"/>
                <w:bCs/>
              </w:rPr>
            </w:pPr>
            <w:r w:rsidRPr="001170D6">
              <w:rPr>
                <w:rFonts w:ascii="Times New Roman" w:hAnsi="Times New Roman" w:cs="Times New Roman"/>
                <w:bCs/>
              </w:rPr>
              <w:t>Produit 4.5 Les groupes vulnérables (jeunes filles, garçons et femmes) bénéficient de protection et de prise en charge adéquate contre les violences, abus et exploitation</w:t>
            </w:r>
          </w:p>
          <w:p w14:paraId="3AE3166E" w14:textId="77777777" w:rsidR="00DD583B" w:rsidRPr="001170D6" w:rsidRDefault="00DD583B" w:rsidP="005D2A90"/>
        </w:tc>
        <w:tc>
          <w:tcPr>
            <w:tcW w:w="2832" w:type="dxa"/>
            <w:vAlign w:val="center"/>
          </w:tcPr>
          <w:p w14:paraId="34E04E08" w14:textId="77777777" w:rsidR="00DD583B" w:rsidRDefault="00DD583B" w:rsidP="005D2A90">
            <w:pPr>
              <w:rPr>
                <w:rFonts w:ascii="Times New Roman" w:hAnsi="Times New Roman" w:cs="Times New Roman"/>
                <w:bCs/>
                <w:lang w:val="fr-FR"/>
              </w:rPr>
            </w:pPr>
            <w:r w:rsidRPr="00ED23EE">
              <w:rPr>
                <w:rFonts w:ascii="Times New Roman" w:hAnsi="Times New Roman" w:cs="Times New Roman"/>
                <w:bCs/>
                <w:lang w:val="fr-FR"/>
              </w:rPr>
              <w:t>Indicateur 4.4.1 Nombre de garçons et de filles, déscolarisés et non scolarisés qui participent à l'enseignement/apprentissage primaire (F1 et F2)</w:t>
            </w:r>
          </w:p>
          <w:p w14:paraId="1C1E5B1B" w14:textId="77777777" w:rsidR="00DD583B" w:rsidRPr="00ED23EE" w:rsidRDefault="00DD583B" w:rsidP="005D2A90">
            <w:pPr>
              <w:rPr>
                <w:rFonts w:ascii="Times New Roman" w:hAnsi="Times New Roman" w:cs="Times New Roman"/>
                <w:bCs/>
                <w:lang w:val="fr-FR"/>
              </w:rPr>
            </w:pPr>
          </w:p>
          <w:p w14:paraId="5399D840" w14:textId="77777777" w:rsidR="00DD583B" w:rsidRPr="00ED23EE" w:rsidRDefault="00DD583B" w:rsidP="005D2A90">
            <w:pPr>
              <w:rPr>
                <w:rFonts w:ascii="Times New Roman" w:hAnsi="Times New Roman" w:cs="Times New Roman"/>
                <w:bCs/>
                <w:lang w:val="fr-FR"/>
              </w:rPr>
            </w:pPr>
            <w:r w:rsidRPr="00ED23EE">
              <w:rPr>
                <w:rFonts w:ascii="Times New Roman" w:hAnsi="Times New Roman" w:cs="Times New Roman"/>
                <w:bCs/>
                <w:lang w:val="fr-FR"/>
              </w:rPr>
              <w:t>Base : 1,200,000</w:t>
            </w:r>
          </w:p>
          <w:p w14:paraId="5009E6FE" w14:textId="77777777" w:rsidR="00DD583B" w:rsidRPr="00ED23EE" w:rsidRDefault="00DD583B" w:rsidP="005D2A90">
            <w:pPr>
              <w:rPr>
                <w:rFonts w:ascii="Times New Roman" w:hAnsi="Times New Roman" w:cs="Times New Roman"/>
                <w:bCs/>
                <w:color w:val="FF0000"/>
                <w:lang w:val="fr-FR"/>
              </w:rPr>
            </w:pPr>
            <w:r w:rsidRPr="00ED23EE">
              <w:rPr>
                <w:rFonts w:ascii="Times New Roman" w:hAnsi="Times New Roman" w:cs="Times New Roman"/>
                <w:bCs/>
                <w:color w:val="FF0000"/>
                <w:lang w:val="fr-FR"/>
              </w:rPr>
              <w:t xml:space="preserve">Situation en fin 2017: Total : 1,079,623  </w:t>
            </w:r>
          </w:p>
          <w:p w14:paraId="26EF6CA6" w14:textId="77777777" w:rsidR="00DD583B" w:rsidRPr="00ED23EE" w:rsidRDefault="00DD583B" w:rsidP="005D2A90">
            <w:pPr>
              <w:rPr>
                <w:rFonts w:ascii="Times New Roman" w:hAnsi="Times New Roman" w:cs="Times New Roman"/>
                <w:bCs/>
                <w:color w:val="FF0000"/>
                <w:lang w:val="fr-FR"/>
              </w:rPr>
            </w:pPr>
            <w:r w:rsidRPr="00ED23EE">
              <w:rPr>
                <w:rFonts w:ascii="Times New Roman" w:hAnsi="Times New Roman" w:cs="Times New Roman"/>
                <w:bCs/>
                <w:color w:val="FF0000"/>
                <w:lang w:val="fr-FR"/>
              </w:rPr>
              <w:t>(120,377. Extraits de : i) Rapport  annuel UNICEF 2017 = 35,653 et ii) Rapport UNESCO = 84,724)</w:t>
            </w:r>
          </w:p>
          <w:p w14:paraId="4A27F5FE" w14:textId="77777777" w:rsidR="00DD583B" w:rsidRPr="002E5C18" w:rsidRDefault="00DD583B" w:rsidP="005D2A90">
            <w:pPr>
              <w:rPr>
                <w:lang w:val="fr-FR"/>
              </w:rPr>
            </w:pPr>
            <w:r w:rsidRPr="00ED23EE">
              <w:rPr>
                <w:rFonts w:ascii="Times New Roman" w:hAnsi="Times New Roman" w:cs="Times New Roman"/>
                <w:bCs/>
                <w:lang w:val="fr-FR"/>
              </w:rPr>
              <w:t>Cible: 600,000</w:t>
            </w:r>
          </w:p>
        </w:tc>
        <w:tc>
          <w:tcPr>
            <w:tcW w:w="3874" w:type="dxa"/>
            <w:vAlign w:val="center"/>
          </w:tcPr>
          <w:p w14:paraId="7A14FB5E"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 xml:space="preserve">Mode de calcul : </w:t>
            </w:r>
            <w:r>
              <w:rPr>
                <w:rFonts w:ascii="Times New Roman" w:hAnsi="Times New Roman" w:cs="Times New Roman"/>
              </w:rPr>
              <w:t>Somme totale des garçons et des filles déscolarisés et non scolarisés qui participent à un enseignement/apprentissage de qualité</w:t>
            </w:r>
          </w:p>
          <w:p w14:paraId="11FC4D25" w14:textId="77777777" w:rsidR="00DD583B" w:rsidRPr="008B71B5" w:rsidRDefault="00DD583B" w:rsidP="005D2A90">
            <w:pPr>
              <w:numPr>
                <w:ilvl w:val="0"/>
                <w:numId w:val="35"/>
              </w:numPr>
              <w:suppressAutoHyphens/>
              <w:rPr>
                <w:rFonts w:ascii="Times New Roman" w:hAnsi="Times New Roman" w:cs="Times New Roman"/>
              </w:rPr>
            </w:pPr>
            <w:r w:rsidRPr="00CB0E70">
              <w:rPr>
                <w:rFonts w:ascii="Times New Roman" w:hAnsi="Times New Roman" w:cs="Times New Roman"/>
              </w:rPr>
              <w:t>Sources de données</w:t>
            </w:r>
            <w:r>
              <w:rPr>
                <w:rFonts w:ascii="Times New Roman" w:hAnsi="Times New Roman" w:cs="Times New Roman"/>
              </w:rPr>
              <w:t>/Moyens de vérification</w:t>
            </w:r>
            <w:r w:rsidRPr="00CB0E70">
              <w:rPr>
                <w:rFonts w:ascii="Times New Roman" w:hAnsi="Times New Roman" w:cs="Times New Roman"/>
              </w:rPr>
              <w:t> </w:t>
            </w:r>
            <w:r w:rsidRPr="008B71B5">
              <w:rPr>
                <w:rFonts w:ascii="Times New Roman" w:hAnsi="Times New Roman" w:cs="Times New Roman"/>
              </w:rPr>
              <w:t xml:space="preserve">: </w:t>
            </w:r>
            <w:r>
              <w:rPr>
                <w:rFonts w:ascii="Times New Roman" w:hAnsi="Times New Roman" w:cs="Times New Roman"/>
              </w:rPr>
              <w:t xml:space="preserve">Rapports annuels des agences (UNICEF, UNESCO), </w:t>
            </w:r>
            <w:r w:rsidRPr="008B71B5">
              <w:rPr>
                <w:rFonts w:ascii="Times New Roman" w:hAnsi="Times New Roman" w:cs="Times New Roman"/>
              </w:rPr>
              <w:t>Données et Enquêtes nationales</w:t>
            </w:r>
          </w:p>
          <w:p w14:paraId="172851FF"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w:t>
            </w:r>
          </w:p>
          <w:p w14:paraId="00DE570B" w14:textId="77777777" w:rsidR="00DD583B" w:rsidRPr="002E5C18" w:rsidRDefault="00DD583B" w:rsidP="005D2A90">
            <w:pPr>
              <w:pStyle w:val="Paragraphedeliste"/>
              <w:numPr>
                <w:ilvl w:val="0"/>
                <w:numId w:val="16"/>
              </w:numPr>
              <w:rPr>
                <w:lang w:val="fr-FR"/>
              </w:rPr>
            </w:pPr>
            <w:r w:rsidRPr="008B71B5">
              <w:rPr>
                <w:rFonts w:ascii="Times New Roman" w:hAnsi="Times New Roman" w:cs="Times New Roman"/>
              </w:rPr>
              <w:t>Maître d’œuvre : Groupe de Résultat, en rapport avec l’Appareil statistique national Résultat</w:t>
            </w:r>
          </w:p>
        </w:tc>
        <w:tc>
          <w:tcPr>
            <w:tcW w:w="2648" w:type="dxa"/>
            <w:vMerge w:val="restart"/>
          </w:tcPr>
          <w:p w14:paraId="6CBDE555" w14:textId="77777777" w:rsidR="00DD583B" w:rsidRDefault="00DD583B" w:rsidP="005D2A90">
            <w:pPr>
              <w:rPr>
                <w:lang w:val="fr-FR"/>
              </w:rPr>
            </w:pPr>
            <w:r>
              <w:rPr>
                <w:lang w:val="fr-FR"/>
              </w:rPr>
              <w:t>Poursuite de la fermeture de classes dans une logique de rejet du modèle éducatif proposé</w:t>
            </w:r>
          </w:p>
          <w:p w14:paraId="4C13F1C1" w14:textId="77777777" w:rsidR="00DD583B" w:rsidRDefault="00DD583B" w:rsidP="005D2A90">
            <w:pPr>
              <w:rPr>
                <w:lang w:val="fr-FR"/>
              </w:rPr>
            </w:pPr>
          </w:p>
          <w:p w14:paraId="342E5281" w14:textId="77777777" w:rsidR="00DD583B" w:rsidRDefault="00DD583B" w:rsidP="005D2A90"/>
          <w:p w14:paraId="701FED16" w14:textId="77777777" w:rsidR="00DD583B" w:rsidRDefault="00DD583B" w:rsidP="005D2A90"/>
          <w:p w14:paraId="13D7571C" w14:textId="77777777" w:rsidR="00DD583B" w:rsidRDefault="00DD583B" w:rsidP="005D2A90"/>
          <w:p w14:paraId="47359939" w14:textId="77777777" w:rsidR="00DD583B" w:rsidRDefault="00DD583B" w:rsidP="005D2A90"/>
          <w:p w14:paraId="6E44078E" w14:textId="77777777" w:rsidR="00DD583B" w:rsidRDefault="00DD583B" w:rsidP="005D2A90"/>
          <w:p w14:paraId="42E2C959" w14:textId="77777777" w:rsidR="00DD583B" w:rsidRDefault="00DD583B" w:rsidP="005D2A90"/>
          <w:p w14:paraId="1153316E" w14:textId="77777777" w:rsidR="00DD583B" w:rsidRDefault="00DD583B" w:rsidP="005D2A90"/>
          <w:p w14:paraId="3F9BF11F" w14:textId="77777777" w:rsidR="00DD583B" w:rsidRDefault="00DD583B" w:rsidP="005D2A90"/>
          <w:p w14:paraId="5C7E19E3" w14:textId="77777777" w:rsidR="00DD583B" w:rsidRDefault="00DD583B" w:rsidP="005D2A90"/>
          <w:p w14:paraId="6CB3FB52" w14:textId="77777777" w:rsidR="00DD583B" w:rsidRDefault="00DD583B" w:rsidP="005D2A90"/>
          <w:p w14:paraId="4FBD5B2B" w14:textId="77777777" w:rsidR="00DD583B" w:rsidRDefault="00DD583B" w:rsidP="005D2A90"/>
          <w:p w14:paraId="2E5F6D7E" w14:textId="77777777" w:rsidR="00DD583B" w:rsidRDefault="00DD583B" w:rsidP="005D2A90"/>
          <w:p w14:paraId="1DF851B1" w14:textId="77777777" w:rsidR="00DD583B" w:rsidRDefault="00DD583B" w:rsidP="005D2A90"/>
          <w:p w14:paraId="5A62C1C0" w14:textId="77777777" w:rsidR="00DD583B" w:rsidRDefault="00DD583B" w:rsidP="005D2A90"/>
          <w:p w14:paraId="19AFC369" w14:textId="77777777" w:rsidR="00DD583B" w:rsidRDefault="00DD583B" w:rsidP="005D2A90"/>
          <w:p w14:paraId="06E852C3" w14:textId="77777777" w:rsidR="00DD583B" w:rsidRDefault="00DD583B" w:rsidP="005D2A90"/>
          <w:p w14:paraId="19BBBE7C" w14:textId="77777777" w:rsidR="00DD583B" w:rsidRDefault="00DD583B" w:rsidP="005D2A90"/>
          <w:p w14:paraId="52876500" w14:textId="77777777" w:rsidR="00DD583B" w:rsidRDefault="00DD583B" w:rsidP="005D2A90"/>
          <w:p w14:paraId="2F3A958E" w14:textId="77777777" w:rsidR="00DD583B" w:rsidRDefault="00DD583B" w:rsidP="005D2A90"/>
          <w:p w14:paraId="75883948" w14:textId="77777777" w:rsidR="00DD583B" w:rsidRDefault="00DD583B" w:rsidP="005D2A90"/>
          <w:p w14:paraId="060A710D" w14:textId="77777777" w:rsidR="00DD583B" w:rsidRDefault="00DD583B" w:rsidP="005D2A90">
            <w:r>
              <w:t xml:space="preserve">Insécurité </w:t>
            </w:r>
          </w:p>
          <w:p w14:paraId="599FB6CB" w14:textId="77777777" w:rsidR="00DD583B" w:rsidRDefault="00DD583B" w:rsidP="005D2A90"/>
          <w:p w14:paraId="5F3476FD" w14:textId="77777777" w:rsidR="00DD583B" w:rsidRDefault="00DD583B" w:rsidP="005D2A90">
            <w:r>
              <w:t xml:space="preserve">Grève d’enseignants </w:t>
            </w:r>
          </w:p>
          <w:p w14:paraId="7AC5C1AA" w14:textId="77777777" w:rsidR="00DD583B" w:rsidRDefault="00DD583B" w:rsidP="005D2A90">
            <w:r>
              <w:t>Insufficance de ressource</w:t>
            </w:r>
          </w:p>
          <w:p w14:paraId="0FA39D55" w14:textId="77777777" w:rsidR="00DD583B" w:rsidRDefault="00DD583B" w:rsidP="005D2A90"/>
          <w:p w14:paraId="12D7820D" w14:textId="77777777" w:rsidR="00DD583B" w:rsidRDefault="00DD583B" w:rsidP="005D2A90"/>
          <w:p w14:paraId="70A4DABA" w14:textId="77777777" w:rsidR="00DD583B" w:rsidRDefault="00DD583B" w:rsidP="005D2A90"/>
          <w:p w14:paraId="7F67FFA3" w14:textId="77777777" w:rsidR="00DD583B" w:rsidRDefault="00DD583B" w:rsidP="005D2A90"/>
          <w:p w14:paraId="53C709F9" w14:textId="77777777" w:rsidR="00DD583B" w:rsidRDefault="00DD583B" w:rsidP="005D2A90"/>
          <w:p w14:paraId="15D675BE" w14:textId="77777777" w:rsidR="00DD583B" w:rsidRDefault="00DD583B" w:rsidP="005D2A90"/>
          <w:p w14:paraId="5F6FBD28" w14:textId="77777777" w:rsidR="00DD583B" w:rsidRDefault="00DD583B" w:rsidP="005D2A90"/>
          <w:p w14:paraId="5CB89E24" w14:textId="77777777" w:rsidR="00DD583B" w:rsidRDefault="00DD583B" w:rsidP="005D2A90"/>
          <w:p w14:paraId="3197B986" w14:textId="77777777" w:rsidR="00DD583B" w:rsidRDefault="00DD583B" w:rsidP="005D2A90"/>
          <w:p w14:paraId="24B5197B" w14:textId="77777777" w:rsidR="00DD583B" w:rsidRDefault="00DD583B" w:rsidP="005D2A90"/>
          <w:p w14:paraId="529F4851" w14:textId="77777777" w:rsidR="00DD583B" w:rsidRDefault="00DD583B" w:rsidP="005D2A90"/>
          <w:p w14:paraId="43A633F3" w14:textId="77777777" w:rsidR="00DD583B" w:rsidRDefault="00DD583B" w:rsidP="005D2A90"/>
          <w:p w14:paraId="5A23DA07" w14:textId="77777777" w:rsidR="00DD583B" w:rsidRDefault="00DD583B" w:rsidP="005D2A90"/>
          <w:p w14:paraId="2C7015D6" w14:textId="77777777" w:rsidR="00DD583B" w:rsidRDefault="00DD583B" w:rsidP="005D2A90"/>
          <w:p w14:paraId="63027DAB" w14:textId="77777777" w:rsidR="00DD583B" w:rsidRDefault="00DD583B" w:rsidP="005D2A90"/>
          <w:p w14:paraId="719BFB89" w14:textId="77777777" w:rsidR="00DD583B" w:rsidRDefault="00DD583B" w:rsidP="005D2A90"/>
          <w:p w14:paraId="080D9EA0" w14:textId="77777777" w:rsidR="00DD583B" w:rsidRDefault="00DD583B" w:rsidP="005D2A90"/>
          <w:p w14:paraId="0D8B0A50" w14:textId="77777777" w:rsidR="00DD583B" w:rsidRDefault="00DD583B" w:rsidP="005D2A90"/>
          <w:p w14:paraId="2A175CA8" w14:textId="77777777" w:rsidR="00DD583B" w:rsidRDefault="00DD583B" w:rsidP="005D2A90"/>
          <w:p w14:paraId="5D4A5858" w14:textId="77777777" w:rsidR="00DD583B" w:rsidRDefault="00DD583B" w:rsidP="005D2A90"/>
          <w:p w14:paraId="082C1478" w14:textId="77777777" w:rsidR="00DD583B" w:rsidRDefault="00DD583B" w:rsidP="005D2A90"/>
          <w:p w14:paraId="1E19F3AC" w14:textId="77777777" w:rsidR="00DD583B" w:rsidRDefault="00DD583B" w:rsidP="005D2A90"/>
          <w:p w14:paraId="64A5CA2D" w14:textId="77777777" w:rsidR="00DD583B" w:rsidRDefault="00DD583B" w:rsidP="005D2A90"/>
          <w:p w14:paraId="4749FF22" w14:textId="77777777" w:rsidR="00DD583B" w:rsidRDefault="00DD583B" w:rsidP="005D2A90"/>
          <w:p w14:paraId="7CCD8C92" w14:textId="77777777" w:rsidR="00DD583B" w:rsidRDefault="00DD583B" w:rsidP="005D2A90"/>
          <w:p w14:paraId="7496B958" w14:textId="77777777" w:rsidR="00DD583B" w:rsidRDefault="00DD583B" w:rsidP="005D2A90"/>
          <w:p w14:paraId="55514BFF" w14:textId="77777777" w:rsidR="00DD583B" w:rsidRDefault="00DD583B" w:rsidP="005D2A90"/>
          <w:p w14:paraId="2ADD4630" w14:textId="77777777" w:rsidR="00DD583B" w:rsidRDefault="00DD583B" w:rsidP="005D2A90"/>
          <w:p w14:paraId="05DA5D08" w14:textId="77777777" w:rsidR="00DD583B" w:rsidRDefault="00DD583B" w:rsidP="005D2A90"/>
          <w:p w14:paraId="252FBB39" w14:textId="77777777" w:rsidR="00DD583B" w:rsidRDefault="00DD583B" w:rsidP="005D2A90"/>
          <w:p w14:paraId="332E3FD7" w14:textId="77777777" w:rsidR="00DD583B" w:rsidRPr="002E5C18" w:rsidRDefault="00DD583B" w:rsidP="005D2A90">
            <w:pPr>
              <w:rPr>
                <w:lang w:val="fr-FR"/>
              </w:rPr>
            </w:pPr>
          </w:p>
        </w:tc>
        <w:tc>
          <w:tcPr>
            <w:tcW w:w="1974" w:type="dxa"/>
            <w:vMerge w:val="restart"/>
          </w:tcPr>
          <w:p w14:paraId="1053F58C" w14:textId="77777777" w:rsidR="00DD583B" w:rsidRDefault="00DD583B" w:rsidP="005D2A90">
            <w:pPr>
              <w:rPr>
                <w:rFonts w:cs="Calibri"/>
                <w:b/>
                <w:bCs/>
                <w:sz w:val="18"/>
                <w:szCs w:val="18"/>
                <w:u w:val="single"/>
              </w:rPr>
            </w:pPr>
          </w:p>
          <w:p w14:paraId="7FFFB88C" w14:textId="77777777" w:rsidR="00DD583B" w:rsidRDefault="00DD583B" w:rsidP="005D2A90">
            <w:pPr>
              <w:rPr>
                <w:rFonts w:cs="Calibri"/>
                <w:b/>
                <w:bCs/>
                <w:sz w:val="18"/>
                <w:szCs w:val="18"/>
                <w:u w:val="single"/>
              </w:rPr>
            </w:pPr>
          </w:p>
          <w:p w14:paraId="1057D803" w14:textId="77777777" w:rsidR="00DD583B" w:rsidRDefault="00DD583B" w:rsidP="005D2A90">
            <w:pPr>
              <w:rPr>
                <w:rFonts w:cs="Calibri"/>
                <w:b/>
                <w:bCs/>
                <w:sz w:val="18"/>
                <w:szCs w:val="18"/>
                <w:u w:val="single"/>
              </w:rPr>
            </w:pPr>
          </w:p>
          <w:p w14:paraId="15069607" w14:textId="77777777" w:rsidR="00DD583B" w:rsidRDefault="00DD583B" w:rsidP="005D2A90">
            <w:pPr>
              <w:rPr>
                <w:rFonts w:cs="Calibri"/>
                <w:b/>
                <w:bCs/>
                <w:sz w:val="18"/>
                <w:szCs w:val="18"/>
                <w:u w:val="single"/>
              </w:rPr>
            </w:pPr>
          </w:p>
          <w:p w14:paraId="38B64117" w14:textId="77777777" w:rsidR="00DD583B" w:rsidRDefault="00DD583B" w:rsidP="005D2A90">
            <w:pPr>
              <w:rPr>
                <w:rFonts w:cs="Calibri"/>
                <w:b/>
                <w:bCs/>
                <w:sz w:val="18"/>
                <w:szCs w:val="18"/>
                <w:u w:val="single"/>
              </w:rPr>
            </w:pPr>
          </w:p>
          <w:p w14:paraId="42EBF230" w14:textId="77777777" w:rsidR="00DD583B" w:rsidRDefault="00DD583B" w:rsidP="005D2A90">
            <w:pPr>
              <w:rPr>
                <w:rFonts w:cs="Calibri"/>
                <w:b/>
                <w:bCs/>
                <w:sz w:val="18"/>
                <w:szCs w:val="18"/>
                <w:u w:val="single"/>
              </w:rPr>
            </w:pPr>
          </w:p>
          <w:p w14:paraId="70B6E550" w14:textId="77777777" w:rsidR="00DD583B" w:rsidRDefault="00DD583B" w:rsidP="005D2A90">
            <w:pPr>
              <w:rPr>
                <w:rFonts w:cs="Calibri"/>
                <w:b/>
                <w:bCs/>
                <w:sz w:val="18"/>
                <w:szCs w:val="18"/>
                <w:u w:val="single"/>
              </w:rPr>
            </w:pPr>
          </w:p>
          <w:p w14:paraId="33883203" w14:textId="77777777" w:rsidR="00DD583B" w:rsidRDefault="00DD583B" w:rsidP="005D2A90">
            <w:pPr>
              <w:rPr>
                <w:rFonts w:cs="Calibri"/>
                <w:b/>
                <w:bCs/>
                <w:sz w:val="18"/>
                <w:szCs w:val="18"/>
                <w:u w:val="single"/>
              </w:rPr>
            </w:pPr>
          </w:p>
          <w:p w14:paraId="0AF371FD" w14:textId="77777777" w:rsidR="00DD583B" w:rsidRDefault="00DD583B" w:rsidP="005D2A90">
            <w:pPr>
              <w:rPr>
                <w:rFonts w:cs="Calibri"/>
                <w:b/>
                <w:bCs/>
                <w:sz w:val="18"/>
                <w:szCs w:val="18"/>
                <w:u w:val="single"/>
              </w:rPr>
            </w:pPr>
          </w:p>
          <w:p w14:paraId="3868A2AB" w14:textId="77777777" w:rsidR="00DD583B" w:rsidRDefault="00DD583B" w:rsidP="005D2A90">
            <w:pPr>
              <w:rPr>
                <w:rFonts w:cs="Calibri"/>
                <w:b/>
                <w:bCs/>
                <w:sz w:val="18"/>
                <w:szCs w:val="18"/>
                <w:u w:val="single"/>
              </w:rPr>
            </w:pPr>
          </w:p>
          <w:p w14:paraId="213556F6" w14:textId="77777777" w:rsidR="00DD583B" w:rsidRDefault="00DD583B" w:rsidP="005D2A90">
            <w:pPr>
              <w:rPr>
                <w:rFonts w:cs="Calibri"/>
                <w:b/>
                <w:bCs/>
                <w:sz w:val="18"/>
                <w:szCs w:val="18"/>
                <w:u w:val="single"/>
              </w:rPr>
            </w:pPr>
          </w:p>
          <w:p w14:paraId="1655D0DE" w14:textId="77777777" w:rsidR="00DD583B" w:rsidRDefault="00DD583B" w:rsidP="005D2A90">
            <w:pPr>
              <w:rPr>
                <w:rFonts w:cs="Calibri"/>
                <w:b/>
                <w:bCs/>
                <w:sz w:val="18"/>
                <w:szCs w:val="18"/>
                <w:u w:val="single"/>
              </w:rPr>
            </w:pPr>
          </w:p>
          <w:p w14:paraId="753AA2A5" w14:textId="77777777" w:rsidR="00DD583B" w:rsidRDefault="00DD583B" w:rsidP="005D2A90">
            <w:pPr>
              <w:rPr>
                <w:rFonts w:cs="Calibri"/>
                <w:b/>
                <w:bCs/>
                <w:sz w:val="18"/>
                <w:szCs w:val="18"/>
                <w:u w:val="single"/>
              </w:rPr>
            </w:pPr>
          </w:p>
          <w:p w14:paraId="657E9783" w14:textId="77777777" w:rsidR="00DD583B" w:rsidRDefault="00DD583B" w:rsidP="005D2A90">
            <w:pPr>
              <w:rPr>
                <w:rFonts w:cs="Calibri"/>
                <w:b/>
                <w:bCs/>
                <w:sz w:val="18"/>
                <w:szCs w:val="18"/>
                <w:u w:val="single"/>
              </w:rPr>
            </w:pPr>
          </w:p>
          <w:p w14:paraId="44877B4B" w14:textId="77777777" w:rsidR="00DD583B" w:rsidRDefault="00DD583B" w:rsidP="005D2A90">
            <w:pPr>
              <w:rPr>
                <w:rFonts w:cs="Calibri"/>
                <w:b/>
                <w:bCs/>
                <w:sz w:val="18"/>
                <w:szCs w:val="18"/>
                <w:u w:val="single"/>
              </w:rPr>
            </w:pPr>
          </w:p>
          <w:p w14:paraId="1C91CC02" w14:textId="77777777" w:rsidR="00DD583B" w:rsidRDefault="00DD583B" w:rsidP="005D2A90">
            <w:pPr>
              <w:rPr>
                <w:rFonts w:cs="Calibri"/>
                <w:b/>
                <w:bCs/>
                <w:sz w:val="18"/>
                <w:szCs w:val="18"/>
                <w:u w:val="single"/>
              </w:rPr>
            </w:pPr>
          </w:p>
          <w:p w14:paraId="204C2173" w14:textId="77777777" w:rsidR="00DD583B" w:rsidRDefault="00DD583B" w:rsidP="005D2A90">
            <w:pPr>
              <w:rPr>
                <w:rFonts w:cs="Calibri"/>
                <w:b/>
                <w:bCs/>
                <w:sz w:val="18"/>
                <w:szCs w:val="18"/>
                <w:u w:val="single"/>
              </w:rPr>
            </w:pPr>
          </w:p>
          <w:p w14:paraId="23ABFF83" w14:textId="77777777" w:rsidR="00DD583B" w:rsidRDefault="00DD583B" w:rsidP="005D2A90">
            <w:pPr>
              <w:rPr>
                <w:rFonts w:cs="Calibri"/>
                <w:b/>
                <w:bCs/>
                <w:sz w:val="18"/>
                <w:szCs w:val="18"/>
                <w:u w:val="single"/>
              </w:rPr>
            </w:pPr>
          </w:p>
          <w:p w14:paraId="18760A0D" w14:textId="77777777" w:rsidR="00DD583B" w:rsidRDefault="00DD583B" w:rsidP="005D2A90">
            <w:pPr>
              <w:rPr>
                <w:rFonts w:cs="Calibri"/>
                <w:b/>
                <w:bCs/>
                <w:sz w:val="18"/>
                <w:szCs w:val="18"/>
                <w:u w:val="single"/>
              </w:rPr>
            </w:pPr>
          </w:p>
          <w:p w14:paraId="036C56D0" w14:textId="77777777" w:rsidR="00DD583B" w:rsidRDefault="00DD583B" w:rsidP="005D2A90">
            <w:pPr>
              <w:rPr>
                <w:rFonts w:cs="Calibri"/>
                <w:b/>
                <w:bCs/>
                <w:sz w:val="18"/>
                <w:szCs w:val="18"/>
                <w:u w:val="single"/>
              </w:rPr>
            </w:pPr>
          </w:p>
          <w:p w14:paraId="6E4B24FA" w14:textId="77777777" w:rsidR="00DD583B" w:rsidRDefault="00DD583B" w:rsidP="005D2A90">
            <w:pPr>
              <w:rPr>
                <w:rFonts w:cs="Calibri"/>
                <w:b/>
                <w:bCs/>
                <w:sz w:val="18"/>
                <w:szCs w:val="18"/>
                <w:u w:val="single"/>
              </w:rPr>
            </w:pPr>
          </w:p>
          <w:p w14:paraId="53D68C98" w14:textId="77777777" w:rsidR="00DD583B" w:rsidRDefault="00DD583B" w:rsidP="005D2A90">
            <w:pPr>
              <w:rPr>
                <w:rFonts w:cs="Calibri"/>
                <w:b/>
                <w:bCs/>
                <w:sz w:val="18"/>
                <w:szCs w:val="18"/>
                <w:u w:val="single"/>
              </w:rPr>
            </w:pPr>
          </w:p>
          <w:p w14:paraId="68DC9422" w14:textId="77777777" w:rsidR="00DD583B" w:rsidRDefault="00DD583B" w:rsidP="005D2A90">
            <w:pPr>
              <w:rPr>
                <w:rFonts w:cs="Calibri"/>
                <w:b/>
                <w:bCs/>
                <w:sz w:val="18"/>
                <w:szCs w:val="18"/>
                <w:u w:val="single"/>
              </w:rPr>
            </w:pPr>
          </w:p>
          <w:p w14:paraId="712BD249" w14:textId="77777777" w:rsidR="00DD583B" w:rsidRDefault="00DD583B" w:rsidP="005D2A90">
            <w:pPr>
              <w:rPr>
                <w:rFonts w:cs="Calibri"/>
                <w:b/>
                <w:bCs/>
                <w:sz w:val="18"/>
                <w:szCs w:val="18"/>
                <w:u w:val="single"/>
              </w:rPr>
            </w:pPr>
          </w:p>
          <w:p w14:paraId="392F36FA" w14:textId="77777777" w:rsidR="00DD583B" w:rsidRDefault="00DD583B" w:rsidP="005D2A90">
            <w:pPr>
              <w:rPr>
                <w:rFonts w:cs="Calibri"/>
                <w:b/>
                <w:bCs/>
                <w:sz w:val="18"/>
                <w:szCs w:val="18"/>
                <w:u w:val="single"/>
              </w:rPr>
            </w:pPr>
          </w:p>
          <w:p w14:paraId="635CE36B" w14:textId="77777777" w:rsidR="00DD583B" w:rsidRDefault="00DD583B" w:rsidP="005D2A90">
            <w:pPr>
              <w:rPr>
                <w:rFonts w:cs="Calibri"/>
                <w:b/>
                <w:bCs/>
                <w:sz w:val="18"/>
                <w:szCs w:val="18"/>
                <w:u w:val="single"/>
              </w:rPr>
            </w:pPr>
          </w:p>
          <w:p w14:paraId="7D8D6E76" w14:textId="77777777" w:rsidR="00DD583B" w:rsidRDefault="00DD583B" w:rsidP="005D2A90">
            <w:pPr>
              <w:rPr>
                <w:rFonts w:cs="Calibri"/>
                <w:b/>
                <w:bCs/>
                <w:sz w:val="18"/>
                <w:szCs w:val="18"/>
                <w:u w:val="single"/>
              </w:rPr>
            </w:pPr>
          </w:p>
          <w:p w14:paraId="35D3A8F7" w14:textId="77777777" w:rsidR="00DD583B" w:rsidRDefault="00DD583B" w:rsidP="005D2A90">
            <w:pPr>
              <w:rPr>
                <w:rFonts w:cs="Calibri"/>
                <w:b/>
                <w:bCs/>
                <w:sz w:val="18"/>
                <w:szCs w:val="18"/>
                <w:u w:val="single"/>
              </w:rPr>
            </w:pPr>
          </w:p>
          <w:p w14:paraId="1405EE90" w14:textId="77777777" w:rsidR="00DD583B" w:rsidRDefault="00DD583B" w:rsidP="005D2A90">
            <w:pPr>
              <w:rPr>
                <w:rFonts w:cs="Calibri"/>
                <w:b/>
                <w:bCs/>
                <w:sz w:val="18"/>
                <w:szCs w:val="18"/>
                <w:u w:val="single"/>
              </w:rPr>
            </w:pPr>
          </w:p>
          <w:p w14:paraId="429DD431" w14:textId="77777777" w:rsidR="00DD583B" w:rsidRPr="001914E5" w:rsidRDefault="00DD583B" w:rsidP="005D2A90">
            <w:pPr>
              <w:rPr>
                <w:rFonts w:cs="Calibri"/>
                <w:sz w:val="18"/>
                <w:szCs w:val="18"/>
                <w:lang w:val="fr-FR"/>
              </w:rPr>
            </w:pPr>
            <w:r w:rsidRPr="001914E5">
              <w:rPr>
                <w:rFonts w:cs="Calibri"/>
                <w:bCs/>
                <w:sz w:val="18"/>
                <w:szCs w:val="18"/>
                <w:u w:val="single"/>
              </w:rPr>
              <w:t>Gouvernement</w:t>
            </w:r>
          </w:p>
          <w:p w14:paraId="3BE23963" w14:textId="77777777" w:rsidR="00DD583B" w:rsidRPr="001914E5" w:rsidRDefault="00DD583B" w:rsidP="005D2A90">
            <w:pPr>
              <w:jc w:val="center"/>
              <w:rPr>
                <w:rFonts w:cs="Calibri"/>
                <w:sz w:val="18"/>
                <w:szCs w:val="18"/>
                <w:u w:val="single"/>
              </w:rPr>
            </w:pPr>
          </w:p>
          <w:p w14:paraId="70C05FC8" w14:textId="77777777" w:rsidR="00DD583B" w:rsidRPr="001914E5" w:rsidRDefault="00DD583B" w:rsidP="005D2A90">
            <w:pPr>
              <w:rPr>
                <w:rFonts w:cs="Calibri"/>
                <w:sz w:val="18"/>
                <w:szCs w:val="18"/>
              </w:rPr>
            </w:pPr>
            <w:r w:rsidRPr="001914E5">
              <w:rPr>
                <w:rFonts w:cs="Calibri"/>
                <w:sz w:val="18"/>
                <w:szCs w:val="18"/>
                <w:u w:val="single"/>
              </w:rPr>
              <w:t>Collectivités locales</w:t>
            </w:r>
            <w:r w:rsidRPr="001914E5">
              <w:rPr>
                <w:rFonts w:cs="Calibri"/>
                <w:sz w:val="18"/>
                <w:szCs w:val="18"/>
              </w:rPr>
              <w:t> </w:t>
            </w:r>
          </w:p>
          <w:p w14:paraId="1F276D2D" w14:textId="77777777" w:rsidR="00DD583B" w:rsidRPr="001914E5" w:rsidRDefault="00DD583B" w:rsidP="005D2A90">
            <w:pPr>
              <w:rPr>
                <w:rFonts w:cs="Calibri"/>
                <w:sz w:val="18"/>
                <w:szCs w:val="18"/>
              </w:rPr>
            </w:pPr>
            <w:r w:rsidRPr="001914E5">
              <w:rPr>
                <w:rFonts w:cs="Calibri"/>
                <w:bCs/>
                <w:sz w:val="18"/>
                <w:szCs w:val="18"/>
                <w:u w:val="single"/>
              </w:rPr>
              <w:t>CAP</w:t>
            </w:r>
          </w:p>
          <w:p w14:paraId="46941204" w14:textId="77777777" w:rsidR="00DD583B" w:rsidRPr="001914E5" w:rsidRDefault="00DD583B" w:rsidP="005D2A90">
            <w:pPr>
              <w:rPr>
                <w:rFonts w:cs="Calibri"/>
                <w:sz w:val="18"/>
                <w:szCs w:val="18"/>
                <w:lang w:val="fr-FR"/>
              </w:rPr>
            </w:pPr>
            <w:r w:rsidRPr="001914E5">
              <w:rPr>
                <w:rFonts w:cs="Calibri"/>
                <w:bCs/>
                <w:sz w:val="18"/>
                <w:szCs w:val="18"/>
                <w:u w:val="single"/>
                <w:lang w:val="fr-FR"/>
              </w:rPr>
              <w:t>Communautés</w:t>
            </w:r>
          </w:p>
          <w:p w14:paraId="398405E9" w14:textId="77777777" w:rsidR="00DD583B" w:rsidRDefault="00DD583B" w:rsidP="005D2A90">
            <w:pPr>
              <w:rPr>
                <w:rFonts w:cs="Calibri"/>
                <w:b/>
                <w:bCs/>
                <w:sz w:val="18"/>
                <w:szCs w:val="18"/>
                <w:u w:val="single"/>
              </w:rPr>
            </w:pPr>
            <w:r w:rsidRPr="001914E5">
              <w:rPr>
                <w:rFonts w:cs="Calibri"/>
                <w:bCs/>
                <w:sz w:val="18"/>
                <w:szCs w:val="18"/>
                <w:u w:val="single"/>
                <w:lang w:val="fr-FR"/>
              </w:rPr>
              <w:t>ONG nationales</w:t>
            </w:r>
          </w:p>
          <w:p w14:paraId="18E3890C" w14:textId="77777777" w:rsidR="00DD583B" w:rsidRDefault="00DD583B" w:rsidP="005D2A90">
            <w:pPr>
              <w:rPr>
                <w:rFonts w:cs="Calibri"/>
                <w:b/>
                <w:bCs/>
                <w:sz w:val="18"/>
                <w:szCs w:val="18"/>
                <w:u w:val="single"/>
              </w:rPr>
            </w:pPr>
          </w:p>
          <w:p w14:paraId="6C0D5D2F" w14:textId="77777777" w:rsidR="00DD583B" w:rsidRDefault="00DD583B" w:rsidP="005D2A90">
            <w:pPr>
              <w:rPr>
                <w:rFonts w:cs="Calibri"/>
                <w:b/>
                <w:bCs/>
                <w:sz w:val="18"/>
                <w:szCs w:val="18"/>
                <w:u w:val="single"/>
              </w:rPr>
            </w:pPr>
          </w:p>
          <w:p w14:paraId="57BCCD62" w14:textId="77777777" w:rsidR="00DD583B" w:rsidRDefault="00DD583B" w:rsidP="005D2A90">
            <w:pPr>
              <w:rPr>
                <w:rFonts w:cs="Calibri"/>
                <w:b/>
                <w:bCs/>
                <w:sz w:val="18"/>
                <w:szCs w:val="18"/>
                <w:u w:val="single"/>
              </w:rPr>
            </w:pPr>
          </w:p>
          <w:p w14:paraId="01200571" w14:textId="77777777" w:rsidR="00DD583B" w:rsidRDefault="00DD583B" w:rsidP="005D2A90">
            <w:pPr>
              <w:rPr>
                <w:rFonts w:cs="Calibri"/>
                <w:b/>
                <w:bCs/>
                <w:sz w:val="18"/>
                <w:szCs w:val="18"/>
                <w:u w:val="single"/>
              </w:rPr>
            </w:pPr>
          </w:p>
          <w:p w14:paraId="447D758D" w14:textId="77777777" w:rsidR="00DD583B" w:rsidRDefault="00DD583B" w:rsidP="005D2A90">
            <w:pPr>
              <w:rPr>
                <w:rFonts w:cs="Calibri"/>
                <w:b/>
                <w:bCs/>
                <w:sz w:val="18"/>
                <w:szCs w:val="18"/>
                <w:u w:val="single"/>
              </w:rPr>
            </w:pPr>
          </w:p>
          <w:p w14:paraId="1C13703A" w14:textId="77777777" w:rsidR="00DD583B" w:rsidRDefault="00DD583B" w:rsidP="005D2A90">
            <w:pPr>
              <w:rPr>
                <w:rFonts w:cs="Calibri"/>
                <w:b/>
                <w:bCs/>
                <w:sz w:val="18"/>
                <w:szCs w:val="18"/>
                <w:u w:val="single"/>
              </w:rPr>
            </w:pPr>
          </w:p>
          <w:p w14:paraId="30C52362" w14:textId="77777777" w:rsidR="00DD583B" w:rsidRDefault="00DD583B" w:rsidP="005D2A90">
            <w:pPr>
              <w:rPr>
                <w:rFonts w:cs="Calibri"/>
                <w:b/>
                <w:bCs/>
                <w:sz w:val="18"/>
                <w:szCs w:val="18"/>
                <w:u w:val="single"/>
              </w:rPr>
            </w:pPr>
          </w:p>
          <w:p w14:paraId="15EB36ED" w14:textId="77777777" w:rsidR="00DD583B" w:rsidRDefault="00DD583B" w:rsidP="005D2A90">
            <w:pPr>
              <w:rPr>
                <w:rFonts w:cs="Calibri"/>
                <w:b/>
                <w:bCs/>
                <w:sz w:val="18"/>
                <w:szCs w:val="18"/>
                <w:u w:val="single"/>
              </w:rPr>
            </w:pPr>
          </w:p>
          <w:p w14:paraId="7BA6F125" w14:textId="77777777" w:rsidR="00DD583B" w:rsidRDefault="00DD583B" w:rsidP="005D2A90">
            <w:pPr>
              <w:rPr>
                <w:rFonts w:cs="Calibri"/>
                <w:b/>
                <w:bCs/>
                <w:sz w:val="18"/>
                <w:szCs w:val="18"/>
                <w:u w:val="single"/>
              </w:rPr>
            </w:pPr>
          </w:p>
          <w:p w14:paraId="4E7E0A7B" w14:textId="77777777" w:rsidR="00DD583B" w:rsidRDefault="00DD583B" w:rsidP="005D2A90">
            <w:pPr>
              <w:rPr>
                <w:rFonts w:cs="Calibri"/>
                <w:b/>
                <w:bCs/>
                <w:sz w:val="18"/>
                <w:szCs w:val="18"/>
                <w:u w:val="single"/>
              </w:rPr>
            </w:pPr>
          </w:p>
          <w:p w14:paraId="5464FC34" w14:textId="77777777" w:rsidR="00DD583B" w:rsidRDefault="00DD583B" w:rsidP="005D2A90">
            <w:pPr>
              <w:rPr>
                <w:rFonts w:cs="Calibri"/>
                <w:b/>
                <w:bCs/>
                <w:sz w:val="18"/>
                <w:szCs w:val="18"/>
                <w:u w:val="single"/>
              </w:rPr>
            </w:pPr>
          </w:p>
          <w:p w14:paraId="412C49D5" w14:textId="77777777" w:rsidR="00DD583B" w:rsidRDefault="00DD583B" w:rsidP="005D2A90">
            <w:pPr>
              <w:rPr>
                <w:rFonts w:cs="Calibri"/>
                <w:b/>
                <w:bCs/>
                <w:sz w:val="18"/>
                <w:szCs w:val="18"/>
                <w:u w:val="single"/>
              </w:rPr>
            </w:pPr>
          </w:p>
          <w:p w14:paraId="5B193C48" w14:textId="77777777" w:rsidR="00DD583B" w:rsidRDefault="00DD583B" w:rsidP="005D2A90">
            <w:pPr>
              <w:rPr>
                <w:rFonts w:cs="Calibri"/>
                <w:b/>
                <w:bCs/>
                <w:sz w:val="18"/>
                <w:szCs w:val="18"/>
                <w:u w:val="single"/>
              </w:rPr>
            </w:pPr>
          </w:p>
          <w:p w14:paraId="722A7011" w14:textId="77777777" w:rsidR="00DD583B" w:rsidRDefault="00DD583B" w:rsidP="005D2A90">
            <w:pPr>
              <w:rPr>
                <w:rFonts w:cs="Calibri"/>
                <w:b/>
                <w:bCs/>
                <w:sz w:val="18"/>
                <w:szCs w:val="18"/>
                <w:u w:val="single"/>
              </w:rPr>
            </w:pPr>
          </w:p>
          <w:p w14:paraId="611A3B2D" w14:textId="77777777" w:rsidR="00DD583B" w:rsidRDefault="00DD583B" w:rsidP="005D2A90">
            <w:pPr>
              <w:rPr>
                <w:rFonts w:cs="Calibri"/>
                <w:b/>
                <w:bCs/>
                <w:sz w:val="18"/>
                <w:szCs w:val="18"/>
                <w:u w:val="single"/>
              </w:rPr>
            </w:pPr>
          </w:p>
          <w:p w14:paraId="465D290E" w14:textId="77777777" w:rsidR="00DD583B" w:rsidRDefault="00DD583B" w:rsidP="005D2A90">
            <w:pPr>
              <w:rPr>
                <w:rFonts w:cs="Calibri"/>
                <w:b/>
                <w:bCs/>
                <w:sz w:val="18"/>
                <w:szCs w:val="18"/>
                <w:u w:val="single"/>
              </w:rPr>
            </w:pPr>
          </w:p>
          <w:p w14:paraId="7EFCD3A7" w14:textId="77777777" w:rsidR="00DD583B" w:rsidRDefault="00DD583B" w:rsidP="005D2A90">
            <w:pPr>
              <w:rPr>
                <w:rFonts w:cs="Calibri"/>
                <w:b/>
                <w:bCs/>
                <w:sz w:val="18"/>
                <w:szCs w:val="18"/>
                <w:u w:val="single"/>
              </w:rPr>
            </w:pPr>
          </w:p>
          <w:p w14:paraId="44509824" w14:textId="77777777" w:rsidR="00DD583B" w:rsidRDefault="00DD583B" w:rsidP="005D2A90">
            <w:pPr>
              <w:rPr>
                <w:rFonts w:cs="Calibri"/>
                <w:b/>
                <w:bCs/>
                <w:sz w:val="18"/>
                <w:szCs w:val="18"/>
                <w:u w:val="single"/>
              </w:rPr>
            </w:pPr>
          </w:p>
          <w:p w14:paraId="62E97B43" w14:textId="77777777" w:rsidR="00DD583B" w:rsidRDefault="00DD583B" w:rsidP="005D2A90">
            <w:pPr>
              <w:rPr>
                <w:rFonts w:cs="Calibri"/>
                <w:b/>
                <w:bCs/>
                <w:sz w:val="18"/>
                <w:szCs w:val="18"/>
                <w:u w:val="single"/>
              </w:rPr>
            </w:pPr>
          </w:p>
          <w:p w14:paraId="322A9F8B" w14:textId="77777777" w:rsidR="00DD583B" w:rsidRDefault="00DD583B" w:rsidP="005D2A90">
            <w:pPr>
              <w:rPr>
                <w:rFonts w:cs="Calibri"/>
                <w:b/>
                <w:bCs/>
                <w:sz w:val="18"/>
                <w:szCs w:val="18"/>
                <w:u w:val="single"/>
              </w:rPr>
            </w:pPr>
          </w:p>
          <w:p w14:paraId="2837680C" w14:textId="77777777" w:rsidR="00DD583B" w:rsidRDefault="00DD583B" w:rsidP="005D2A90">
            <w:pPr>
              <w:rPr>
                <w:rFonts w:cs="Calibri"/>
                <w:b/>
                <w:bCs/>
                <w:sz w:val="18"/>
                <w:szCs w:val="18"/>
                <w:u w:val="single"/>
              </w:rPr>
            </w:pPr>
          </w:p>
          <w:p w14:paraId="709F51F3" w14:textId="77777777" w:rsidR="00DD583B" w:rsidRDefault="00DD583B" w:rsidP="005D2A90">
            <w:pPr>
              <w:rPr>
                <w:rFonts w:cs="Calibri"/>
                <w:b/>
                <w:bCs/>
                <w:sz w:val="18"/>
                <w:szCs w:val="18"/>
                <w:u w:val="single"/>
              </w:rPr>
            </w:pPr>
          </w:p>
          <w:p w14:paraId="2B17BCF5" w14:textId="77777777" w:rsidR="00DD583B" w:rsidRDefault="00DD583B" w:rsidP="005D2A90">
            <w:pPr>
              <w:rPr>
                <w:rFonts w:cs="Calibri"/>
                <w:b/>
                <w:bCs/>
                <w:sz w:val="18"/>
                <w:szCs w:val="18"/>
                <w:u w:val="single"/>
              </w:rPr>
            </w:pPr>
          </w:p>
          <w:p w14:paraId="48B8C936" w14:textId="77777777" w:rsidR="00DD583B" w:rsidRDefault="00DD583B" w:rsidP="005D2A90">
            <w:pPr>
              <w:rPr>
                <w:rFonts w:cs="Calibri"/>
                <w:b/>
                <w:bCs/>
                <w:sz w:val="18"/>
                <w:szCs w:val="18"/>
                <w:u w:val="single"/>
              </w:rPr>
            </w:pPr>
          </w:p>
          <w:p w14:paraId="740BFE05" w14:textId="77777777" w:rsidR="00DD583B" w:rsidRDefault="00DD583B" w:rsidP="005D2A90">
            <w:pPr>
              <w:rPr>
                <w:rFonts w:cs="Calibri"/>
                <w:b/>
                <w:bCs/>
                <w:sz w:val="18"/>
                <w:szCs w:val="18"/>
                <w:u w:val="single"/>
              </w:rPr>
            </w:pPr>
          </w:p>
          <w:p w14:paraId="0B1D0B1E" w14:textId="77777777" w:rsidR="00DD583B" w:rsidRDefault="00DD583B" w:rsidP="005D2A90">
            <w:pPr>
              <w:rPr>
                <w:rFonts w:cs="Calibri"/>
                <w:b/>
                <w:bCs/>
                <w:sz w:val="18"/>
                <w:szCs w:val="18"/>
                <w:u w:val="single"/>
              </w:rPr>
            </w:pPr>
          </w:p>
          <w:p w14:paraId="744036C4" w14:textId="77777777" w:rsidR="00DD583B" w:rsidRDefault="00DD583B" w:rsidP="005D2A90">
            <w:pPr>
              <w:rPr>
                <w:rFonts w:cs="Calibri"/>
                <w:b/>
                <w:bCs/>
                <w:sz w:val="18"/>
                <w:szCs w:val="18"/>
                <w:u w:val="single"/>
              </w:rPr>
            </w:pPr>
          </w:p>
          <w:p w14:paraId="5E81F83C" w14:textId="77777777" w:rsidR="00DD583B" w:rsidRDefault="00DD583B" w:rsidP="005D2A90">
            <w:pPr>
              <w:rPr>
                <w:rFonts w:cs="Calibri"/>
                <w:b/>
                <w:bCs/>
                <w:sz w:val="18"/>
                <w:szCs w:val="18"/>
                <w:u w:val="single"/>
              </w:rPr>
            </w:pPr>
          </w:p>
          <w:p w14:paraId="3B1CF987" w14:textId="77777777" w:rsidR="00DD583B" w:rsidRDefault="00DD583B" w:rsidP="005D2A90">
            <w:pPr>
              <w:rPr>
                <w:rFonts w:cs="Calibri"/>
                <w:b/>
                <w:bCs/>
                <w:sz w:val="18"/>
                <w:szCs w:val="18"/>
                <w:u w:val="single"/>
              </w:rPr>
            </w:pPr>
          </w:p>
          <w:p w14:paraId="619D80D0" w14:textId="77777777" w:rsidR="00DD583B" w:rsidRDefault="00DD583B" w:rsidP="005D2A90">
            <w:pPr>
              <w:rPr>
                <w:rFonts w:cs="Calibri"/>
                <w:b/>
                <w:bCs/>
                <w:sz w:val="18"/>
                <w:szCs w:val="18"/>
                <w:u w:val="single"/>
              </w:rPr>
            </w:pPr>
          </w:p>
          <w:p w14:paraId="7263A46B" w14:textId="77777777" w:rsidR="00DD583B" w:rsidRDefault="00DD583B" w:rsidP="005D2A90">
            <w:pPr>
              <w:rPr>
                <w:rFonts w:cs="Calibri"/>
                <w:b/>
                <w:bCs/>
                <w:sz w:val="18"/>
                <w:szCs w:val="18"/>
                <w:u w:val="single"/>
              </w:rPr>
            </w:pPr>
          </w:p>
          <w:p w14:paraId="73A79C8C" w14:textId="77777777" w:rsidR="00DD583B" w:rsidRPr="002E5C18" w:rsidRDefault="00DD583B" w:rsidP="005D2A90">
            <w:pPr>
              <w:rPr>
                <w:lang w:val="fr-FR"/>
              </w:rPr>
            </w:pPr>
          </w:p>
        </w:tc>
        <w:tc>
          <w:tcPr>
            <w:tcW w:w="1250" w:type="dxa"/>
            <w:vMerge w:val="restart"/>
          </w:tcPr>
          <w:p w14:paraId="002D947C" w14:textId="77777777" w:rsidR="00DD583B" w:rsidRPr="002E5C18" w:rsidRDefault="00DD583B" w:rsidP="005D2A90">
            <w:pPr>
              <w:rPr>
                <w:lang w:val="fr-FR"/>
              </w:rPr>
            </w:pPr>
          </w:p>
        </w:tc>
      </w:tr>
      <w:tr w:rsidR="00DD583B" w:rsidRPr="002E5C18" w14:paraId="13FF22A8" w14:textId="77777777" w:rsidTr="005D2A90">
        <w:tc>
          <w:tcPr>
            <w:tcW w:w="2590" w:type="dxa"/>
            <w:vMerge/>
            <w:shd w:val="clear" w:color="auto" w:fill="DBE5F1" w:themeFill="accent1" w:themeFillTint="33"/>
            <w:vAlign w:val="center"/>
          </w:tcPr>
          <w:p w14:paraId="4EBFD36C" w14:textId="77777777" w:rsidR="00DD583B" w:rsidRPr="008B71B5" w:rsidRDefault="00DD583B" w:rsidP="005D2A90">
            <w:pPr>
              <w:rPr>
                <w:rFonts w:ascii="Times New Roman" w:hAnsi="Times New Roman" w:cs="Times New Roman"/>
                <w:bCs/>
              </w:rPr>
            </w:pPr>
          </w:p>
        </w:tc>
        <w:tc>
          <w:tcPr>
            <w:tcW w:w="2832" w:type="dxa"/>
            <w:vAlign w:val="center"/>
          </w:tcPr>
          <w:p w14:paraId="301EC4E8" w14:textId="77777777" w:rsidR="00DD583B" w:rsidRDefault="00DD583B" w:rsidP="005D2A90">
            <w:pPr>
              <w:rPr>
                <w:rFonts w:ascii="Times New Roman" w:hAnsi="Times New Roman" w:cs="Times New Roman"/>
                <w:bCs/>
              </w:rPr>
            </w:pPr>
            <w:r>
              <w:rPr>
                <w:rFonts w:ascii="Times New Roman" w:hAnsi="Times New Roman" w:cs="Times New Roman"/>
                <w:bCs/>
              </w:rPr>
              <w:t xml:space="preserve">Indicateur 4.5.4 Nombre d’écoles beneficiant de  la cantine scolaire </w:t>
            </w:r>
          </w:p>
          <w:p w14:paraId="2774B6A0" w14:textId="77777777" w:rsidR="00DD583B" w:rsidRDefault="00DD583B" w:rsidP="005D2A90">
            <w:pPr>
              <w:rPr>
                <w:rFonts w:ascii="Times New Roman" w:hAnsi="Times New Roman" w:cs="Times New Roman"/>
                <w:bCs/>
              </w:rPr>
            </w:pPr>
          </w:p>
          <w:p w14:paraId="438ED065" w14:textId="77777777" w:rsidR="00DD583B" w:rsidRDefault="00DD583B" w:rsidP="005D2A90">
            <w:pPr>
              <w:rPr>
                <w:rFonts w:ascii="Times New Roman" w:hAnsi="Times New Roman" w:cs="Times New Roman"/>
                <w:bCs/>
              </w:rPr>
            </w:pPr>
            <w:r>
              <w:rPr>
                <w:rFonts w:ascii="Times New Roman" w:hAnsi="Times New Roman" w:cs="Times New Roman"/>
                <w:bCs/>
              </w:rPr>
              <w:t>Base: 596</w:t>
            </w:r>
          </w:p>
          <w:p w14:paraId="58DD9C57" w14:textId="77777777" w:rsidR="00DD583B" w:rsidRPr="00094C55"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 xml:space="preserve"> 596</w:t>
            </w:r>
          </w:p>
          <w:p w14:paraId="48C393CA" w14:textId="77777777" w:rsidR="00DD583B" w:rsidRDefault="00DD583B" w:rsidP="005D2A90">
            <w:pPr>
              <w:rPr>
                <w:rFonts w:ascii="Times New Roman" w:hAnsi="Times New Roman" w:cs="Times New Roman"/>
                <w:bCs/>
              </w:rPr>
            </w:pPr>
          </w:p>
          <w:p w14:paraId="12099297" w14:textId="77777777" w:rsidR="00DD583B" w:rsidRPr="008B71B5" w:rsidRDefault="00DD583B" w:rsidP="005D2A90">
            <w:pPr>
              <w:rPr>
                <w:rFonts w:ascii="Times New Roman" w:hAnsi="Times New Roman" w:cs="Times New Roman"/>
                <w:bCs/>
              </w:rPr>
            </w:pPr>
            <w:r>
              <w:rPr>
                <w:rFonts w:ascii="Times New Roman" w:hAnsi="Times New Roman" w:cs="Times New Roman"/>
                <w:bCs/>
              </w:rPr>
              <w:t xml:space="preserve">Cible: 750 </w:t>
            </w:r>
          </w:p>
        </w:tc>
        <w:tc>
          <w:tcPr>
            <w:tcW w:w="3874" w:type="dxa"/>
            <w:vAlign w:val="center"/>
          </w:tcPr>
          <w:p w14:paraId="1449550B" w14:textId="77777777" w:rsidR="00DD583B" w:rsidRDefault="00DD583B" w:rsidP="005D2A90">
            <w:pPr>
              <w:numPr>
                <w:ilvl w:val="0"/>
                <w:numId w:val="35"/>
              </w:numPr>
              <w:suppressAutoHyphens/>
              <w:rPr>
                <w:rFonts w:ascii="Times New Roman" w:hAnsi="Times New Roman" w:cs="Times New Roman"/>
              </w:rPr>
            </w:pPr>
            <w:r>
              <w:rPr>
                <w:rFonts w:ascii="Times New Roman" w:hAnsi="Times New Roman" w:cs="Times New Roman"/>
              </w:rPr>
              <w:t xml:space="preserve">Mode de calcul: Nombre total des écoles avec des cantines fonctionnelles </w:t>
            </w:r>
          </w:p>
          <w:p w14:paraId="5C504496" w14:textId="77777777" w:rsidR="00DD583B" w:rsidRDefault="00DD583B" w:rsidP="005D2A90">
            <w:pPr>
              <w:numPr>
                <w:ilvl w:val="0"/>
                <w:numId w:val="35"/>
              </w:numPr>
              <w:suppressAutoHyphens/>
              <w:rPr>
                <w:rFonts w:ascii="Times New Roman" w:hAnsi="Times New Roman" w:cs="Times New Roman"/>
              </w:rPr>
            </w:pPr>
            <w:r>
              <w:rPr>
                <w:rFonts w:ascii="Times New Roman" w:hAnsi="Times New Roman" w:cs="Times New Roman"/>
              </w:rPr>
              <w:t xml:space="preserve">Sources de données: Situation mise à jour des interventions </w:t>
            </w:r>
          </w:p>
          <w:p w14:paraId="0E64142C" w14:textId="77777777" w:rsidR="00DD583B" w:rsidRDefault="00DD583B" w:rsidP="005D2A90">
            <w:pPr>
              <w:numPr>
                <w:ilvl w:val="0"/>
                <w:numId w:val="35"/>
              </w:numPr>
              <w:suppressAutoHyphens/>
              <w:rPr>
                <w:rFonts w:ascii="Times New Roman" w:hAnsi="Times New Roman" w:cs="Times New Roman"/>
              </w:rPr>
            </w:pPr>
            <w:r>
              <w:rPr>
                <w:rFonts w:ascii="Times New Roman" w:hAnsi="Times New Roman" w:cs="Times New Roman"/>
              </w:rPr>
              <w:t>Périodicité: Année scolaire</w:t>
            </w:r>
          </w:p>
          <w:p w14:paraId="3066A21E" w14:textId="77777777" w:rsidR="00DD583B" w:rsidRPr="008B71B5" w:rsidRDefault="00DD583B" w:rsidP="005D2A90">
            <w:pPr>
              <w:numPr>
                <w:ilvl w:val="0"/>
                <w:numId w:val="35"/>
              </w:numPr>
              <w:suppressAutoHyphens/>
              <w:rPr>
                <w:rFonts w:ascii="Times New Roman" w:hAnsi="Times New Roman" w:cs="Times New Roman"/>
              </w:rPr>
            </w:pPr>
            <w:r>
              <w:rPr>
                <w:rFonts w:ascii="Times New Roman" w:hAnsi="Times New Roman" w:cs="Times New Roman"/>
              </w:rPr>
              <w:t xml:space="preserve">Maître d’oeuvre : Centre National de Cantine Scolaire </w:t>
            </w:r>
          </w:p>
        </w:tc>
        <w:tc>
          <w:tcPr>
            <w:tcW w:w="2648" w:type="dxa"/>
            <w:vMerge/>
          </w:tcPr>
          <w:p w14:paraId="6C663356" w14:textId="77777777" w:rsidR="00DD583B" w:rsidRDefault="00DD583B" w:rsidP="005D2A90"/>
        </w:tc>
        <w:tc>
          <w:tcPr>
            <w:tcW w:w="1974" w:type="dxa"/>
            <w:vMerge/>
          </w:tcPr>
          <w:p w14:paraId="27CC4D4D" w14:textId="77777777" w:rsidR="00DD583B" w:rsidRDefault="00DD583B" w:rsidP="005D2A90">
            <w:pPr>
              <w:rPr>
                <w:rFonts w:cs="Calibri"/>
                <w:b/>
                <w:bCs/>
                <w:sz w:val="18"/>
                <w:szCs w:val="18"/>
                <w:u w:val="single"/>
              </w:rPr>
            </w:pPr>
          </w:p>
        </w:tc>
        <w:tc>
          <w:tcPr>
            <w:tcW w:w="1250" w:type="dxa"/>
            <w:vMerge/>
          </w:tcPr>
          <w:p w14:paraId="63BE3B8B" w14:textId="77777777" w:rsidR="00DD583B" w:rsidRPr="002E5C18" w:rsidRDefault="00DD583B" w:rsidP="005D2A90"/>
        </w:tc>
      </w:tr>
      <w:tr w:rsidR="00DD583B" w:rsidRPr="002E5C18" w14:paraId="0C826506" w14:textId="77777777" w:rsidTr="005D2A90">
        <w:tc>
          <w:tcPr>
            <w:tcW w:w="2590" w:type="dxa"/>
            <w:vMerge/>
            <w:shd w:val="clear" w:color="auto" w:fill="DBE5F1" w:themeFill="accent1" w:themeFillTint="33"/>
            <w:vAlign w:val="center"/>
          </w:tcPr>
          <w:p w14:paraId="3DE154BB" w14:textId="77777777" w:rsidR="00DD583B" w:rsidRPr="008B71B5" w:rsidRDefault="00DD583B" w:rsidP="005D2A90">
            <w:pPr>
              <w:rPr>
                <w:rFonts w:ascii="Times New Roman" w:hAnsi="Times New Roman" w:cs="Times New Roman"/>
                <w:bCs/>
              </w:rPr>
            </w:pPr>
          </w:p>
        </w:tc>
        <w:tc>
          <w:tcPr>
            <w:tcW w:w="2832" w:type="dxa"/>
            <w:vAlign w:val="center"/>
          </w:tcPr>
          <w:p w14:paraId="087C71A3" w14:textId="77777777" w:rsidR="00DD583B" w:rsidRDefault="00DD583B" w:rsidP="005D2A90">
            <w:pPr>
              <w:rPr>
                <w:rFonts w:ascii="Times New Roman" w:hAnsi="Times New Roman" w:cs="Times New Roman"/>
                <w:bCs/>
              </w:rPr>
            </w:pPr>
            <w:r>
              <w:rPr>
                <w:rFonts w:ascii="Times New Roman" w:hAnsi="Times New Roman" w:cs="Times New Roman"/>
                <w:bCs/>
              </w:rPr>
              <w:t xml:space="preserve">Indicateur 4.5.5 Nombre d’ élèves bénéficiant de repas scolaires </w:t>
            </w:r>
          </w:p>
          <w:p w14:paraId="29203CAE" w14:textId="77777777" w:rsidR="00DD583B" w:rsidRDefault="00DD583B" w:rsidP="005D2A90">
            <w:pPr>
              <w:rPr>
                <w:rFonts w:ascii="Times New Roman" w:hAnsi="Times New Roman" w:cs="Times New Roman"/>
                <w:bCs/>
              </w:rPr>
            </w:pPr>
          </w:p>
          <w:p w14:paraId="54C4971B" w14:textId="77777777" w:rsidR="00DD583B" w:rsidRDefault="00DD583B" w:rsidP="005D2A90">
            <w:pPr>
              <w:rPr>
                <w:rFonts w:ascii="Times New Roman" w:hAnsi="Times New Roman" w:cs="Times New Roman"/>
                <w:bCs/>
              </w:rPr>
            </w:pPr>
            <w:r>
              <w:rPr>
                <w:rFonts w:ascii="Times New Roman" w:hAnsi="Times New Roman" w:cs="Times New Roman"/>
                <w:bCs/>
              </w:rPr>
              <w:t>Base: 108 780</w:t>
            </w:r>
          </w:p>
          <w:p w14:paraId="14E5D3FB" w14:textId="77777777" w:rsidR="00DD583B" w:rsidRPr="00C80825" w:rsidRDefault="00DD583B" w:rsidP="005D2A90">
            <w:pPr>
              <w:rPr>
                <w:rFonts w:ascii="Times New Roman" w:hAnsi="Times New Roman" w:cs="Times New Roman"/>
                <w:bCs/>
                <w:color w:val="FF0000"/>
              </w:rPr>
            </w:pPr>
            <w:r>
              <w:rPr>
                <w:rFonts w:ascii="Calibri" w:hAnsi="Calibri"/>
                <w:color w:val="FF0000"/>
                <w:sz w:val="18"/>
                <w:szCs w:val="18"/>
              </w:rPr>
              <w:t xml:space="preserve">Situation en fin 2017: </w:t>
            </w:r>
            <w:r w:rsidRPr="00C80825">
              <w:rPr>
                <w:rFonts w:ascii="Times New Roman" w:hAnsi="Times New Roman" w:cs="Times New Roman"/>
                <w:bCs/>
                <w:color w:val="FF0000"/>
              </w:rPr>
              <w:t>108 780</w:t>
            </w:r>
          </w:p>
          <w:p w14:paraId="5002109C" w14:textId="77777777" w:rsidR="00DD583B" w:rsidRDefault="00DD583B" w:rsidP="005D2A90">
            <w:pPr>
              <w:rPr>
                <w:rFonts w:ascii="Times New Roman" w:hAnsi="Times New Roman" w:cs="Times New Roman"/>
                <w:bCs/>
              </w:rPr>
            </w:pPr>
          </w:p>
          <w:p w14:paraId="7A4414FF" w14:textId="77777777" w:rsidR="00DD583B" w:rsidRPr="008B71B5" w:rsidRDefault="00DD583B" w:rsidP="005D2A90">
            <w:pPr>
              <w:rPr>
                <w:rFonts w:ascii="Times New Roman" w:hAnsi="Times New Roman" w:cs="Times New Roman"/>
                <w:bCs/>
              </w:rPr>
            </w:pPr>
            <w:r>
              <w:rPr>
                <w:rFonts w:ascii="Times New Roman" w:hAnsi="Times New Roman" w:cs="Times New Roman"/>
                <w:bCs/>
              </w:rPr>
              <w:t>Cible: 175 984</w:t>
            </w:r>
          </w:p>
        </w:tc>
        <w:tc>
          <w:tcPr>
            <w:tcW w:w="3874" w:type="dxa"/>
            <w:vAlign w:val="center"/>
          </w:tcPr>
          <w:p w14:paraId="20E68329" w14:textId="77777777" w:rsidR="00DD583B" w:rsidRDefault="00DD583B" w:rsidP="005D2A90">
            <w:pPr>
              <w:numPr>
                <w:ilvl w:val="0"/>
                <w:numId w:val="35"/>
              </w:numPr>
              <w:suppressAutoHyphens/>
              <w:rPr>
                <w:rFonts w:ascii="Times New Roman" w:hAnsi="Times New Roman" w:cs="Times New Roman"/>
              </w:rPr>
            </w:pPr>
            <w:r>
              <w:rPr>
                <w:rFonts w:ascii="Times New Roman" w:hAnsi="Times New Roman" w:cs="Times New Roman"/>
              </w:rPr>
              <w:t xml:space="preserve">Mode de calcul: Effectifs mis à jour dans le registre de suivi  </w:t>
            </w:r>
          </w:p>
          <w:p w14:paraId="46426D92" w14:textId="77777777" w:rsidR="00DD583B" w:rsidRDefault="00DD583B" w:rsidP="005D2A90">
            <w:pPr>
              <w:numPr>
                <w:ilvl w:val="0"/>
                <w:numId w:val="35"/>
              </w:numPr>
              <w:suppressAutoHyphens/>
              <w:rPr>
                <w:rFonts w:ascii="Times New Roman" w:hAnsi="Times New Roman" w:cs="Times New Roman"/>
              </w:rPr>
            </w:pPr>
            <w:r>
              <w:rPr>
                <w:rFonts w:ascii="Times New Roman" w:hAnsi="Times New Roman" w:cs="Times New Roman"/>
              </w:rPr>
              <w:t>Sources de données: Rapports des Centre d’Animation Pédagogique</w:t>
            </w:r>
          </w:p>
          <w:p w14:paraId="7D726449" w14:textId="77777777" w:rsidR="00DD583B" w:rsidRDefault="00DD583B" w:rsidP="005D2A90">
            <w:pPr>
              <w:numPr>
                <w:ilvl w:val="0"/>
                <w:numId w:val="35"/>
              </w:numPr>
              <w:suppressAutoHyphens/>
              <w:rPr>
                <w:rFonts w:ascii="Times New Roman" w:hAnsi="Times New Roman" w:cs="Times New Roman"/>
              </w:rPr>
            </w:pPr>
            <w:r>
              <w:rPr>
                <w:rFonts w:ascii="Times New Roman" w:hAnsi="Times New Roman" w:cs="Times New Roman"/>
              </w:rPr>
              <w:t>Périodicité: Année scolaire</w:t>
            </w:r>
          </w:p>
          <w:p w14:paraId="287E3417" w14:textId="77777777" w:rsidR="00DD583B" w:rsidRPr="008B71B5" w:rsidRDefault="00DD583B" w:rsidP="005D2A90">
            <w:pPr>
              <w:numPr>
                <w:ilvl w:val="0"/>
                <w:numId w:val="35"/>
              </w:numPr>
              <w:suppressAutoHyphens/>
              <w:rPr>
                <w:rFonts w:ascii="Times New Roman" w:hAnsi="Times New Roman" w:cs="Times New Roman"/>
              </w:rPr>
            </w:pPr>
            <w:r>
              <w:rPr>
                <w:rFonts w:ascii="Times New Roman" w:hAnsi="Times New Roman" w:cs="Times New Roman"/>
              </w:rPr>
              <w:t>Maître d’oeuvre : Centre National de Cantine Scolaire</w:t>
            </w:r>
          </w:p>
        </w:tc>
        <w:tc>
          <w:tcPr>
            <w:tcW w:w="2648" w:type="dxa"/>
            <w:vMerge/>
          </w:tcPr>
          <w:p w14:paraId="0CA11BAB" w14:textId="77777777" w:rsidR="00DD583B" w:rsidRDefault="00DD583B" w:rsidP="005D2A90"/>
        </w:tc>
        <w:tc>
          <w:tcPr>
            <w:tcW w:w="1974" w:type="dxa"/>
            <w:vMerge/>
          </w:tcPr>
          <w:p w14:paraId="1BAF2346" w14:textId="77777777" w:rsidR="00DD583B" w:rsidRDefault="00DD583B" w:rsidP="005D2A90">
            <w:pPr>
              <w:rPr>
                <w:rFonts w:cs="Calibri"/>
                <w:b/>
                <w:bCs/>
                <w:sz w:val="18"/>
                <w:szCs w:val="18"/>
                <w:u w:val="single"/>
              </w:rPr>
            </w:pPr>
          </w:p>
        </w:tc>
        <w:tc>
          <w:tcPr>
            <w:tcW w:w="1250" w:type="dxa"/>
            <w:vMerge/>
          </w:tcPr>
          <w:p w14:paraId="28E8F817" w14:textId="77777777" w:rsidR="00DD583B" w:rsidRPr="002E5C18" w:rsidRDefault="00DD583B" w:rsidP="005D2A90"/>
        </w:tc>
      </w:tr>
      <w:tr w:rsidR="00DD583B" w:rsidRPr="002E5C18" w14:paraId="4553B01E" w14:textId="77777777" w:rsidTr="005D2A90">
        <w:tc>
          <w:tcPr>
            <w:tcW w:w="2590" w:type="dxa"/>
            <w:vMerge/>
            <w:shd w:val="clear" w:color="auto" w:fill="DBE5F1" w:themeFill="accent1" w:themeFillTint="33"/>
            <w:vAlign w:val="center"/>
          </w:tcPr>
          <w:p w14:paraId="016A426B" w14:textId="77777777" w:rsidR="00DD583B" w:rsidRPr="002E5C18" w:rsidRDefault="00DD583B" w:rsidP="005D2A90">
            <w:pPr>
              <w:rPr>
                <w:lang w:val="fr-FR"/>
              </w:rPr>
            </w:pPr>
          </w:p>
        </w:tc>
        <w:tc>
          <w:tcPr>
            <w:tcW w:w="2832" w:type="dxa"/>
            <w:vAlign w:val="center"/>
          </w:tcPr>
          <w:p w14:paraId="6482AEED" w14:textId="77777777" w:rsidR="00DD583B" w:rsidRDefault="00DD583B" w:rsidP="005D2A90">
            <w:pPr>
              <w:rPr>
                <w:rFonts w:ascii="Times New Roman" w:hAnsi="Times New Roman" w:cs="Times New Roman"/>
                <w:bCs/>
              </w:rPr>
            </w:pPr>
            <w:r w:rsidRPr="008B71B5">
              <w:rPr>
                <w:rFonts w:ascii="Times New Roman" w:hAnsi="Times New Roman" w:cs="Times New Roman"/>
                <w:bCs/>
              </w:rPr>
              <w:t>Indicateur 4.4.</w:t>
            </w:r>
            <w:r>
              <w:rPr>
                <w:rFonts w:ascii="Times New Roman" w:hAnsi="Times New Roman" w:cs="Times New Roman"/>
                <w:bCs/>
              </w:rPr>
              <w:t>2</w:t>
            </w:r>
            <w:r w:rsidRPr="008B71B5">
              <w:rPr>
                <w:rFonts w:ascii="Times New Roman" w:hAnsi="Times New Roman" w:cs="Times New Roman"/>
                <w:bCs/>
              </w:rPr>
              <w:t xml:space="preserve"> Pourcentage de garçons et de filles affectés par des situations d’urgence bénéficiant d’un accès continu à une éducation de qualité</w:t>
            </w:r>
          </w:p>
          <w:p w14:paraId="047DB2D0" w14:textId="77777777" w:rsidR="00DD583B" w:rsidRDefault="00DD583B" w:rsidP="005D2A90">
            <w:pPr>
              <w:rPr>
                <w:rFonts w:ascii="Times New Roman" w:hAnsi="Times New Roman" w:cs="Times New Roman"/>
                <w:bCs/>
              </w:rPr>
            </w:pPr>
          </w:p>
          <w:p w14:paraId="6541860A" w14:textId="77777777" w:rsidR="00DD583B" w:rsidRDefault="00DD583B" w:rsidP="005D2A90">
            <w:pPr>
              <w:rPr>
                <w:rFonts w:ascii="Times New Roman" w:hAnsi="Times New Roman" w:cs="Times New Roman"/>
                <w:bCs/>
              </w:rPr>
            </w:pPr>
            <w:r>
              <w:rPr>
                <w:rFonts w:ascii="Times New Roman" w:hAnsi="Times New Roman" w:cs="Times New Roman"/>
                <w:bCs/>
              </w:rPr>
              <w:lastRenderedPageBreak/>
              <w:t>Base  :</w:t>
            </w:r>
            <w:r w:rsidRPr="008B71B5">
              <w:rPr>
                <w:rFonts w:ascii="Times New Roman" w:hAnsi="Times New Roman" w:cs="Times New Roman"/>
                <w:bCs/>
              </w:rPr>
              <w:t xml:space="preserve"> Total : 80%</w:t>
            </w:r>
          </w:p>
          <w:p w14:paraId="1DC01B7B" w14:textId="77777777" w:rsidR="00DD583B" w:rsidRDefault="00DD583B" w:rsidP="005D2A90">
            <w:pPr>
              <w:rPr>
                <w:rFonts w:ascii="Times New Roman" w:hAnsi="Times New Roman" w:cs="Times New Roman"/>
                <w:bCs/>
              </w:rPr>
            </w:pPr>
          </w:p>
          <w:p w14:paraId="6DEAFC19" w14:textId="77777777" w:rsidR="00DD583B" w:rsidRPr="009D1A31" w:rsidRDefault="00DD583B" w:rsidP="005D2A90">
            <w:pPr>
              <w:snapToGrid w:val="0"/>
              <w:rPr>
                <w:rFonts w:ascii="Calibri" w:hAnsi="Calibri"/>
                <w:color w:val="FF0000"/>
                <w:sz w:val="18"/>
                <w:szCs w:val="18"/>
              </w:rPr>
            </w:pPr>
            <w:r w:rsidRPr="00F467A0">
              <w:rPr>
                <w:rFonts w:ascii="Calibri" w:hAnsi="Calibri"/>
                <w:b/>
                <w:color w:val="FF0000"/>
                <w:sz w:val="18"/>
                <w:szCs w:val="18"/>
              </w:rPr>
              <w:t>Situation en fin 2017</w:t>
            </w:r>
            <w:r w:rsidRPr="00CE2384">
              <w:rPr>
                <w:rFonts w:ascii="Calibri" w:hAnsi="Calibri"/>
                <w:color w:val="FF0000"/>
                <w:sz w:val="18"/>
                <w:szCs w:val="18"/>
              </w:rPr>
              <w:t>:</w:t>
            </w:r>
            <w:r>
              <w:rPr>
                <w:rFonts w:ascii="Calibri" w:hAnsi="Calibri"/>
                <w:color w:val="FF0000"/>
                <w:sz w:val="18"/>
                <w:szCs w:val="18"/>
              </w:rPr>
              <w:t xml:space="preserve"> </w:t>
            </w:r>
            <w:r w:rsidRPr="009D1A31">
              <w:rPr>
                <w:rFonts w:ascii="Calibri" w:hAnsi="Calibri"/>
                <w:color w:val="FF0000"/>
                <w:sz w:val="18"/>
                <w:szCs w:val="18"/>
              </w:rPr>
              <w:t>Garçons : 70%  (58865/83667)</w:t>
            </w:r>
          </w:p>
          <w:p w14:paraId="6AD630AF" w14:textId="77777777" w:rsidR="00DD583B" w:rsidRPr="00F467A0" w:rsidRDefault="00DD583B" w:rsidP="005D2A90">
            <w:pPr>
              <w:snapToGrid w:val="0"/>
              <w:rPr>
                <w:rFonts w:ascii="Calibri" w:hAnsi="Calibri"/>
                <w:color w:val="FF0000"/>
                <w:sz w:val="18"/>
                <w:szCs w:val="18"/>
                <w:lang w:val="fr-FR"/>
              </w:rPr>
            </w:pPr>
            <w:r w:rsidRPr="009D1A31">
              <w:rPr>
                <w:rFonts w:ascii="Calibri" w:hAnsi="Calibri"/>
                <w:color w:val="FF0000"/>
                <w:sz w:val="18"/>
                <w:szCs w:val="18"/>
              </w:rPr>
              <w:t>Filles : 61% (42627/70083)</w:t>
            </w:r>
            <w:r>
              <w:rPr>
                <w:rFonts w:ascii="Calibri" w:hAnsi="Calibri"/>
                <w:color w:val="FF0000"/>
                <w:sz w:val="18"/>
                <w:szCs w:val="18"/>
              </w:rPr>
              <w:t xml:space="preserve"> (donnees de 2016)</w:t>
            </w:r>
          </w:p>
          <w:p w14:paraId="36168F1A" w14:textId="77777777" w:rsidR="00DD583B" w:rsidRPr="00CE2384" w:rsidRDefault="00DD583B" w:rsidP="005D2A90">
            <w:pPr>
              <w:snapToGrid w:val="0"/>
              <w:rPr>
                <w:rFonts w:ascii="Calibri" w:hAnsi="Calibri"/>
                <w:color w:val="FF0000"/>
                <w:sz w:val="18"/>
                <w:szCs w:val="18"/>
                <w:lang w:val="fr-FR"/>
              </w:rPr>
            </w:pPr>
          </w:p>
          <w:p w14:paraId="1A7CB715" w14:textId="77777777" w:rsidR="00DD583B" w:rsidRDefault="00DD583B" w:rsidP="005D2A90">
            <w:pPr>
              <w:rPr>
                <w:rFonts w:ascii="Times New Roman" w:hAnsi="Times New Roman" w:cs="Times New Roman"/>
                <w:bCs/>
              </w:rPr>
            </w:pPr>
          </w:p>
          <w:p w14:paraId="3D8863EA" w14:textId="77777777" w:rsidR="00DD583B" w:rsidRPr="002E5C18" w:rsidRDefault="00DD583B" w:rsidP="005D2A90">
            <w:pPr>
              <w:rPr>
                <w:lang w:val="fr-FR"/>
              </w:rPr>
            </w:pPr>
            <w:r>
              <w:rPr>
                <w:rFonts w:ascii="Times New Roman" w:hAnsi="Times New Roman" w:cs="Times New Roman"/>
                <w:bCs/>
              </w:rPr>
              <w:t xml:space="preserve">Cible  : </w:t>
            </w:r>
            <w:r w:rsidRPr="008B71B5">
              <w:rPr>
                <w:rFonts w:ascii="Times New Roman" w:hAnsi="Times New Roman" w:cs="Times New Roman"/>
                <w:bCs/>
              </w:rPr>
              <w:t>100%</w:t>
            </w:r>
          </w:p>
        </w:tc>
        <w:tc>
          <w:tcPr>
            <w:tcW w:w="3874" w:type="dxa"/>
            <w:vAlign w:val="center"/>
          </w:tcPr>
          <w:p w14:paraId="346DE632"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lastRenderedPageBreak/>
              <w:t xml:space="preserve">Mode de calcul : Rapport Nb de </w:t>
            </w:r>
            <w:r w:rsidRPr="008B71B5">
              <w:rPr>
                <w:rFonts w:ascii="Times New Roman" w:hAnsi="Times New Roman" w:cs="Times New Roman"/>
                <w:bCs/>
              </w:rPr>
              <w:t xml:space="preserve"> garçons et de filles affectés par des situations d’urgence bénéficiant d’un accès continu à une éducation de qualité, sur Nb total de  garçons et de filles affectés par des situations d’urgence </w:t>
            </w:r>
          </w:p>
          <w:p w14:paraId="7724CC00" w14:textId="77777777" w:rsidR="00DD583B" w:rsidRPr="008B71B5" w:rsidRDefault="00DD583B" w:rsidP="005D2A90">
            <w:pPr>
              <w:numPr>
                <w:ilvl w:val="0"/>
                <w:numId w:val="35"/>
              </w:numPr>
              <w:suppressAutoHyphens/>
              <w:rPr>
                <w:rFonts w:ascii="Times New Roman" w:hAnsi="Times New Roman" w:cs="Times New Roman"/>
              </w:rPr>
            </w:pPr>
            <w:r w:rsidRPr="00CB0E70">
              <w:rPr>
                <w:rFonts w:ascii="Times New Roman" w:hAnsi="Times New Roman" w:cs="Times New Roman"/>
              </w:rPr>
              <w:lastRenderedPageBreak/>
              <w:t>Sources de données</w:t>
            </w:r>
            <w:r>
              <w:rPr>
                <w:rFonts w:ascii="Times New Roman" w:hAnsi="Times New Roman" w:cs="Times New Roman"/>
              </w:rPr>
              <w:t>/Moyens de vérification</w:t>
            </w:r>
            <w:r w:rsidRPr="00CB0E70">
              <w:rPr>
                <w:rFonts w:ascii="Times New Roman" w:hAnsi="Times New Roman" w:cs="Times New Roman"/>
              </w:rPr>
              <w:t> </w:t>
            </w:r>
            <w:r w:rsidRPr="008B71B5">
              <w:rPr>
                <w:rFonts w:ascii="Times New Roman" w:hAnsi="Times New Roman" w:cs="Times New Roman"/>
              </w:rPr>
              <w:t>: Données et Enquêtes nationales</w:t>
            </w:r>
          </w:p>
          <w:p w14:paraId="59B312E9"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w:t>
            </w:r>
          </w:p>
          <w:p w14:paraId="45E958AC" w14:textId="77777777" w:rsidR="00DD583B" w:rsidRPr="002E5C18" w:rsidRDefault="00DD583B" w:rsidP="005D2A90">
            <w:pPr>
              <w:pStyle w:val="Paragraphedeliste"/>
              <w:numPr>
                <w:ilvl w:val="0"/>
                <w:numId w:val="16"/>
              </w:numPr>
              <w:ind w:left="357" w:hanging="357"/>
              <w:rPr>
                <w:lang w:val="fr-FR"/>
              </w:rPr>
            </w:pPr>
            <w:r w:rsidRPr="008B71B5">
              <w:rPr>
                <w:rFonts w:ascii="Times New Roman" w:hAnsi="Times New Roman" w:cs="Times New Roman"/>
              </w:rPr>
              <w:t>Maître d’œuvre : Groupe de Résultat, en rapport avec l’Appareil statistique national</w:t>
            </w:r>
          </w:p>
        </w:tc>
        <w:tc>
          <w:tcPr>
            <w:tcW w:w="2648" w:type="dxa"/>
            <w:vMerge/>
          </w:tcPr>
          <w:p w14:paraId="23FBAB22" w14:textId="77777777" w:rsidR="00DD583B" w:rsidRPr="002E5C18" w:rsidRDefault="00DD583B" w:rsidP="005D2A90">
            <w:pPr>
              <w:rPr>
                <w:lang w:val="fr-FR"/>
              </w:rPr>
            </w:pPr>
          </w:p>
        </w:tc>
        <w:tc>
          <w:tcPr>
            <w:tcW w:w="1974" w:type="dxa"/>
            <w:vMerge/>
          </w:tcPr>
          <w:p w14:paraId="08E0F95E" w14:textId="77777777" w:rsidR="00DD583B" w:rsidRPr="002E5C18" w:rsidRDefault="00DD583B" w:rsidP="005D2A90">
            <w:pPr>
              <w:rPr>
                <w:lang w:val="fr-FR"/>
              </w:rPr>
            </w:pPr>
          </w:p>
        </w:tc>
        <w:tc>
          <w:tcPr>
            <w:tcW w:w="1250" w:type="dxa"/>
            <w:vMerge/>
          </w:tcPr>
          <w:p w14:paraId="39CB3F99" w14:textId="77777777" w:rsidR="00DD583B" w:rsidRPr="002E5C18" w:rsidRDefault="00DD583B" w:rsidP="005D2A90">
            <w:pPr>
              <w:rPr>
                <w:lang w:val="fr-FR"/>
              </w:rPr>
            </w:pPr>
          </w:p>
        </w:tc>
      </w:tr>
      <w:tr w:rsidR="00DD583B" w:rsidRPr="002E5C18" w14:paraId="1F882DCD" w14:textId="77777777" w:rsidTr="005D2A90">
        <w:tc>
          <w:tcPr>
            <w:tcW w:w="2590" w:type="dxa"/>
            <w:vMerge/>
            <w:shd w:val="clear" w:color="auto" w:fill="DBE5F1" w:themeFill="accent1" w:themeFillTint="33"/>
            <w:vAlign w:val="center"/>
          </w:tcPr>
          <w:p w14:paraId="36983914" w14:textId="77777777" w:rsidR="00DD583B" w:rsidRPr="002E5C18" w:rsidRDefault="00DD583B" w:rsidP="005D2A90">
            <w:pPr>
              <w:rPr>
                <w:lang w:val="fr-FR"/>
              </w:rPr>
            </w:pPr>
          </w:p>
        </w:tc>
        <w:tc>
          <w:tcPr>
            <w:tcW w:w="2832" w:type="dxa"/>
            <w:vAlign w:val="center"/>
          </w:tcPr>
          <w:p w14:paraId="08D2875D" w14:textId="77777777" w:rsidR="00DD583B" w:rsidRDefault="00DD583B" w:rsidP="005D2A90">
            <w:pPr>
              <w:rPr>
                <w:rFonts w:ascii="Times New Roman" w:hAnsi="Times New Roman" w:cs="Times New Roman"/>
                <w:bCs/>
              </w:rPr>
            </w:pPr>
            <w:r w:rsidRPr="008B71B5">
              <w:rPr>
                <w:rFonts w:ascii="Times New Roman" w:hAnsi="Times New Roman" w:cs="Times New Roman"/>
                <w:bCs/>
              </w:rPr>
              <w:t>Indicateur 4.5.</w:t>
            </w:r>
            <w:r>
              <w:rPr>
                <w:rFonts w:ascii="Times New Roman" w:hAnsi="Times New Roman" w:cs="Times New Roman"/>
                <w:bCs/>
              </w:rPr>
              <w:t>2</w:t>
            </w:r>
            <w:r w:rsidRPr="008B71B5">
              <w:rPr>
                <w:rFonts w:ascii="Times New Roman" w:hAnsi="Times New Roman" w:cs="Times New Roman"/>
                <w:bCs/>
              </w:rPr>
              <w:t> Nombre de survivant(e)s  de VBG pris</w:t>
            </w:r>
            <w:r>
              <w:rPr>
                <w:rFonts w:ascii="Times New Roman" w:hAnsi="Times New Roman" w:cs="Times New Roman"/>
                <w:bCs/>
              </w:rPr>
              <w:t>(</w:t>
            </w:r>
            <w:r w:rsidRPr="008B71B5">
              <w:rPr>
                <w:rFonts w:ascii="Times New Roman" w:hAnsi="Times New Roman" w:cs="Times New Roman"/>
                <w:bCs/>
              </w:rPr>
              <w:t>e</w:t>
            </w:r>
            <w:r>
              <w:rPr>
                <w:rFonts w:ascii="Times New Roman" w:hAnsi="Times New Roman" w:cs="Times New Roman"/>
                <w:bCs/>
              </w:rPr>
              <w:t>)</w:t>
            </w:r>
            <w:r w:rsidRPr="008B71B5">
              <w:rPr>
                <w:rFonts w:ascii="Times New Roman" w:hAnsi="Times New Roman" w:cs="Times New Roman"/>
                <w:bCs/>
              </w:rPr>
              <w:t xml:space="preserve">s en charge </w:t>
            </w:r>
            <w:r>
              <w:rPr>
                <w:rFonts w:ascii="Times New Roman" w:hAnsi="Times New Roman" w:cs="Times New Roman"/>
                <w:bCs/>
              </w:rPr>
              <w:t>(</w:t>
            </w:r>
            <w:r w:rsidRPr="008B71B5">
              <w:rPr>
                <w:rFonts w:ascii="Times New Roman" w:hAnsi="Times New Roman" w:cs="Times New Roman"/>
                <w:bCs/>
              </w:rPr>
              <w:t>médicale, psychosociale, légale</w:t>
            </w:r>
            <w:r>
              <w:rPr>
                <w:rFonts w:ascii="Times New Roman" w:hAnsi="Times New Roman" w:cs="Times New Roman"/>
                <w:bCs/>
              </w:rPr>
              <w:t xml:space="preserve">, hommes/femmes)     </w:t>
            </w:r>
            <w:r w:rsidRPr="008B71B5">
              <w:rPr>
                <w:rFonts w:ascii="Times New Roman" w:hAnsi="Times New Roman" w:cs="Times New Roman"/>
                <w:bCs/>
              </w:rPr>
              <w:t xml:space="preserve"> </w:t>
            </w:r>
          </w:p>
          <w:p w14:paraId="0F9FBF1F" w14:textId="77777777" w:rsidR="00DD583B" w:rsidRDefault="00DD583B" w:rsidP="005D2A90">
            <w:pPr>
              <w:rPr>
                <w:rFonts w:ascii="Times New Roman" w:hAnsi="Times New Roman" w:cs="Times New Roman"/>
                <w:bCs/>
              </w:rPr>
            </w:pPr>
          </w:p>
          <w:p w14:paraId="7E73D4E9" w14:textId="77777777" w:rsidR="00DD583B" w:rsidRDefault="00DD583B" w:rsidP="005D2A90">
            <w:pPr>
              <w:rPr>
                <w:rFonts w:ascii="Times New Roman" w:hAnsi="Times New Roman" w:cs="Times New Roman"/>
                <w:bCs/>
              </w:rPr>
            </w:pPr>
            <w:r>
              <w:rPr>
                <w:rFonts w:ascii="Times New Roman" w:hAnsi="Times New Roman" w:cs="Times New Roman"/>
                <w:bCs/>
              </w:rPr>
              <w:t xml:space="preserve">Base : </w:t>
            </w:r>
            <w:r w:rsidRPr="008B71B5">
              <w:rPr>
                <w:rFonts w:ascii="Times New Roman" w:hAnsi="Times New Roman" w:cs="Times New Roman"/>
                <w:bCs/>
              </w:rPr>
              <w:t>3 542</w:t>
            </w:r>
          </w:p>
          <w:p w14:paraId="3CBBE7E1" w14:textId="77777777" w:rsidR="00DD583B" w:rsidRDefault="00DD583B" w:rsidP="005D2A90">
            <w:pPr>
              <w:rPr>
                <w:rFonts w:ascii="Times New Roman" w:hAnsi="Times New Roman" w:cs="Times New Roman"/>
                <w:bCs/>
              </w:rPr>
            </w:pPr>
          </w:p>
          <w:p w14:paraId="0FBB78AF" w14:textId="77777777" w:rsidR="00DD583B" w:rsidRPr="00DD0B92" w:rsidRDefault="00DD583B" w:rsidP="005D2A90">
            <w:pPr>
              <w:snapToGrid w:val="0"/>
              <w:rPr>
                <w:rFonts w:ascii="Calibri" w:hAnsi="Calibri"/>
                <w:color w:val="FF0000"/>
                <w:sz w:val="18"/>
                <w:szCs w:val="18"/>
              </w:rPr>
            </w:pPr>
            <w:r w:rsidRPr="00DD0B92">
              <w:rPr>
                <w:rFonts w:ascii="Calibri" w:hAnsi="Calibri"/>
                <w:b/>
                <w:color w:val="FF0000"/>
                <w:sz w:val="18"/>
                <w:szCs w:val="18"/>
              </w:rPr>
              <w:t>Situation en fin 2017</w:t>
            </w:r>
            <w:r w:rsidRPr="00DD0B92">
              <w:rPr>
                <w:rFonts w:ascii="Calibri" w:hAnsi="Calibri"/>
                <w:color w:val="FF0000"/>
                <w:sz w:val="18"/>
                <w:szCs w:val="18"/>
              </w:rPr>
              <w:t>: 6</w:t>
            </w:r>
            <w:r>
              <w:rPr>
                <w:rFonts w:ascii="Calibri" w:hAnsi="Calibri"/>
                <w:color w:val="FF0000"/>
                <w:sz w:val="18"/>
                <w:szCs w:val="18"/>
              </w:rPr>
              <w:t>128</w:t>
            </w:r>
            <w:r w:rsidRPr="00DD0B92">
              <w:rPr>
                <w:rFonts w:ascii="Calibri" w:hAnsi="Calibri"/>
                <w:color w:val="FF0000"/>
                <w:sz w:val="18"/>
                <w:szCs w:val="18"/>
              </w:rPr>
              <w:t xml:space="preserve"> (dont  soutien Psychosocial 3 351  ; services de Santé : 1 993 ; aide Juridique : 84 ;  activités génératrices de revenus : 700)</w:t>
            </w:r>
          </w:p>
          <w:p w14:paraId="2611922A" w14:textId="77777777" w:rsidR="00DD583B" w:rsidRPr="00A20DAB" w:rsidRDefault="00DD583B" w:rsidP="005D2A90">
            <w:pPr>
              <w:snapToGrid w:val="0"/>
              <w:rPr>
                <w:rFonts w:ascii="Calibri" w:hAnsi="Calibri"/>
                <w:sz w:val="18"/>
                <w:szCs w:val="18"/>
              </w:rPr>
            </w:pPr>
          </w:p>
          <w:p w14:paraId="0B211EC4" w14:textId="77777777" w:rsidR="00DD583B" w:rsidRPr="00A20DAB" w:rsidRDefault="00DD583B" w:rsidP="005D2A90">
            <w:pPr>
              <w:snapToGrid w:val="0"/>
              <w:rPr>
                <w:rFonts w:ascii="Calibri" w:hAnsi="Calibri"/>
                <w:sz w:val="18"/>
                <w:szCs w:val="18"/>
              </w:rPr>
            </w:pPr>
            <w:r w:rsidRPr="00A20DAB">
              <w:rPr>
                <w:rFonts w:ascii="Calibri" w:hAnsi="Calibri"/>
                <w:sz w:val="18"/>
                <w:szCs w:val="18"/>
              </w:rPr>
              <w:t>(sous cluster VBG)</w:t>
            </w:r>
          </w:p>
          <w:p w14:paraId="4B58D056" w14:textId="59207A34" w:rsidR="00DD583B" w:rsidRDefault="00DD583B" w:rsidP="005D2A90">
            <w:pPr>
              <w:rPr>
                <w:rFonts w:ascii="Times New Roman" w:hAnsi="Times New Roman" w:cs="Times New Roman"/>
                <w:bCs/>
              </w:rPr>
            </w:pPr>
          </w:p>
          <w:p w14:paraId="293D62E3" w14:textId="77777777" w:rsidR="00DD583B" w:rsidRPr="002E5C18" w:rsidRDefault="00DD583B" w:rsidP="005D2A90">
            <w:pPr>
              <w:rPr>
                <w:lang w:val="fr-FR"/>
              </w:rPr>
            </w:pPr>
            <w:r>
              <w:rPr>
                <w:rFonts w:ascii="Times New Roman" w:hAnsi="Times New Roman" w:cs="Times New Roman"/>
                <w:bCs/>
              </w:rPr>
              <w:t xml:space="preserve">Cible : </w:t>
            </w:r>
            <w:r w:rsidRPr="008B71B5">
              <w:rPr>
                <w:rFonts w:ascii="Times New Roman" w:hAnsi="Times New Roman" w:cs="Times New Roman"/>
                <w:bCs/>
              </w:rPr>
              <w:t>12 000</w:t>
            </w:r>
          </w:p>
        </w:tc>
        <w:tc>
          <w:tcPr>
            <w:tcW w:w="3874" w:type="dxa"/>
            <w:vAlign w:val="center"/>
          </w:tcPr>
          <w:p w14:paraId="33076AAB"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 xml:space="preserve">Mode de calcul : </w:t>
            </w:r>
            <w:r>
              <w:rPr>
                <w:rFonts w:ascii="Times New Roman" w:hAnsi="Times New Roman" w:cs="Times New Roman"/>
              </w:rPr>
              <w:t>Somme totale de survivant(e)s identifié(e)s et pris(es) en charge.</w:t>
            </w:r>
            <w:r w:rsidRPr="008B71B5">
              <w:rPr>
                <w:rFonts w:ascii="Times New Roman" w:hAnsi="Times New Roman" w:cs="Times New Roman"/>
              </w:rPr>
              <w:t xml:space="preserve"> </w:t>
            </w:r>
            <w:r w:rsidRPr="008B71B5">
              <w:rPr>
                <w:rFonts w:ascii="Times New Roman" w:hAnsi="Times New Roman" w:cs="Times New Roman"/>
                <w:bCs/>
              </w:rPr>
              <w:t>désagrégation par type d’appui</w:t>
            </w:r>
          </w:p>
          <w:p w14:paraId="3E93F18C" w14:textId="77777777" w:rsidR="00DD583B" w:rsidRPr="008B71B5" w:rsidRDefault="00DD583B" w:rsidP="005D2A90">
            <w:pPr>
              <w:numPr>
                <w:ilvl w:val="0"/>
                <w:numId w:val="35"/>
              </w:numPr>
              <w:suppressAutoHyphens/>
              <w:rPr>
                <w:rFonts w:ascii="Times New Roman" w:hAnsi="Times New Roman" w:cs="Times New Roman"/>
              </w:rPr>
            </w:pPr>
            <w:r w:rsidRPr="00CB0E70">
              <w:rPr>
                <w:rFonts w:ascii="Times New Roman" w:hAnsi="Times New Roman" w:cs="Times New Roman"/>
              </w:rPr>
              <w:t>Sources de données</w:t>
            </w:r>
            <w:r>
              <w:rPr>
                <w:rFonts w:ascii="Times New Roman" w:hAnsi="Times New Roman" w:cs="Times New Roman"/>
              </w:rPr>
              <w:t>/Moyens de vérification</w:t>
            </w:r>
            <w:r w:rsidRPr="00CB0E70">
              <w:rPr>
                <w:rFonts w:ascii="Times New Roman" w:hAnsi="Times New Roman" w:cs="Times New Roman"/>
              </w:rPr>
              <w:t> </w:t>
            </w:r>
            <w:r w:rsidRPr="008B71B5">
              <w:rPr>
                <w:rFonts w:ascii="Times New Roman" w:hAnsi="Times New Roman" w:cs="Times New Roman"/>
              </w:rPr>
              <w:t xml:space="preserve">: </w:t>
            </w:r>
            <w:r>
              <w:rPr>
                <w:rFonts w:ascii="Times New Roman" w:hAnsi="Times New Roman" w:cs="Times New Roman"/>
              </w:rPr>
              <w:t>Bases de données GBVIMS, DiMonitoring</w:t>
            </w:r>
          </w:p>
          <w:p w14:paraId="4CA65004"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w:t>
            </w:r>
          </w:p>
          <w:p w14:paraId="23588039" w14:textId="77777777" w:rsidR="00DD583B" w:rsidRPr="002E5C18" w:rsidRDefault="00DD583B" w:rsidP="005D2A90">
            <w:pPr>
              <w:pStyle w:val="Paragraphedeliste"/>
              <w:numPr>
                <w:ilvl w:val="0"/>
                <w:numId w:val="16"/>
              </w:numPr>
              <w:ind w:left="357" w:hanging="357"/>
              <w:rPr>
                <w:lang w:val="fr-FR"/>
              </w:rPr>
            </w:pPr>
            <w:r w:rsidRPr="008B71B5">
              <w:rPr>
                <w:rFonts w:ascii="Times New Roman" w:hAnsi="Times New Roman" w:cs="Times New Roman"/>
              </w:rPr>
              <w:t>Maître d’œuvre : Groupe de Résultat</w:t>
            </w:r>
          </w:p>
        </w:tc>
        <w:tc>
          <w:tcPr>
            <w:tcW w:w="2648" w:type="dxa"/>
            <w:vMerge/>
          </w:tcPr>
          <w:p w14:paraId="153BCB39" w14:textId="77777777" w:rsidR="00DD583B" w:rsidRPr="002E5C18" w:rsidRDefault="00DD583B" w:rsidP="005D2A90">
            <w:pPr>
              <w:widowControl w:val="0"/>
              <w:snapToGrid w:val="0"/>
              <w:rPr>
                <w:rFonts w:ascii="Times New Roman" w:hAnsi="Times New Roman" w:cs="Times New Roman"/>
                <w:color w:val="000000"/>
                <w:highlight w:val="yellow"/>
                <w:lang w:val="fr-FR"/>
              </w:rPr>
            </w:pPr>
          </w:p>
        </w:tc>
        <w:tc>
          <w:tcPr>
            <w:tcW w:w="1974" w:type="dxa"/>
            <w:vMerge/>
          </w:tcPr>
          <w:p w14:paraId="31F00C3F" w14:textId="77777777" w:rsidR="00DD583B" w:rsidRPr="002E5C18" w:rsidRDefault="00DD583B" w:rsidP="005D2A90">
            <w:pPr>
              <w:rPr>
                <w:rFonts w:ascii="Times New Roman" w:hAnsi="Times New Roman" w:cs="Times New Roman"/>
                <w:highlight w:val="yellow"/>
                <w:lang w:val="fr-FR"/>
              </w:rPr>
            </w:pPr>
          </w:p>
        </w:tc>
        <w:tc>
          <w:tcPr>
            <w:tcW w:w="1250" w:type="dxa"/>
            <w:vMerge/>
          </w:tcPr>
          <w:p w14:paraId="61128BC0" w14:textId="77777777" w:rsidR="00DD583B" w:rsidRPr="002E5C18" w:rsidRDefault="00DD583B" w:rsidP="005D2A90">
            <w:pPr>
              <w:rPr>
                <w:lang w:val="fr-FR"/>
              </w:rPr>
            </w:pPr>
          </w:p>
        </w:tc>
      </w:tr>
      <w:tr w:rsidR="00DD583B" w:rsidRPr="002E5C18" w14:paraId="38D7D4E7" w14:textId="77777777" w:rsidTr="005D2A90">
        <w:tc>
          <w:tcPr>
            <w:tcW w:w="2590" w:type="dxa"/>
            <w:vMerge/>
            <w:shd w:val="clear" w:color="auto" w:fill="DBE5F1" w:themeFill="accent1" w:themeFillTint="33"/>
            <w:vAlign w:val="center"/>
          </w:tcPr>
          <w:p w14:paraId="4651DE46" w14:textId="77777777" w:rsidR="00DD583B" w:rsidRPr="002E5C18" w:rsidRDefault="00DD583B" w:rsidP="005D2A90"/>
        </w:tc>
        <w:tc>
          <w:tcPr>
            <w:tcW w:w="2832" w:type="dxa"/>
            <w:vAlign w:val="center"/>
          </w:tcPr>
          <w:p w14:paraId="4DC9043D" w14:textId="77777777" w:rsidR="00DD583B" w:rsidRDefault="00DD583B" w:rsidP="005D2A90">
            <w:pPr>
              <w:rPr>
                <w:rFonts w:ascii="Times New Roman" w:hAnsi="Times New Roman" w:cs="Times New Roman"/>
                <w:bCs/>
              </w:rPr>
            </w:pPr>
            <w:r w:rsidRPr="008B71B5">
              <w:rPr>
                <w:rFonts w:ascii="Times New Roman" w:hAnsi="Times New Roman" w:cs="Times New Roman"/>
                <w:bCs/>
              </w:rPr>
              <w:t>Indicateur 4.5.</w:t>
            </w:r>
            <w:r>
              <w:rPr>
                <w:rFonts w:ascii="Times New Roman" w:hAnsi="Times New Roman" w:cs="Times New Roman"/>
                <w:bCs/>
              </w:rPr>
              <w:t>3</w:t>
            </w:r>
            <w:r w:rsidRPr="008B71B5">
              <w:rPr>
                <w:rFonts w:ascii="Times New Roman" w:hAnsi="Times New Roman" w:cs="Times New Roman"/>
                <w:bCs/>
              </w:rPr>
              <w:t xml:space="preserve"> Nombre de législations spécifiques adoptées sur les VBG</w:t>
            </w:r>
          </w:p>
          <w:p w14:paraId="33B465B6" w14:textId="77777777" w:rsidR="00DD583B" w:rsidRDefault="00DD583B" w:rsidP="005D2A90">
            <w:pPr>
              <w:rPr>
                <w:rFonts w:ascii="Times New Roman" w:hAnsi="Times New Roman" w:cs="Times New Roman"/>
                <w:bCs/>
              </w:rPr>
            </w:pPr>
          </w:p>
          <w:p w14:paraId="2AAED0E2" w14:textId="77777777" w:rsidR="00DD583B" w:rsidRDefault="00DD583B" w:rsidP="005D2A90">
            <w:pPr>
              <w:rPr>
                <w:rFonts w:ascii="Times New Roman" w:hAnsi="Times New Roman" w:cs="Times New Roman"/>
                <w:bCs/>
              </w:rPr>
            </w:pPr>
            <w:r>
              <w:rPr>
                <w:rFonts w:ascii="Times New Roman" w:hAnsi="Times New Roman" w:cs="Times New Roman"/>
                <w:bCs/>
              </w:rPr>
              <w:t>Base : 0</w:t>
            </w:r>
          </w:p>
          <w:p w14:paraId="0F9038CF" w14:textId="77777777" w:rsidR="00DD583B" w:rsidRPr="006E1C67" w:rsidRDefault="00DD583B" w:rsidP="005D2A90">
            <w:pPr>
              <w:snapToGrid w:val="0"/>
              <w:rPr>
                <w:rFonts w:ascii="Calibri" w:hAnsi="Calibri"/>
                <w:color w:val="FF0000"/>
                <w:sz w:val="18"/>
                <w:szCs w:val="18"/>
                <w:lang w:val="fr-FR"/>
              </w:rPr>
            </w:pPr>
            <w:r w:rsidRPr="006E1C67">
              <w:rPr>
                <w:rFonts w:ascii="Calibri" w:hAnsi="Calibri"/>
                <w:color w:val="FF0000"/>
                <w:sz w:val="18"/>
                <w:szCs w:val="18"/>
              </w:rPr>
              <w:t xml:space="preserve">Situation en fin 2017: </w:t>
            </w:r>
            <w:r>
              <w:rPr>
                <w:rFonts w:ascii="Calibri" w:hAnsi="Calibri"/>
                <w:color w:val="FF0000"/>
                <w:sz w:val="18"/>
                <w:szCs w:val="18"/>
              </w:rPr>
              <w:t>0</w:t>
            </w:r>
          </w:p>
          <w:p w14:paraId="2AE01459" w14:textId="77777777" w:rsidR="00DD583B" w:rsidRDefault="00DD583B" w:rsidP="005D2A90">
            <w:pPr>
              <w:rPr>
                <w:rFonts w:ascii="Times New Roman" w:hAnsi="Times New Roman" w:cs="Times New Roman"/>
                <w:bCs/>
              </w:rPr>
            </w:pPr>
          </w:p>
          <w:p w14:paraId="7179682E" w14:textId="77777777" w:rsidR="00DD583B" w:rsidRPr="008B71B5" w:rsidRDefault="00DD583B" w:rsidP="005D2A90">
            <w:pPr>
              <w:rPr>
                <w:rFonts w:ascii="Times New Roman" w:hAnsi="Times New Roman" w:cs="Times New Roman"/>
                <w:bCs/>
              </w:rPr>
            </w:pPr>
            <w:r>
              <w:rPr>
                <w:rFonts w:ascii="Times New Roman" w:hAnsi="Times New Roman" w:cs="Times New Roman"/>
                <w:bCs/>
              </w:rPr>
              <w:t xml:space="preserve">Cible : </w:t>
            </w:r>
            <w:r w:rsidRPr="008B71B5">
              <w:rPr>
                <w:rFonts w:ascii="Times New Roman" w:hAnsi="Times New Roman" w:cs="Times New Roman"/>
                <w:bCs/>
              </w:rPr>
              <w:t>1</w:t>
            </w:r>
          </w:p>
        </w:tc>
        <w:tc>
          <w:tcPr>
            <w:tcW w:w="3874" w:type="dxa"/>
            <w:vAlign w:val="center"/>
          </w:tcPr>
          <w:p w14:paraId="599EA259"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Mode de calcul : Dénombrement des législations spécifiques adoptées sur les VBG</w:t>
            </w:r>
          </w:p>
          <w:p w14:paraId="35C71111" w14:textId="77777777" w:rsidR="00DD583B" w:rsidRPr="008B71B5" w:rsidRDefault="00DD583B" w:rsidP="005D2A90">
            <w:pPr>
              <w:numPr>
                <w:ilvl w:val="0"/>
                <w:numId w:val="35"/>
              </w:numPr>
              <w:suppressAutoHyphens/>
              <w:rPr>
                <w:rFonts w:ascii="Times New Roman" w:hAnsi="Times New Roman" w:cs="Times New Roman"/>
              </w:rPr>
            </w:pPr>
            <w:r w:rsidRPr="00CB0E70">
              <w:rPr>
                <w:rFonts w:ascii="Times New Roman" w:hAnsi="Times New Roman" w:cs="Times New Roman"/>
              </w:rPr>
              <w:t>Sources de données</w:t>
            </w:r>
            <w:r>
              <w:rPr>
                <w:rFonts w:ascii="Times New Roman" w:hAnsi="Times New Roman" w:cs="Times New Roman"/>
              </w:rPr>
              <w:t>/Moyens de vérification</w:t>
            </w:r>
            <w:r w:rsidRPr="00CB0E70">
              <w:rPr>
                <w:rFonts w:ascii="Times New Roman" w:hAnsi="Times New Roman" w:cs="Times New Roman"/>
              </w:rPr>
              <w:t> </w:t>
            </w:r>
            <w:r w:rsidRPr="008B71B5">
              <w:rPr>
                <w:rFonts w:ascii="Times New Roman" w:hAnsi="Times New Roman" w:cs="Times New Roman"/>
              </w:rPr>
              <w:t>: Données nationales</w:t>
            </w:r>
          </w:p>
          <w:p w14:paraId="30E67FC2"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 xml:space="preserve">Périodicité : </w:t>
            </w:r>
            <w:r>
              <w:rPr>
                <w:rFonts w:ascii="Times New Roman" w:hAnsi="Times New Roman" w:cs="Times New Roman"/>
              </w:rPr>
              <w:t>Fin du cycle</w:t>
            </w:r>
          </w:p>
          <w:p w14:paraId="15C0135D"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 xml:space="preserve">Maître d’œuvre : Groupe de Résultat, en rapport avec les structures nationales compétentes : Assemblée nationale et Misnitère </w:t>
            </w:r>
            <w:r>
              <w:rPr>
                <w:rFonts w:ascii="Times New Roman" w:hAnsi="Times New Roman" w:cs="Times New Roman"/>
              </w:rPr>
              <w:t>PFEF</w:t>
            </w:r>
          </w:p>
        </w:tc>
        <w:tc>
          <w:tcPr>
            <w:tcW w:w="2648" w:type="dxa"/>
            <w:vMerge/>
          </w:tcPr>
          <w:p w14:paraId="04B3A11E" w14:textId="77777777" w:rsidR="00DD583B" w:rsidRPr="002E5C18" w:rsidRDefault="00DD583B" w:rsidP="005D2A90"/>
        </w:tc>
        <w:tc>
          <w:tcPr>
            <w:tcW w:w="1974" w:type="dxa"/>
            <w:vMerge/>
          </w:tcPr>
          <w:p w14:paraId="7A38B690" w14:textId="77777777" w:rsidR="00DD583B" w:rsidRPr="002E5C18" w:rsidRDefault="00DD583B" w:rsidP="005D2A90"/>
        </w:tc>
        <w:tc>
          <w:tcPr>
            <w:tcW w:w="1250" w:type="dxa"/>
            <w:vMerge/>
          </w:tcPr>
          <w:p w14:paraId="6CC0BB21" w14:textId="77777777" w:rsidR="00DD583B" w:rsidRPr="002E5C18" w:rsidRDefault="00DD583B" w:rsidP="005D2A90"/>
        </w:tc>
      </w:tr>
      <w:tr w:rsidR="00DD583B" w:rsidRPr="002E5C18" w14:paraId="3D15F0F3" w14:textId="77777777" w:rsidTr="005D2A90">
        <w:tc>
          <w:tcPr>
            <w:tcW w:w="2590" w:type="dxa"/>
            <w:vMerge w:val="restart"/>
            <w:shd w:val="clear" w:color="auto" w:fill="DBE5F1" w:themeFill="accent1" w:themeFillTint="33"/>
            <w:vAlign w:val="center"/>
          </w:tcPr>
          <w:p w14:paraId="4B0F7BC2" w14:textId="77777777" w:rsidR="00DD583B" w:rsidRPr="002E5C18" w:rsidRDefault="00DD583B" w:rsidP="005D2A90">
            <w:pPr>
              <w:rPr>
                <w:lang w:val="fr-FR"/>
              </w:rPr>
            </w:pPr>
            <w:r w:rsidRPr="008B71B5">
              <w:rPr>
                <w:rFonts w:ascii="Times New Roman" w:hAnsi="Times New Roman" w:cs="Times New Roman"/>
                <w:bCs/>
              </w:rPr>
              <w:t>Produit 4.6: Les groupes vulnérables bénéficient de services de protection sociale adéquate</w:t>
            </w:r>
          </w:p>
        </w:tc>
        <w:tc>
          <w:tcPr>
            <w:tcW w:w="2832" w:type="dxa"/>
            <w:vAlign w:val="center"/>
          </w:tcPr>
          <w:p w14:paraId="2C0B9326" w14:textId="77777777" w:rsidR="00DD583B" w:rsidRPr="00AE791F" w:rsidRDefault="00DD583B" w:rsidP="005D2A90">
            <w:pPr>
              <w:rPr>
                <w:rFonts w:ascii="Times New Roman" w:hAnsi="Times New Roman" w:cs="Times New Roman"/>
                <w:bCs/>
                <w:lang w:val="fr-FR"/>
              </w:rPr>
            </w:pPr>
            <w:r w:rsidRPr="008B71B5">
              <w:rPr>
                <w:rFonts w:ascii="Times New Roman" w:hAnsi="Times New Roman" w:cs="Times New Roman"/>
                <w:bCs/>
              </w:rPr>
              <w:t xml:space="preserve">Indicateur 4.6.1 : </w:t>
            </w:r>
            <w:r>
              <w:rPr>
                <w:rFonts w:ascii="Times New Roman" w:hAnsi="Times New Roman" w:cs="Times New Roman"/>
                <w:bCs/>
              </w:rPr>
              <w:t xml:space="preserve">Existence du  </w:t>
            </w:r>
            <w:r w:rsidRPr="00AE791F">
              <w:rPr>
                <w:rFonts w:ascii="Times New Roman" w:hAnsi="Times New Roman" w:cs="Times New Roman"/>
                <w:bCs/>
              </w:rPr>
              <w:t>plan d’action d’expansion de la politique nationale de la protection sociale</w:t>
            </w:r>
            <w:r w:rsidRPr="00AE791F" w:rsidDel="00AE791F">
              <w:rPr>
                <w:rFonts w:ascii="Times New Roman" w:hAnsi="Times New Roman" w:cs="Times New Roman"/>
                <w:bCs/>
              </w:rPr>
              <w:t xml:space="preserve"> </w:t>
            </w:r>
            <w:r>
              <w:rPr>
                <w:rFonts w:ascii="Times New Roman" w:hAnsi="Times New Roman" w:cs="Times New Roman"/>
                <w:bCs/>
              </w:rPr>
              <w:t xml:space="preserve"> </w:t>
            </w:r>
          </w:p>
          <w:p w14:paraId="5318F231" w14:textId="77777777" w:rsidR="00DD583B" w:rsidRDefault="00DD583B" w:rsidP="005D2A90">
            <w:pPr>
              <w:rPr>
                <w:rFonts w:ascii="Times New Roman" w:hAnsi="Times New Roman" w:cs="Times New Roman"/>
                <w:bCs/>
              </w:rPr>
            </w:pPr>
          </w:p>
          <w:p w14:paraId="7F103663" w14:textId="77777777" w:rsidR="00DD583B" w:rsidRDefault="00DD583B" w:rsidP="005D2A90">
            <w:pPr>
              <w:rPr>
                <w:rFonts w:ascii="Times New Roman" w:hAnsi="Times New Roman" w:cs="Times New Roman"/>
                <w:bCs/>
              </w:rPr>
            </w:pPr>
            <w:r>
              <w:rPr>
                <w:rFonts w:ascii="Times New Roman" w:hAnsi="Times New Roman" w:cs="Times New Roman"/>
                <w:bCs/>
              </w:rPr>
              <w:t xml:space="preserve">Base : Non (2017) </w:t>
            </w:r>
          </w:p>
          <w:p w14:paraId="2C036615" w14:textId="77777777" w:rsidR="00DD583B" w:rsidRPr="00CE2384" w:rsidRDefault="00DD583B" w:rsidP="005D2A90">
            <w:pPr>
              <w:snapToGrid w:val="0"/>
              <w:rPr>
                <w:rFonts w:ascii="Calibri" w:hAnsi="Calibri"/>
                <w:color w:val="FF0000"/>
                <w:sz w:val="18"/>
                <w:szCs w:val="18"/>
                <w:lang w:val="fr-FR"/>
              </w:rPr>
            </w:pPr>
            <w:r w:rsidRPr="006E1C67">
              <w:rPr>
                <w:rFonts w:ascii="Calibri" w:hAnsi="Calibri"/>
                <w:b/>
                <w:color w:val="FF0000"/>
                <w:sz w:val="18"/>
                <w:szCs w:val="18"/>
              </w:rPr>
              <w:lastRenderedPageBreak/>
              <w:t>Situation en fin 2017</w:t>
            </w:r>
            <w:r w:rsidRPr="00CE2384">
              <w:rPr>
                <w:rFonts w:ascii="Calibri" w:hAnsi="Calibri"/>
                <w:color w:val="FF0000"/>
                <w:sz w:val="18"/>
                <w:szCs w:val="18"/>
              </w:rPr>
              <w:t xml:space="preserve">: </w:t>
            </w:r>
            <w:r>
              <w:rPr>
                <w:rFonts w:ascii="Calibri" w:hAnsi="Calibri"/>
                <w:color w:val="FF0000"/>
                <w:sz w:val="18"/>
                <w:szCs w:val="18"/>
              </w:rPr>
              <w:t>Non</w:t>
            </w:r>
          </w:p>
          <w:p w14:paraId="196FFFAF" w14:textId="77777777" w:rsidR="00DD583B" w:rsidRPr="00E44CE6" w:rsidRDefault="00DD583B" w:rsidP="005D2A90">
            <w:pPr>
              <w:rPr>
                <w:rFonts w:ascii="Times New Roman" w:hAnsi="Times New Roman" w:cs="Times New Roman"/>
                <w:bCs/>
                <w:lang w:val="fr-FR"/>
              </w:rPr>
            </w:pPr>
          </w:p>
          <w:p w14:paraId="78B09E0F" w14:textId="77777777" w:rsidR="00DD583B" w:rsidRPr="002E5C18" w:rsidRDefault="00DD583B" w:rsidP="005D2A90">
            <w:pPr>
              <w:rPr>
                <w:lang w:val="fr-FR"/>
              </w:rPr>
            </w:pPr>
            <w:r>
              <w:rPr>
                <w:rFonts w:ascii="Times New Roman" w:hAnsi="Times New Roman" w:cs="Times New Roman"/>
                <w:bCs/>
              </w:rPr>
              <w:t xml:space="preserve">Cible : Oui  </w:t>
            </w:r>
          </w:p>
        </w:tc>
        <w:tc>
          <w:tcPr>
            <w:tcW w:w="3874" w:type="dxa"/>
            <w:vAlign w:val="center"/>
          </w:tcPr>
          <w:p w14:paraId="2AAC9C36"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lastRenderedPageBreak/>
              <w:t xml:space="preserve">Mode de détermination : Tout indice de visibilité et ou de fonctionnement d’un cadre politique et juridique de protection sociale réformé </w:t>
            </w:r>
          </w:p>
          <w:p w14:paraId="3AF199B6" w14:textId="77777777" w:rsidR="00DD583B" w:rsidRPr="008B71B5" w:rsidRDefault="00DD583B" w:rsidP="005D2A90">
            <w:pPr>
              <w:numPr>
                <w:ilvl w:val="0"/>
                <w:numId w:val="35"/>
              </w:numPr>
              <w:suppressAutoHyphens/>
              <w:rPr>
                <w:rFonts w:ascii="Times New Roman" w:hAnsi="Times New Roman" w:cs="Times New Roman"/>
              </w:rPr>
            </w:pPr>
            <w:r w:rsidRPr="00CB0E70">
              <w:rPr>
                <w:rFonts w:ascii="Times New Roman" w:hAnsi="Times New Roman" w:cs="Times New Roman"/>
              </w:rPr>
              <w:lastRenderedPageBreak/>
              <w:t>Sources de données</w:t>
            </w:r>
            <w:r>
              <w:rPr>
                <w:rFonts w:ascii="Times New Roman" w:hAnsi="Times New Roman" w:cs="Times New Roman"/>
              </w:rPr>
              <w:t>/Moyens de vérification</w:t>
            </w:r>
            <w:r w:rsidRPr="00CB0E70">
              <w:rPr>
                <w:rFonts w:ascii="Times New Roman" w:hAnsi="Times New Roman" w:cs="Times New Roman"/>
              </w:rPr>
              <w:t> </w:t>
            </w:r>
            <w:r w:rsidRPr="008B71B5">
              <w:rPr>
                <w:rFonts w:ascii="Times New Roman" w:hAnsi="Times New Roman" w:cs="Times New Roman"/>
              </w:rPr>
              <w:t>: Données et nationales et observation directe</w:t>
            </w:r>
          </w:p>
          <w:p w14:paraId="61A2A9A4"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w:t>
            </w:r>
          </w:p>
          <w:p w14:paraId="3852E034" w14:textId="77777777" w:rsidR="00DD583B" w:rsidRPr="002E5C18" w:rsidRDefault="00DD583B" w:rsidP="005D2A90">
            <w:pPr>
              <w:pStyle w:val="Paragraphedeliste"/>
              <w:numPr>
                <w:ilvl w:val="0"/>
                <w:numId w:val="16"/>
              </w:numPr>
              <w:ind w:left="357" w:hanging="357"/>
              <w:rPr>
                <w:lang w:val="fr-FR"/>
              </w:rPr>
            </w:pPr>
            <w:r w:rsidRPr="008B71B5">
              <w:rPr>
                <w:rFonts w:ascii="Times New Roman" w:hAnsi="Times New Roman" w:cs="Times New Roman"/>
              </w:rPr>
              <w:t>Maître d’œuvre : Groupe de Résultat</w:t>
            </w:r>
          </w:p>
        </w:tc>
        <w:tc>
          <w:tcPr>
            <w:tcW w:w="2648" w:type="dxa"/>
          </w:tcPr>
          <w:p w14:paraId="5E700CBF" w14:textId="77777777" w:rsidR="00DD583B" w:rsidRPr="002E5C18" w:rsidRDefault="00DD583B" w:rsidP="005D2A90">
            <w:pPr>
              <w:rPr>
                <w:lang w:val="fr-FR"/>
              </w:rPr>
            </w:pPr>
            <w:r>
              <w:rPr>
                <w:lang w:val="fr-FR"/>
              </w:rPr>
              <w:lastRenderedPageBreak/>
              <w:t>Insufisance de ressources focalisées sur la protection sociale</w:t>
            </w:r>
          </w:p>
        </w:tc>
        <w:tc>
          <w:tcPr>
            <w:tcW w:w="1974" w:type="dxa"/>
          </w:tcPr>
          <w:p w14:paraId="0BA5DDC5" w14:textId="77777777" w:rsidR="00DD583B" w:rsidRPr="002E5C18" w:rsidRDefault="00DD583B" w:rsidP="005D2A90">
            <w:pPr>
              <w:rPr>
                <w:lang w:val="fr-FR"/>
              </w:rPr>
            </w:pPr>
          </w:p>
        </w:tc>
        <w:tc>
          <w:tcPr>
            <w:tcW w:w="1250" w:type="dxa"/>
          </w:tcPr>
          <w:p w14:paraId="753994FF" w14:textId="77777777" w:rsidR="00DD583B" w:rsidRPr="002E5C18" w:rsidRDefault="00DD583B" w:rsidP="005D2A90">
            <w:pPr>
              <w:rPr>
                <w:lang w:val="fr-FR"/>
              </w:rPr>
            </w:pPr>
          </w:p>
        </w:tc>
      </w:tr>
      <w:tr w:rsidR="00DD583B" w:rsidRPr="002E5C18" w14:paraId="73816516" w14:textId="77777777" w:rsidTr="005D2A90">
        <w:tc>
          <w:tcPr>
            <w:tcW w:w="2590" w:type="dxa"/>
            <w:vMerge/>
            <w:shd w:val="clear" w:color="auto" w:fill="DBE5F1" w:themeFill="accent1" w:themeFillTint="33"/>
            <w:vAlign w:val="center"/>
          </w:tcPr>
          <w:p w14:paraId="0DC96CED" w14:textId="77777777" w:rsidR="00DD583B" w:rsidRPr="002E5C18" w:rsidRDefault="00DD583B" w:rsidP="005D2A90">
            <w:pPr>
              <w:rPr>
                <w:lang w:val="fr-FR"/>
              </w:rPr>
            </w:pPr>
          </w:p>
        </w:tc>
        <w:tc>
          <w:tcPr>
            <w:tcW w:w="2832" w:type="dxa"/>
            <w:vAlign w:val="center"/>
          </w:tcPr>
          <w:p w14:paraId="036480FD" w14:textId="77777777" w:rsidR="00DD583B" w:rsidRDefault="00DD583B" w:rsidP="005D2A90">
            <w:pPr>
              <w:rPr>
                <w:rFonts w:ascii="Times New Roman" w:hAnsi="Times New Roman" w:cs="Times New Roman"/>
                <w:bCs/>
              </w:rPr>
            </w:pPr>
            <w:r w:rsidRPr="008B71B5">
              <w:rPr>
                <w:rFonts w:ascii="Times New Roman" w:hAnsi="Times New Roman" w:cs="Times New Roman"/>
                <w:bCs/>
              </w:rPr>
              <w:t>Indicateur 4.6.2 Pourcentage de la population couverte par les mutuelles de santé</w:t>
            </w:r>
          </w:p>
          <w:p w14:paraId="41B528ED" w14:textId="77777777" w:rsidR="00DD583B" w:rsidRDefault="00DD583B" w:rsidP="005D2A90">
            <w:pPr>
              <w:rPr>
                <w:rFonts w:ascii="Times New Roman" w:hAnsi="Times New Roman" w:cs="Times New Roman"/>
                <w:bCs/>
              </w:rPr>
            </w:pPr>
          </w:p>
          <w:p w14:paraId="5DEFDCB8" w14:textId="77777777" w:rsidR="00DD583B" w:rsidRDefault="00DD583B" w:rsidP="005D2A90">
            <w:pPr>
              <w:rPr>
                <w:rFonts w:ascii="Times New Roman" w:hAnsi="Times New Roman" w:cs="Times New Roman"/>
                <w:bCs/>
              </w:rPr>
            </w:pPr>
            <w:r>
              <w:rPr>
                <w:rFonts w:ascii="Times New Roman" w:hAnsi="Times New Roman" w:cs="Times New Roman"/>
                <w:bCs/>
              </w:rPr>
              <w:t xml:space="preserve">Base :  </w:t>
            </w:r>
            <w:r w:rsidRPr="008B71B5">
              <w:rPr>
                <w:rFonts w:ascii="Times New Roman" w:hAnsi="Times New Roman" w:cs="Times New Roman"/>
                <w:bCs/>
              </w:rPr>
              <w:t>4% 2012</w:t>
            </w:r>
          </w:p>
          <w:p w14:paraId="55F369C4"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Situation en fin 2017:</w:t>
            </w:r>
            <w:r>
              <w:rPr>
                <w:rFonts w:ascii="Calibri" w:hAnsi="Calibri"/>
                <w:color w:val="FF0000"/>
                <w:sz w:val="18"/>
                <w:szCs w:val="18"/>
              </w:rPr>
              <w:t xml:space="preserve"> 5,02%</w:t>
            </w:r>
            <w:r w:rsidRPr="00CE2384">
              <w:rPr>
                <w:rFonts w:ascii="Calibri" w:hAnsi="Calibri"/>
                <w:color w:val="FF0000"/>
                <w:sz w:val="18"/>
                <w:szCs w:val="18"/>
              </w:rPr>
              <w:t xml:space="preserve"> </w:t>
            </w:r>
          </w:p>
          <w:p w14:paraId="762D65C2" w14:textId="77777777" w:rsidR="00DD583B" w:rsidRDefault="00DD583B" w:rsidP="005D2A90">
            <w:pPr>
              <w:rPr>
                <w:rFonts w:ascii="Times New Roman" w:hAnsi="Times New Roman" w:cs="Times New Roman"/>
                <w:bCs/>
              </w:rPr>
            </w:pPr>
          </w:p>
          <w:p w14:paraId="46A5B059" w14:textId="77777777" w:rsidR="00DD583B" w:rsidRPr="002E5C18" w:rsidRDefault="00DD583B" w:rsidP="005D2A90">
            <w:pPr>
              <w:rPr>
                <w:lang w:val="fr-FR"/>
              </w:rPr>
            </w:pPr>
            <w:r>
              <w:rPr>
                <w:rFonts w:ascii="Times New Roman" w:hAnsi="Times New Roman" w:cs="Times New Roman"/>
                <w:bCs/>
              </w:rPr>
              <w:t xml:space="preserve">Cible : </w:t>
            </w:r>
            <w:r w:rsidRPr="008B71B5">
              <w:rPr>
                <w:rFonts w:ascii="Times New Roman" w:hAnsi="Times New Roman" w:cs="Times New Roman"/>
                <w:bCs/>
              </w:rPr>
              <w:t>5%</w:t>
            </w:r>
          </w:p>
        </w:tc>
        <w:tc>
          <w:tcPr>
            <w:tcW w:w="3874" w:type="dxa"/>
            <w:vAlign w:val="center"/>
          </w:tcPr>
          <w:p w14:paraId="5D6B1D53"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Mode de calcul : Rapport Nb de personnes couvertes par les mutuelles de santé, sur population générale</w:t>
            </w:r>
          </w:p>
          <w:p w14:paraId="7150CE91" w14:textId="77777777" w:rsidR="00DD583B" w:rsidRPr="008B71B5" w:rsidRDefault="00DD583B" w:rsidP="005D2A90">
            <w:pPr>
              <w:numPr>
                <w:ilvl w:val="0"/>
                <w:numId w:val="35"/>
              </w:numPr>
              <w:suppressAutoHyphens/>
              <w:rPr>
                <w:rFonts w:ascii="Times New Roman" w:hAnsi="Times New Roman" w:cs="Times New Roman"/>
              </w:rPr>
            </w:pPr>
            <w:r w:rsidRPr="00CB0E70">
              <w:rPr>
                <w:rFonts w:ascii="Times New Roman" w:hAnsi="Times New Roman" w:cs="Times New Roman"/>
              </w:rPr>
              <w:t>Sources de données</w:t>
            </w:r>
            <w:r>
              <w:rPr>
                <w:rFonts w:ascii="Times New Roman" w:hAnsi="Times New Roman" w:cs="Times New Roman"/>
              </w:rPr>
              <w:t>/Moyens de vérification</w:t>
            </w:r>
            <w:r w:rsidRPr="00CB0E70">
              <w:rPr>
                <w:rFonts w:ascii="Times New Roman" w:hAnsi="Times New Roman" w:cs="Times New Roman"/>
              </w:rPr>
              <w:t> </w:t>
            </w:r>
            <w:r w:rsidRPr="008B71B5">
              <w:rPr>
                <w:rFonts w:ascii="Times New Roman" w:hAnsi="Times New Roman" w:cs="Times New Roman"/>
              </w:rPr>
              <w:t>: Données et Enquêtes nationales</w:t>
            </w:r>
          </w:p>
          <w:p w14:paraId="44119393"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w:t>
            </w:r>
          </w:p>
          <w:p w14:paraId="715754D4" w14:textId="77777777" w:rsidR="00DD583B" w:rsidRPr="002E5C18" w:rsidRDefault="00DD583B" w:rsidP="005D2A90">
            <w:pPr>
              <w:pStyle w:val="Paragraphedeliste"/>
              <w:numPr>
                <w:ilvl w:val="0"/>
                <w:numId w:val="16"/>
              </w:numPr>
              <w:ind w:left="357" w:hanging="357"/>
              <w:rPr>
                <w:lang w:val="fr-FR"/>
              </w:rPr>
            </w:pPr>
            <w:r w:rsidRPr="008B71B5">
              <w:rPr>
                <w:rFonts w:ascii="Times New Roman" w:hAnsi="Times New Roman" w:cs="Times New Roman"/>
              </w:rPr>
              <w:t>Maître d’œuvre : Groupe de Résultat, en rapport avec l’Appareil statistique national</w:t>
            </w:r>
          </w:p>
        </w:tc>
        <w:tc>
          <w:tcPr>
            <w:tcW w:w="2648" w:type="dxa"/>
          </w:tcPr>
          <w:p w14:paraId="3E5E2E78" w14:textId="77777777" w:rsidR="00DD583B" w:rsidRPr="002E5C18" w:rsidRDefault="00DD583B" w:rsidP="005D2A90">
            <w:pPr>
              <w:rPr>
                <w:lang w:val="fr-FR"/>
              </w:rPr>
            </w:pPr>
          </w:p>
        </w:tc>
        <w:tc>
          <w:tcPr>
            <w:tcW w:w="1974" w:type="dxa"/>
          </w:tcPr>
          <w:p w14:paraId="3E298956" w14:textId="77777777" w:rsidR="00DD583B" w:rsidRPr="002E5C18" w:rsidRDefault="00DD583B" w:rsidP="005D2A90">
            <w:pPr>
              <w:rPr>
                <w:lang w:val="fr-FR"/>
              </w:rPr>
            </w:pPr>
          </w:p>
        </w:tc>
        <w:tc>
          <w:tcPr>
            <w:tcW w:w="1250" w:type="dxa"/>
          </w:tcPr>
          <w:p w14:paraId="5A86769E" w14:textId="77777777" w:rsidR="00DD583B" w:rsidRPr="002E5C18" w:rsidRDefault="00DD583B" w:rsidP="005D2A90">
            <w:pPr>
              <w:rPr>
                <w:lang w:val="fr-FR"/>
              </w:rPr>
            </w:pPr>
          </w:p>
        </w:tc>
      </w:tr>
      <w:tr w:rsidR="00DD583B" w:rsidRPr="002E5C18" w14:paraId="4EA1CDDF" w14:textId="77777777" w:rsidTr="005D2A90">
        <w:tc>
          <w:tcPr>
            <w:tcW w:w="2590" w:type="dxa"/>
            <w:vMerge/>
            <w:shd w:val="clear" w:color="auto" w:fill="DBE5F1" w:themeFill="accent1" w:themeFillTint="33"/>
            <w:vAlign w:val="center"/>
          </w:tcPr>
          <w:p w14:paraId="460FE717" w14:textId="77777777" w:rsidR="00DD583B" w:rsidRPr="002E5C18" w:rsidRDefault="00DD583B" w:rsidP="005D2A90">
            <w:pPr>
              <w:rPr>
                <w:lang w:val="fr-FR"/>
              </w:rPr>
            </w:pPr>
          </w:p>
        </w:tc>
        <w:tc>
          <w:tcPr>
            <w:tcW w:w="2832" w:type="dxa"/>
            <w:vAlign w:val="center"/>
          </w:tcPr>
          <w:p w14:paraId="6B213EFC" w14:textId="77777777" w:rsidR="00DD583B" w:rsidRDefault="00DD583B" w:rsidP="005D2A90">
            <w:pPr>
              <w:rPr>
                <w:rFonts w:ascii="Times New Roman" w:hAnsi="Times New Roman" w:cs="Times New Roman"/>
                <w:bCs/>
              </w:rPr>
            </w:pPr>
            <w:r w:rsidRPr="008B71B5">
              <w:rPr>
                <w:rFonts w:ascii="Times New Roman" w:hAnsi="Times New Roman" w:cs="Times New Roman"/>
                <w:bCs/>
              </w:rPr>
              <w:t>Indicateur 4.6.3 Nombre de ménages vulnérables bénéficiant d’un transfert monétaire</w:t>
            </w:r>
          </w:p>
          <w:p w14:paraId="757A3D62" w14:textId="77777777" w:rsidR="00DD583B" w:rsidRDefault="00DD583B" w:rsidP="005D2A90">
            <w:pPr>
              <w:rPr>
                <w:rFonts w:ascii="Times New Roman" w:hAnsi="Times New Roman" w:cs="Times New Roman"/>
                <w:bCs/>
              </w:rPr>
            </w:pPr>
          </w:p>
          <w:p w14:paraId="6D91D1E8" w14:textId="77777777" w:rsidR="00DD583B" w:rsidRDefault="00DD583B" w:rsidP="005D2A90">
            <w:pPr>
              <w:rPr>
                <w:rFonts w:ascii="Times New Roman" w:hAnsi="Times New Roman" w:cs="Times New Roman"/>
                <w:bCs/>
              </w:rPr>
            </w:pPr>
            <w:r>
              <w:rPr>
                <w:rFonts w:ascii="Times New Roman" w:hAnsi="Times New Roman" w:cs="Times New Roman"/>
                <w:bCs/>
              </w:rPr>
              <w:t xml:space="preserve">Base :  </w:t>
            </w:r>
            <w:r w:rsidRPr="008B71B5">
              <w:rPr>
                <w:rFonts w:ascii="Times New Roman" w:hAnsi="Times New Roman" w:cs="Times New Roman"/>
                <w:bCs/>
              </w:rPr>
              <w:t>4761</w:t>
            </w:r>
          </w:p>
          <w:p w14:paraId="0E2EB47C" w14:textId="77777777" w:rsidR="00DD583B" w:rsidRPr="0078348B" w:rsidRDefault="00DD583B" w:rsidP="005D2A90">
            <w:pPr>
              <w:snapToGrid w:val="0"/>
              <w:rPr>
                <w:rFonts w:ascii="Calibri" w:hAnsi="Calibri"/>
                <w:b/>
                <w:color w:val="FF0000"/>
                <w:sz w:val="18"/>
                <w:szCs w:val="18"/>
                <w:lang w:val="fr-FR"/>
              </w:rPr>
            </w:pPr>
            <w:r w:rsidRPr="006E1C67">
              <w:rPr>
                <w:rFonts w:ascii="Calibri" w:hAnsi="Calibri"/>
                <w:b/>
                <w:color w:val="FF0000"/>
                <w:sz w:val="18"/>
                <w:szCs w:val="18"/>
              </w:rPr>
              <w:t>Situation en fin 2017:</w:t>
            </w:r>
            <w:r w:rsidRPr="00CE2384">
              <w:rPr>
                <w:rFonts w:ascii="Calibri" w:hAnsi="Calibri"/>
                <w:color w:val="FF0000"/>
                <w:sz w:val="18"/>
                <w:szCs w:val="18"/>
              </w:rPr>
              <w:t xml:space="preserve"> </w:t>
            </w:r>
            <w:r>
              <w:rPr>
                <w:rFonts w:ascii="Calibri" w:hAnsi="Calibri"/>
                <w:color w:val="FF0000"/>
                <w:sz w:val="18"/>
                <w:szCs w:val="18"/>
              </w:rPr>
              <w:t>135,725</w:t>
            </w:r>
          </w:p>
          <w:p w14:paraId="30CEAE9F" w14:textId="77777777" w:rsidR="00DD583B" w:rsidRDefault="00DD583B" w:rsidP="005D2A90">
            <w:pPr>
              <w:snapToGrid w:val="0"/>
              <w:rPr>
                <w:rFonts w:ascii="Calibri" w:hAnsi="Calibri"/>
                <w:b/>
                <w:color w:val="FF0000"/>
                <w:sz w:val="18"/>
                <w:szCs w:val="18"/>
              </w:rPr>
            </w:pPr>
          </w:p>
          <w:p w14:paraId="040DDEBC" w14:textId="77777777" w:rsidR="00DD583B" w:rsidRDefault="00DD583B" w:rsidP="005D2A90">
            <w:pPr>
              <w:snapToGrid w:val="0"/>
              <w:rPr>
                <w:rFonts w:ascii="Calibri" w:hAnsi="Calibri"/>
                <w:b/>
                <w:color w:val="FF0000"/>
                <w:sz w:val="18"/>
                <w:szCs w:val="18"/>
              </w:rPr>
            </w:pPr>
          </w:p>
          <w:p w14:paraId="23268507" w14:textId="77777777" w:rsidR="00DD583B" w:rsidRPr="006E1C67" w:rsidRDefault="00DD583B" w:rsidP="005D2A90">
            <w:pPr>
              <w:snapToGrid w:val="0"/>
              <w:rPr>
                <w:rFonts w:ascii="Calibri" w:hAnsi="Calibri"/>
                <w:b/>
                <w:color w:val="FF0000"/>
                <w:sz w:val="18"/>
                <w:szCs w:val="18"/>
                <w:lang w:val="fr-FR"/>
              </w:rPr>
            </w:pPr>
            <w:r>
              <w:rPr>
                <w:rFonts w:ascii="Calibri" w:hAnsi="Calibri"/>
                <w:b/>
                <w:color w:val="FF0000"/>
                <w:sz w:val="18"/>
                <w:szCs w:val="18"/>
              </w:rPr>
              <w:t>(rapport annuel 2017 PAM et rapport annuel 2017 FAO)</w:t>
            </w:r>
          </w:p>
          <w:p w14:paraId="17CA0FE6" w14:textId="77777777" w:rsidR="00DD583B" w:rsidRPr="00CE2384" w:rsidRDefault="00DD583B" w:rsidP="005D2A90">
            <w:pPr>
              <w:snapToGrid w:val="0"/>
              <w:rPr>
                <w:rFonts w:ascii="Calibri" w:hAnsi="Calibri"/>
                <w:color w:val="FF0000"/>
                <w:sz w:val="18"/>
                <w:szCs w:val="18"/>
                <w:lang w:val="fr-FR"/>
              </w:rPr>
            </w:pPr>
          </w:p>
          <w:p w14:paraId="3DD0A06E" w14:textId="77777777" w:rsidR="00DD583B" w:rsidRDefault="00DD583B" w:rsidP="005D2A90">
            <w:pPr>
              <w:rPr>
                <w:rFonts w:ascii="Times New Roman" w:hAnsi="Times New Roman" w:cs="Times New Roman"/>
                <w:bCs/>
              </w:rPr>
            </w:pPr>
          </w:p>
          <w:p w14:paraId="07A76672" w14:textId="77777777" w:rsidR="00DD583B" w:rsidRPr="002137FC" w:rsidRDefault="00DD583B" w:rsidP="005D2A90">
            <w:pPr>
              <w:rPr>
                <w:rFonts w:ascii="Times New Roman" w:hAnsi="Times New Roman" w:cs="Times New Roman"/>
                <w:bCs/>
              </w:rPr>
            </w:pPr>
            <w:r>
              <w:rPr>
                <w:rFonts w:ascii="Times New Roman" w:hAnsi="Times New Roman" w:cs="Times New Roman"/>
                <w:bCs/>
              </w:rPr>
              <w:t xml:space="preserve">Cible : </w:t>
            </w:r>
            <w:r w:rsidRPr="008B71B5">
              <w:rPr>
                <w:rFonts w:ascii="Times New Roman" w:hAnsi="Times New Roman" w:cs="Times New Roman"/>
                <w:bCs/>
              </w:rPr>
              <w:t>122 000</w:t>
            </w:r>
          </w:p>
        </w:tc>
        <w:tc>
          <w:tcPr>
            <w:tcW w:w="3874" w:type="dxa"/>
            <w:vAlign w:val="center"/>
          </w:tcPr>
          <w:p w14:paraId="3C11C5A8"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 xml:space="preserve">Mode de calcul : </w:t>
            </w:r>
            <w:r>
              <w:rPr>
                <w:rFonts w:ascii="Times New Roman" w:hAnsi="Times New Roman" w:cs="Times New Roman"/>
              </w:rPr>
              <w:t>Somme totale</w:t>
            </w:r>
            <w:r w:rsidRPr="008B71B5">
              <w:rPr>
                <w:rFonts w:ascii="Times New Roman" w:hAnsi="Times New Roman" w:cs="Times New Roman"/>
              </w:rPr>
              <w:t xml:space="preserve"> de </w:t>
            </w:r>
            <w:r w:rsidRPr="008B71B5">
              <w:rPr>
                <w:rFonts w:ascii="Times New Roman" w:hAnsi="Times New Roman" w:cs="Times New Roman"/>
                <w:bCs/>
              </w:rPr>
              <w:t xml:space="preserve"> ménages vulnérables bénéficiant d’un transfert monétaire, sur Nb total de ménages vulnérables</w:t>
            </w:r>
          </w:p>
          <w:p w14:paraId="10D89840" w14:textId="77777777" w:rsidR="00DD583B" w:rsidRPr="008B71B5" w:rsidRDefault="00DD583B" w:rsidP="005D2A90">
            <w:pPr>
              <w:numPr>
                <w:ilvl w:val="0"/>
                <w:numId w:val="35"/>
              </w:numPr>
              <w:suppressAutoHyphens/>
              <w:rPr>
                <w:rFonts w:ascii="Times New Roman" w:hAnsi="Times New Roman" w:cs="Times New Roman"/>
              </w:rPr>
            </w:pPr>
            <w:r w:rsidRPr="00CB0E70">
              <w:rPr>
                <w:rFonts w:ascii="Times New Roman" w:hAnsi="Times New Roman" w:cs="Times New Roman"/>
              </w:rPr>
              <w:t>Sources de données</w:t>
            </w:r>
            <w:r>
              <w:rPr>
                <w:rFonts w:ascii="Times New Roman" w:hAnsi="Times New Roman" w:cs="Times New Roman"/>
              </w:rPr>
              <w:t>/Moyens de vérification</w:t>
            </w:r>
            <w:r w:rsidRPr="00CB0E70">
              <w:rPr>
                <w:rFonts w:ascii="Times New Roman" w:hAnsi="Times New Roman" w:cs="Times New Roman"/>
              </w:rPr>
              <w:t> </w:t>
            </w:r>
            <w:r w:rsidRPr="008B71B5">
              <w:rPr>
                <w:rFonts w:ascii="Times New Roman" w:hAnsi="Times New Roman" w:cs="Times New Roman"/>
              </w:rPr>
              <w:t>: Données et Enquêtes nationales</w:t>
            </w:r>
          </w:p>
          <w:p w14:paraId="60557709"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w:t>
            </w:r>
          </w:p>
          <w:p w14:paraId="49C47F6B" w14:textId="77777777" w:rsidR="00DD583B" w:rsidRPr="002E5C18" w:rsidRDefault="00DD583B" w:rsidP="005D2A90">
            <w:pPr>
              <w:pStyle w:val="Paragraphedeliste"/>
              <w:numPr>
                <w:ilvl w:val="0"/>
                <w:numId w:val="16"/>
              </w:numPr>
              <w:ind w:left="357" w:hanging="357"/>
              <w:rPr>
                <w:lang w:val="fr-FR"/>
              </w:rPr>
            </w:pPr>
            <w:r w:rsidRPr="008B71B5">
              <w:rPr>
                <w:rFonts w:ascii="Times New Roman" w:hAnsi="Times New Roman" w:cs="Times New Roman"/>
              </w:rPr>
              <w:t>Maître d’œuvre : Groupe de Résultat, en rapport avec l’Appareil statistique national</w:t>
            </w:r>
          </w:p>
        </w:tc>
        <w:tc>
          <w:tcPr>
            <w:tcW w:w="2648" w:type="dxa"/>
          </w:tcPr>
          <w:p w14:paraId="1258FBF9" w14:textId="77777777" w:rsidR="00DD583B" w:rsidRPr="002E5C18" w:rsidRDefault="00DD583B" w:rsidP="005D2A90">
            <w:pPr>
              <w:rPr>
                <w:lang w:val="fr-FR"/>
              </w:rPr>
            </w:pPr>
          </w:p>
        </w:tc>
        <w:tc>
          <w:tcPr>
            <w:tcW w:w="1974" w:type="dxa"/>
          </w:tcPr>
          <w:p w14:paraId="7AC73999" w14:textId="77777777" w:rsidR="00DD583B" w:rsidRPr="002E5C18" w:rsidRDefault="00DD583B" w:rsidP="005D2A90">
            <w:pPr>
              <w:rPr>
                <w:lang w:val="fr-FR"/>
              </w:rPr>
            </w:pPr>
          </w:p>
        </w:tc>
        <w:tc>
          <w:tcPr>
            <w:tcW w:w="1250" w:type="dxa"/>
          </w:tcPr>
          <w:p w14:paraId="47F9A0FC" w14:textId="77777777" w:rsidR="00DD583B" w:rsidRPr="002E5C18" w:rsidRDefault="00DD583B" w:rsidP="005D2A90">
            <w:pPr>
              <w:rPr>
                <w:lang w:val="fr-FR"/>
              </w:rPr>
            </w:pPr>
          </w:p>
        </w:tc>
      </w:tr>
    </w:tbl>
    <w:p w14:paraId="3063B430" w14:textId="77777777" w:rsidR="00DD583B" w:rsidRPr="002E5C18" w:rsidRDefault="00DD583B" w:rsidP="00DD583B">
      <w:pPr>
        <w:rPr>
          <w:rFonts w:cs="Calibri"/>
          <w:sz w:val="20"/>
          <w:szCs w:val="20"/>
        </w:rPr>
      </w:pPr>
      <w:r w:rsidRPr="00880F37">
        <w:rPr>
          <w:rFonts w:cs="Calibri"/>
          <w:sz w:val="20"/>
          <w:szCs w:val="20"/>
        </w:rPr>
        <w:t xml:space="preserve"> </w:t>
      </w:r>
    </w:p>
    <w:p w14:paraId="7C04568C" w14:textId="77777777" w:rsidR="00DD583B" w:rsidRPr="002E5C18" w:rsidRDefault="00DD583B" w:rsidP="00DD583B">
      <w:pPr>
        <w:rPr>
          <w:rFonts w:cs="Calibri"/>
          <w:sz w:val="20"/>
          <w:szCs w:val="20"/>
        </w:rPr>
      </w:pPr>
    </w:p>
    <w:p w14:paraId="4D793324" w14:textId="77777777" w:rsidR="00DD583B" w:rsidRPr="002E5C18" w:rsidRDefault="00DD583B" w:rsidP="00DD583B">
      <w:pPr>
        <w:rPr>
          <w:rFonts w:ascii="Calibri" w:hAnsi="Calibri" w:cs="Calibri"/>
          <w:sz w:val="20"/>
          <w:szCs w:val="20"/>
        </w:rPr>
      </w:pPr>
    </w:p>
    <w:p w14:paraId="3DABD6B4" w14:textId="77777777" w:rsidR="00DD583B" w:rsidRPr="002E5C18" w:rsidRDefault="00DD583B" w:rsidP="00DD583B">
      <w:pPr>
        <w:rPr>
          <w:rFonts w:ascii="Calibri" w:hAnsi="Calibri" w:cs="Calibri"/>
          <w:sz w:val="20"/>
          <w:szCs w:val="20"/>
        </w:rPr>
      </w:pPr>
      <w:r w:rsidRPr="00880F37">
        <w:rPr>
          <w:rFonts w:ascii="Calibri" w:hAnsi="Calibri" w:cs="Calibri"/>
          <w:sz w:val="20"/>
          <w:szCs w:val="20"/>
        </w:rPr>
        <w:br w:type="page"/>
      </w:r>
    </w:p>
    <w:p w14:paraId="04587D14" w14:textId="77777777" w:rsidR="00DD583B" w:rsidRPr="002E5C18" w:rsidRDefault="00DD583B" w:rsidP="00DD583B">
      <w:pPr>
        <w:rPr>
          <w:rFonts w:ascii="Calibri" w:hAnsi="Calibri" w:cs="Calibri"/>
          <w:sz w:val="20"/>
          <w:szCs w:val="20"/>
        </w:rPr>
      </w:pPr>
    </w:p>
    <w:tbl>
      <w:tblPr>
        <w:tblStyle w:val="Grilledutableau"/>
        <w:tblW w:w="15168" w:type="dxa"/>
        <w:tblInd w:w="-318" w:type="dxa"/>
        <w:tblLook w:val="04A0" w:firstRow="1" w:lastRow="0" w:firstColumn="1" w:lastColumn="0" w:noHBand="0" w:noVBand="1"/>
      </w:tblPr>
      <w:tblGrid>
        <w:gridCol w:w="2507"/>
        <w:gridCol w:w="2719"/>
        <w:gridCol w:w="3622"/>
        <w:gridCol w:w="3136"/>
        <w:gridCol w:w="1936"/>
        <w:gridCol w:w="1248"/>
      </w:tblGrid>
      <w:tr w:rsidR="00DD583B" w:rsidRPr="002E5C18" w14:paraId="449EDE9C" w14:textId="77777777" w:rsidTr="005D2A90">
        <w:tc>
          <w:tcPr>
            <w:tcW w:w="15168" w:type="dxa"/>
            <w:gridSpan w:val="6"/>
          </w:tcPr>
          <w:p w14:paraId="51C318E5" w14:textId="77777777" w:rsidR="00DD583B" w:rsidRPr="006749DE" w:rsidRDefault="00DD583B" w:rsidP="005D2A90">
            <w:pPr>
              <w:pStyle w:val="Titre2"/>
              <w:jc w:val="center"/>
              <w:outlineLvl w:val="1"/>
              <w:rPr>
                <w:color w:val="auto"/>
                <w:sz w:val="28"/>
                <w:szCs w:val="28"/>
                <w:lang w:val="fr-FR"/>
              </w:rPr>
            </w:pPr>
            <w:r w:rsidRPr="006749DE">
              <w:rPr>
                <w:rFonts w:asciiTheme="minorHAnsi" w:hAnsiTheme="minorHAnsi" w:cs="Calibri"/>
                <w:color w:val="auto"/>
                <w:sz w:val="28"/>
                <w:szCs w:val="28"/>
              </w:rPr>
              <w:br w:type="page"/>
              <w:t xml:space="preserve">Matrice des résultats UNDAF + : </w:t>
            </w:r>
            <w:r w:rsidRPr="006749DE">
              <w:rPr>
                <w:color w:val="auto"/>
                <w:sz w:val="28"/>
                <w:szCs w:val="28"/>
              </w:rPr>
              <w:t>Axe 4 Croissance Inclusive et Développement durable</w:t>
            </w:r>
          </w:p>
        </w:tc>
      </w:tr>
      <w:tr w:rsidR="00DD583B" w:rsidRPr="002E5C18" w14:paraId="24EF4E9C" w14:textId="77777777" w:rsidTr="005D2A90">
        <w:tc>
          <w:tcPr>
            <w:tcW w:w="15168" w:type="dxa"/>
            <w:gridSpan w:val="6"/>
            <w:shd w:val="clear" w:color="auto" w:fill="DBE5F1" w:themeFill="accent1" w:themeFillTint="33"/>
            <w:vAlign w:val="center"/>
          </w:tcPr>
          <w:p w14:paraId="1DCEE336" w14:textId="77777777" w:rsidR="00DD583B" w:rsidRPr="002E5C18" w:rsidRDefault="00DD583B" w:rsidP="005D2A90">
            <w:pPr>
              <w:jc w:val="center"/>
              <w:rPr>
                <w:lang w:val="fr-FR"/>
              </w:rPr>
            </w:pPr>
            <w:r w:rsidRPr="002E5C18">
              <w:rPr>
                <w:rFonts w:cs="Calibri"/>
                <w:b/>
                <w:bCs/>
                <w:sz w:val="24"/>
                <w:szCs w:val="24"/>
              </w:rPr>
              <w:t>Priorité nationale</w:t>
            </w:r>
            <w:r w:rsidRPr="002E5C18">
              <w:rPr>
                <w:sz w:val="24"/>
                <w:szCs w:val="24"/>
              </w:rPr>
              <w:t>: construction d’une économie émergente</w:t>
            </w:r>
          </w:p>
        </w:tc>
      </w:tr>
      <w:tr w:rsidR="00DD583B" w:rsidRPr="002E5C18" w14:paraId="1232AF69" w14:textId="77777777" w:rsidTr="005D2A90">
        <w:tc>
          <w:tcPr>
            <w:tcW w:w="2507" w:type="dxa"/>
          </w:tcPr>
          <w:p w14:paraId="0BA76ECC" w14:textId="77777777" w:rsidR="00DD583B" w:rsidRPr="002E5C18" w:rsidRDefault="00DD583B" w:rsidP="005D2A90">
            <w:pPr>
              <w:pStyle w:val="Corpsdetexte"/>
              <w:spacing w:line="240" w:lineRule="auto"/>
              <w:jc w:val="left"/>
              <w:rPr>
                <w:rFonts w:asciiTheme="minorHAnsi" w:hAnsiTheme="minorHAnsi" w:cstheme="minorHAnsi"/>
                <w:b/>
                <w:bCs/>
                <w:i/>
                <w:sz w:val="20"/>
                <w:szCs w:val="20"/>
                <w:u w:val="single"/>
                <w:lang w:val="fr-FR"/>
              </w:rPr>
            </w:pPr>
            <w:r w:rsidRPr="002E5C18">
              <w:rPr>
                <w:lang w:val="fr-FR"/>
              </w:rPr>
              <w:t>Effet UNDAF</w:t>
            </w:r>
          </w:p>
        </w:tc>
        <w:tc>
          <w:tcPr>
            <w:tcW w:w="2719" w:type="dxa"/>
          </w:tcPr>
          <w:p w14:paraId="31523D76" w14:textId="77777777" w:rsidR="00DD583B" w:rsidRPr="002E5C18" w:rsidRDefault="00DD583B" w:rsidP="005D2A90">
            <w:pPr>
              <w:rPr>
                <w:lang w:val="fr-FR"/>
              </w:rPr>
            </w:pPr>
            <w:r w:rsidRPr="002E5C18">
              <w:rPr>
                <w:rFonts w:asciiTheme="minorHAnsi" w:hAnsiTheme="minorHAnsi" w:cs="Calibri"/>
                <w:b/>
                <w:bCs/>
                <w:sz w:val="18"/>
                <w:szCs w:val="18"/>
                <w:lang w:val="fr-FR"/>
              </w:rPr>
              <w:t>Indicateurs, lignes de base, Cible</w:t>
            </w:r>
          </w:p>
        </w:tc>
        <w:tc>
          <w:tcPr>
            <w:tcW w:w="3622" w:type="dxa"/>
          </w:tcPr>
          <w:p w14:paraId="3B0C97EE" w14:textId="77777777" w:rsidR="00DD583B" w:rsidRPr="002E5C18" w:rsidRDefault="00DD583B" w:rsidP="005D2A90">
            <w:pPr>
              <w:rPr>
                <w:lang w:val="fr-FR"/>
              </w:rPr>
            </w:pPr>
            <w:r w:rsidRPr="002E5C18">
              <w:rPr>
                <w:lang w:val="fr-FR"/>
              </w:rPr>
              <w:t>Fiche technique</w:t>
            </w:r>
          </w:p>
        </w:tc>
        <w:tc>
          <w:tcPr>
            <w:tcW w:w="3136" w:type="dxa"/>
            <w:vAlign w:val="center"/>
          </w:tcPr>
          <w:p w14:paraId="6D2D6AE9" w14:textId="77777777" w:rsidR="00DD583B" w:rsidRPr="002E5C18" w:rsidRDefault="00DD583B" w:rsidP="005D2A90">
            <w:pPr>
              <w:rPr>
                <w:lang w:val="fr-FR"/>
              </w:rPr>
            </w:pPr>
            <w:r w:rsidRPr="002E5C18">
              <w:rPr>
                <w:rFonts w:asciiTheme="minorHAnsi" w:hAnsiTheme="minorHAnsi" w:cs="Calibri"/>
                <w:b/>
                <w:bCs/>
                <w:sz w:val="18"/>
                <w:szCs w:val="18"/>
                <w:lang w:val="fr-FR"/>
              </w:rPr>
              <w:t>Risques et hypothèses</w:t>
            </w:r>
          </w:p>
        </w:tc>
        <w:tc>
          <w:tcPr>
            <w:tcW w:w="1936" w:type="dxa"/>
            <w:vAlign w:val="center"/>
          </w:tcPr>
          <w:p w14:paraId="026B6A9A" w14:textId="77777777" w:rsidR="00DD583B" w:rsidRPr="002E5C18" w:rsidRDefault="00DD583B" w:rsidP="005D2A90">
            <w:pPr>
              <w:rPr>
                <w:lang w:val="fr-FR"/>
              </w:rPr>
            </w:pPr>
            <w:r w:rsidRPr="002E5C18">
              <w:rPr>
                <w:rFonts w:asciiTheme="minorHAnsi" w:hAnsiTheme="minorHAnsi" w:cs="Calibri"/>
                <w:b/>
                <w:bCs/>
                <w:sz w:val="18"/>
                <w:szCs w:val="18"/>
                <w:lang w:val="fr-FR"/>
              </w:rPr>
              <w:t>Rôle des  Partenaires</w:t>
            </w:r>
          </w:p>
        </w:tc>
        <w:tc>
          <w:tcPr>
            <w:tcW w:w="1248" w:type="dxa"/>
          </w:tcPr>
          <w:p w14:paraId="6DE55675" w14:textId="77777777" w:rsidR="00DD583B" w:rsidRPr="002E5C18" w:rsidRDefault="00DD583B" w:rsidP="005D2A90">
            <w:pPr>
              <w:rPr>
                <w:lang w:val="fr-FR"/>
              </w:rPr>
            </w:pPr>
            <w:r w:rsidRPr="002E5C18">
              <w:rPr>
                <w:lang w:val="fr-FR"/>
              </w:rPr>
              <w:t>Ressources</w:t>
            </w:r>
          </w:p>
        </w:tc>
      </w:tr>
      <w:tr w:rsidR="00DD583B" w:rsidRPr="00A4071B" w14:paraId="1D2A7797" w14:textId="77777777" w:rsidTr="005D2A90">
        <w:tc>
          <w:tcPr>
            <w:tcW w:w="2507" w:type="dxa"/>
            <w:vMerge w:val="restart"/>
            <w:shd w:val="clear" w:color="auto" w:fill="8DB3E2" w:themeFill="text2" w:themeFillTint="66"/>
          </w:tcPr>
          <w:p w14:paraId="3D7FFEB9" w14:textId="77777777" w:rsidR="00DD583B" w:rsidRPr="002E5C18" w:rsidRDefault="00DD583B" w:rsidP="005D2A90">
            <w:r w:rsidRPr="002E5C18">
              <w:rPr>
                <w:rFonts w:cstheme="minorHAnsi"/>
                <w:b/>
                <w:bCs/>
                <w:i/>
                <w:u w:val="single"/>
              </w:rPr>
              <w:t xml:space="preserve">Effet5 </w:t>
            </w:r>
            <w:r w:rsidRPr="002E5C18">
              <w:rPr>
                <w:rFonts w:cstheme="minorHAnsi"/>
                <w:b/>
                <w:bCs/>
                <w:i/>
              </w:rPr>
              <w:t xml:space="preserve">: </w:t>
            </w:r>
            <w:r w:rsidRPr="002E5C18">
              <w:rPr>
                <w:b/>
                <w:i/>
              </w:rPr>
              <w:t>Les populations défavorisées particulièrement les femmes et les jeunes, bénéficient de capacités et d’opportunités productives accrues, dans un environnement sain et durable, favorable à la réduction de la pauvreté</w:t>
            </w:r>
          </w:p>
          <w:p w14:paraId="725BE628" w14:textId="77777777" w:rsidR="00DD583B" w:rsidRPr="002E5C18" w:rsidRDefault="00DD583B" w:rsidP="005D2A90">
            <w:pPr>
              <w:pStyle w:val="Corpsdetexte"/>
              <w:spacing w:line="240" w:lineRule="auto"/>
              <w:jc w:val="left"/>
              <w:rPr>
                <w:rFonts w:asciiTheme="minorHAnsi" w:hAnsiTheme="minorHAnsi" w:cstheme="minorHAnsi"/>
                <w:b/>
                <w:bCs/>
                <w:i/>
                <w:sz w:val="20"/>
                <w:szCs w:val="20"/>
              </w:rPr>
            </w:pPr>
          </w:p>
          <w:p w14:paraId="4A997C66" w14:textId="77777777" w:rsidR="00DD583B" w:rsidRPr="009A342F" w:rsidRDefault="00DD583B" w:rsidP="005D2A90">
            <w:pPr>
              <w:pStyle w:val="Corpsdetexte"/>
              <w:spacing w:line="240" w:lineRule="auto"/>
              <w:jc w:val="left"/>
              <w:rPr>
                <w:rFonts w:asciiTheme="minorHAnsi" w:hAnsiTheme="minorHAnsi" w:cstheme="minorHAnsi"/>
                <w:b/>
                <w:bCs/>
                <w:sz w:val="20"/>
                <w:szCs w:val="20"/>
                <w:lang w:val="en-US"/>
              </w:rPr>
            </w:pPr>
            <w:r w:rsidRPr="009A342F">
              <w:rPr>
                <w:rFonts w:asciiTheme="minorHAnsi" w:hAnsiTheme="minorHAnsi" w:cstheme="minorHAnsi"/>
                <w:b/>
                <w:sz w:val="20"/>
                <w:szCs w:val="20"/>
                <w:u w:val="single"/>
                <w:lang w:val="en-US"/>
              </w:rPr>
              <w:t xml:space="preserve">Lead : </w:t>
            </w:r>
            <w:r w:rsidRPr="009A342F">
              <w:rPr>
                <w:rFonts w:asciiTheme="minorHAnsi" w:hAnsiTheme="minorHAnsi" w:cstheme="minorHAnsi"/>
                <w:b/>
                <w:bCs/>
                <w:sz w:val="20"/>
                <w:szCs w:val="20"/>
                <w:lang w:val="en-US"/>
              </w:rPr>
              <w:t>Gouvernement</w:t>
            </w:r>
          </w:p>
          <w:p w14:paraId="7D46363C" w14:textId="77777777" w:rsidR="00DD583B" w:rsidRPr="009A342F" w:rsidRDefault="00DD583B" w:rsidP="005D2A90">
            <w:pPr>
              <w:pStyle w:val="Corpsdetexte"/>
              <w:spacing w:line="240" w:lineRule="auto"/>
              <w:jc w:val="left"/>
              <w:rPr>
                <w:rFonts w:asciiTheme="minorHAnsi" w:hAnsiTheme="minorHAnsi" w:cstheme="minorHAnsi"/>
                <w:sz w:val="20"/>
                <w:szCs w:val="20"/>
                <w:lang w:val="en-US"/>
              </w:rPr>
            </w:pPr>
            <w:r w:rsidRPr="009A342F">
              <w:rPr>
                <w:rFonts w:cstheme="minorHAnsi"/>
                <w:b/>
                <w:sz w:val="20"/>
                <w:szCs w:val="20"/>
                <w:u w:val="single"/>
                <w:lang w:val="en-US"/>
              </w:rPr>
              <w:t xml:space="preserve">Co-lead </w:t>
            </w:r>
            <w:r w:rsidRPr="009A342F">
              <w:rPr>
                <w:rFonts w:asciiTheme="minorHAnsi" w:hAnsiTheme="minorHAnsi" w:cstheme="minorHAnsi"/>
                <w:b/>
                <w:sz w:val="20"/>
                <w:szCs w:val="20"/>
                <w:lang w:val="en-US"/>
              </w:rPr>
              <w:t xml:space="preserve">PNUD, FAO, </w:t>
            </w:r>
            <w:r w:rsidRPr="009A342F">
              <w:rPr>
                <w:rFonts w:asciiTheme="minorHAnsi" w:hAnsiTheme="minorHAnsi" w:cstheme="minorHAnsi"/>
                <w:sz w:val="20"/>
                <w:szCs w:val="20"/>
                <w:lang w:val="en-US"/>
              </w:rPr>
              <w:t>MINUSMA</w:t>
            </w:r>
            <w:r w:rsidRPr="009A342F">
              <w:rPr>
                <w:rFonts w:asciiTheme="minorHAnsi" w:hAnsiTheme="minorHAnsi" w:cstheme="minorHAnsi"/>
                <w:b/>
                <w:sz w:val="20"/>
                <w:szCs w:val="20"/>
                <w:lang w:val="en-US"/>
              </w:rPr>
              <w:t xml:space="preserve"> </w:t>
            </w:r>
            <w:r w:rsidRPr="009A342F">
              <w:rPr>
                <w:rFonts w:asciiTheme="minorHAnsi" w:hAnsiTheme="minorHAnsi" w:cstheme="minorHAnsi"/>
                <w:sz w:val="20"/>
                <w:szCs w:val="20"/>
                <w:lang w:val="en-US"/>
              </w:rPr>
              <w:t>S&amp;R, ECU,</w:t>
            </w:r>
          </w:p>
          <w:p w14:paraId="099B8C31" w14:textId="77777777" w:rsidR="00DD583B" w:rsidRPr="009A342F" w:rsidRDefault="00DD583B" w:rsidP="005D2A90">
            <w:pPr>
              <w:pStyle w:val="Corpsdetexte"/>
              <w:spacing w:line="240" w:lineRule="auto"/>
              <w:jc w:val="left"/>
              <w:rPr>
                <w:rFonts w:asciiTheme="minorHAnsi" w:hAnsiTheme="minorHAnsi" w:cstheme="minorHAnsi"/>
                <w:sz w:val="20"/>
                <w:szCs w:val="20"/>
                <w:lang w:val="en-US"/>
              </w:rPr>
            </w:pPr>
          </w:p>
          <w:p w14:paraId="2F5DF8F6" w14:textId="77777777" w:rsidR="00DD583B" w:rsidRPr="00A4071B" w:rsidRDefault="00DD583B" w:rsidP="005D2A90">
            <w:pPr>
              <w:rPr>
                <w:lang w:val="en-US"/>
              </w:rPr>
            </w:pPr>
            <w:r w:rsidRPr="009A342F">
              <w:rPr>
                <w:rFonts w:asciiTheme="minorHAnsi" w:hAnsiTheme="minorHAnsi"/>
                <w:b/>
                <w:u w:val="single"/>
                <w:lang w:val="en-US"/>
              </w:rPr>
              <w:t>Autres</w:t>
            </w:r>
            <w:r w:rsidRPr="009A342F">
              <w:rPr>
                <w:rFonts w:asciiTheme="minorHAnsi" w:hAnsiTheme="minorHAnsi"/>
                <w:lang w:val="en-US"/>
              </w:rPr>
              <w:t xml:space="preserve"> : UNICEF, CNUCED, ONUDI, FIDA, UNFPA, PAM, OMS, BIT, UNHABITAT, UNEP, UNCDF,</w:t>
            </w:r>
            <w:r w:rsidRPr="009A342F">
              <w:rPr>
                <w:rFonts w:asciiTheme="minorHAnsi" w:hAnsiTheme="minorHAnsi" w:cstheme="minorHAnsi"/>
                <w:lang w:val="en-US"/>
              </w:rPr>
              <w:t xml:space="preserve"> </w:t>
            </w:r>
            <w:r w:rsidRPr="009A342F">
              <w:rPr>
                <w:rFonts w:asciiTheme="minorHAnsi" w:hAnsiTheme="minorHAnsi"/>
                <w:lang w:val="en-US"/>
              </w:rPr>
              <w:t>ONU femmes</w:t>
            </w:r>
          </w:p>
        </w:tc>
        <w:tc>
          <w:tcPr>
            <w:tcW w:w="2719" w:type="dxa"/>
            <w:vAlign w:val="center"/>
          </w:tcPr>
          <w:p w14:paraId="4324C1F2" w14:textId="77777777" w:rsidR="00DD583B" w:rsidRDefault="00DD583B" w:rsidP="005D2A90">
            <w:pPr>
              <w:rPr>
                <w:rFonts w:ascii="Times New Roman" w:hAnsi="Times New Roman" w:cs="Times New Roman"/>
                <w:bCs/>
              </w:rPr>
            </w:pPr>
            <w:r w:rsidRPr="008B71B5">
              <w:rPr>
                <w:rFonts w:ascii="Times New Roman" w:hAnsi="Times New Roman" w:cs="Times New Roman"/>
                <w:bCs/>
              </w:rPr>
              <w:t>Taux d’insécurité alimentaire </w:t>
            </w:r>
          </w:p>
          <w:p w14:paraId="74312CD0" w14:textId="77777777" w:rsidR="00DD583B" w:rsidRDefault="00DD583B" w:rsidP="005D2A90">
            <w:pPr>
              <w:rPr>
                <w:rFonts w:ascii="Times New Roman" w:hAnsi="Times New Roman" w:cs="Times New Roman"/>
                <w:bCs/>
              </w:rPr>
            </w:pPr>
          </w:p>
          <w:p w14:paraId="1D9127D8" w14:textId="77777777" w:rsidR="00DD583B" w:rsidRDefault="00DD583B" w:rsidP="005D2A90">
            <w:pPr>
              <w:rPr>
                <w:rFonts w:ascii="Times New Roman" w:hAnsi="Times New Roman" w:cs="Times New Roman"/>
                <w:bCs/>
              </w:rPr>
            </w:pPr>
            <w:r>
              <w:rPr>
                <w:rFonts w:ascii="Times New Roman" w:hAnsi="Times New Roman" w:cs="Times New Roman"/>
                <w:bCs/>
              </w:rPr>
              <w:t xml:space="preserve">Base : </w:t>
            </w:r>
            <w:r w:rsidRPr="008B71B5">
              <w:rPr>
                <w:rFonts w:ascii="Times New Roman" w:hAnsi="Times New Roman" w:cs="Times New Roman"/>
                <w:bCs/>
              </w:rPr>
              <w:t xml:space="preserve">24,4%  </w:t>
            </w:r>
          </w:p>
          <w:p w14:paraId="64B23BBE"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20% (rapport ENSAN 2017)</w:t>
            </w:r>
          </w:p>
          <w:p w14:paraId="24AAE3A8" w14:textId="77777777" w:rsidR="00DD583B" w:rsidRDefault="00DD583B" w:rsidP="005D2A90">
            <w:pPr>
              <w:rPr>
                <w:rFonts w:ascii="Times New Roman" w:hAnsi="Times New Roman" w:cs="Times New Roman"/>
                <w:bCs/>
              </w:rPr>
            </w:pPr>
          </w:p>
          <w:p w14:paraId="4AEC72A1" w14:textId="77777777" w:rsidR="00DD583B" w:rsidRPr="00EA20C8" w:rsidRDefault="00DD583B" w:rsidP="005D2A90">
            <w:pPr>
              <w:rPr>
                <w:lang w:val="fr-FR"/>
              </w:rPr>
            </w:pPr>
            <w:r>
              <w:rPr>
                <w:rFonts w:ascii="Times New Roman" w:hAnsi="Times New Roman" w:cs="Times New Roman"/>
                <w:bCs/>
              </w:rPr>
              <w:t xml:space="preserve">Cible : </w:t>
            </w:r>
            <w:r w:rsidRPr="008B71B5">
              <w:rPr>
                <w:rFonts w:ascii="Times New Roman" w:hAnsi="Times New Roman" w:cs="Times New Roman"/>
                <w:bCs/>
              </w:rPr>
              <w:t>14%</w:t>
            </w:r>
          </w:p>
        </w:tc>
        <w:tc>
          <w:tcPr>
            <w:tcW w:w="3622" w:type="dxa"/>
            <w:vAlign w:val="center"/>
          </w:tcPr>
          <w:p w14:paraId="6BF67915"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 xml:space="preserve">Mode de calcul : Rapport Nb de </w:t>
            </w:r>
            <w:r w:rsidRPr="008B71B5">
              <w:rPr>
                <w:rFonts w:ascii="Times New Roman" w:hAnsi="Times New Roman" w:cs="Times New Roman"/>
                <w:bCs/>
              </w:rPr>
              <w:t xml:space="preserve"> personnes en insécurité alimentaire, sur population générale</w:t>
            </w:r>
          </w:p>
          <w:p w14:paraId="698FF85D"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Sources de données</w:t>
            </w:r>
            <w:r>
              <w:rPr>
                <w:rFonts w:ascii="Times New Roman" w:hAnsi="Times New Roman" w:cs="Times New Roman"/>
              </w:rPr>
              <w:t>.Moyens de vérification</w:t>
            </w:r>
            <w:r w:rsidRPr="008B71B5">
              <w:rPr>
                <w:rFonts w:ascii="Times New Roman" w:hAnsi="Times New Roman" w:cs="Times New Roman"/>
              </w:rPr>
              <w:t> : Données et Enquêtes nationales</w:t>
            </w:r>
          </w:p>
          <w:p w14:paraId="5337EA9D"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w:t>
            </w:r>
          </w:p>
          <w:p w14:paraId="23307948" w14:textId="77777777" w:rsidR="00DD583B" w:rsidRPr="00CB2C0B" w:rsidRDefault="00DD583B" w:rsidP="005D2A90">
            <w:pPr>
              <w:numPr>
                <w:ilvl w:val="0"/>
                <w:numId w:val="30"/>
              </w:numPr>
              <w:suppressAutoHyphens/>
              <w:rPr>
                <w:rFonts w:ascii="Times New Roman" w:hAnsi="Times New Roman" w:cs="Times New Roman"/>
              </w:rPr>
            </w:pPr>
            <w:r w:rsidRPr="008B71B5">
              <w:rPr>
                <w:rFonts w:ascii="Times New Roman" w:hAnsi="Times New Roman" w:cs="Times New Roman"/>
              </w:rPr>
              <w:t>Maître d’œuvre : Groupe de Résultat, en rapport avec l’Appareil statistique national</w:t>
            </w:r>
          </w:p>
        </w:tc>
        <w:tc>
          <w:tcPr>
            <w:tcW w:w="3136" w:type="dxa"/>
            <w:vMerge w:val="restart"/>
          </w:tcPr>
          <w:p w14:paraId="15A97662" w14:textId="77777777" w:rsidR="00DD583B" w:rsidRPr="002E5C18" w:rsidRDefault="00DD583B" w:rsidP="005D2A90">
            <w:pPr>
              <w:keepNext/>
              <w:contextualSpacing/>
              <w:rPr>
                <w:rFonts w:cstheme="minorHAnsi"/>
                <w:color w:val="000000"/>
                <w:sz w:val="18"/>
                <w:szCs w:val="18"/>
                <w:lang w:val="fr-FR"/>
              </w:rPr>
            </w:pPr>
            <w:r w:rsidRPr="002E5C18">
              <w:rPr>
                <w:rFonts w:cstheme="minorHAnsi"/>
                <w:color w:val="000000"/>
                <w:sz w:val="18"/>
                <w:szCs w:val="18"/>
                <w:lang w:val="fr-FR"/>
              </w:rPr>
              <w:t>R : Insécurité sur le territoire; instabilité politique</w:t>
            </w:r>
          </w:p>
          <w:p w14:paraId="212F3C0F" w14:textId="77777777" w:rsidR="00DD583B" w:rsidRPr="002E5C18" w:rsidRDefault="00DD583B" w:rsidP="005D2A90">
            <w:pPr>
              <w:keepNext/>
              <w:contextualSpacing/>
              <w:rPr>
                <w:rFonts w:cstheme="minorHAnsi"/>
                <w:color w:val="000000"/>
                <w:sz w:val="18"/>
                <w:szCs w:val="18"/>
                <w:lang w:val="fr-FR"/>
              </w:rPr>
            </w:pPr>
          </w:p>
          <w:p w14:paraId="2C1FD69B" w14:textId="77777777" w:rsidR="00DD583B" w:rsidRPr="002E5C18" w:rsidRDefault="00DD583B" w:rsidP="005D2A90">
            <w:pPr>
              <w:keepNext/>
              <w:contextualSpacing/>
              <w:rPr>
                <w:rFonts w:cstheme="minorHAnsi"/>
                <w:color w:val="000000"/>
                <w:sz w:val="18"/>
                <w:szCs w:val="18"/>
                <w:lang w:val="fr-FR"/>
              </w:rPr>
            </w:pPr>
          </w:p>
          <w:p w14:paraId="5C78B2E7" w14:textId="77777777" w:rsidR="00DD583B" w:rsidRPr="00A4071B" w:rsidRDefault="00DD583B" w:rsidP="005D2A90">
            <w:pPr>
              <w:rPr>
                <w:lang w:val="fr-FR"/>
              </w:rPr>
            </w:pPr>
            <w:r w:rsidRPr="002E5C18">
              <w:rPr>
                <w:rFonts w:cstheme="minorHAnsi"/>
                <w:color w:val="000000"/>
                <w:sz w:val="18"/>
                <w:szCs w:val="18"/>
                <w:lang w:val="fr-FR"/>
              </w:rPr>
              <w:t>H : Cohésion nationale; Inclusion</w:t>
            </w:r>
          </w:p>
        </w:tc>
        <w:tc>
          <w:tcPr>
            <w:tcW w:w="1936" w:type="dxa"/>
            <w:vMerge w:val="restart"/>
          </w:tcPr>
          <w:p w14:paraId="1D742368" w14:textId="77777777" w:rsidR="00DD583B" w:rsidRPr="002E5C18" w:rsidRDefault="00DD583B" w:rsidP="005D2A90">
            <w:pPr>
              <w:rPr>
                <w:rFonts w:cstheme="minorHAnsi"/>
                <w:sz w:val="18"/>
                <w:szCs w:val="18"/>
                <w:lang w:val="fr-FR"/>
              </w:rPr>
            </w:pPr>
            <w:r w:rsidRPr="002E5C18">
              <w:rPr>
                <w:rFonts w:cstheme="minorHAnsi"/>
                <w:sz w:val="18"/>
                <w:szCs w:val="18"/>
                <w:lang w:val="fr-FR"/>
              </w:rPr>
              <w:t>UN : Appui technique (formulation et appui à la mise en œuvre) aux politiques de lutte contre la pauvreté</w:t>
            </w:r>
          </w:p>
          <w:p w14:paraId="0B7F1E4F" w14:textId="77777777" w:rsidR="00DD583B" w:rsidRPr="002E5C18" w:rsidRDefault="00DD583B" w:rsidP="005D2A90">
            <w:pPr>
              <w:rPr>
                <w:rFonts w:cstheme="minorHAnsi"/>
                <w:sz w:val="18"/>
                <w:szCs w:val="18"/>
                <w:lang w:val="fr-FR"/>
              </w:rPr>
            </w:pPr>
          </w:p>
          <w:p w14:paraId="26BA61CA" w14:textId="77777777" w:rsidR="00DD583B" w:rsidRPr="002E5C18" w:rsidRDefault="00DD583B" w:rsidP="005D2A90">
            <w:pPr>
              <w:rPr>
                <w:rFonts w:cstheme="minorHAnsi"/>
                <w:sz w:val="18"/>
                <w:szCs w:val="18"/>
                <w:lang w:val="fr-FR"/>
              </w:rPr>
            </w:pPr>
          </w:p>
          <w:p w14:paraId="574658D9" w14:textId="77777777" w:rsidR="00DD583B" w:rsidRPr="002E5C18" w:rsidRDefault="00DD583B" w:rsidP="005D2A90">
            <w:pPr>
              <w:rPr>
                <w:rFonts w:cstheme="minorHAnsi"/>
                <w:sz w:val="18"/>
                <w:szCs w:val="18"/>
                <w:lang w:val="fr-FR"/>
              </w:rPr>
            </w:pPr>
            <w:r w:rsidRPr="002E5C18">
              <w:rPr>
                <w:rFonts w:cstheme="minorHAnsi"/>
                <w:sz w:val="18"/>
                <w:szCs w:val="18"/>
                <w:lang w:val="fr-FR"/>
              </w:rPr>
              <w:t>Gouvernement : Leadership du dialogue GdM/PTF (dont UN)</w:t>
            </w:r>
          </w:p>
          <w:p w14:paraId="40CB6E33" w14:textId="77777777" w:rsidR="00DD583B" w:rsidRPr="00A4071B" w:rsidRDefault="00DD583B" w:rsidP="005D2A90">
            <w:pPr>
              <w:rPr>
                <w:highlight w:val="yellow"/>
                <w:lang w:val="fr-FR"/>
              </w:rPr>
            </w:pPr>
          </w:p>
        </w:tc>
        <w:tc>
          <w:tcPr>
            <w:tcW w:w="1248" w:type="dxa"/>
            <w:vMerge w:val="restart"/>
          </w:tcPr>
          <w:p w14:paraId="574F6D8C" w14:textId="77777777" w:rsidR="00DD583B" w:rsidRPr="00A4071B" w:rsidRDefault="00DD583B" w:rsidP="005D2A90">
            <w:pPr>
              <w:rPr>
                <w:lang w:val="fr-FR"/>
              </w:rPr>
            </w:pPr>
          </w:p>
        </w:tc>
      </w:tr>
      <w:tr w:rsidR="00DD583B" w:rsidRPr="00A4071B" w14:paraId="01698DF7" w14:textId="77777777" w:rsidTr="005D2A90">
        <w:tc>
          <w:tcPr>
            <w:tcW w:w="2507" w:type="dxa"/>
            <w:vMerge/>
            <w:shd w:val="clear" w:color="auto" w:fill="8DB3E2" w:themeFill="text2" w:themeFillTint="66"/>
          </w:tcPr>
          <w:p w14:paraId="013AACA2" w14:textId="77777777" w:rsidR="00DD583B" w:rsidRPr="00A4071B" w:rsidRDefault="00DD583B" w:rsidP="005D2A90">
            <w:pPr>
              <w:widowControl w:val="0"/>
              <w:snapToGrid w:val="0"/>
              <w:ind w:left="-2" w:right="-144"/>
              <w:rPr>
                <w:rFonts w:cstheme="minorHAnsi"/>
                <w:sz w:val="18"/>
                <w:szCs w:val="18"/>
                <w:lang w:val="fr-FR"/>
              </w:rPr>
            </w:pPr>
          </w:p>
        </w:tc>
        <w:tc>
          <w:tcPr>
            <w:tcW w:w="2719" w:type="dxa"/>
            <w:vAlign w:val="center"/>
          </w:tcPr>
          <w:p w14:paraId="42FD6EFC" w14:textId="77777777" w:rsidR="00DD583B" w:rsidRDefault="00DD583B" w:rsidP="005D2A90">
            <w:pPr>
              <w:rPr>
                <w:rFonts w:ascii="Times New Roman" w:hAnsi="Times New Roman" w:cs="Times New Roman"/>
                <w:bCs/>
              </w:rPr>
            </w:pPr>
            <w:r w:rsidRPr="008B71B5">
              <w:rPr>
                <w:rFonts w:ascii="Times New Roman" w:hAnsi="Times New Roman" w:cs="Times New Roman"/>
                <w:bCs/>
              </w:rPr>
              <w:t>Taux de croissance économique</w:t>
            </w:r>
          </w:p>
          <w:p w14:paraId="0F9792DE" w14:textId="77777777" w:rsidR="00DD583B" w:rsidRDefault="00DD583B" w:rsidP="005D2A90">
            <w:pPr>
              <w:rPr>
                <w:rFonts w:ascii="Times New Roman" w:hAnsi="Times New Roman" w:cs="Times New Roman"/>
                <w:bCs/>
              </w:rPr>
            </w:pPr>
          </w:p>
          <w:p w14:paraId="44E9FB02" w14:textId="77777777" w:rsidR="00DD583B" w:rsidRDefault="00DD583B" w:rsidP="005D2A90">
            <w:pPr>
              <w:rPr>
                <w:rFonts w:ascii="Times New Roman" w:hAnsi="Times New Roman" w:cs="Times New Roman"/>
                <w:bCs/>
              </w:rPr>
            </w:pPr>
          </w:p>
          <w:p w14:paraId="5F4F4395" w14:textId="77777777" w:rsidR="00DD583B" w:rsidRDefault="00DD583B" w:rsidP="005D2A90">
            <w:pPr>
              <w:rPr>
                <w:rFonts w:ascii="Times New Roman" w:hAnsi="Times New Roman" w:cs="Times New Roman"/>
                <w:bCs/>
              </w:rPr>
            </w:pPr>
            <w:r>
              <w:rPr>
                <w:rFonts w:ascii="Times New Roman" w:hAnsi="Times New Roman" w:cs="Times New Roman"/>
                <w:bCs/>
              </w:rPr>
              <w:t xml:space="preserve">Base : </w:t>
            </w:r>
            <w:r w:rsidRPr="008B71B5">
              <w:rPr>
                <w:rFonts w:ascii="Times New Roman" w:hAnsi="Times New Roman" w:cs="Times New Roman"/>
                <w:bCs/>
              </w:rPr>
              <w:t>1,7% (2013)</w:t>
            </w:r>
          </w:p>
          <w:p w14:paraId="7EE08C62"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5,5%  (INSTAT)</w:t>
            </w:r>
          </w:p>
          <w:p w14:paraId="077682F7" w14:textId="77777777" w:rsidR="00DD583B" w:rsidRDefault="00DD583B" w:rsidP="005D2A90">
            <w:pPr>
              <w:rPr>
                <w:rFonts w:ascii="Times New Roman" w:hAnsi="Times New Roman" w:cs="Times New Roman"/>
                <w:bCs/>
              </w:rPr>
            </w:pPr>
          </w:p>
          <w:p w14:paraId="688AFED7" w14:textId="77777777" w:rsidR="00DD583B" w:rsidRPr="00AE791F" w:rsidRDefault="00DD583B" w:rsidP="005D2A90">
            <w:pPr>
              <w:rPr>
                <w:lang w:val="fr-FR"/>
              </w:rPr>
            </w:pPr>
            <w:r>
              <w:rPr>
                <w:rFonts w:ascii="Times New Roman" w:hAnsi="Times New Roman" w:cs="Times New Roman"/>
                <w:bCs/>
              </w:rPr>
              <w:t xml:space="preserve">Cible : </w:t>
            </w:r>
            <w:r w:rsidRPr="008B71B5">
              <w:rPr>
                <w:rFonts w:ascii="Times New Roman" w:hAnsi="Times New Roman" w:cs="Times New Roman"/>
                <w:bCs/>
              </w:rPr>
              <w:t>7%</w:t>
            </w:r>
          </w:p>
        </w:tc>
        <w:tc>
          <w:tcPr>
            <w:tcW w:w="3622" w:type="dxa"/>
            <w:vAlign w:val="center"/>
          </w:tcPr>
          <w:p w14:paraId="375F7864"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Mode de calcul : Rapport Variation du PIB sur une période, sur le PIB en début de période</w:t>
            </w:r>
          </w:p>
          <w:p w14:paraId="649A5896"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Sources de données</w:t>
            </w:r>
            <w:r>
              <w:rPr>
                <w:rFonts w:ascii="Times New Roman" w:hAnsi="Times New Roman" w:cs="Times New Roman"/>
              </w:rPr>
              <w:t>/Moyens de vérification</w:t>
            </w:r>
            <w:r w:rsidRPr="008B71B5">
              <w:rPr>
                <w:rFonts w:ascii="Times New Roman" w:hAnsi="Times New Roman" w:cs="Times New Roman"/>
              </w:rPr>
              <w:t> : Données nationales</w:t>
            </w:r>
          </w:p>
          <w:p w14:paraId="10455E8B"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w:t>
            </w:r>
          </w:p>
          <w:p w14:paraId="5048AB20" w14:textId="77777777" w:rsidR="00DD583B" w:rsidRPr="00A4071B" w:rsidRDefault="00DD583B" w:rsidP="005D2A90">
            <w:pPr>
              <w:pStyle w:val="Paragraphedeliste"/>
              <w:numPr>
                <w:ilvl w:val="0"/>
                <w:numId w:val="31"/>
              </w:numPr>
              <w:rPr>
                <w:lang w:val="fr-FR"/>
              </w:rPr>
            </w:pPr>
            <w:r w:rsidRPr="008B71B5">
              <w:rPr>
                <w:rFonts w:ascii="Times New Roman" w:hAnsi="Times New Roman" w:cs="Times New Roman"/>
              </w:rPr>
              <w:t>Maître d’œuvre : Groupe de Résultat, en rapport avec l’Appareil statistique national</w:t>
            </w:r>
          </w:p>
        </w:tc>
        <w:tc>
          <w:tcPr>
            <w:tcW w:w="3136" w:type="dxa"/>
            <w:vMerge/>
          </w:tcPr>
          <w:p w14:paraId="0ED9C00C" w14:textId="77777777" w:rsidR="00DD583B" w:rsidRPr="00A4071B" w:rsidRDefault="00DD583B" w:rsidP="005D2A90">
            <w:pPr>
              <w:rPr>
                <w:lang w:val="fr-FR"/>
              </w:rPr>
            </w:pPr>
          </w:p>
        </w:tc>
        <w:tc>
          <w:tcPr>
            <w:tcW w:w="1936" w:type="dxa"/>
            <w:vMerge/>
          </w:tcPr>
          <w:p w14:paraId="52A94288" w14:textId="77777777" w:rsidR="00DD583B" w:rsidRPr="00A4071B" w:rsidRDefault="00DD583B" w:rsidP="005D2A90">
            <w:pPr>
              <w:rPr>
                <w:highlight w:val="yellow"/>
                <w:lang w:val="fr-FR"/>
              </w:rPr>
            </w:pPr>
          </w:p>
        </w:tc>
        <w:tc>
          <w:tcPr>
            <w:tcW w:w="1248" w:type="dxa"/>
            <w:vMerge/>
          </w:tcPr>
          <w:p w14:paraId="426A41C2" w14:textId="77777777" w:rsidR="00DD583B" w:rsidRPr="00A4071B" w:rsidRDefault="00DD583B" w:rsidP="005D2A90">
            <w:pPr>
              <w:rPr>
                <w:lang w:val="fr-FR"/>
              </w:rPr>
            </w:pPr>
          </w:p>
        </w:tc>
      </w:tr>
      <w:tr w:rsidR="00DD583B" w:rsidRPr="00A4071B" w14:paraId="03E4B55F" w14:textId="77777777" w:rsidTr="005D2A90">
        <w:tc>
          <w:tcPr>
            <w:tcW w:w="2507" w:type="dxa"/>
            <w:vMerge/>
            <w:shd w:val="clear" w:color="auto" w:fill="8DB3E2" w:themeFill="text2" w:themeFillTint="66"/>
          </w:tcPr>
          <w:p w14:paraId="4977F214" w14:textId="77777777" w:rsidR="00DD583B" w:rsidRPr="00A4071B" w:rsidRDefault="00DD583B" w:rsidP="005D2A90">
            <w:pPr>
              <w:rPr>
                <w:lang w:val="fr-FR"/>
              </w:rPr>
            </w:pPr>
          </w:p>
        </w:tc>
        <w:tc>
          <w:tcPr>
            <w:tcW w:w="2719" w:type="dxa"/>
            <w:vAlign w:val="center"/>
          </w:tcPr>
          <w:p w14:paraId="198ECFB2" w14:textId="77777777" w:rsidR="00DD583B" w:rsidRDefault="00DD583B" w:rsidP="005D2A90">
            <w:pPr>
              <w:widowControl w:val="0"/>
              <w:snapToGrid w:val="0"/>
              <w:rPr>
                <w:rFonts w:ascii="Times New Roman" w:hAnsi="Times New Roman" w:cs="Times New Roman"/>
                <w:bCs/>
              </w:rPr>
            </w:pPr>
            <w:r w:rsidRPr="008B71B5">
              <w:rPr>
                <w:rFonts w:ascii="Times New Roman" w:hAnsi="Times New Roman" w:cs="Times New Roman"/>
                <w:bCs/>
              </w:rPr>
              <w:t>Taux de pauvreté </w:t>
            </w:r>
          </w:p>
          <w:p w14:paraId="16C2AA38" w14:textId="77777777" w:rsidR="00DD583B" w:rsidRDefault="00DD583B" w:rsidP="005D2A90">
            <w:pPr>
              <w:widowControl w:val="0"/>
              <w:snapToGrid w:val="0"/>
              <w:rPr>
                <w:rFonts w:ascii="Times New Roman" w:hAnsi="Times New Roman" w:cs="Times New Roman"/>
                <w:bCs/>
              </w:rPr>
            </w:pPr>
          </w:p>
          <w:p w14:paraId="4508F5EB" w14:textId="77777777" w:rsidR="00DD583B" w:rsidRDefault="00DD583B" w:rsidP="005D2A90">
            <w:pPr>
              <w:rPr>
                <w:rFonts w:ascii="Times New Roman" w:hAnsi="Times New Roman" w:cs="Times New Roman"/>
                <w:bCs/>
              </w:rPr>
            </w:pPr>
          </w:p>
          <w:p w14:paraId="03CF0E78" w14:textId="77777777" w:rsidR="00DD583B" w:rsidRDefault="00DD583B" w:rsidP="005D2A90">
            <w:pPr>
              <w:rPr>
                <w:rFonts w:ascii="Times New Roman" w:hAnsi="Times New Roman" w:cs="Times New Roman"/>
                <w:bCs/>
              </w:rPr>
            </w:pPr>
            <w:r>
              <w:rPr>
                <w:rFonts w:ascii="Times New Roman" w:hAnsi="Times New Roman" w:cs="Times New Roman"/>
                <w:bCs/>
              </w:rPr>
              <w:t xml:space="preserve">Base : </w:t>
            </w:r>
            <w:r w:rsidRPr="008B71B5">
              <w:rPr>
                <w:rFonts w:ascii="Times New Roman" w:hAnsi="Times New Roman" w:cs="Times New Roman"/>
                <w:bCs/>
              </w:rPr>
              <w:t xml:space="preserve">43,6%  </w:t>
            </w:r>
          </w:p>
          <w:p w14:paraId="396AB9C2"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46,8%  (EMOP 2017)</w:t>
            </w:r>
          </w:p>
          <w:p w14:paraId="4E6508BD" w14:textId="77777777" w:rsidR="00DD583B" w:rsidRDefault="00DD583B" w:rsidP="005D2A90">
            <w:pPr>
              <w:rPr>
                <w:rFonts w:ascii="Times New Roman" w:hAnsi="Times New Roman" w:cs="Times New Roman"/>
                <w:bCs/>
              </w:rPr>
            </w:pPr>
            <w:r w:rsidRPr="008B71B5">
              <w:rPr>
                <w:rFonts w:ascii="Times New Roman" w:hAnsi="Times New Roman" w:cs="Times New Roman"/>
                <w:bCs/>
              </w:rPr>
              <w:t xml:space="preserve"> </w:t>
            </w:r>
          </w:p>
          <w:p w14:paraId="150D1C85" w14:textId="77777777" w:rsidR="00DD583B" w:rsidRPr="00EA20C8" w:rsidRDefault="00DD583B" w:rsidP="005D2A90">
            <w:pPr>
              <w:widowControl w:val="0"/>
              <w:snapToGrid w:val="0"/>
              <w:rPr>
                <w:rFonts w:cstheme="minorHAnsi"/>
                <w:bCs/>
                <w:color w:val="548DD4" w:themeColor="text2" w:themeTint="99"/>
                <w:sz w:val="18"/>
                <w:szCs w:val="18"/>
                <w:lang w:val="fr-FR"/>
              </w:rPr>
            </w:pPr>
            <w:r>
              <w:rPr>
                <w:rFonts w:ascii="Times New Roman" w:hAnsi="Times New Roman" w:cs="Times New Roman"/>
                <w:bCs/>
              </w:rPr>
              <w:t xml:space="preserve">Cible : </w:t>
            </w:r>
            <w:r w:rsidRPr="008B71B5">
              <w:rPr>
                <w:rFonts w:ascii="Times New Roman" w:hAnsi="Times New Roman" w:cs="Times New Roman"/>
                <w:bCs/>
              </w:rPr>
              <w:t>21%</w:t>
            </w:r>
          </w:p>
        </w:tc>
        <w:tc>
          <w:tcPr>
            <w:tcW w:w="3622" w:type="dxa"/>
            <w:vAlign w:val="center"/>
          </w:tcPr>
          <w:p w14:paraId="330BD656"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Mode de calcul : Rapport nb personnes sous le seuil de pauvreté, sur la population générale</w:t>
            </w:r>
          </w:p>
          <w:p w14:paraId="682A67AC"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Sources de données</w:t>
            </w:r>
            <w:r>
              <w:rPr>
                <w:rFonts w:ascii="Times New Roman" w:hAnsi="Times New Roman" w:cs="Times New Roman"/>
              </w:rPr>
              <w:t>/Moyens de vérification</w:t>
            </w:r>
            <w:r w:rsidRPr="008B71B5">
              <w:rPr>
                <w:rFonts w:ascii="Times New Roman" w:hAnsi="Times New Roman" w:cs="Times New Roman"/>
              </w:rPr>
              <w:t> : Données nationales</w:t>
            </w:r>
          </w:p>
          <w:p w14:paraId="3DD827CC"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 ou plus</w:t>
            </w:r>
          </w:p>
          <w:p w14:paraId="287B8FAF" w14:textId="77777777" w:rsidR="00DD583B" w:rsidRPr="00A4071B" w:rsidRDefault="00DD583B" w:rsidP="005D2A90">
            <w:pPr>
              <w:pStyle w:val="Paragraphedeliste"/>
              <w:numPr>
                <w:ilvl w:val="0"/>
                <w:numId w:val="10"/>
              </w:numPr>
              <w:rPr>
                <w:lang w:val="fr-FR"/>
              </w:rPr>
            </w:pPr>
            <w:r w:rsidRPr="008B71B5">
              <w:rPr>
                <w:rFonts w:ascii="Times New Roman" w:hAnsi="Times New Roman" w:cs="Times New Roman"/>
              </w:rPr>
              <w:t>Maître d’œuvre : Groupe de Résultat, en rapport avec l’Appareil statistique national</w:t>
            </w:r>
          </w:p>
        </w:tc>
        <w:tc>
          <w:tcPr>
            <w:tcW w:w="3136" w:type="dxa"/>
            <w:vMerge/>
          </w:tcPr>
          <w:p w14:paraId="2743E67F" w14:textId="77777777" w:rsidR="00DD583B" w:rsidRPr="00A4071B" w:rsidRDefault="00DD583B" w:rsidP="005D2A90">
            <w:pPr>
              <w:rPr>
                <w:lang w:val="fr-FR"/>
              </w:rPr>
            </w:pPr>
          </w:p>
        </w:tc>
        <w:tc>
          <w:tcPr>
            <w:tcW w:w="1936" w:type="dxa"/>
            <w:vMerge/>
          </w:tcPr>
          <w:p w14:paraId="72EE5945" w14:textId="77777777" w:rsidR="00DD583B" w:rsidRPr="00A4071B" w:rsidRDefault="00DD583B" w:rsidP="005D2A90">
            <w:pPr>
              <w:rPr>
                <w:highlight w:val="yellow"/>
                <w:lang w:val="fr-FR"/>
              </w:rPr>
            </w:pPr>
          </w:p>
        </w:tc>
        <w:tc>
          <w:tcPr>
            <w:tcW w:w="1248" w:type="dxa"/>
            <w:vMerge/>
          </w:tcPr>
          <w:p w14:paraId="3CE3A2AE" w14:textId="77777777" w:rsidR="00DD583B" w:rsidRPr="00A4071B" w:rsidRDefault="00DD583B" w:rsidP="005D2A90">
            <w:pPr>
              <w:rPr>
                <w:lang w:val="fr-FR"/>
              </w:rPr>
            </w:pPr>
          </w:p>
        </w:tc>
      </w:tr>
      <w:tr w:rsidR="00DD583B" w:rsidRPr="00A4071B" w14:paraId="44D1F31C" w14:textId="77777777" w:rsidTr="005D2A90">
        <w:tc>
          <w:tcPr>
            <w:tcW w:w="2507" w:type="dxa"/>
            <w:vMerge w:val="restart"/>
            <w:shd w:val="clear" w:color="auto" w:fill="DBE5F1" w:themeFill="accent1" w:themeFillTint="33"/>
            <w:vAlign w:val="center"/>
          </w:tcPr>
          <w:p w14:paraId="780EADEA" w14:textId="77777777" w:rsidR="00DD583B" w:rsidRPr="00A4071B" w:rsidRDefault="00DD583B" w:rsidP="005D2A90">
            <w:pPr>
              <w:rPr>
                <w:lang w:val="fr-FR"/>
              </w:rPr>
            </w:pPr>
            <w:r w:rsidRPr="008B71B5">
              <w:rPr>
                <w:rFonts w:ascii="Times New Roman" w:hAnsi="Times New Roman" w:cs="Times New Roman"/>
                <w:bCs/>
              </w:rPr>
              <w:t xml:space="preserve">Produit 5.1 : Les populations défavorisées et les exploitations familiales bénéficient de compétences techniques, de moyens et d’activités génératrices de revenus pour améliorer la </w:t>
            </w:r>
            <w:r w:rsidRPr="008B71B5">
              <w:rPr>
                <w:rFonts w:ascii="Times New Roman" w:hAnsi="Times New Roman" w:cs="Times New Roman"/>
                <w:bCs/>
              </w:rPr>
              <w:lastRenderedPageBreak/>
              <w:t>sécurité alimentaire et nutritionnelle.</w:t>
            </w:r>
          </w:p>
        </w:tc>
        <w:tc>
          <w:tcPr>
            <w:tcW w:w="2719" w:type="dxa"/>
            <w:vAlign w:val="center"/>
          </w:tcPr>
          <w:p w14:paraId="6632D0E2" w14:textId="77777777" w:rsidR="00DD583B" w:rsidRDefault="00DD583B" w:rsidP="005D2A90">
            <w:pPr>
              <w:widowControl w:val="0"/>
              <w:snapToGrid w:val="0"/>
              <w:rPr>
                <w:rFonts w:ascii="Times New Roman" w:hAnsi="Times New Roman" w:cs="Times New Roman"/>
                <w:bCs/>
              </w:rPr>
            </w:pPr>
            <w:r w:rsidRPr="008B71B5">
              <w:rPr>
                <w:rFonts w:ascii="Times New Roman" w:hAnsi="Times New Roman" w:cs="Times New Roman"/>
                <w:bCs/>
              </w:rPr>
              <w:lastRenderedPageBreak/>
              <w:t xml:space="preserve">Indicateur 5.1.1 </w:t>
            </w:r>
            <w:r>
              <w:rPr>
                <w:rFonts w:ascii="Times New Roman" w:hAnsi="Times New Roman" w:cs="Times New Roman"/>
                <w:bCs/>
              </w:rPr>
              <w:t xml:space="preserve"> Nombre  de </w:t>
            </w:r>
            <w:r w:rsidRPr="008B71B5">
              <w:rPr>
                <w:rFonts w:ascii="Times New Roman" w:hAnsi="Times New Roman" w:cs="Times New Roman"/>
                <w:bCs/>
              </w:rPr>
              <w:t xml:space="preserve"> de femmes et </w:t>
            </w:r>
            <w:r>
              <w:rPr>
                <w:rFonts w:ascii="Times New Roman" w:hAnsi="Times New Roman" w:cs="Times New Roman"/>
                <w:bCs/>
              </w:rPr>
              <w:t xml:space="preserve">d’hommes </w:t>
            </w:r>
            <w:r w:rsidRPr="008B71B5">
              <w:rPr>
                <w:rFonts w:ascii="Times New Roman" w:hAnsi="Times New Roman" w:cs="Times New Roman"/>
                <w:bCs/>
              </w:rPr>
              <w:t xml:space="preserve"> ayant bénéficié de l’assistance alimentaire du programme parmi la population affectée par l’insécurité alimentaire </w:t>
            </w:r>
          </w:p>
          <w:p w14:paraId="46845713" w14:textId="77777777" w:rsidR="00DD583B" w:rsidRDefault="00DD583B" w:rsidP="005D2A90">
            <w:pPr>
              <w:widowControl w:val="0"/>
              <w:snapToGrid w:val="0"/>
              <w:rPr>
                <w:rFonts w:ascii="Times New Roman" w:hAnsi="Times New Roman" w:cs="Times New Roman"/>
                <w:bCs/>
              </w:rPr>
            </w:pPr>
          </w:p>
          <w:p w14:paraId="5E0D6019" w14:textId="77777777" w:rsidR="00DD583B" w:rsidRDefault="00DD583B" w:rsidP="005D2A90">
            <w:pPr>
              <w:widowControl w:val="0"/>
              <w:snapToGrid w:val="0"/>
              <w:rPr>
                <w:rFonts w:ascii="Times New Roman" w:hAnsi="Times New Roman" w:cs="Times New Roman"/>
                <w:bCs/>
              </w:rPr>
            </w:pPr>
            <w:r>
              <w:rPr>
                <w:rFonts w:ascii="Times New Roman" w:hAnsi="Times New Roman" w:cs="Times New Roman"/>
                <w:bCs/>
              </w:rPr>
              <w:lastRenderedPageBreak/>
              <w:t xml:space="preserve">Base : </w:t>
            </w:r>
            <w:r w:rsidRPr="008B71B5">
              <w:rPr>
                <w:rFonts w:ascii="Times New Roman" w:hAnsi="Times New Roman" w:cs="Times New Roman"/>
                <w:bCs/>
              </w:rPr>
              <w:t>1,23 millions (2013)</w:t>
            </w:r>
          </w:p>
          <w:p w14:paraId="422C8403" w14:textId="77777777" w:rsidR="00DD583B" w:rsidRPr="0078348B" w:rsidRDefault="00DD583B" w:rsidP="005D2A90">
            <w:pPr>
              <w:snapToGrid w:val="0"/>
              <w:rPr>
                <w:rFonts w:ascii="Calibri" w:hAnsi="Calibri"/>
                <w:color w:val="FF0000"/>
                <w:sz w:val="18"/>
                <w:szCs w:val="18"/>
                <w:lang w:val="fr-FR"/>
              </w:rPr>
            </w:pPr>
            <w:r w:rsidRPr="0078348B">
              <w:rPr>
                <w:rFonts w:ascii="Calibri" w:hAnsi="Calibri"/>
                <w:color w:val="FF0000"/>
                <w:sz w:val="18"/>
                <w:szCs w:val="18"/>
                <w:lang w:val="fr-FR"/>
              </w:rPr>
              <w:t>Situation en fin 2017: 291 655</w:t>
            </w:r>
          </w:p>
          <w:p w14:paraId="40D13444" w14:textId="77777777" w:rsidR="00DD583B" w:rsidRPr="0078348B" w:rsidRDefault="00DD583B" w:rsidP="005D2A90">
            <w:pPr>
              <w:snapToGrid w:val="0"/>
              <w:rPr>
                <w:rFonts w:ascii="Calibri" w:hAnsi="Calibri"/>
                <w:bCs/>
                <w:color w:val="FF0000"/>
                <w:sz w:val="18"/>
                <w:szCs w:val="18"/>
                <w:lang w:val="fr-FR"/>
              </w:rPr>
            </w:pPr>
            <w:r>
              <w:rPr>
                <w:rFonts w:ascii="Calibri" w:hAnsi="Calibri"/>
                <w:bCs/>
                <w:color w:val="FF0000"/>
                <w:sz w:val="18"/>
                <w:szCs w:val="18"/>
                <w:lang w:val="fr-FR"/>
              </w:rPr>
              <w:t xml:space="preserve"> (</w:t>
            </w:r>
            <w:r w:rsidRPr="0078348B">
              <w:rPr>
                <w:rFonts w:ascii="Calibri" w:hAnsi="Calibri"/>
                <w:bCs/>
                <w:color w:val="FF0000"/>
                <w:sz w:val="18"/>
                <w:szCs w:val="18"/>
                <w:lang w:val="fr-FR"/>
              </w:rPr>
              <w:t xml:space="preserve">Femme : </w:t>
            </w:r>
            <w:r w:rsidRPr="0078348B">
              <w:rPr>
                <w:rFonts w:ascii="Calibri" w:hAnsi="Calibri"/>
                <w:color w:val="FF0000"/>
                <w:sz w:val="18"/>
                <w:szCs w:val="18"/>
                <w:lang w:val="fr-FR"/>
              </w:rPr>
              <w:t>147,285</w:t>
            </w:r>
            <w:r>
              <w:rPr>
                <w:rFonts w:ascii="Calibri" w:hAnsi="Calibri"/>
                <w:bCs/>
                <w:color w:val="FF0000"/>
                <w:sz w:val="18"/>
                <w:szCs w:val="18"/>
                <w:lang w:val="fr-FR"/>
              </w:rPr>
              <w:t xml:space="preserve"> et </w:t>
            </w:r>
            <w:r w:rsidRPr="0078348B">
              <w:rPr>
                <w:rFonts w:ascii="Calibri" w:hAnsi="Calibri"/>
                <w:bCs/>
                <w:color w:val="FF0000"/>
                <w:sz w:val="18"/>
                <w:szCs w:val="18"/>
                <w:lang w:val="fr-FR"/>
              </w:rPr>
              <w:t xml:space="preserve">Homme: </w:t>
            </w:r>
            <w:r w:rsidRPr="0078348B">
              <w:rPr>
                <w:rFonts w:ascii="Calibri" w:hAnsi="Calibri"/>
                <w:color w:val="FF0000"/>
                <w:sz w:val="18"/>
                <w:szCs w:val="18"/>
                <w:lang w:val="fr-FR"/>
              </w:rPr>
              <w:t>144,370</w:t>
            </w:r>
            <w:r>
              <w:rPr>
                <w:rFonts w:ascii="Calibri" w:hAnsi="Calibri"/>
                <w:color w:val="FF0000"/>
                <w:sz w:val="18"/>
                <w:szCs w:val="18"/>
                <w:lang w:val="fr-FR"/>
              </w:rPr>
              <w:t>)</w:t>
            </w:r>
          </w:p>
          <w:p w14:paraId="34CEF1FD" w14:textId="77777777" w:rsidR="00DD583B" w:rsidRPr="00A4071B" w:rsidRDefault="00DD583B" w:rsidP="005D2A90">
            <w:pPr>
              <w:widowControl w:val="0"/>
              <w:snapToGrid w:val="0"/>
              <w:rPr>
                <w:rFonts w:cstheme="minorHAnsi"/>
                <w:bCs/>
                <w:sz w:val="18"/>
                <w:szCs w:val="18"/>
                <w:lang w:val="fr-FR"/>
              </w:rPr>
            </w:pPr>
            <w:r>
              <w:rPr>
                <w:rFonts w:ascii="Times New Roman" w:hAnsi="Times New Roman" w:cs="Times New Roman"/>
                <w:bCs/>
              </w:rPr>
              <w:t xml:space="preserve">Cible :  </w:t>
            </w:r>
            <w:r w:rsidRPr="008B71B5">
              <w:rPr>
                <w:rFonts w:ascii="Times New Roman" w:hAnsi="Times New Roman" w:cs="Times New Roman"/>
                <w:bCs/>
              </w:rPr>
              <w:t>600 000</w:t>
            </w:r>
          </w:p>
        </w:tc>
        <w:tc>
          <w:tcPr>
            <w:tcW w:w="3622" w:type="dxa"/>
            <w:vAlign w:val="center"/>
          </w:tcPr>
          <w:p w14:paraId="02265639"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lastRenderedPageBreak/>
              <w:t xml:space="preserve">Mode de calcul : Dénombrement </w:t>
            </w:r>
            <w:r w:rsidRPr="008B71B5">
              <w:rPr>
                <w:rFonts w:ascii="Times New Roman" w:hAnsi="Times New Roman" w:cs="Times New Roman"/>
                <w:bCs/>
              </w:rPr>
              <w:t xml:space="preserve"> des femmes et </w:t>
            </w:r>
            <w:r>
              <w:rPr>
                <w:rFonts w:ascii="Times New Roman" w:hAnsi="Times New Roman" w:cs="Times New Roman"/>
                <w:bCs/>
              </w:rPr>
              <w:t>hommes</w:t>
            </w:r>
            <w:r w:rsidRPr="008B71B5">
              <w:rPr>
                <w:rFonts w:ascii="Times New Roman" w:hAnsi="Times New Roman" w:cs="Times New Roman"/>
                <w:bCs/>
              </w:rPr>
              <w:t xml:space="preserve"> ayant bénéficié d’assistance alimentaire parmi la population affectée par l’insécurité alimentaire</w:t>
            </w:r>
          </w:p>
          <w:p w14:paraId="13C67DFC"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lastRenderedPageBreak/>
              <w:t>Sources de données</w:t>
            </w:r>
            <w:r>
              <w:rPr>
                <w:rFonts w:ascii="Times New Roman" w:hAnsi="Times New Roman" w:cs="Times New Roman"/>
              </w:rPr>
              <w:t>/Moyens de vérification</w:t>
            </w:r>
            <w:r w:rsidRPr="008B71B5">
              <w:rPr>
                <w:rFonts w:ascii="Times New Roman" w:hAnsi="Times New Roman" w:cs="Times New Roman"/>
              </w:rPr>
              <w:t>: Données Entités UN/Effet5</w:t>
            </w:r>
          </w:p>
          <w:p w14:paraId="40DBE5A5"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 ou moins</w:t>
            </w:r>
          </w:p>
          <w:p w14:paraId="4F05C528" w14:textId="77777777" w:rsidR="00DD583B" w:rsidRPr="00A4071B" w:rsidRDefault="00DD583B" w:rsidP="005D2A90">
            <w:pPr>
              <w:pStyle w:val="Paragraphedeliste"/>
              <w:numPr>
                <w:ilvl w:val="0"/>
                <w:numId w:val="11"/>
              </w:numPr>
              <w:rPr>
                <w:lang w:val="fr-FR"/>
              </w:rPr>
            </w:pPr>
            <w:r w:rsidRPr="008B71B5">
              <w:rPr>
                <w:rFonts w:ascii="Times New Roman" w:hAnsi="Times New Roman" w:cs="Times New Roman"/>
              </w:rPr>
              <w:t>Maître d’œuvre : Groupe de Résultat</w:t>
            </w:r>
          </w:p>
        </w:tc>
        <w:tc>
          <w:tcPr>
            <w:tcW w:w="3136" w:type="dxa"/>
            <w:vMerge w:val="restart"/>
          </w:tcPr>
          <w:p w14:paraId="2B695DAF" w14:textId="77777777" w:rsidR="00DD583B" w:rsidRPr="008B72F6" w:rsidRDefault="00DD583B" w:rsidP="005D2A90">
            <w:pPr>
              <w:keepNext/>
              <w:contextualSpacing/>
              <w:rPr>
                <w:rFonts w:cstheme="minorHAnsi"/>
                <w:color w:val="000000"/>
                <w:sz w:val="18"/>
                <w:szCs w:val="18"/>
                <w:lang w:val="fr-FR"/>
              </w:rPr>
            </w:pPr>
            <w:r w:rsidRPr="008B72F6">
              <w:rPr>
                <w:rFonts w:cstheme="minorHAnsi"/>
                <w:color w:val="000000"/>
                <w:sz w:val="18"/>
                <w:szCs w:val="18"/>
              </w:rPr>
              <w:lastRenderedPageBreak/>
              <w:t xml:space="preserve"> Stabilité de la situation sécuritaire</w:t>
            </w:r>
          </w:p>
          <w:p w14:paraId="043BC75D" w14:textId="77777777" w:rsidR="00DD583B" w:rsidRPr="008B72F6" w:rsidRDefault="00DD583B" w:rsidP="005D2A90">
            <w:pPr>
              <w:keepNext/>
              <w:contextualSpacing/>
              <w:rPr>
                <w:rFonts w:cstheme="minorHAnsi"/>
                <w:color w:val="000000"/>
                <w:sz w:val="18"/>
                <w:szCs w:val="18"/>
                <w:lang w:val="fr-FR"/>
              </w:rPr>
            </w:pPr>
            <w:r w:rsidRPr="008B72F6">
              <w:rPr>
                <w:rFonts w:cstheme="minorHAnsi"/>
                <w:color w:val="000000"/>
                <w:sz w:val="18"/>
                <w:szCs w:val="18"/>
              </w:rPr>
              <w:t>Changement climatique</w:t>
            </w:r>
          </w:p>
          <w:p w14:paraId="045BE486" w14:textId="77777777" w:rsidR="00DD583B" w:rsidRPr="008B72F6" w:rsidRDefault="00DD583B" w:rsidP="005D2A90">
            <w:pPr>
              <w:keepNext/>
              <w:contextualSpacing/>
              <w:rPr>
                <w:rFonts w:cstheme="minorHAnsi"/>
                <w:color w:val="000000"/>
                <w:sz w:val="18"/>
                <w:szCs w:val="18"/>
                <w:lang w:val="fr-FR"/>
              </w:rPr>
            </w:pPr>
            <w:r w:rsidRPr="008B72F6">
              <w:rPr>
                <w:rFonts w:cstheme="minorHAnsi"/>
                <w:color w:val="000000"/>
                <w:sz w:val="18"/>
                <w:szCs w:val="18"/>
              </w:rPr>
              <w:t>Risque de catastrophes</w:t>
            </w:r>
          </w:p>
          <w:p w14:paraId="545AA2D3" w14:textId="77777777" w:rsidR="00DD583B" w:rsidRPr="008B72F6" w:rsidRDefault="00DD583B" w:rsidP="005D2A90">
            <w:pPr>
              <w:keepNext/>
              <w:contextualSpacing/>
              <w:rPr>
                <w:rFonts w:cstheme="minorHAnsi"/>
                <w:color w:val="000000"/>
                <w:sz w:val="18"/>
                <w:szCs w:val="18"/>
                <w:lang w:val="fr-FR"/>
              </w:rPr>
            </w:pPr>
            <w:r w:rsidRPr="008B72F6">
              <w:rPr>
                <w:rFonts w:cstheme="minorHAnsi"/>
                <w:color w:val="000000"/>
                <w:sz w:val="18"/>
                <w:szCs w:val="18"/>
              </w:rPr>
              <w:t>Participation et adhésion des bénéficiaires</w:t>
            </w:r>
          </w:p>
          <w:p w14:paraId="342550B2" w14:textId="77777777" w:rsidR="00DD583B" w:rsidRPr="008B72F6" w:rsidRDefault="00DD583B" w:rsidP="005D2A90">
            <w:pPr>
              <w:rPr>
                <w:rFonts w:cstheme="minorHAnsi"/>
                <w:sz w:val="18"/>
                <w:szCs w:val="18"/>
                <w:lang w:val="fr-FR"/>
              </w:rPr>
            </w:pPr>
          </w:p>
          <w:p w14:paraId="1695808D" w14:textId="77777777" w:rsidR="00DD583B" w:rsidRPr="008B72F6" w:rsidRDefault="00DD583B" w:rsidP="005D2A90">
            <w:pPr>
              <w:rPr>
                <w:rFonts w:cstheme="minorHAnsi"/>
                <w:sz w:val="18"/>
                <w:szCs w:val="18"/>
                <w:lang w:val="fr-FR"/>
              </w:rPr>
            </w:pPr>
          </w:p>
          <w:p w14:paraId="00716A6F" w14:textId="77777777" w:rsidR="00DD583B" w:rsidRPr="008B72F6" w:rsidRDefault="00DD583B" w:rsidP="005D2A90">
            <w:pPr>
              <w:rPr>
                <w:lang w:val="fr-FR"/>
              </w:rPr>
            </w:pPr>
          </w:p>
        </w:tc>
        <w:tc>
          <w:tcPr>
            <w:tcW w:w="1936" w:type="dxa"/>
            <w:vMerge w:val="restart"/>
          </w:tcPr>
          <w:p w14:paraId="1A0CC333" w14:textId="77777777" w:rsidR="00DD583B" w:rsidRPr="008B72F6" w:rsidRDefault="00DD583B" w:rsidP="005D2A90">
            <w:pPr>
              <w:rPr>
                <w:rFonts w:cstheme="minorHAnsi"/>
                <w:sz w:val="18"/>
                <w:szCs w:val="18"/>
                <w:lang w:val="fr-FR"/>
              </w:rPr>
            </w:pPr>
            <w:r w:rsidRPr="008B72F6">
              <w:rPr>
                <w:rFonts w:cstheme="minorHAnsi"/>
                <w:sz w:val="18"/>
                <w:szCs w:val="18"/>
              </w:rPr>
              <w:lastRenderedPageBreak/>
              <w:t>UN : Assistance technique</w:t>
            </w:r>
          </w:p>
          <w:p w14:paraId="76A928B5" w14:textId="77777777" w:rsidR="00DD583B" w:rsidRPr="008B72F6" w:rsidRDefault="00DD583B" w:rsidP="005D2A90">
            <w:pPr>
              <w:rPr>
                <w:rFonts w:cstheme="minorHAnsi"/>
                <w:sz w:val="18"/>
                <w:szCs w:val="18"/>
                <w:lang w:val="fr-FR"/>
              </w:rPr>
            </w:pPr>
            <w:r w:rsidRPr="008B72F6">
              <w:rPr>
                <w:rFonts w:cstheme="minorHAnsi"/>
                <w:sz w:val="18"/>
                <w:szCs w:val="18"/>
              </w:rPr>
              <w:t xml:space="preserve">Apport de ressources </w:t>
            </w:r>
          </w:p>
          <w:p w14:paraId="528BA166" w14:textId="77777777" w:rsidR="00DD583B" w:rsidRPr="008B72F6" w:rsidRDefault="00DD583B" w:rsidP="005D2A90">
            <w:pPr>
              <w:rPr>
                <w:rFonts w:cstheme="minorHAnsi"/>
                <w:sz w:val="18"/>
                <w:szCs w:val="18"/>
                <w:lang w:val="fr-FR"/>
              </w:rPr>
            </w:pPr>
            <w:r w:rsidRPr="008B72F6">
              <w:rPr>
                <w:rFonts w:cstheme="minorHAnsi"/>
                <w:sz w:val="18"/>
                <w:szCs w:val="18"/>
              </w:rPr>
              <w:t>Suivi-évaluation</w:t>
            </w:r>
          </w:p>
          <w:p w14:paraId="51BBAF07" w14:textId="77777777" w:rsidR="00DD583B" w:rsidRPr="008B72F6" w:rsidRDefault="00DD583B" w:rsidP="005D2A90">
            <w:pPr>
              <w:rPr>
                <w:rFonts w:cstheme="minorHAnsi"/>
                <w:sz w:val="18"/>
                <w:szCs w:val="18"/>
                <w:lang w:val="fr-FR"/>
              </w:rPr>
            </w:pPr>
          </w:p>
          <w:p w14:paraId="28368BBE" w14:textId="77777777" w:rsidR="00DD583B" w:rsidRPr="008B72F6" w:rsidRDefault="00DD583B" w:rsidP="005D2A90">
            <w:pPr>
              <w:rPr>
                <w:rFonts w:cstheme="minorHAnsi"/>
                <w:sz w:val="18"/>
                <w:szCs w:val="18"/>
                <w:lang w:val="fr-FR"/>
              </w:rPr>
            </w:pPr>
            <w:r w:rsidRPr="008B72F6">
              <w:rPr>
                <w:rFonts w:cstheme="minorHAnsi"/>
                <w:sz w:val="18"/>
                <w:szCs w:val="18"/>
              </w:rPr>
              <w:lastRenderedPageBreak/>
              <w:t>Gouvernement : Encadrement technique en nombre et en qualité</w:t>
            </w:r>
          </w:p>
          <w:p w14:paraId="4F9BB697" w14:textId="77777777" w:rsidR="00DD583B" w:rsidRPr="008B72F6" w:rsidRDefault="00DD583B" w:rsidP="005D2A90">
            <w:pPr>
              <w:rPr>
                <w:rFonts w:cstheme="minorHAnsi"/>
                <w:sz w:val="18"/>
                <w:szCs w:val="18"/>
                <w:lang w:val="fr-FR"/>
              </w:rPr>
            </w:pPr>
            <w:r w:rsidRPr="008B72F6">
              <w:rPr>
                <w:rFonts w:cstheme="minorHAnsi"/>
                <w:sz w:val="18"/>
                <w:szCs w:val="18"/>
              </w:rPr>
              <w:t>Ressources financières</w:t>
            </w:r>
          </w:p>
          <w:p w14:paraId="23B88C09" w14:textId="77777777" w:rsidR="00DD583B" w:rsidRPr="008B72F6" w:rsidRDefault="00DD583B" w:rsidP="005D2A90">
            <w:pPr>
              <w:rPr>
                <w:lang w:val="fr-FR"/>
              </w:rPr>
            </w:pPr>
            <w:r w:rsidRPr="008B72F6">
              <w:rPr>
                <w:rFonts w:cstheme="minorHAnsi"/>
                <w:sz w:val="18"/>
                <w:szCs w:val="18"/>
              </w:rPr>
              <w:t>Supervision</w:t>
            </w:r>
          </w:p>
        </w:tc>
        <w:tc>
          <w:tcPr>
            <w:tcW w:w="1248" w:type="dxa"/>
            <w:vMerge w:val="restart"/>
          </w:tcPr>
          <w:p w14:paraId="79E0EC30" w14:textId="77777777" w:rsidR="00DD583B" w:rsidRPr="00A4071B" w:rsidRDefault="00DD583B" w:rsidP="005D2A90">
            <w:pPr>
              <w:rPr>
                <w:lang w:val="fr-FR"/>
              </w:rPr>
            </w:pPr>
          </w:p>
        </w:tc>
      </w:tr>
      <w:tr w:rsidR="00DD583B" w:rsidRPr="00A4071B" w14:paraId="152B8460" w14:textId="77777777" w:rsidTr="00E432D7">
        <w:tc>
          <w:tcPr>
            <w:tcW w:w="2507" w:type="dxa"/>
            <w:vMerge/>
            <w:shd w:val="clear" w:color="auto" w:fill="DBE5F1" w:themeFill="accent1" w:themeFillTint="33"/>
            <w:vAlign w:val="center"/>
          </w:tcPr>
          <w:p w14:paraId="456854CF" w14:textId="77777777" w:rsidR="00DD583B" w:rsidRPr="00A4071B" w:rsidRDefault="00DD583B" w:rsidP="005D2A90">
            <w:pPr>
              <w:rPr>
                <w:lang w:val="fr-FR"/>
              </w:rPr>
            </w:pPr>
          </w:p>
        </w:tc>
        <w:tc>
          <w:tcPr>
            <w:tcW w:w="2719" w:type="dxa"/>
            <w:tcBorders>
              <w:bottom w:val="single" w:sz="4" w:space="0" w:color="auto"/>
            </w:tcBorders>
            <w:vAlign w:val="center"/>
          </w:tcPr>
          <w:p w14:paraId="4E8A68A8" w14:textId="77777777" w:rsidR="00DD583B" w:rsidRDefault="00DD583B" w:rsidP="005D2A90">
            <w:pPr>
              <w:rPr>
                <w:rFonts w:ascii="Times New Roman" w:hAnsi="Times New Roman" w:cs="Times New Roman"/>
                <w:bCs/>
              </w:rPr>
            </w:pPr>
            <w:r w:rsidRPr="008B71B5">
              <w:rPr>
                <w:rFonts w:ascii="Times New Roman" w:hAnsi="Times New Roman" w:cs="Times New Roman"/>
                <w:bCs/>
              </w:rPr>
              <w:t>Indicateur 5.1.2 Nombre de bénéficiaires de projets d’AGR opérationnalisés dans les zones affectées par l’insécurité alimentaire et nutritionnelle</w:t>
            </w:r>
            <w:r>
              <w:rPr>
                <w:rFonts w:ascii="Times New Roman" w:hAnsi="Times New Roman" w:cs="Times New Roman"/>
                <w:bCs/>
              </w:rPr>
              <w:t xml:space="preserve"> </w:t>
            </w:r>
            <w:r w:rsidRPr="008B71B5">
              <w:rPr>
                <w:rFonts w:ascii="Times New Roman" w:hAnsi="Times New Roman" w:cs="Times New Roman"/>
                <w:bCs/>
              </w:rPr>
              <w:t>(désagrégation F/</w:t>
            </w:r>
            <w:r>
              <w:rPr>
                <w:rFonts w:ascii="Times New Roman" w:hAnsi="Times New Roman" w:cs="Times New Roman"/>
                <w:bCs/>
              </w:rPr>
              <w:t>H</w:t>
            </w:r>
            <w:r w:rsidRPr="008B71B5">
              <w:rPr>
                <w:rFonts w:ascii="Times New Roman" w:hAnsi="Times New Roman" w:cs="Times New Roman"/>
                <w:bCs/>
              </w:rPr>
              <w:t>)</w:t>
            </w:r>
          </w:p>
          <w:p w14:paraId="2EDDDE9B" w14:textId="77777777" w:rsidR="00DD583B" w:rsidRDefault="00DD583B" w:rsidP="005D2A90">
            <w:pPr>
              <w:rPr>
                <w:rFonts w:ascii="Times New Roman" w:hAnsi="Times New Roman" w:cs="Times New Roman"/>
                <w:bCs/>
              </w:rPr>
            </w:pPr>
          </w:p>
          <w:p w14:paraId="10B1B787" w14:textId="77777777" w:rsidR="00DD583B" w:rsidRDefault="00DD583B" w:rsidP="005D2A90">
            <w:pPr>
              <w:widowControl w:val="0"/>
              <w:snapToGrid w:val="0"/>
              <w:rPr>
                <w:rFonts w:ascii="Times New Roman" w:hAnsi="Times New Roman" w:cs="Times New Roman"/>
                <w:bCs/>
              </w:rPr>
            </w:pPr>
          </w:p>
          <w:p w14:paraId="0CDA7A02" w14:textId="77777777" w:rsidR="00DD583B" w:rsidRDefault="00DD583B" w:rsidP="005D2A90">
            <w:pPr>
              <w:widowControl w:val="0"/>
              <w:snapToGrid w:val="0"/>
              <w:rPr>
                <w:rFonts w:ascii="Times New Roman" w:hAnsi="Times New Roman" w:cs="Times New Roman"/>
                <w:bCs/>
              </w:rPr>
            </w:pPr>
            <w:r>
              <w:rPr>
                <w:rFonts w:ascii="Times New Roman" w:hAnsi="Times New Roman" w:cs="Times New Roman"/>
                <w:bCs/>
              </w:rPr>
              <w:t xml:space="preserve">Base : </w:t>
            </w:r>
            <w:r w:rsidRPr="008B71B5">
              <w:rPr>
                <w:rFonts w:ascii="Times New Roman" w:hAnsi="Times New Roman" w:cs="Times New Roman"/>
                <w:bCs/>
              </w:rPr>
              <w:t>5</w:t>
            </w:r>
            <w:r>
              <w:rPr>
                <w:rFonts w:ascii="Times New Roman" w:hAnsi="Times New Roman" w:cs="Times New Roman"/>
                <w:bCs/>
              </w:rPr>
              <w:t> </w:t>
            </w:r>
            <w:r w:rsidRPr="008B71B5">
              <w:rPr>
                <w:rFonts w:ascii="Times New Roman" w:hAnsi="Times New Roman" w:cs="Times New Roman"/>
                <w:bCs/>
              </w:rPr>
              <w:t>331 </w:t>
            </w:r>
          </w:p>
          <w:p w14:paraId="3487488A"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 xml:space="preserve">127717 (estimation au moins 63% de femmes) </w:t>
            </w:r>
          </w:p>
          <w:p w14:paraId="44F6973F" w14:textId="77777777" w:rsidR="00DD583B" w:rsidRDefault="00DD583B" w:rsidP="005D2A90">
            <w:pPr>
              <w:widowControl w:val="0"/>
              <w:snapToGrid w:val="0"/>
              <w:rPr>
                <w:rFonts w:ascii="Times New Roman" w:hAnsi="Times New Roman" w:cs="Times New Roman"/>
                <w:bCs/>
              </w:rPr>
            </w:pPr>
          </w:p>
          <w:p w14:paraId="43151FCE" w14:textId="77777777" w:rsidR="00DD583B" w:rsidRPr="00A4071B" w:rsidRDefault="00DD583B" w:rsidP="005D2A90">
            <w:pPr>
              <w:rPr>
                <w:lang w:val="fr-FR"/>
              </w:rPr>
            </w:pPr>
            <w:r>
              <w:rPr>
                <w:rFonts w:ascii="Times New Roman" w:hAnsi="Times New Roman" w:cs="Times New Roman"/>
                <w:bCs/>
              </w:rPr>
              <w:t xml:space="preserve">Cible :  </w:t>
            </w:r>
            <w:r w:rsidRPr="008B71B5">
              <w:rPr>
                <w:rFonts w:ascii="Times New Roman" w:hAnsi="Times New Roman" w:cs="Times New Roman"/>
                <w:bCs/>
              </w:rPr>
              <w:t xml:space="preserve">10 000  </w:t>
            </w:r>
          </w:p>
        </w:tc>
        <w:tc>
          <w:tcPr>
            <w:tcW w:w="3622" w:type="dxa"/>
            <w:tcBorders>
              <w:bottom w:val="single" w:sz="4" w:space="0" w:color="auto"/>
            </w:tcBorders>
            <w:vAlign w:val="center"/>
          </w:tcPr>
          <w:p w14:paraId="1C720C76"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 xml:space="preserve">Mode de calcul : Dénombrement des </w:t>
            </w:r>
            <w:r w:rsidRPr="008B71B5">
              <w:rPr>
                <w:rFonts w:ascii="Times New Roman" w:hAnsi="Times New Roman" w:cs="Times New Roman"/>
                <w:bCs/>
              </w:rPr>
              <w:t xml:space="preserve"> bénéficiaires de projets d’AGR opérationnalisés dans les zones affectées par l’insécurité alimentaire et nutritionnelle</w:t>
            </w:r>
          </w:p>
          <w:p w14:paraId="5E54D08D"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Sources de données</w:t>
            </w:r>
            <w:r>
              <w:rPr>
                <w:rFonts w:ascii="Times New Roman" w:hAnsi="Times New Roman" w:cs="Times New Roman"/>
              </w:rPr>
              <w:t>/Moyens de vérification</w:t>
            </w:r>
            <w:r w:rsidRPr="008B71B5">
              <w:rPr>
                <w:rFonts w:ascii="Times New Roman" w:hAnsi="Times New Roman" w:cs="Times New Roman"/>
              </w:rPr>
              <w:t>: Données Entités UN/Effet5</w:t>
            </w:r>
          </w:p>
          <w:p w14:paraId="76D18836"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 ou moins</w:t>
            </w:r>
          </w:p>
          <w:p w14:paraId="5F637B66" w14:textId="77777777" w:rsidR="00DD583B" w:rsidRPr="00A4071B" w:rsidRDefault="00DD583B" w:rsidP="005D2A90">
            <w:pPr>
              <w:pStyle w:val="Paragraphedeliste"/>
              <w:numPr>
                <w:ilvl w:val="0"/>
                <w:numId w:val="9"/>
              </w:numPr>
              <w:rPr>
                <w:lang w:val="fr-FR"/>
              </w:rPr>
            </w:pPr>
            <w:r w:rsidRPr="008B71B5">
              <w:rPr>
                <w:rFonts w:ascii="Times New Roman" w:hAnsi="Times New Roman" w:cs="Times New Roman"/>
              </w:rPr>
              <w:t>Maître d’œuvre : Groupe de Résultat</w:t>
            </w:r>
          </w:p>
        </w:tc>
        <w:tc>
          <w:tcPr>
            <w:tcW w:w="3136" w:type="dxa"/>
            <w:vMerge/>
            <w:tcBorders>
              <w:bottom w:val="single" w:sz="4" w:space="0" w:color="auto"/>
            </w:tcBorders>
          </w:tcPr>
          <w:p w14:paraId="0681D498" w14:textId="77777777" w:rsidR="00DD583B" w:rsidRPr="00A4071B" w:rsidRDefault="00DD583B" w:rsidP="005D2A90">
            <w:pPr>
              <w:rPr>
                <w:lang w:val="fr-FR"/>
              </w:rPr>
            </w:pPr>
          </w:p>
        </w:tc>
        <w:tc>
          <w:tcPr>
            <w:tcW w:w="1936" w:type="dxa"/>
            <w:vMerge/>
            <w:tcBorders>
              <w:bottom w:val="single" w:sz="4" w:space="0" w:color="auto"/>
            </w:tcBorders>
          </w:tcPr>
          <w:p w14:paraId="3DC58B35" w14:textId="77777777" w:rsidR="00DD583B" w:rsidRPr="00A4071B" w:rsidRDefault="00DD583B" w:rsidP="005D2A90">
            <w:pPr>
              <w:rPr>
                <w:lang w:val="fr-FR"/>
              </w:rPr>
            </w:pPr>
          </w:p>
        </w:tc>
        <w:tc>
          <w:tcPr>
            <w:tcW w:w="1248" w:type="dxa"/>
            <w:vMerge/>
            <w:tcBorders>
              <w:bottom w:val="single" w:sz="4" w:space="0" w:color="auto"/>
            </w:tcBorders>
          </w:tcPr>
          <w:p w14:paraId="5E7A4EBD" w14:textId="77777777" w:rsidR="00DD583B" w:rsidRPr="00A4071B" w:rsidRDefault="00DD583B" w:rsidP="005D2A90">
            <w:pPr>
              <w:rPr>
                <w:lang w:val="fr-FR"/>
              </w:rPr>
            </w:pPr>
          </w:p>
        </w:tc>
      </w:tr>
      <w:tr w:rsidR="00DD583B" w:rsidRPr="00A4071B" w14:paraId="05867E25" w14:textId="77777777" w:rsidTr="00E432D7">
        <w:tc>
          <w:tcPr>
            <w:tcW w:w="2507" w:type="dxa"/>
            <w:tcBorders>
              <w:right w:val="single" w:sz="4" w:space="0" w:color="auto"/>
            </w:tcBorders>
            <w:shd w:val="clear" w:color="auto" w:fill="DBE5F1" w:themeFill="accent1" w:themeFillTint="33"/>
            <w:vAlign w:val="center"/>
          </w:tcPr>
          <w:p w14:paraId="418216F0" w14:textId="77777777" w:rsidR="00DD583B" w:rsidRPr="00A4071B" w:rsidRDefault="00DD583B" w:rsidP="005D2A90"/>
        </w:tc>
        <w:tc>
          <w:tcPr>
            <w:tcW w:w="2719" w:type="dxa"/>
            <w:tcBorders>
              <w:top w:val="single" w:sz="4" w:space="0" w:color="auto"/>
              <w:left w:val="single" w:sz="4" w:space="0" w:color="auto"/>
              <w:bottom w:val="single" w:sz="4" w:space="0" w:color="auto"/>
              <w:right w:val="single" w:sz="4" w:space="0" w:color="auto"/>
            </w:tcBorders>
            <w:vAlign w:val="center"/>
          </w:tcPr>
          <w:p w14:paraId="36B6DAA4" w14:textId="77777777" w:rsidR="00DD583B" w:rsidRDefault="00DD583B" w:rsidP="005D2A90">
            <w:pPr>
              <w:rPr>
                <w:lang w:val="fr-ML" w:eastAsia="ko-KR"/>
              </w:rPr>
            </w:pPr>
            <w:r w:rsidRPr="000C536D">
              <w:rPr>
                <w:rFonts w:ascii="Times New Roman" w:hAnsi="Times New Roman" w:cs="Times New Roman"/>
                <w:bCs/>
              </w:rPr>
              <w:t xml:space="preserve">Indicateur  5.1.3  </w:t>
            </w:r>
            <w:r w:rsidRPr="000C536D">
              <w:rPr>
                <w:lang w:val="fr-ML" w:eastAsia="ko-KR"/>
              </w:rPr>
              <w:t>Nombre de femmes</w:t>
            </w:r>
            <w:r>
              <w:rPr>
                <w:lang w:val="fr-ML" w:eastAsia="ko-KR"/>
              </w:rPr>
              <w:t>,</w:t>
            </w:r>
            <w:r w:rsidRPr="000C536D">
              <w:rPr>
                <w:lang w:val="fr-ML" w:eastAsia="ko-KR"/>
              </w:rPr>
              <w:t xml:space="preserve">  hom</w:t>
            </w:r>
            <w:r>
              <w:rPr>
                <w:lang w:val="fr-ML" w:eastAsia="ko-KR"/>
              </w:rPr>
              <w:t>m</w:t>
            </w:r>
            <w:r w:rsidRPr="000C536D">
              <w:rPr>
                <w:lang w:val="fr-ML" w:eastAsia="ko-KR"/>
              </w:rPr>
              <w:t xml:space="preserve">es, fille et garçons qui ont reçu l’assistance alimentaire pour la création d’actifs productif  </w:t>
            </w:r>
          </w:p>
          <w:p w14:paraId="1FEE9D2C" w14:textId="77777777" w:rsidR="00DD583B" w:rsidRPr="000C536D" w:rsidRDefault="00DD583B" w:rsidP="005D2A90">
            <w:pPr>
              <w:rPr>
                <w:rFonts w:ascii="Times New Roman" w:hAnsi="Times New Roman" w:cs="Times New Roman"/>
                <w:bCs/>
              </w:rPr>
            </w:pPr>
          </w:p>
          <w:p w14:paraId="2010616D" w14:textId="77777777" w:rsidR="00DD583B" w:rsidRPr="00C50B8C" w:rsidRDefault="00DD583B" w:rsidP="005D2A90">
            <w:pPr>
              <w:widowControl w:val="0"/>
              <w:snapToGrid w:val="0"/>
              <w:rPr>
                <w:rFonts w:ascii="Times New Roman" w:hAnsi="Times New Roman" w:cs="Times New Roman"/>
                <w:bCs/>
                <w:lang w:val="fr-FR"/>
              </w:rPr>
            </w:pPr>
            <w:r w:rsidRPr="00C50B8C">
              <w:rPr>
                <w:rFonts w:ascii="Times New Roman" w:hAnsi="Times New Roman" w:cs="Times New Roman"/>
                <w:bCs/>
                <w:lang w:val="fr-FR"/>
              </w:rPr>
              <w:t>Base : 0</w:t>
            </w:r>
          </w:p>
          <w:p w14:paraId="2F764E2B" w14:textId="77777777" w:rsidR="00DD583B" w:rsidRPr="00C50B8C" w:rsidRDefault="00DD583B" w:rsidP="005D2A90">
            <w:pPr>
              <w:widowControl w:val="0"/>
              <w:snapToGrid w:val="0"/>
              <w:rPr>
                <w:rFonts w:ascii="Times New Roman" w:hAnsi="Times New Roman" w:cs="Times New Roman"/>
                <w:bCs/>
                <w:color w:val="FF0000"/>
                <w:lang w:val="fr-FR"/>
              </w:rPr>
            </w:pPr>
            <w:r w:rsidRPr="00C50B8C">
              <w:rPr>
                <w:rFonts w:ascii="Times New Roman" w:hAnsi="Times New Roman" w:cs="Times New Roman"/>
                <w:bCs/>
                <w:color w:val="FF0000"/>
                <w:lang w:val="fr-FR"/>
              </w:rPr>
              <w:t>Situation en fin 2017: 170,397</w:t>
            </w:r>
          </w:p>
          <w:p w14:paraId="68A18A9B" w14:textId="77777777" w:rsidR="00DD583B" w:rsidRPr="00C50B8C" w:rsidRDefault="00DD583B" w:rsidP="005D2A90">
            <w:pPr>
              <w:widowControl w:val="0"/>
              <w:snapToGrid w:val="0"/>
              <w:rPr>
                <w:rFonts w:ascii="Times New Roman" w:hAnsi="Times New Roman" w:cs="Times New Roman"/>
                <w:bCs/>
                <w:color w:val="FF0000"/>
                <w:lang w:val="fr-FR"/>
              </w:rPr>
            </w:pPr>
            <w:r w:rsidRPr="00C50B8C">
              <w:rPr>
                <w:rFonts w:ascii="Times New Roman" w:hAnsi="Times New Roman" w:cs="Times New Roman"/>
                <w:bCs/>
                <w:color w:val="FF0000"/>
                <w:lang w:val="fr-FR"/>
              </w:rPr>
              <w:t>(Homme : 84,346 et Femme : 86,051)</w:t>
            </w:r>
          </w:p>
          <w:p w14:paraId="184F44FC" w14:textId="77777777" w:rsidR="00DD583B" w:rsidRPr="008B71B5" w:rsidRDefault="00DD583B" w:rsidP="005D2A90">
            <w:pPr>
              <w:rPr>
                <w:rFonts w:ascii="Times New Roman" w:hAnsi="Times New Roman" w:cs="Times New Roman"/>
                <w:bCs/>
              </w:rPr>
            </w:pPr>
            <w:r w:rsidRPr="00C50B8C">
              <w:rPr>
                <w:rFonts w:ascii="Times New Roman" w:hAnsi="Times New Roman" w:cs="Times New Roman"/>
                <w:bCs/>
                <w:lang w:val="fr-FR"/>
              </w:rPr>
              <w:t>Cible : 277,500</w:t>
            </w:r>
          </w:p>
        </w:tc>
        <w:tc>
          <w:tcPr>
            <w:tcW w:w="3622" w:type="dxa"/>
            <w:tcBorders>
              <w:top w:val="single" w:sz="4" w:space="0" w:color="auto"/>
              <w:left w:val="single" w:sz="4" w:space="0" w:color="auto"/>
              <w:bottom w:val="single" w:sz="4" w:space="0" w:color="auto"/>
              <w:right w:val="single" w:sz="4" w:space="0" w:color="auto"/>
            </w:tcBorders>
            <w:vAlign w:val="center"/>
          </w:tcPr>
          <w:p w14:paraId="341647DF"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 xml:space="preserve">Mode de calcul : Dénombrement des </w:t>
            </w:r>
            <w:r>
              <w:rPr>
                <w:rFonts w:ascii="Times New Roman" w:hAnsi="Times New Roman" w:cs="Times New Roman"/>
                <w:bCs/>
              </w:rPr>
              <w:t xml:space="preserve"> bénéficiaires de projets creation d’actif</w:t>
            </w:r>
            <w:r w:rsidRPr="008B71B5">
              <w:rPr>
                <w:rFonts w:ascii="Times New Roman" w:hAnsi="Times New Roman" w:cs="Times New Roman"/>
                <w:bCs/>
              </w:rPr>
              <w:t xml:space="preserve"> dans les zones affectées par l’insécurité alimentaire et nutritionnelle</w:t>
            </w:r>
          </w:p>
          <w:p w14:paraId="55D0050F"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Sources de données</w:t>
            </w:r>
            <w:r>
              <w:rPr>
                <w:rFonts w:ascii="Times New Roman" w:hAnsi="Times New Roman" w:cs="Times New Roman"/>
              </w:rPr>
              <w:t>/Moyens de vérification</w:t>
            </w:r>
            <w:r w:rsidRPr="008B71B5">
              <w:rPr>
                <w:rFonts w:ascii="Times New Roman" w:hAnsi="Times New Roman" w:cs="Times New Roman"/>
              </w:rPr>
              <w:t>: Données Entités UN/Effet5</w:t>
            </w:r>
          </w:p>
          <w:p w14:paraId="285F027E"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 ou moins</w:t>
            </w:r>
          </w:p>
          <w:p w14:paraId="5FEF60C8"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Maître d’œuvre : Groupe de Résultat</w:t>
            </w:r>
          </w:p>
        </w:tc>
        <w:tc>
          <w:tcPr>
            <w:tcW w:w="3136" w:type="dxa"/>
            <w:tcBorders>
              <w:top w:val="single" w:sz="4" w:space="0" w:color="auto"/>
              <w:left w:val="single" w:sz="4" w:space="0" w:color="auto"/>
              <w:bottom w:val="single" w:sz="4" w:space="0" w:color="auto"/>
              <w:right w:val="single" w:sz="4" w:space="0" w:color="auto"/>
            </w:tcBorders>
          </w:tcPr>
          <w:p w14:paraId="7D60BDA8" w14:textId="77777777" w:rsidR="00DD583B" w:rsidRPr="00331462" w:rsidRDefault="00DD583B" w:rsidP="005D2A90">
            <w:pPr>
              <w:rPr>
                <w:lang w:val="fr-ML"/>
              </w:rPr>
            </w:pPr>
            <w:r w:rsidRPr="00331462">
              <w:rPr>
                <w:lang w:val="fr-ML" w:eastAsia="en-GB"/>
              </w:rPr>
              <w:t>Risk programmatique lié au</w:t>
            </w:r>
            <w:r>
              <w:rPr>
                <w:lang w:val="fr-ML" w:eastAsia="en-GB"/>
              </w:rPr>
              <w:t>x</w:t>
            </w:r>
            <w:r w:rsidRPr="00331462">
              <w:rPr>
                <w:lang w:val="fr-ML" w:eastAsia="en-GB"/>
              </w:rPr>
              <w:t xml:space="preserve"> partenariat avec les</w:t>
            </w:r>
            <w:r>
              <w:rPr>
                <w:lang w:val="fr-ML" w:eastAsia="en-GB"/>
              </w:rPr>
              <w:t xml:space="preserve"> institutions étatique et ONG et le services financiers en particulier dans les zones d’insécurité </w:t>
            </w:r>
          </w:p>
          <w:p w14:paraId="0358D08B" w14:textId="77777777" w:rsidR="00DD583B" w:rsidRPr="00A4071B" w:rsidRDefault="00DD583B" w:rsidP="005D2A90"/>
        </w:tc>
        <w:tc>
          <w:tcPr>
            <w:tcW w:w="1936" w:type="dxa"/>
            <w:tcBorders>
              <w:top w:val="single" w:sz="4" w:space="0" w:color="auto"/>
              <w:left w:val="single" w:sz="4" w:space="0" w:color="auto"/>
              <w:bottom w:val="single" w:sz="4" w:space="0" w:color="auto"/>
              <w:right w:val="single" w:sz="4" w:space="0" w:color="auto"/>
            </w:tcBorders>
          </w:tcPr>
          <w:p w14:paraId="01451760" w14:textId="77777777" w:rsidR="00DD583B" w:rsidRPr="008B72F6" w:rsidRDefault="00DD583B" w:rsidP="005D2A90">
            <w:pPr>
              <w:rPr>
                <w:rFonts w:cstheme="minorHAnsi"/>
                <w:sz w:val="18"/>
                <w:szCs w:val="18"/>
                <w:lang w:val="fr-FR"/>
              </w:rPr>
            </w:pPr>
            <w:r w:rsidRPr="008B72F6">
              <w:rPr>
                <w:rFonts w:cstheme="minorHAnsi"/>
                <w:sz w:val="18"/>
                <w:szCs w:val="18"/>
              </w:rPr>
              <w:t>UN : Assistance technique</w:t>
            </w:r>
          </w:p>
          <w:p w14:paraId="529E7E2A" w14:textId="77777777" w:rsidR="00DD583B" w:rsidRPr="008B72F6" w:rsidRDefault="00DD583B" w:rsidP="005D2A90">
            <w:pPr>
              <w:rPr>
                <w:rFonts w:cstheme="minorHAnsi"/>
                <w:sz w:val="18"/>
                <w:szCs w:val="18"/>
                <w:lang w:val="fr-FR"/>
              </w:rPr>
            </w:pPr>
            <w:r w:rsidRPr="008B72F6">
              <w:rPr>
                <w:rFonts w:cstheme="minorHAnsi"/>
                <w:sz w:val="18"/>
                <w:szCs w:val="18"/>
              </w:rPr>
              <w:t xml:space="preserve">Apport de ressources </w:t>
            </w:r>
          </w:p>
          <w:p w14:paraId="255AE541" w14:textId="77777777" w:rsidR="00DD583B" w:rsidRPr="008B72F6" w:rsidRDefault="00DD583B" w:rsidP="005D2A90">
            <w:pPr>
              <w:rPr>
                <w:rFonts w:cstheme="minorHAnsi"/>
                <w:sz w:val="18"/>
                <w:szCs w:val="18"/>
                <w:lang w:val="fr-FR"/>
              </w:rPr>
            </w:pPr>
            <w:r w:rsidRPr="008B72F6">
              <w:rPr>
                <w:rFonts w:cstheme="minorHAnsi"/>
                <w:sz w:val="18"/>
                <w:szCs w:val="18"/>
              </w:rPr>
              <w:t>Suivi-évaluation</w:t>
            </w:r>
          </w:p>
          <w:p w14:paraId="2B19C54F" w14:textId="77777777" w:rsidR="00DD583B" w:rsidRPr="008B72F6" w:rsidRDefault="00DD583B" w:rsidP="005D2A90">
            <w:pPr>
              <w:rPr>
                <w:rFonts w:cstheme="minorHAnsi"/>
                <w:sz w:val="18"/>
                <w:szCs w:val="18"/>
                <w:lang w:val="fr-FR"/>
              </w:rPr>
            </w:pPr>
          </w:p>
          <w:p w14:paraId="16B3213F" w14:textId="77777777" w:rsidR="00DD583B" w:rsidRPr="008B72F6" w:rsidRDefault="00DD583B" w:rsidP="005D2A90">
            <w:pPr>
              <w:rPr>
                <w:rFonts w:cstheme="minorHAnsi"/>
                <w:sz w:val="18"/>
                <w:szCs w:val="18"/>
                <w:lang w:val="fr-FR"/>
              </w:rPr>
            </w:pPr>
            <w:r w:rsidRPr="008B72F6">
              <w:rPr>
                <w:rFonts w:cstheme="minorHAnsi"/>
                <w:sz w:val="18"/>
                <w:szCs w:val="18"/>
              </w:rPr>
              <w:t>Gouvernement : Encadrement technique en nombre et en qualité</w:t>
            </w:r>
          </w:p>
          <w:p w14:paraId="710F348B" w14:textId="77777777" w:rsidR="00DD583B" w:rsidRPr="008B72F6" w:rsidRDefault="00DD583B" w:rsidP="005D2A90">
            <w:pPr>
              <w:rPr>
                <w:rFonts w:cstheme="minorHAnsi"/>
                <w:sz w:val="18"/>
                <w:szCs w:val="18"/>
                <w:lang w:val="fr-FR"/>
              </w:rPr>
            </w:pPr>
            <w:r w:rsidRPr="008B72F6">
              <w:rPr>
                <w:rFonts w:cstheme="minorHAnsi"/>
                <w:sz w:val="18"/>
                <w:szCs w:val="18"/>
              </w:rPr>
              <w:t>Ressources financières</w:t>
            </w:r>
          </w:p>
          <w:p w14:paraId="6F5F9D59" w14:textId="77777777" w:rsidR="00DD583B" w:rsidRPr="00A4071B" w:rsidRDefault="00DD583B" w:rsidP="005D2A90">
            <w:r w:rsidRPr="008B72F6">
              <w:rPr>
                <w:rFonts w:cstheme="minorHAnsi"/>
                <w:sz w:val="18"/>
                <w:szCs w:val="18"/>
              </w:rPr>
              <w:t>Supervision</w:t>
            </w:r>
          </w:p>
        </w:tc>
        <w:tc>
          <w:tcPr>
            <w:tcW w:w="1248" w:type="dxa"/>
            <w:tcBorders>
              <w:top w:val="single" w:sz="4" w:space="0" w:color="auto"/>
              <w:left w:val="single" w:sz="4" w:space="0" w:color="auto"/>
              <w:bottom w:val="single" w:sz="4" w:space="0" w:color="auto"/>
              <w:right w:val="single" w:sz="4" w:space="0" w:color="auto"/>
            </w:tcBorders>
          </w:tcPr>
          <w:p w14:paraId="42244C0E" w14:textId="77777777" w:rsidR="00DD583B" w:rsidRPr="00A4071B" w:rsidRDefault="00DD583B" w:rsidP="005D2A90"/>
        </w:tc>
      </w:tr>
      <w:tr w:rsidR="00DD583B" w:rsidRPr="00A4071B" w14:paraId="1356C3C0" w14:textId="77777777" w:rsidTr="00E432D7">
        <w:tc>
          <w:tcPr>
            <w:tcW w:w="2507" w:type="dxa"/>
            <w:tcBorders>
              <w:right w:val="single" w:sz="4" w:space="0" w:color="auto"/>
            </w:tcBorders>
            <w:shd w:val="clear" w:color="auto" w:fill="DBE5F1" w:themeFill="accent1" w:themeFillTint="33"/>
            <w:vAlign w:val="center"/>
          </w:tcPr>
          <w:p w14:paraId="13A208BE" w14:textId="77777777" w:rsidR="00DD583B" w:rsidRPr="00A4071B" w:rsidRDefault="00DD583B" w:rsidP="005D2A90"/>
        </w:tc>
        <w:tc>
          <w:tcPr>
            <w:tcW w:w="2719" w:type="dxa"/>
            <w:tcBorders>
              <w:top w:val="single" w:sz="4" w:space="0" w:color="auto"/>
              <w:left w:val="single" w:sz="4" w:space="0" w:color="auto"/>
              <w:bottom w:val="single" w:sz="4" w:space="0" w:color="auto"/>
              <w:right w:val="single" w:sz="4" w:space="0" w:color="auto"/>
            </w:tcBorders>
            <w:vAlign w:val="center"/>
          </w:tcPr>
          <w:p w14:paraId="4A361672" w14:textId="77777777" w:rsidR="00DD583B" w:rsidRPr="00C50B8C" w:rsidRDefault="00DD583B" w:rsidP="005D2A90">
            <w:pPr>
              <w:rPr>
                <w:rFonts w:ascii="Times New Roman" w:hAnsi="Times New Roman" w:cs="Times New Roman"/>
                <w:bCs/>
                <w:lang w:val="fr-ML"/>
              </w:rPr>
            </w:pPr>
            <w:r w:rsidRPr="00C50B8C">
              <w:rPr>
                <w:rFonts w:ascii="Times New Roman" w:hAnsi="Times New Roman" w:cs="Times New Roman"/>
                <w:bCs/>
                <w:lang w:val="fr-FR"/>
              </w:rPr>
              <w:t xml:space="preserve">Indicateur  5.1.4  : </w:t>
            </w:r>
            <w:r w:rsidRPr="00C50B8C">
              <w:rPr>
                <w:rFonts w:ascii="Times New Roman" w:hAnsi="Times New Roman" w:cs="Times New Roman"/>
                <w:bCs/>
                <w:lang w:val="fr-ML"/>
              </w:rPr>
              <w:t xml:space="preserve">Quantité d’actifs crées, réhabilités ou améliorés dans les  communautés ciblées </w:t>
            </w:r>
          </w:p>
          <w:p w14:paraId="180800D0" w14:textId="77777777" w:rsidR="00DD583B" w:rsidRPr="00C50B8C" w:rsidRDefault="00DD583B" w:rsidP="005D2A90">
            <w:pPr>
              <w:rPr>
                <w:rFonts w:ascii="Times New Roman" w:hAnsi="Times New Roman" w:cs="Times New Roman"/>
                <w:bCs/>
                <w:lang w:val="fr-FR"/>
              </w:rPr>
            </w:pPr>
          </w:p>
          <w:p w14:paraId="0613E689" w14:textId="77777777" w:rsidR="00DD583B" w:rsidRPr="00C50B8C" w:rsidRDefault="00DD583B" w:rsidP="005D2A90">
            <w:pPr>
              <w:rPr>
                <w:rFonts w:ascii="Times New Roman" w:hAnsi="Times New Roman" w:cs="Times New Roman"/>
                <w:bCs/>
                <w:lang w:val="fr-FR"/>
              </w:rPr>
            </w:pPr>
            <w:r w:rsidRPr="00C50B8C">
              <w:rPr>
                <w:rFonts w:ascii="Times New Roman" w:hAnsi="Times New Roman" w:cs="Times New Roman"/>
                <w:bCs/>
                <w:lang w:val="fr-FR"/>
              </w:rPr>
              <w:t>Base : 0</w:t>
            </w:r>
          </w:p>
          <w:p w14:paraId="447FC75F" w14:textId="77777777" w:rsidR="00DD583B" w:rsidRPr="00C50B8C" w:rsidRDefault="00DD583B" w:rsidP="005D2A90">
            <w:pPr>
              <w:rPr>
                <w:rFonts w:ascii="Times New Roman" w:hAnsi="Times New Roman" w:cs="Times New Roman"/>
                <w:bCs/>
                <w:lang w:val="fr-FR"/>
              </w:rPr>
            </w:pPr>
            <w:r w:rsidRPr="00C50B8C">
              <w:rPr>
                <w:rFonts w:ascii="Times New Roman" w:hAnsi="Times New Roman" w:cs="Times New Roman"/>
                <w:bCs/>
                <w:lang w:val="fr-FR"/>
              </w:rPr>
              <w:t xml:space="preserve">      </w:t>
            </w:r>
          </w:p>
          <w:p w14:paraId="75106ACA" w14:textId="77777777" w:rsidR="00DD583B" w:rsidRPr="00C50B8C" w:rsidRDefault="00DD583B" w:rsidP="005D2A90">
            <w:pPr>
              <w:rPr>
                <w:rFonts w:ascii="Times New Roman" w:hAnsi="Times New Roman" w:cs="Times New Roman"/>
                <w:bCs/>
                <w:color w:val="FF0000"/>
                <w:lang w:val="fr-FR"/>
              </w:rPr>
            </w:pPr>
            <w:r w:rsidRPr="00C50B8C">
              <w:rPr>
                <w:rFonts w:ascii="Times New Roman" w:hAnsi="Times New Roman" w:cs="Times New Roman"/>
                <w:bCs/>
                <w:color w:val="FF0000"/>
                <w:lang w:val="fr-FR"/>
              </w:rPr>
              <w:t xml:space="preserve">Situation en fin 2017: </w:t>
            </w:r>
          </w:p>
          <w:p w14:paraId="11DDBB13" w14:textId="77777777" w:rsidR="00DD583B" w:rsidRPr="00C50B8C" w:rsidRDefault="00DD583B" w:rsidP="005D2A90">
            <w:pPr>
              <w:rPr>
                <w:rFonts w:ascii="Times New Roman" w:hAnsi="Times New Roman" w:cs="Times New Roman"/>
                <w:bCs/>
                <w:color w:val="FF0000"/>
                <w:lang w:val="fr-FR"/>
              </w:rPr>
            </w:pPr>
            <w:r w:rsidRPr="00C50B8C">
              <w:rPr>
                <w:rFonts w:ascii="Times New Roman" w:hAnsi="Times New Roman" w:cs="Times New Roman"/>
                <w:bCs/>
                <w:color w:val="FF0000"/>
                <w:lang w:val="fr-FR"/>
              </w:rPr>
              <w:t>Terre rehabilité : 2423   ha</w:t>
            </w:r>
          </w:p>
          <w:p w14:paraId="025E8CC4" w14:textId="77777777" w:rsidR="00DD583B" w:rsidRPr="00C50B8C" w:rsidRDefault="00DD583B" w:rsidP="005D2A90">
            <w:pPr>
              <w:rPr>
                <w:rFonts w:ascii="Times New Roman" w:hAnsi="Times New Roman" w:cs="Times New Roman"/>
                <w:bCs/>
                <w:color w:val="FF0000"/>
                <w:lang w:val="fr-FR"/>
              </w:rPr>
            </w:pPr>
            <w:r w:rsidRPr="00C50B8C">
              <w:rPr>
                <w:rFonts w:ascii="Times New Roman" w:hAnsi="Times New Roman" w:cs="Times New Roman"/>
                <w:bCs/>
                <w:color w:val="FF0000"/>
                <w:lang w:val="fr-FR"/>
              </w:rPr>
              <w:lastRenderedPageBreak/>
              <w:t xml:space="preserve">Perimètres irrigue:  682 ha </w:t>
            </w:r>
          </w:p>
          <w:p w14:paraId="004AEBE9" w14:textId="77777777" w:rsidR="00DD583B" w:rsidRPr="00C50B8C" w:rsidRDefault="00DD583B" w:rsidP="005D2A90">
            <w:pPr>
              <w:rPr>
                <w:rFonts w:ascii="Times New Roman" w:hAnsi="Times New Roman" w:cs="Times New Roman"/>
                <w:bCs/>
                <w:color w:val="FF0000"/>
                <w:lang w:val="fr-FR"/>
              </w:rPr>
            </w:pPr>
            <w:r w:rsidRPr="00C50B8C">
              <w:rPr>
                <w:rFonts w:ascii="Times New Roman" w:hAnsi="Times New Roman" w:cs="Times New Roman"/>
                <w:bCs/>
                <w:color w:val="FF0000"/>
                <w:lang w:val="fr-FR"/>
              </w:rPr>
              <w:t xml:space="preserve">forage et puis :  59 </w:t>
            </w:r>
          </w:p>
          <w:p w14:paraId="5548FFAB" w14:textId="77777777" w:rsidR="00DD583B" w:rsidRPr="00C50B8C" w:rsidRDefault="00DD583B" w:rsidP="005D2A90">
            <w:pPr>
              <w:rPr>
                <w:rFonts w:ascii="Times New Roman" w:hAnsi="Times New Roman" w:cs="Times New Roman"/>
                <w:bCs/>
                <w:lang w:val="fr-FR"/>
              </w:rPr>
            </w:pPr>
          </w:p>
          <w:p w14:paraId="6C853288" w14:textId="77777777" w:rsidR="00DD583B" w:rsidRPr="00C50B8C" w:rsidRDefault="00DD583B" w:rsidP="005D2A90">
            <w:pPr>
              <w:rPr>
                <w:rFonts w:ascii="Times New Roman" w:hAnsi="Times New Roman" w:cs="Times New Roman"/>
                <w:bCs/>
                <w:lang w:val="es-US"/>
              </w:rPr>
            </w:pPr>
            <w:r w:rsidRPr="00C50B8C">
              <w:rPr>
                <w:rFonts w:ascii="Times New Roman" w:hAnsi="Times New Roman" w:cs="Times New Roman"/>
                <w:bCs/>
                <w:lang w:val="es-US"/>
              </w:rPr>
              <w:t>Cible :</w:t>
            </w:r>
          </w:p>
          <w:p w14:paraId="4CF07F2C" w14:textId="77777777" w:rsidR="00DD583B" w:rsidRPr="00C50B8C" w:rsidRDefault="00DD583B" w:rsidP="005D2A90">
            <w:pPr>
              <w:rPr>
                <w:rFonts w:ascii="Times New Roman" w:hAnsi="Times New Roman" w:cs="Times New Roman"/>
                <w:bCs/>
                <w:lang w:val="es-US"/>
              </w:rPr>
            </w:pPr>
            <w:r w:rsidRPr="00C50B8C">
              <w:rPr>
                <w:rFonts w:ascii="Times New Roman" w:hAnsi="Times New Roman" w:cs="Times New Roman"/>
                <w:bCs/>
                <w:lang w:val="es-US"/>
              </w:rPr>
              <w:t>Terres rehabilté :10000 ha</w:t>
            </w:r>
          </w:p>
          <w:p w14:paraId="414B86E3" w14:textId="77777777" w:rsidR="00DD583B" w:rsidRPr="00C50B8C" w:rsidRDefault="00DD583B" w:rsidP="005D2A90">
            <w:pPr>
              <w:rPr>
                <w:rFonts w:ascii="Times New Roman" w:hAnsi="Times New Roman" w:cs="Times New Roman"/>
                <w:bCs/>
                <w:lang w:val="es-US"/>
              </w:rPr>
            </w:pPr>
            <w:r w:rsidRPr="00C50B8C">
              <w:rPr>
                <w:rFonts w:ascii="Times New Roman" w:hAnsi="Times New Roman" w:cs="Times New Roman"/>
                <w:bCs/>
                <w:lang w:val="es-US"/>
              </w:rPr>
              <w:t>Perimetre irrigue :3000 ha</w:t>
            </w:r>
          </w:p>
          <w:p w14:paraId="09828C62" w14:textId="77777777" w:rsidR="00DD583B" w:rsidRPr="008B71B5" w:rsidRDefault="00DD583B" w:rsidP="005D2A90">
            <w:pPr>
              <w:rPr>
                <w:rFonts w:ascii="Times New Roman" w:hAnsi="Times New Roman" w:cs="Times New Roman"/>
                <w:bCs/>
              </w:rPr>
            </w:pPr>
            <w:r w:rsidRPr="00C50B8C">
              <w:rPr>
                <w:rFonts w:ascii="Times New Roman" w:hAnsi="Times New Roman" w:cs="Times New Roman"/>
                <w:bCs/>
                <w:lang w:val="fr-FR"/>
              </w:rPr>
              <w:t xml:space="preserve">forage et puis :  400 </w:t>
            </w:r>
            <w:r>
              <w:rPr>
                <w:rFonts w:ascii="Times New Roman" w:hAnsi="Times New Roman" w:cs="Times New Roman"/>
                <w:bCs/>
              </w:rPr>
              <w:t xml:space="preserve"> </w:t>
            </w:r>
          </w:p>
        </w:tc>
        <w:tc>
          <w:tcPr>
            <w:tcW w:w="3622" w:type="dxa"/>
            <w:tcBorders>
              <w:top w:val="single" w:sz="4" w:space="0" w:color="auto"/>
              <w:left w:val="single" w:sz="4" w:space="0" w:color="auto"/>
              <w:bottom w:val="single" w:sz="4" w:space="0" w:color="auto"/>
              <w:right w:val="single" w:sz="4" w:space="0" w:color="auto"/>
            </w:tcBorders>
            <w:vAlign w:val="center"/>
          </w:tcPr>
          <w:p w14:paraId="70503DE0"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lastRenderedPageBreak/>
              <w:t xml:space="preserve">Mode de calcul : Dénombrement des </w:t>
            </w:r>
            <w:r>
              <w:rPr>
                <w:rFonts w:ascii="Times New Roman" w:hAnsi="Times New Roman" w:cs="Times New Roman"/>
                <w:bCs/>
              </w:rPr>
              <w:t xml:space="preserve"> actifs crées  rehabilité </w:t>
            </w:r>
            <w:r w:rsidRPr="008B71B5">
              <w:rPr>
                <w:rFonts w:ascii="Times New Roman" w:hAnsi="Times New Roman" w:cs="Times New Roman"/>
                <w:bCs/>
              </w:rPr>
              <w:t xml:space="preserve"> dans les zones affectées par l’insécurité alimentaire et nutritionnelle</w:t>
            </w:r>
          </w:p>
          <w:p w14:paraId="5162B602"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Sources de données</w:t>
            </w:r>
            <w:r>
              <w:rPr>
                <w:rFonts w:ascii="Times New Roman" w:hAnsi="Times New Roman" w:cs="Times New Roman"/>
              </w:rPr>
              <w:t>/Moyens de vérification</w:t>
            </w:r>
            <w:r w:rsidRPr="008B71B5">
              <w:rPr>
                <w:rFonts w:ascii="Times New Roman" w:hAnsi="Times New Roman" w:cs="Times New Roman"/>
              </w:rPr>
              <w:t>: Données Entités UN/Effet5</w:t>
            </w:r>
          </w:p>
          <w:p w14:paraId="52ED397A"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 ou moins</w:t>
            </w:r>
          </w:p>
          <w:p w14:paraId="71C2D37C"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Maître d’œuvre : Groupe de Résultat</w:t>
            </w:r>
          </w:p>
        </w:tc>
        <w:tc>
          <w:tcPr>
            <w:tcW w:w="3136" w:type="dxa"/>
            <w:tcBorders>
              <w:top w:val="single" w:sz="4" w:space="0" w:color="auto"/>
              <w:left w:val="single" w:sz="4" w:space="0" w:color="auto"/>
              <w:bottom w:val="single" w:sz="4" w:space="0" w:color="auto"/>
              <w:right w:val="single" w:sz="4" w:space="0" w:color="auto"/>
            </w:tcBorders>
          </w:tcPr>
          <w:p w14:paraId="5A3837E7" w14:textId="77777777" w:rsidR="00DD583B" w:rsidRPr="00331462" w:rsidRDefault="00DD583B" w:rsidP="005D2A90">
            <w:pPr>
              <w:rPr>
                <w:lang w:val="fr-ML"/>
              </w:rPr>
            </w:pPr>
            <w:r w:rsidRPr="00331462">
              <w:rPr>
                <w:lang w:val="fr-ML" w:eastAsia="en-GB"/>
              </w:rPr>
              <w:t>Risk programmatique lié au</w:t>
            </w:r>
            <w:r>
              <w:rPr>
                <w:lang w:val="fr-ML" w:eastAsia="en-GB"/>
              </w:rPr>
              <w:t>x</w:t>
            </w:r>
            <w:r w:rsidRPr="00331462">
              <w:rPr>
                <w:lang w:val="fr-ML" w:eastAsia="en-GB"/>
              </w:rPr>
              <w:t xml:space="preserve"> partenariat</w:t>
            </w:r>
            <w:r>
              <w:rPr>
                <w:lang w:val="fr-ML" w:eastAsia="en-GB"/>
              </w:rPr>
              <w:t>s</w:t>
            </w:r>
            <w:r w:rsidRPr="00331462">
              <w:rPr>
                <w:lang w:val="fr-ML" w:eastAsia="en-GB"/>
              </w:rPr>
              <w:t xml:space="preserve"> avec les</w:t>
            </w:r>
            <w:r>
              <w:rPr>
                <w:lang w:val="fr-ML" w:eastAsia="en-GB"/>
              </w:rPr>
              <w:t xml:space="preserve"> institutions étatiques et ONG et le service financier en particulier dans les zones d’insécurité </w:t>
            </w:r>
          </w:p>
          <w:p w14:paraId="39C57C80" w14:textId="77777777" w:rsidR="00DD583B" w:rsidRPr="004A78A7" w:rsidRDefault="00DD583B" w:rsidP="005D2A90">
            <w:pPr>
              <w:rPr>
                <w:lang w:val="fr-ML"/>
              </w:rPr>
            </w:pPr>
          </w:p>
        </w:tc>
        <w:tc>
          <w:tcPr>
            <w:tcW w:w="1936" w:type="dxa"/>
            <w:tcBorders>
              <w:top w:val="single" w:sz="4" w:space="0" w:color="auto"/>
              <w:left w:val="single" w:sz="4" w:space="0" w:color="auto"/>
              <w:bottom w:val="single" w:sz="4" w:space="0" w:color="auto"/>
              <w:right w:val="single" w:sz="4" w:space="0" w:color="auto"/>
            </w:tcBorders>
          </w:tcPr>
          <w:p w14:paraId="6845FD55" w14:textId="77777777" w:rsidR="00DD583B" w:rsidRPr="00A4071B" w:rsidRDefault="00DD583B" w:rsidP="005D2A90"/>
        </w:tc>
        <w:tc>
          <w:tcPr>
            <w:tcW w:w="1248" w:type="dxa"/>
            <w:tcBorders>
              <w:top w:val="single" w:sz="4" w:space="0" w:color="auto"/>
              <w:left w:val="single" w:sz="4" w:space="0" w:color="auto"/>
              <w:bottom w:val="single" w:sz="4" w:space="0" w:color="auto"/>
              <w:right w:val="single" w:sz="4" w:space="0" w:color="auto"/>
            </w:tcBorders>
          </w:tcPr>
          <w:p w14:paraId="6014A6FB" w14:textId="77777777" w:rsidR="00DD583B" w:rsidRPr="00A4071B" w:rsidRDefault="00DD583B" w:rsidP="005D2A90"/>
        </w:tc>
      </w:tr>
      <w:tr w:rsidR="00DD583B" w:rsidRPr="00A4071B" w14:paraId="30EF4DB3" w14:textId="77777777" w:rsidTr="00E432D7">
        <w:tc>
          <w:tcPr>
            <w:tcW w:w="2507" w:type="dxa"/>
            <w:vMerge w:val="restart"/>
            <w:shd w:val="clear" w:color="auto" w:fill="DBE5F1" w:themeFill="accent1" w:themeFillTint="33"/>
            <w:vAlign w:val="center"/>
          </w:tcPr>
          <w:p w14:paraId="02A06B0E" w14:textId="77777777" w:rsidR="00DD583B" w:rsidRPr="00A4071B" w:rsidRDefault="00DD583B" w:rsidP="005D2A90">
            <w:pPr>
              <w:rPr>
                <w:lang w:val="fr-FR"/>
              </w:rPr>
            </w:pPr>
            <w:r w:rsidRPr="008B71B5">
              <w:rPr>
                <w:rFonts w:ascii="Times New Roman" w:hAnsi="Times New Roman" w:cs="Times New Roman"/>
                <w:bCs/>
              </w:rPr>
              <w:t>Produit 5.2 : Les structures étatiques, le secteur privé, la diaspora et la société civile disposent de compétences techniques et de moyens pour améliorer les capacités productives et commerciales pour impulser une croissance verte et inclusive.</w:t>
            </w:r>
          </w:p>
        </w:tc>
        <w:tc>
          <w:tcPr>
            <w:tcW w:w="2719" w:type="dxa"/>
            <w:tcBorders>
              <w:top w:val="single" w:sz="4" w:space="0" w:color="auto"/>
            </w:tcBorders>
            <w:vAlign w:val="center"/>
          </w:tcPr>
          <w:p w14:paraId="5F37A471" w14:textId="77777777" w:rsidR="00DD583B" w:rsidRDefault="00DD583B" w:rsidP="005D2A90">
            <w:pPr>
              <w:rPr>
                <w:rFonts w:ascii="Times New Roman" w:hAnsi="Times New Roman" w:cs="Times New Roman"/>
                <w:bCs/>
              </w:rPr>
            </w:pPr>
            <w:r w:rsidRPr="008B71B5">
              <w:rPr>
                <w:rFonts w:ascii="Times New Roman" w:hAnsi="Times New Roman" w:cs="Times New Roman"/>
                <w:bCs/>
              </w:rPr>
              <w:t>Indicateur 5.2.</w:t>
            </w:r>
            <w:r>
              <w:rPr>
                <w:rFonts w:ascii="Times New Roman" w:hAnsi="Times New Roman" w:cs="Times New Roman"/>
                <w:bCs/>
              </w:rPr>
              <w:t>1</w:t>
            </w:r>
            <w:r w:rsidRPr="008B71B5">
              <w:rPr>
                <w:rFonts w:ascii="Times New Roman" w:hAnsi="Times New Roman" w:cs="Times New Roman"/>
                <w:bCs/>
              </w:rPr>
              <w:t xml:space="preserve"> Nombre de réformes de l’environnement des affaires appuyées par le programme</w:t>
            </w:r>
          </w:p>
          <w:p w14:paraId="74AC7145" w14:textId="77777777" w:rsidR="00DD583B" w:rsidRDefault="00DD583B" w:rsidP="005D2A90">
            <w:pPr>
              <w:widowControl w:val="0"/>
              <w:snapToGrid w:val="0"/>
              <w:rPr>
                <w:rFonts w:ascii="Times New Roman" w:hAnsi="Times New Roman" w:cs="Times New Roman"/>
                <w:bCs/>
              </w:rPr>
            </w:pPr>
          </w:p>
          <w:p w14:paraId="16825C54" w14:textId="77777777" w:rsidR="00DD583B" w:rsidRDefault="00DD583B" w:rsidP="005D2A90">
            <w:pPr>
              <w:widowControl w:val="0"/>
              <w:snapToGrid w:val="0"/>
              <w:rPr>
                <w:rFonts w:ascii="Times New Roman" w:hAnsi="Times New Roman" w:cs="Times New Roman"/>
                <w:bCs/>
              </w:rPr>
            </w:pPr>
            <w:r>
              <w:rPr>
                <w:rFonts w:ascii="Times New Roman" w:hAnsi="Times New Roman" w:cs="Times New Roman"/>
                <w:bCs/>
              </w:rPr>
              <w:t>Base : 0</w:t>
            </w:r>
          </w:p>
          <w:p w14:paraId="221CCA86"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 xml:space="preserve">3 </w:t>
            </w:r>
          </w:p>
          <w:p w14:paraId="45923F83" w14:textId="77777777" w:rsidR="00DD583B" w:rsidRDefault="00DD583B" w:rsidP="005D2A90">
            <w:pPr>
              <w:widowControl w:val="0"/>
              <w:snapToGrid w:val="0"/>
              <w:rPr>
                <w:rFonts w:ascii="Times New Roman" w:hAnsi="Times New Roman" w:cs="Times New Roman"/>
                <w:bCs/>
              </w:rPr>
            </w:pPr>
          </w:p>
          <w:p w14:paraId="169B4D59" w14:textId="77777777" w:rsidR="00DD583B" w:rsidRPr="00A4071B" w:rsidRDefault="00DD583B" w:rsidP="005D2A90">
            <w:pPr>
              <w:rPr>
                <w:lang w:val="fr-FR"/>
              </w:rPr>
            </w:pPr>
            <w:r>
              <w:rPr>
                <w:rFonts w:ascii="Times New Roman" w:hAnsi="Times New Roman" w:cs="Times New Roman"/>
                <w:bCs/>
              </w:rPr>
              <w:t>Cible :  5</w:t>
            </w:r>
          </w:p>
        </w:tc>
        <w:tc>
          <w:tcPr>
            <w:tcW w:w="3622" w:type="dxa"/>
            <w:tcBorders>
              <w:top w:val="single" w:sz="4" w:space="0" w:color="auto"/>
            </w:tcBorders>
            <w:vAlign w:val="center"/>
          </w:tcPr>
          <w:p w14:paraId="5EF3111E"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 xml:space="preserve">Mode de calcul : Dénombrement des </w:t>
            </w:r>
            <w:r w:rsidRPr="008B71B5">
              <w:rPr>
                <w:rFonts w:ascii="Times New Roman" w:hAnsi="Times New Roman" w:cs="Times New Roman"/>
                <w:bCs/>
              </w:rPr>
              <w:t xml:space="preserve"> réformes de l’environnement des affaires appuyées par le programme</w:t>
            </w:r>
          </w:p>
          <w:p w14:paraId="2DE4982C"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Sources de données</w:t>
            </w:r>
            <w:r>
              <w:rPr>
                <w:rFonts w:ascii="Times New Roman" w:hAnsi="Times New Roman" w:cs="Times New Roman"/>
              </w:rPr>
              <w:t>/Moyens de vérification</w:t>
            </w:r>
            <w:r w:rsidRPr="008B71B5">
              <w:rPr>
                <w:rFonts w:ascii="Times New Roman" w:hAnsi="Times New Roman" w:cs="Times New Roman"/>
              </w:rPr>
              <w:t>: Données Entités UN/Effet5</w:t>
            </w:r>
          </w:p>
          <w:p w14:paraId="35AE9585"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 ou moins</w:t>
            </w:r>
          </w:p>
          <w:p w14:paraId="05AAD860" w14:textId="77777777" w:rsidR="00DD583B" w:rsidRPr="00A4071B" w:rsidRDefault="00DD583B" w:rsidP="005D2A90">
            <w:pPr>
              <w:pStyle w:val="Paragraphedeliste"/>
              <w:numPr>
                <w:ilvl w:val="0"/>
                <w:numId w:val="13"/>
              </w:numPr>
              <w:rPr>
                <w:lang w:val="fr-FR"/>
              </w:rPr>
            </w:pPr>
            <w:r w:rsidRPr="008B71B5">
              <w:rPr>
                <w:rFonts w:ascii="Times New Roman" w:hAnsi="Times New Roman" w:cs="Times New Roman"/>
              </w:rPr>
              <w:t>Maître d’œuvre : Groupe de Résultat, en rapport avec les structures étatiques compétentes</w:t>
            </w:r>
          </w:p>
        </w:tc>
        <w:tc>
          <w:tcPr>
            <w:tcW w:w="3136" w:type="dxa"/>
            <w:vMerge w:val="restart"/>
            <w:tcBorders>
              <w:top w:val="single" w:sz="4" w:space="0" w:color="auto"/>
            </w:tcBorders>
          </w:tcPr>
          <w:p w14:paraId="063B922D" w14:textId="77777777" w:rsidR="00DD583B" w:rsidRPr="00A4071B" w:rsidRDefault="00DD583B" w:rsidP="005D2A90">
            <w:pPr>
              <w:widowControl w:val="0"/>
              <w:snapToGrid w:val="0"/>
              <w:rPr>
                <w:rFonts w:cstheme="minorHAnsi"/>
                <w:sz w:val="18"/>
                <w:szCs w:val="18"/>
                <w:lang w:val="fr-FR"/>
              </w:rPr>
            </w:pPr>
          </w:p>
        </w:tc>
        <w:tc>
          <w:tcPr>
            <w:tcW w:w="1936" w:type="dxa"/>
            <w:vMerge w:val="restart"/>
            <w:tcBorders>
              <w:top w:val="single" w:sz="4" w:space="0" w:color="auto"/>
            </w:tcBorders>
          </w:tcPr>
          <w:p w14:paraId="36637DC6" w14:textId="77777777" w:rsidR="00DD583B" w:rsidRPr="00A4071B" w:rsidRDefault="00DD583B" w:rsidP="005D2A90">
            <w:pPr>
              <w:rPr>
                <w:highlight w:val="yellow"/>
                <w:lang w:val="fr-FR"/>
              </w:rPr>
            </w:pPr>
          </w:p>
        </w:tc>
        <w:tc>
          <w:tcPr>
            <w:tcW w:w="1248" w:type="dxa"/>
            <w:vMerge w:val="restart"/>
            <w:tcBorders>
              <w:top w:val="single" w:sz="4" w:space="0" w:color="auto"/>
            </w:tcBorders>
          </w:tcPr>
          <w:p w14:paraId="21DCDBF7" w14:textId="77777777" w:rsidR="00DD583B" w:rsidRPr="00A4071B" w:rsidRDefault="00DD583B" w:rsidP="005D2A90">
            <w:pPr>
              <w:rPr>
                <w:lang w:val="fr-FR"/>
              </w:rPr>
            </w:pPr>
          </w:p>
        </w:tc>
      </w:tr>
      <w:tr w:rsidR="00DD583B" w:rsidRPr="00A4071B" w14:paraId="0A4B7B1A" w14:textId="77777777" w:rsidTr="005D2A90">
        <w:tc>
          <w:tcPr>
            <w:tcW w:w="2507" w:type="dxa"/>
            <w:vMerge/>
            <w:shd w:val="clear" w:color="auto" w:fill="DBE5F1" w:themeFill="accent1" w:themeFillTint="33"/>
            <w:vAlign w:val="center"/>
          </w:tcPr>
          <w:p w14:paraId="6784A3FE" w14:textId="77777777" w:rsidR="00DD583B" w:rsidRPr="00A4071B" w:rsidRDefault="00DD583B" w:rsidP="005D2A90">
            <w:pPr>
              <w:rPr>
                <w:lang w:val="fr-FR"/>
              </w:rPr>
            </w:pPr>
          </w:p>
        </w:tc>
        <w:tc>
          <w:tcPr>
            <w:tcW w:w="2719" w:type="dxa"/>
            <w:vAlign w:val="center"/>
          </w:tcPr>
          <w:p w14:paraId="66942A8D" w14:textId="77777777" w:rsidR="00DD583B" w:rsidRDefault="00DD583B" w:rsidP="005D2A90">
            <w:pPr>
              <w:rPr>
                <w:rFonts w:ascii="Times New Roman" w:hAnsi="Times New Roman" w:cs="Times New Roman"/>
                <w:bCs/>
              </w:rPr>
            </w:pPr>
            <w:r w:rsidRPr="008B71B5">
              <w:rPr>
                <w:rFonts w:ascii="Times New Roman" w:hAnsi="Times New Roman" w:cs="Times New Roman"/>
                <w:bCs/>
              </w:rPr>
              <w:t>Indicateur 5.2.</w:t>
            </w:r>
            <w:r>
              <w:rPr>
                <w:rFonts w:ascii="Times New Roman" w:hAnsi="Times New Roman" w:cs="Times New Roman"/>
                <w:bCs/>
              </w:rPr>
              <w:t>3</w:t>
            </w:r>
            <w:r w:rsidRPr="008B71B5">
              <w:rPr>
                <w:rFonts w:ascii="Times New Roman" w:hAnsi="Times New Roman" w:cs="Times New Roman"/>
                <w:bCs/>
              </w:rPr>
              <w:t xml:space="preserve"> Nombre de </w:t>
            </w:r>
            <w:r>
              <w:rPr>
                <w:rFonts w:ascii="Times New Roman" w:hAnsi="Times New Roman" w:cs="Times New Roman"/>
                <w:bCs/>
              </w:rPr>
              <w:t xml:space="preserve">filières </w:t>
            </w:r>
            <w:r w:rsidRPr="008B71B5">
              <w:rPr>
                <w:rFonts w:ascii="Times New Roman" w:hAnsi="Times New Roman" w:cs="Times New Roman"/>
                <w:bCs/>
              </w:rPr>
              <w:t xml:space="preserve"> dans l’agroalimentaire développées avec l’appui du programme</w:t>
            </w:r>
          </w:p>
          <w:p w14:paraId="5D3156E9" w14:textId="77777777" w:rsidR="00DD583B" w:rsidRDefault="00DD583B" w:rsidP="005D2A90">
            <w:pPr>
              <w:widowControl w:val="0"/>
              <w:snapToGrid w:val="0"/>
              <w:rPr>
                <w:rFonts w:ascii="Times New Roman" w:hAnsi="Times New Roman" w:cs="Times New Roman"/>
                <w:bCs/>
              </w:rPr>
            </w:pPr>
          </w:p>
          <w:p w14:paraId="48E013DE" w14:textId="77777777" w:rsidR="00DD583B" w:rsidRDefault="00DD583B" w:rsidP="005D2A90">
            <w:pPr>
              <w:widowControl w:val="0"/>
              <w:snapToGrid w:val="0"/>
              <w:rPr>
                <w:rFonts w:ascii="Times New Roman" w:hAnsi="Times New Roman" w:cs="Times New Roman"/>
                <w:bCs/>
              </w:rPr>
            </w:pPr>
            <w:r>
              <w:rPr>
                <w:rFonts w:ascii="Times New Roman" w:hAnsi="Times New Roman" w:cs="Times New Roman"/>
                <w:bCs/>
              </w:rPr>
              <w:t>Base : 4</w:t>
            </w:r>
          </w:p>
          <w:p w14:paraId="576702B7"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17</w:t>
            </w:r>
          </w:p>
          <w:p w14:paraId="25E002DE" w14:textId="77777777" w:rsidR="00DD583B" w:rsidRPr="00E44CE6" w:rsidRDefault="00DD583B" w:rsidP="005D2A90">
            <w:pPr>
              <w:widowControl w:val="0"/>
              <w:snapToGrid w:val="0"/>
              <w:rPr>
                <w:rFonts w:ascii="Times New Roman" w:hAnsi="Times New Roman" w:cs="Times New Roman"/>
                <w:bCs/>
                <w:lang w:val="fr-FR"/>
              </w:rPr>
            </w:pPr>
          </w:p>
          <w:p w14:paraId="1DDAD711" w14:textId="77777777" w:rsidR="00DD583B" w:rsidRPr="00A4071B" w:rsidRDefault="00DD583B" w:rsidP="005D2A90">
            <w:pPr>
              <w:rPr>
                <w:rFonts w:ascii="Times New Roman" w:hAnsi="Times New Roman" w:cs="Times New Roman"/>
                <w:lang w:val="fr-FR"/>
              </w:rPr>
            </w:pPr>
            <w:r>
              <w:rPr>
                <w:rFonts w:ascii="Times New Roman" w:hAnsi="Times New Roman" w:cs="Times New Roman"/>
                <w:bCs/>
              </w:rPr>
              <w:t>Cible :  20</w:t>
            </w:r>
          </w:p>
        </w:tc>
        <w:tc>
          <w:tcPr>
            <w:tcW w:w="3622" w:type="dxa"/>
            <w:vAlign w:val="center"/>
          </w:tcPr>
          <w:p w14:paraId="6F796789"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 xml:space="preserve">Mode de calcul : Dénombrement </w:t>
            </w:r>
            <w:r w:rsidRPr="008B71B5">
              <w:rPr>
                <w:rFonts w:ascii="Times New Roman" w:hAnsi="Times New Roman" w:cs="Times New Roman"/>
                <w:bCs/>
              </w:rPr>
              <w:t>chaînes de valeur dans l’agroalimentaire développées avec l’appui du programme</w:t>
            </w:r>
          </w:p>
          <w:p w14:paraId="1F85F419"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Sources de données</w:t>
            </w:r>
            <w:r>
              <w:rPr>
                <w:rFonts w:ascii="Times New Roman" w:hAnsi="Times New Roman" w:cs="Times New Roman"/>
              </w:rPr>
              <w:t>/Moyens de vérification</w:t>
            </w:r>
            <w:r w:rsidRPr="008B71B5">
              <w:rPr>
                <w:rFonts w:ascii="Times New Roman" w:hAnsi="Times New Roman" w:cs="Times New Roman"/>
              </w:rPr>
              <w:t>: Données SNU en rapport avec Effet 5</w:t>
            </w:r>
          </w:p>
          <w:p w14:paraId="70F22A56"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w:t>
            </w:r>
          </w:p>
          <w:p w14:paraId="154F1B7B" w14:textId="77777777" w:rsidR="00DD583B" w:rsidRPr="00A4071B" w:rsidRDefault="00DD583B" w:rsidP="005D2A90">
            <w:pPr>
              <w:pStyle w:val="Paragraphedeliste"/>
              <w:numPr>
                <w:ilvl w:val="0"/>
                <w:numId w:val="15"/>
              </w:numPr>
              <w:rPr>
                <w:lang w:val="fr-FR"/>
              </w:rPr>
            </w:pPr>
            <w:r w:rsidRPr="008B71B5">
              <w:rPr>
                <w:rFonts w:ascii="Times New Roman" w:hAnsi="Times New Roman" w:cs="Times New Roman"/>
              </w:rPr>
              <w:t>Maître d’œuvre : Groupe de Résultat</w:t>
            </w:r>
          </w:p>
        </w:tc>
        <w:tc>
          <w:tcPr>
            <w:tcW w:w="3136" w:type="dxa"/>
            <w:vMerge/>
          </w:tcPr>
          <w:p w14:paraId="16DE0970" w14:textId="77777777" w:rsidR="00DD583B" w:rsidRPr="00A4071B" w:rsidRDefault="00DD583B" w:rsidP="005D2A90">
            <w:pPr>
              <w:rPr>
                <w:lang w:val="fr-FR"/>
              </w:rPr>
            </w:pPr>
          </w:p>
        </w:tc>
        <w:tc>
          <w:tcPr>
            <w:tcW w:w="1936" w:type="dxa"/>
            <w:vMerge/>
          </w:tcPr>
          <w:p w14:paraId="5F1CD9AA" w14:textId="77777777" w:rsidR="00DD583B" w:rsidRPr="00A4071B" w:rsidRDefault="00DD583B" w:rsidP="005D2A90">
            <w:pPr>
              <w:rPr>
                <w:lang w:val="fr-FR"/>
              </w:rPr>
            </w:pPr>
          </w:p>
        </w:tc>
        <w:tc>
          <w:tcPr>
            <w:tcW w:w="1248" w:type="dxa"/>
            <w:vMerge/>
          </w:tcPr>
          <w:p w14:paraId="70D72FA3" w14:textId="77777777" w:rsidR="00DD583B" w:rsidRPr="00A4071B" w:rsidRDefault="00DD583B" w:rsidP="005D2A90">
            <w:pPr>
              <w:rPr>
                <w:lang w:val="fr-FR"/>
              </w:rPr>
            </w:pPr>
          </w:p>
        </w:tc>
      </w:tr>
      <w:tr w:rsidR="00DD583B" w:rsidRPr="00A4071B" w14:paraId="2201EF4E" w14:textId="77777777" w:rsidTr="005D2A90">
        <w:tc>
          <w:tcPr>
            <w:tcW w:w="2507" w:type="dxa"/>
            <w:vMerge w:val="restart"/>
            <w:shd w:val="clear" w:color="auto" w:fill="DBE5F1" w:themeFill="accent1" w:themeFillTint="33"/>
            <w:vAlign w:val="center"/>
          </w:tcPr>
          <w:p w14:paraId="0CBE43BB" w14:textId="77777777" w:rsidR="00DD583B" w:rsidRPr="00A4071B" w:rsidRDefault="00DD583B" w:rsidP="005D2A90">
            <w:pPr>
              <w:rPr>
                <w:lang w:val="fr-FR"/>
              </w:rPr>
            </w:pPr>
            <w:r w:rsidRPr="008B71B5">
              <w:rPr>
                <w:rFonts w:ascii="Times New Roman" w:hAnsi="Times New Roman" w:cs="Times New Roman"/>
                <w:bCs/>
              </w:rPr>
              <w:t>Produit 5.3 : La mise en œuvre des politiques nationales de création d’emplois et d’entreprenariat féminin favorise une meilleure insertion socio-économique des jeunes et des femmes</w:t>
            </w:r>
          </w:p>
        </w:tc>
        <w:tc>
          <w:tcPr>
            <w:tcW w:w="2719" w:type="dxa"/>
            <w:vAlign w:val="center"/>
          </w:tcPr>
          <w:p w14:paraId="7A3901A5" w14:textId="77777777" w:rsidR="00DD583B" w:rsidRDefault="00DD583B" w:rsidP="005D2A90">
            <w:pPr>
              <w:rPr>
                <w:rFonts w:ascii="Times New Roman" w:hAnsi="Times New Roman" w:cs="Times New Roman"/>
                <w:bCs/>
              </w:rPr>
            </w:pPr>
            <w:r w:rsidRPr="008B71B5">
              <w:rPr>
                <w:rFonts w:ascii="Times New Roman" w:hAnsi="Times New Roman" w:cs="Times New Roman"/>
                <w:bCs/>
              </w:rPr>
              <w:t>Indicateur 5.3.1 Nombre d’emplois générés pour les jeunes et les femmes dans les zones affectées par la crise, suite à l’appui du programme</w:t>
            </w:r>
          </w:p>
          <w:p w14:paraId="7801174A" w14:textId="77777777" w:rsidR="00DD583B" w:rsidRDefault="00DD583B" w:rsidP="005D2A90">
            <w:pPr>
              <w:widowControl w:val="0"/>
              <w:snapToGrid w:val="0"/>
              <w:rPr>
                <w:rFonts w:ascii="Times New Roman" w:hAnsi="Times New Roman" w:cs="Times New Roman"/>
                <w:bCs/>
              </w:rPr>
            </w:pPr>
          </w:p>
          <w:p w14:paraId="5CE777EE" w14:textId="77777777" w:rsidR="00DD583B" w:rsidRDefault="00DD583B" w:rsidP="005D2A90">
            <w:pPr>
              <w:widowControl w:val="0"/>
              <w:snapToGrid w:val="0"/>
              <w:spacing w:before="240"/>
              <w:rPr>
                <w:rFonts w:ascii="Times New Roman" w:hAnsi="Times New Roman" w:cs="Times New Roman"/>
                <w:bCs/>
              </w:rPr>
            </w:pPr>
            <w:r>
              <w:rPr>
                <w:rFonts w:ascii="Times New Roman" w:hAnsi="Times New Roman" w:cs="Times New Roman"/>
                <w:bCs/>
              </w:rPr>
              <w:t>Base : 0</w:t>
            </w:r>
          </w:p>
          <w:p w14:paraId="36F0BDA7" w14:textId="77777777" w:rsidR="00DD583B" w:rsidRPr="00B85B17"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sidRPr="00B85B17">
              <w:rPr>
                <w:rFonts w:ascii="Calibri" w:hAnsi="Calibri"/>
                <w:color w:val="FF0000"/>
                <w:sz w:val="18"/>
                <w:szCs w:val="18"/>
                <w:lang w:val="fr-FR"/>
              </w:rPr>
              <w:t>9211 emplois (dont 8389 femmes et 822 jeunes)</w:t>
            </w:r>
          </w:p>
          <w:p w14:paraId="4CA8817D" w14:textId="77777777" w:rsidR="00DD583B" w:rsidRPr="00A4071B" w:rsidRDefault="00DD583B" w:rsidP="005D2A90">
            <w:pPr>
              <w:rPr>
                <w:lang w:val="fr-FR"/>
              </w:rPr>
            </w:pPr>
            <w:r>
              <w:rPr>
                <w:rFonts w:ascii="Times New Roman" w:hAnsi="Times New Roman" w:cs="Times New Roman"/>
                <w:bCs/>
              </w:rPr>
              <w:t>Cible :  500</w:t>
            </w:r>
          </w:p>
        </w:tc>
        <w:tc>
          <w:tcPr>
            <w:tcW w:w="3622" w:type="dxa"/>
            <w:vAlign w:val="center"/>
          </w:tcPr>
          <w:p w14:paraId="777C7FBC"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 xml:space="preserve">Mode de calcul : Dénombrement </w:t>
            </w:r>
            <w:r w:rsidRPr="008B71B5">
              <w:rPr>
                <w:rFonts w:ascii="Times New Roman" w:hAnsi="Times New Roman" w:cs="Times New Roman"/>
                <w:bCs/>
              </w:rPr>
              <w:t xml:space="preserve"> des emplois générés pour les jeunes et les femmes dans les zones affectées par la crise, suite à l’appui du programme</w:t>
            </w:r>
          </w:p>
          <w:p w14:paraId="7E3D3BA4"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Sources de données</w:t>
            </w:r>
            <w:r>
              <w:rPr>
                <w:rFonts w:ascii="Times New Roman" w:hAnsi="Times New Roman" w:cs="Times New Roman"/>
              </w:rPr>
              <w:t>/Moyens de vérification</w:t>
            </w:r>
            <w:r w:rsidRPr="008B71B5">
              <w:rPr>
                <w:rFonts w:ascii="Times New Roman" w:hAnsi="Times New Roman" w:cs="Times New Roman"/>
              </w:rPr>
              <w:t>: Données SNU Effet 5</w:t>
            </w:r>
          </w:p>
          <w:p w14:paraId="0E25F599"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 ou moins</w:t>
            </w:r>
          </w:p>
          <w:p w14:paraId="614B9B2A" w14:textId="77777777" w:rsidR="00DD583B" w:rsidRPr="00A4071B" w:rsidRDefault="00DD583B" w:rsidP="005D2A90">
            <w:pPr>
              <w:pStyle w:val="Paragraphedeliste"/>
              <w:numPr>
                <w:ilvl w:val="0"/>
                <w:numId w:val="16"/>
              </w:numPr>
              <w:rPr>
                <w:lang w:val="fr-FR"/>
              </w:rPr>
            </w:pPr>
            <w:r w:rsidRPr="008B71B5">
              <w:rPr>
                <w:rFonts w:ascii="Times New Roman" w:hAnsi="Times New Roman" w:cs="Times New Roman"/>
              </w:rPr>
              <w:t>Maître d’œuvre : Groupe de Résultat</w:t>
            </w:r>
          </w:p>
        </w:tc>
        <w:tc>
          <w:tcPr>
            <w:tcW w:w="3136" w:type="dxa"/>
            <w:vMerge w:val="restart"/>
          </w:tcPr>
          <w:p w14:paraId="2C8C7705" w14:textId="77777777" w:rsidR="00DD583B" w:rsidRPr="008B72F6" w:rsidRDefault="00DD583B" w:rsidP="005D2A90">
            <w:pPr>
              <w:autoSpaceDE w:val="0"/>
              <w:autoSpaceDN w:val="0"/>
              <w:adjustRightInd w:val="0"/>
              <w:rPr>
                <w:rFonts w:eastAsia="MyriadPro-Light" w:cs="MyriadPro-Light"/>
                <w:color w:val="000000"/>
                <w:sz w:val="18"/>
                <w:szCs w:val="18"/>
              </w:rPr>
            </w:pPr>
            <w:r w:rsidRPr="008B72F6">
              <w:rPr>
                <w:rFonts w:eastAsia="MyriadPro-Light" w:cs="MyriadPro-Light"/>
                <w:color w:val="000000"/>
                <w:sz w:val="18"/>
                <w:szCs w:val="18"/>
              </w:rPr>
              <w:t>Déficit de données statistiques régulièrement produites et désagrégées sur le</w:t>
            </w:r>
          </w:p>
          <w:p w14:paraId="23BECFB6" w14:textId="77777777" w:rsidR="00DD583B" w:rsidRPr="008B72F6" w:rsidRDefault="00DD583B" w:rsidP="005D2A90">
            <w:pPr>
              <w:autoSpaceDE w:val="0"/>
              <w:autoSpaceDN w:val="0"/>
              <w:adjustRightInd w:val="0"/>
              <w:rPr>
                <w:rFonts w:eastAsia="MyriadPro-Light" w:cs="MyriadPro-Light"/>
                <w:color w:val="000000"/>
                <w:sz w:val="18"/>
                <w:szCs w:val="18"/>
              </w:rPr>
            </w:pPr>
            <w:r w:rsidRPr="008B72F6">
              <w:rPr>
                <w:rFonts w:eastAsia="MyriadPro-Light" w:cs="MyriadPro-Light"/>
                <w:color w:val="000000"/>
                <w:sz w:val="18"/>
                <w:szCs w:val="18"/>
              </w:rPr>
              <w:t>travail et l’emploi ;</w:t>
            </w:r>
          </w:p>
          <w:p w14:paraId="6A334B3D" w14:textId="77777777" w:rsidR="00DD583B" w:rsidRPr="008B72F6" w:rsidRDefault="00DD583B" w:rsidP="005D2A90">
            <w:pPr>
              <w:autoSpaceDE w:val="0"/>
              <w:autoSpaceDN w:val="0"/>
              <w:adjustRightInd w:val="0"/>
              <w:rPr>
                <w:rFonts w:eastAsia="MyriadPro-Light" w:cs="MyriadPro-Light"/>
                <w:color w:val="000000"/>
                <w:sz w:val="18"/>
                <w:szCs w:val="18"/>
              </w:rPr>
            </w:pPr>
            <w:r w:rsidRPr="008B72F6">
              <w:rPr>
                <w:rFonts w:eastAsia="MyriadPro-Light" w:cs="MyriadPro-Light"/>
                <w:color w:val="0064B2"/>
                <w:sz w:val="18"/>
                <w:szCs w:val="18"/>
              </w:rPr>
              <w:t xml:space="preserve">• </w:t>
            </w:r>
            <w:r w:rsidRPr="008B72F6">
              <w:rPr>
                <w:rFonts w:eastAsia="MyriadPro-Light" w:cs="MyriadPro-Light"/>
                <w:color w:val="000000"/>
                <w:sz w:val="18"/>
                <w:szCs w:val="18"/>
              </w:rPr>
              <w:t>Insuffisance de collaboration/coordination/synergie des actions des services</w:t>
            </w:r>
          </w:p>
          <w:p w14:paraId="4CDA3FFF" w14:textId="77777777" w:rsidR="00DD583B" w:rsidRPr="008B72F6" w:rsidRDefault="00DD583B" w:rsidP="005D2A90">
            <w:pPr>
              <w:autoSpaceDE w:val="0"/>
              <w:autoSpaceDN w:val="0"/>
              <w:adjustRightInd w:val="0"/>
              <w:rPr>
                <w:rFonts w:eastAsia="MyriadPro-Light" w:cs="MyriadPro-Light"/>
                <w:color w:val="000000"/>
                <w:sz w:val="18"/>
                <w:szCs w:val="18"/>
              </w:rPr>
            </w:pPr>
            <w:r w:rsidRPr="008B72F6">
              <w:rPr>
                <w:rFonts w:eastAsia="MyriadPro-Light" w:cs="MyriadPro-Light"/>
                <w:color w:val="000000"/>
                <w:sz w:val="18"/>
                <w:szCs w:val="18"/>
              </w:rPr>
              <w:t>techniques des départements en charge de l’emploi des jeunes et du travail et faible</w:t>
            </w:r>
          </w:p>
          <w:p w14:paraId="6BD5F57F" w14:textId="77777777" w:rsidR="00DD583B" w:rsidRPr="008B72F6" w:rsidRDefault="00DD583B" w:rsidP="005D2A90">
            <w:pPr>
              <w:rPr>
                <w:lang w:val="fr-FR"/>
              </w:rPr>
            </w:pPr>
            <w:r w:rsidRPr="008B72F6">
              <w:rPr>
                <w:rFonts w:eastAsia="MyriadPro-Light" w:cs="MyriadPro-Light"/>
                <w:color w:val="000000"/>
                <w:sz w:val="18"/>
                <w:szCs w:val="18"/>
              </w:rPr>
              <w:t>cohérence des différentes interventions dans le domaine de l’emploi des jeunes</w:t>
            </w:r>
          </w:p>
        </w:tc>
        <w:tc>
          <w:tcPr>
            <w:tcW w:w="1936" w:type="dxa"/>
            <w:vMerge w:val="restart"/>
          </w:tcPr>
          <w:p w14:paraId="0A37FD81" w14:textId="77777777" w:rsidR="00DD583B" w:rsidRPr="008B72F6" w:rsidRDefault="00DD583B" w:rsidP="005D2A90">
            <w:pPr>
              <w:rPr>
                <w:rFonts w:cstheme="minorHAnsi"/>
                <w:sz w:val="18"/>
                <w:szCs w:val="18"/>
                <w:lang w:val="fr-FR"/>
              </w:rPr>
            </w:pPr>
            <w:r w:rsidRPr="008B72F6">
              <w:rPr>
                <w:rFonts w:cstheme="minorHAnsi"/>
                <w:sz w:val="18"/>
                <w:szCs w:val="18"/>
              </w:rPr>
              <w:t>Gouvernement :</w:t>
            </w:r>
          </w:p>
          <w:p w14:paraId="2104F4CA" w14:textId="77777777" w:rsidR="00DD583B" w:rsidRPr="008B72F6" w:rsidRDefault="00DD583B" w:rsidP="005D2A90">
            <w:pPr>
              <w:rPr>
                <w:rFonts w:cstheme="minorHAnsi"/>
                <w:sz w:val="18"/>
                <w:szCs w:val="18"/>
                <w:lang w:val="fr-FR"/>
              </w:rPr>
            </w:pPr>
            <w:r w:rsidRPr="008B72F6">
              <w:rPr>
                <w:rFonts w:cstheme="minorHAnsi"/>
                <w:sz w:val="18"/>
                <w:szCs w:val="18"/>
              </w:rPr>
              <w:t>Encadrement technique en nombre et en qualité</w:t>
            </w:r>
          </w:p>
          <w:p w14:paraId="562FA254" w14:textId="77777777" w:rsidR="00DD583B" w:rsidRPr="008B72F6" w:rsidRDefault="00DD583B" w:rsidP="005D2A90">
            <w:pPr>
              <w:rPr>
                <w:rFonts w:cstheme="minorHAnsi"/>
                <w:sz w:val="18"/>
                <w:szCs w:val="18"/>
                <w:lang w:val="fr-FR"/>
              </w:rPr>
            </w:pPr>
            <w:r w:rsidRPr="008B72F6">
              <w:rPr>
                <w:rFonts w:cstheme="minorHAnsi"/>
                <w:sz w:val="18"/>
                <w:szCs w:val="18"/>
              </w:rPr>
              <w:t>Ressources financières</w:t>
            </w:r>
          </w:p>
          <w:p w14:paraId="7C734C26" w14:textId="77777777" w:rsidR="00DD583B" w:rsidRPr="008B72F6" w:rsidRDefault="00DD583B" w:rsidP="005D2A90">
            <w:pPr>
              <w:rPr>
                <w:rFonts w:cstheme="minorHAnsi"/>
                <w:sz w:val="18"/>
                <w:szCs w:val="18"/>
                <w:lang w:val="fr-FR"/>
              </w:rPr>
            </w:pPr>
          </w:p>
          <w:p w14:paraId="6E3D53A0" w14:textId="77777777" w:rsidR="00DD583B" w:rsidRPr="008B72F6" w:rsidRDefault="00DD583B" w:rsidP="005D2A90">
            <w:pPr>
              <w:rPr>
                <w:rFonts w:cstheme="minorHAnsi"/>
                <w:sz w:val="18"/>
                <w:szCs w:val="18"/>
                <w:lang w:val="fr-FR"/>
              </w:rPr>
            </w:pPr>
            <w:r w:rsidRPr="008B72F6">
              <w:rPr>
                <w:rFonts w:cstheme="minorHAnsi"/>
                <w:sz w:val="18"/>
                <w:szCs w:val="18"/>
              </w:rPr>
              <w:t>Supervision</w:t>
            </w:r>
          </w:p>
          <w:p w14:paraId="41BE0AD9" w14:textId="77777777" w:rsidR="00DD583B" w:rsidRPr="008B72F6" w:rsidRDefault="00DD583B" w:rsidP="005D2A90">
            <w:pPr>
              <w:rPr>
                <w:lang w:val="fr-FR"/>
              </w:rPr>
            </w:pPr>
            <w:r w:rsidRPr="008B72F6">
              <w:rPr>
                <w:rFonts w:cstheme="minorHAnsi"/>
                <w:sz w:val="18"/>
                <w:szCs w:val="18"/>
              </w:rPr>
              <w:t xml:space="preserve">PTFs; Assistante technique et financière dans le cadre de la Coopération bilatérale et multilatérale </w:t>
            </w:r>
          </w:p>
        </w:tc>
        <w:tc>
          <w:tcPr>
            <w:tcW w:w="1248" w:type="dxa"/>
            <w:vMerge w:val="restart"/>
          </w:tcPr>
          <w:p w14:paraId="32B30C10" w14:textId="77777777" w:rsidR="00DD583B" w:rsidRPr="00A4071B" w:rsidRDefault="00DD583B" w:rsidP="005D2A90">
            <w:pPr>
              <w:rPr>
                <w:lang w:val="fr-FR"/>
              </w:rPr>
            </w:pPr>
          </w:p>
          <w:p w14:paraId="19E28480" w14:textId="77777777" w:rsidR="00DD583B" w:rsidRPr="00A4071B" w:rsidRDefault="00DD583B" w:rsidP="005D2A90">
            <w:pPr>
              <w:rPr>
                <w:lang w:val="fr-FR"/>
              </w:rPr>
            </w:pPr>
          </w:p>
        </w:tc>
      </w:tr>
      <w:tr w:rsidR="00DD583B" w:rsidRPr="00A4071B" w14:paraId="66637E6F" w14:textId="77777777" w:rsidTr="005D2A90">
        <w:tc>
          <w:tcPr>
            <w:tcW w:w="2507" w:type="dxa"/>
            <w:vMerge/>
            <w:shd w:val="clear" w:color="auto" w:fill="DBE5F1" w:themeFill="accent1" w:themeFillTint="33"/>
            <w:vAlign w:val="center"/>
          </w:tcPr>
          <w:p w14:paraId="3F463DC8" w14:textId="77777777" w:rsidR="00DD583B" w:rsidRPr="00A4071B" w:rsidRDefault="00DD583B" w:rsidP="005D2A90">
            <w:pPr>
              <w:rPr>
                <w:lang w:val="fr-FR"/>
              </w:rPr>
            </w:pPr>
          </w:p>
        </w:tc>
        <w:tc>
          <w:tcPr>
            <w:tcW w:w="2719" w:type="dxa"/>
            <w:vAlign w:val="center"/>
          </w:tcPr>
          <w:p w14:paraId="04BCEF36" w14:textId="77777777" w:rsidR="00DD583B" w:rsidRDefault="00DD583B" w:rsidP="005D2A90">
            <w:pPr>
              <w:rPr>
                <w:rFonts w:ascii="Times New Roman" w:hAnsi="Times New Roman" w:cs="Times New Roman"/>
                <w:bCs/>
              </w:rPr>
            </w:pPr>
            <w:r w:rsidRPr="008B71B5">
              <w:rPr>
                <w:rFonts w:ascii="Times New Roman" w:hAnsi="Times New Roman" w:cs="Times New Roman"/>
                <w:bCs/>
              </w:rPr>
              <w:t xml:space="preserve">Indicateur 5.3.2 Nombre de femmes et de jeunes ayant bénéficié de l’appui financier </w:t>
            </w:r>
            <w:r w:rsidRPr="008B71B5">
              <w:rPr>
                <w:rFonts w:ascii="Times New Roman" w:hAnsi="Times New Roman" w:cs="Times New Roman"/>
                <w:bCs/>
              </w:rPr>
              <w:lastRenderedPageBreak/>
              <w:t>des Structures de financements décentralisés (SFD), suite à l’assistance du programme</w:t>
            </w:r>
          </w:p>
          <w:p w14:paraId="5F319E04" w14:textId="77777777" w:rsidR="00DD583B" w:rsidRDefault="00DD583B" w:rsidP="005D2A90">
            <w:pPr>
              <w:widowControl w:val="0"/>
              <w:snapToGrid w:val="0"/>
              <w:rPr>
                <w:rFonts w:ascii="Times New Roman" w:hAnsi="Times New Roman" w:cs="Times New Roman"/>
                <w:bCs/>
              </w:rPr>
            </w:pPr>
          </w:p>
          <w:p w14:paraId="0D87F086" w14:textId="77777777" w:rsidR="00DD583B" w:rsidRDefault="00DD583B" w:rsidP="005D2A90">
            <w:pPr>
              <w:widowControl w:val="0"/>
              <w:snapToGrid w:val="0"/>
              <w:rPr>
                <w:rFonts w:ascii="Times New Roman" w:hAnsi="Times New Roman" w:cs="Times New Roman"/>
                <w:bCs/>
              </w:rPr>
            </w:pPr>
            <w:r>
              <w:rPr>
                <w:rFonts w:ascii="Times New Roman" w:hAnsi="Times New Roman" w:cs="Times New Roman"/>
                <w:bCs/>
              </w:rPr>
              <w:t>Base : 0</w:t>
            </w:r>
          </w:p>
          <w:p w14:paraId="3322FBD4"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sidRPr="006D145D">
              <w:rPr>
                <w:rFonts w:ascii="Calibri" w:hAnsi="Calibri"/>
                <w:color w:val="FF0000"/>
                <w:sz w:val="18"/>
                <w:szCs w:val="18"/>
                <w:lang w:val="fr-FR"/>
              </w:rPr>
              <w:t>5731 femmes (mutuelles, banques de céréales,warrantage)</w:t>
            </w:r>
          </w:p>
          <w:p w14:paraId="6023C1DD" w14:textId="77777777" w:rsidR="00DD583B" w:rsidRPr="00E44CE6" w:rsidRDefault="00DD583B" w:rsidP="005D2A90">
            <w:pPr>
              <w:widowControl w:val="0"/>
              <w:snapToGrid w:val="0"/>
              <w:rPr>
                <w:rFonts w:ascii="Times New Roman" w:hAnsi="Times New Roman" w:cs="Times New Roman"/>
                <w:bCs/>
                <w:lang w:val="fr-FR"/>
              </w:rPr>
            </w:pPr>
          </w:p>
          <w:p w14:paraId="56D130EC" w14:textId="77777777" w:rsidR="00DD583B" w:rsidRPr="00A4071B" w:rsidRDefault="00DD583B" w:rsidP="005D2A90">
            <w:pPr>
              <w:rPr>
                <w:lang w:val="fr-FR"/>
              </w:rPr>
            </w:pPr>
            <w:r>
              <w:rPr>
                <w:rFonts w:ascii="Times New Roman" w:hAnsi="Times New Roman" w:cs="Times New Roman"/>
                <w:bCs/>
              </w:rPr>
              <w:t>Cible :  12000</w:t>
            </w:r>
          </w:p>
        </w:tc>
        <w:tc>
          <w:tcPr>
            <w:tcW w:w="3622" w:type="dxa"/>
            <w:vAlign w:val="center"/>
          </w:tcPr>
          <w:p w14:paraId="324EAE51"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lastRenderedPageBreak/>
              <w:t xml:space="preserve">Mode de calcul : Dénombrement des </w:t>
            </w:r>
            <w:r w:rsidRPr="008B71B5">
              <w:rPr>
                <w:rFonts w:ascii="Times New Roman" w:hAnsi="Times New Roman" w:cs="Times New Roman"/>
                <w:bCs/>
              </w:rPr>
              <w:t xml:space="preserve"> femmes et des jeunes ayant bénéficié de l’appui financier des Structures de </w:t>
            </w:r>
            <w:r w:rsidRPr="008B71B5">
              <w:rPr>
                <w:rFonts w:ascii="Times New Roman" w:hAnsi="Times New Roman" w:cs="Times New Roman"/>
                <w:bCs/>
              </w:rPr>
              <w:lastRenderedPageBreak/>
              <w:t>financements décentralisés (SFD), suite à l’assistance du programme</w:t>
            </w:r>
          </w:p>
          <w:p w14:paraId="0F823870"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Sources de données</w:t>
            </w:r>
            <w:r>
              <w:rPr>
                <w:rFonts w:ascii="Times New Roman" w:hAnsi="Times New Roman" w:cs="Times New Roman"/>
              </w:rPr>
              <w:t>/Moyens de vérification</w:t>
            </w:r>
            <w:r w:rsidRPr="008B71B5">
              <w:rPr>
                <w:rFonts w:ascii="Times New Roman" w:hAnsi="Times New Roman" w:cs="Times New Roman"/>
              </w:rPr>
              <w:t>: Données SNU/Effet 5</w:t>
            </w:r>
          </w:p>
          <w:p w14:paraId="11BBE074"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 ou moins</w:t>
            </w:r>
          </w:p>
          <w:p w14:paraId="6F9E8BB8" w14:textId="77777777" w:rsidR="00DD583B" w:rsidRPr="00A4071B" w:rsidRDefault="00DD583B" w:rsidP="005D2A90">
            <w:pPr>
              <w:pStyle w:val="Paragraphedeliste"/>
              <w:numPr>
                <w:ilvl w:val="0"/>
                <w:numId w:val="16"/>
              </w:numPr>
              <w:ind w:left="357" w:hanging="357"/>
              <w:rPr>
                <w:lang w:val="fr-FR"/>
              </w:rPr>
            </w:pPr>
            <w:r w:rsidRPr="008B71B5">
              <w:rPr>
                <w:rFonts w:ascii="Times New Roman" w:hAnsi="Times New Roman" w:cs="Times New Roman"/>
              </w:rPr>
              <w:t>Maître d’œuvre : Groupe de Résultat</w:t>
            </w:r>
          </w:p>
        </w:tc>
        <w:tc>
          <w:tcPr>
            <w:tcW w:w="3136" w:type="dxa"/>
            <w:vMerge/>
          </w:tcPr>
          <w:p w14:paraId="3062F9EC" w14:textId="77777777" w:rsidR="00DD583B" w:rsidRPr="008B72F6" w:rsidRDefault="00DD583B" w:rsidP="005D2A90">
            <w:pPr>
              <w:rPr>
                <w:lang w:val="fr-FR"/>
              </w:rPr>
            </w:pPr>
          </w:p>
        </w:tc>
        <w:tc>
          <w:tcPr>
            <w:tcW w:w="1936" w:type="dxa"/>
            <w:vMerge/>
          </w:tcPr>
          <w:p w14:paraId="601A91BF" w14:textId="77777777" w:rsidR="00DD583B" w:rsidRPr="008B72F6" w:rsidRDefault="00DD583B" w:rsidP="005D2A90">
            <w:pPr>
              <w:rPr>
                <w:lang w:val="fr-FR"/>
              </w:rPr>
            </w:pPr>
          </w:p>
        </w:tc>
        <w:tc>
          <w:tcPr>
            <w:tcW w:w="1248" w:type="dxa"/>
            <w:vMerge/>
          </w:tcPr>
          <w:p w14:paraId="7656435F" w14:textId="77777777" w:rsidR="00DD583B" w:rsidRPr="00A4071B" w:rsidRDefault="00DD583B" w:rsidP="005D2A90">
            <w:pPr>
              <w:rPr>
                <w:lang w:val="fr-FR"/>
              </w:rPr>
            </w:pPr>
          </w:p>
        </w:tc>
      </w:tr>
      <w:tr w:rsidR="00DD583B" w:rsidRPr="00A4071B" w14:paraId="72262C25" w14:textId="77777777" w:rsidTr="005D2A90">
        <w:tc>
          <w:tcPr>
            <w:tcW w:w="2507" w:type="dxa"/>
            <w:vMerge w:val="restart"/>
            <w:shd w:val="clear" w:color="auto" w:fill="DBE5F1" w:themeFill="accent1" w:themeFillTint="33"/>
            <w:vAlign w:val="center"/>
          </w:tcPr>
          <w:p w14:paraId="11F649F5" w14:textId="77777777" w:rsidR="00DD583B" w:rsidRPr="00A4071B" w:rsidRDefault="00DD583B" w:rsidP="005D2A90">
            <w:pPr>
              <w:rPr>
                <w:lang w:val="fr-FR"/>
              </w:rPr>
            </w:pPr>
            <w:r w:rsidRPr="008B71B5">
              <w:rPr>
                <w:rFonts w:ascii="Times New Roman" w:hAnsi="Times New Roman" w:cs="Times New Roman"/>
                <w:bCs/>
              </w:rPr>
              <w:t>Produit 5.4 : Les populations vulnérables bénéficient d’un meilleur cadre de vie à travers un accès durable à l’eau et un assainissement adéquat</w:t>
            </w:r>
          </w:p>
        </w:tc>
        <w:tc>
          <w:tcPr>
            <w:tcW w:w="2719" w:type="dxa"/>
            <w:vAlign w:val="center"/>
          </w:tcPr>
          <w:p w14:paraId="3080097B" w14:textId="77777777" w:rsidR="00DD583B" w:rsidRPr="00ED0EB9" w:rsidRDefault="00DD583B" w:rsidP="005D2A90">
            <w:pPr>
              <w:rPr>
                <w:rFonts w:ascii="Times New Roman" w:hAnsi="Times New Roman" w:cs="Times New Roman"/>
                <w:bCs/>
                <w:lang w:val="fr-FR"/>
              </w:rPr>
            </w:pPr>
            <w:r w:rsidRPr="008B71B5">
              <w:rPr>
                <w:rFonts w:ascii="Times New Roman" w:hAnsi="Times New Roman" w:cs="Times New Roman"/>
                <w:bCs/>
              </w:rPr>
              <w:t xml:space="preserve">Indicateur 5.4.1 </w:t>
            </w:r>
            <w:r w:rsidRPr="00ED0EB9">
              <w:rPr>
                <w:rFonts w:ascii="Times New Roman" w:hAnsi="Times New Roman" w:cs="Times New Roman"/>
                <w:bCs/>
              </w:rPr>
              <w:t>Nombre de personnes beneficiant d'un acces a une source d'eau ameliorée</w:t>
            </w:r>
          </w:p>
          <w:p w14:paraId="3AF8867B" w14:textId="77777777" w:rsidR="00DD583B" w:rsidRDefault="00DD583B" w:rsidP="005D2A90">
            <w:pPr>
              <w:widowControl w:val="0"/>
              <w:snapToGrid w:val="0"/>
              <w:rPr>
                <w:rFonts w:ascii="Times New Roman" w:hAnsi="Times New Roman" w:cs="Times New Roman"/>
                <w:bCs/>
              </w:rPr>
            </w:pPr>
          </w:p>
          <w:p w14:paraId="6B4BEB81" w14:textId="77777777" w:rsidR="00DD583B" w:rsidRDefault="00DD583B" w:rsidP="005D2A90">
            <w:pPr>
              <w:widowControl w:val="0"/>
              <w:snapToGrid w:val="0"/>
              <w:rPr>
                <w:rFonts w:ascii="Times New Roman" w:hAnsi="Times New Roman" w:cs="Times New Roman"/>
                <w:bCs/>
              </w:rPr>
            </w:pPr>
            <w:r>
              <w:rPr>
                <w:rFonts w:ascii="Times New Roman" w:hAnsi="Times New Roman" w:cs="Times New Roman"/>
                <w:bCs/>
              </w:rPr>
              <w:t xml:space="preserve">Base : </w:t>
            </w:r>
            <w:r w:rsidRPr="00FD0B21">
              <w:rPr>
                <w:rFonts w:ascii="Calibri" w:hAnsi="Calibri"/>
                <w:color w:val="FF0000"/>
                <w:sz w:val="18"/>
                <w:szCs w:val="18"/>
              </w:rPr>
              <w:t>494</w:t>
            </w:r>
            <w:r>
              <w:rPr>
                <w:rFonts w:ascii="Calibri" w:hAnsi="Calibri"/>
                <w:color w:val="FF0000"/>
                <w:sz w:val="18"/>
                <w:szCs w:val="18"/>
              </w:rPr>
              <w:t>,</w:t>
            </w:r>
            <w:r w:rsidRPr="00FD0B21">
              <w:rPr>
                <w:rFonts w:ascii="Calibri" w:hAnsi="Calibri"/>
                <w:color w:val="FF0000"/>
                <w:sz w:val="18"/>
                <w:szCs w:val="18"/>
              </w:rPr>
              <w:t>192</w:t>
            </w:r>
            <w:r>
              <w:rPr>
                <w:rFonts w:ascii="Calibri" w:hAnsi="Calibri"/>
                <w:color w:val="FF0000"/>
                <w:sz w:val="18"/>
                <w:szCs w:val="18"/>
              </w:rPr>
              <w:t xml:space="preserve">  (2017)</w:t>
            </w:r>
          </w:p>
          <w:p w14:paraId="5A96B75C" w14:textId="77777777" w:rsidR="00DD583B" w:rsidRDefault="00DD583B" w:rsidP="005D2A90">
            <w:pPr>
              <w:widowControl w:val="0"/>
              <w:snapToGrid w:val="0"/>
              <w:rPr>
                <w:rFonts w:ascii="Times New Roman" w:hAnsi="Times New Roman" w:cs="Times New Roman"/>
                <w:bCs/>
              </w:rPr>
            </w:pPr>
          </w:p>
          <w:p w14:paraId="63053C3B" w14:textId="77777777" w:rsidR="00DD583B" w:rsidRPr="00CE2384" w:rsidRDefault="00DD583B" w:rsidP="005D2A90">
            <w:pPr>
              <w:widowControl w:val="0"/>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sidRPr="00FD0B21">
              <w:rPr>
                <w:rFonts w:ascii="Calibri" w:hAnsi="Calibri"/>
                <w:color w:val="FF0000"/>
                <w:sz w:val="18"/>
                <w:szCs w:val="18"/>
              </w:rPr>
              <w:t>494</w:t>
            </w:r>
            <w:r>
              <w:rPr>
                <w:rFonts w:ascii="Calibri" w:hAnsi="Calibri"/>
                <w:color w:val="FF0000"/>
                <w:sz w:val="18"/>
                <w:szCs w:val="18"/>
              </w:rPr>
              <w:t>,</w:t>
            </w:r>
            <w:r w:rsidRPr="00FD0B21">
              <w:rPr>
                <w:rFonts w:ascii="Calibri" w:hAnsi="Calibri"/>
                <w:color w:val="FF0000"/>
                <w:sz w:val="18"/>
                <w:szCs w:val="18"/>
              </w:rPr>
              <w:t>192 (307</w:t>
            </w:r>
            <w:r>
              <w:rPr>
                <w:rFonts w:ascii="Calibri" w:hAnsi="Calibri"/>
                <w:color w:val="FF0000"/>
                <w:sz w:val="18"/>
                <w:szCs w:val="18"/>
              </w:rPr>
              <w:t>,</w:t>
            </w:r>
            <w:r w:rsidRPr="00FD0B21">
              <w:rPr>
                <w:rFonts w:ascii="Calibri" w:hAnsi="Calibri"/>
                <w:color w:val="FF0000"/>
                <w:sz w:val="18"/>
                <w:szCs w:val="18"/>
              </w:rPr>
              <w:t>392 en situation humanitaire et 180</w:t>
            </w:r>
            <w:r>
              <w:rPr>
                <w:rFonts w:ascii="Calibri" w:hAnsi="Calibri"/>
                <w:color w:val="FF0000"/>
                <w:sz w:val="18"/>
                <w:szCs w:val="18"/>
              </w:rPr>
              <w:t>,</w:t>
            </w:r>
            <w:r w:rsidRPr="00FD0B21">
              <w:rPr>
                <w:rFonts w:ascii="Calibri" w:hAnsi="Calibri"/>
                <w:color w:val="FF0000"/>
                <w:sz w:val="18"/>
                <w:szCs w:val="18"/>
              </w:rPr>
              <w:t>336 enfants)</w:t>
            </w:r>
          </w:p>
          <w:p w14:paraId="5AE48E48" w14:textId="77777777" w:rsidR="00DD583B" w:rsidRDefault="00DD583B" w:rsidP="005D2A90">
            <w:pPr>
              <w:widowControl w:val="0"/>
              <w:snapToGrid w:val="0"/>
              <w:rPr>
                <w:rFonts w:ascii="Times New Roman" w:hAnsi="Times New Roman" w:cs="Times New Roman"/>
                <w:bCs/>
              </w:rPr>
            </w:pPr>
          </w:p>
          <w:p w14:paraId="0D333ABF" w14:textId="77777777" w:rsidR="00DD583B" w:rsidRDefault="00DD583B" w:rsidP="005D2A90">
            <w:pPr>
              <w:rPr>
                <w:rFonts w:ascii="Times New Roman" w:hAnsi="Times New Roman" w:cs="Times New Roman"/>
                <w:bCs/>
              </w:rPr>
            </w:pPr>
            <w:r>
              <w:rPr>
                <w:rFonts w:ascii="Times New Roman" w:hAnsi="Times New Roman" w:cs="Times New Roman"/>
                <w:bCs/>
              </w:rPr>
              <w:t>Cible  :  800,000 (dont 500,000 en situation humanitaire)</w:t>
            </w:r>
            <w:r w:rsidRPr="008B71B5">
              <w:rPr>
                <w:rFonts w:ascii="Times New Roman" w:hAnsi="Times New Roman" w:cs="Times New Roman"/>
                <w:bCs/>
              </w:rPr>
              <w:t xml:space="preserve"> </w:t>
            </w:r>
          </w:p>
          <w:p w14:paraId="01617C05" w14:textId="77777777" w:rsidR="00DD583B" w:rsidRDefault="00DD583B" w:rsidP="005D2A90">
            <w:pPr>
              <w:rPr>
                <w:rFonts w:ascii="Times New Roman" w:hAnsi="Times New Roman" w:cs="Times New Roman"/>
                <w:bCs/>
              </w:rPr>
            </w:pPr>
          </w:p>
          <w:p w14:paraId="13DF7C00" w14:textId="77777777" w:rsidR="00DD583B" w:rsidRDefault="00DD583B" w:rsidP="005D2A90">
            <w:pPr>
              <w:rPr>
                <w:rFonts w:ascii="Times New Roman" w:hAnsi="Times New Roman" w:cs="Times New Roman"/>
                <w:bCs/>
              </w:rPr>
            </w:pPr>
          </w:p>
        </w:tc>
        <w:tc>
          <w:tcPr>
            <w:tcW w:w="3622" w:type="dxa"/>
            <w:vAlign w:val="center"/>
          </w:tcPr>
          <w:p w14:paraId="7FA4B79B"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 xml:space="preserve">Mode de calcul : </w:t>
            </w:r>
            <w:r>
              <w:rPr>
                <w:rFonts w:ascii="Times New Roman" w:hAnsi="Times New Roman" w:cs="Times New Roman"/>
              </w:rPr>
              <w:t xml:space="preserve">Somme totale  des </w:t>
            </w:r>
            <w:r w:rsidRPr="008B71B5">
              <w:rPr>
                <w:rFonts w:ascii="Times New Roman" w:hAnsi="Times New Roman" w:cs="Times New Roman"/>
              </w:rPr>
              <w:t xml:space="preserve">personnes </w:t>
            </w:r>
            <w:r w:rsidRPr="008B71B5">
              <w:rPr>
                <w:rFonts w:ascii="Times New Roman" w:hAnsi="Times New Roman" w:cs="Times New Roman"/>
                <w:bCs/>
              </w:rPr>
              <w:t xml:space="preserve">ayant accès à une source d’eau améliorée, suite à l’appui du programme, (désagrégation </w:t>
            </w:r>
            <w:r>
              <w:rPr>
                <w:rFonts w:ascii="Times New Roman" w:hAnsi="Times New Roman" w:cs="Times New Roman"/>
                <w:bCs/>
              </w:rPr>
              <w:t xml:space="preserve">en situation humanitaire et enfant) </w:t>
            </w:r>
          </w:p>
          <w:p w14:paraId="6D24B612"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Sources de données</w:t>
            </w:r>
            <w:r>
              <w:rPr>
                <w:rFonts w:ascii="Times New Roman" w:hAnsi="Times New Roman" w:cs="Times New Roman"/>
              </w:rPr>
              <w:t>/Moyens de vérification</w:t>
            </w:r>
            <w:r w:rsidRPr="008B71B5">
              <w:rPr>
                <w:rFonts w:ascii="Times New Roman" w:hAnsi="Times New Roman" w:cs="Times New Roman"/>
              </w:rPr>
              <w:t xml:space="preserve">: </w:t>
            </w:r>
            <w:r>
              <w:rPr>
                <w:rFonts w:ascii="Times New Roman" w:hAnsi="Times New Roman" w:cs="Times New Roman"/>
              </w:rPr>
              <w:t xml:space="preserve">Donnees SNU/Effet5, (Rapports annuel UNICEF), </w:t>
            </w:r>
            <w:r w:rsidRPr="008B71B5">
              <w:rPr>
                <w:rFonts w:ascii="Times New Roman" w:hAnsi="Times New Roman" w:cs="Times New Roman"/>
              </w:rPr>
              <w:t>Données nationales</w:t>
            </w:r>
          </w:p>
          <w:p w14:paraId="3469C368"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w:t>
            </w:r>
          </w:p>
          <w:p w14:paraId="587A31CA" w14:textId="77777777" w:rsidR="00DD583B" w:rsidRPr="00A4071B" w:rsidRDefault="00DD583B" w:rsidP="005D2A90">
            <w:pPr>
              <w:pStyle w:val="Paragraphedeliste"/>
              <w:numPr>
                <w:ilvl w:val="0"/>
                <w:numId w:val="16"/>
              </w:numPr>
              <w:ind w:left="357" w:hanging="357"/>
              <w:rPr>
                <w:lang w:val="fr-FR"/>
              </w:rPr>
            </w:pPr>
            <w:r w:rsidRPr="008B71B5">
              <w:rPr>
                <w:rFonts w:ascii="Times New Roman" w:hAnsi="Times New Roman" w:cs="Times New Roman"/>
              </w:rPr>
              <w:t>Maître d’œuvre : Groupe de Résultat, en rapport avec l’Appareil statistique national</w:t>
            </w:r>
          </w:p>
        </w:tc>
        <w:tc>
          <w:tcPr>
            <w:tcW w:w="3136" w:type="dxa"/>
            <w:vMerge w:val="restart"/>
          </w:tcPr>
          <w:p w14:paraId="62D4F762" w14:textId="77777777" w:rsidR="00DD583B" w:rsidRPr="008B72F6" w:rsidRDefault="00DD583B" w:rsidP="005D2A90">
            <w:pPr>
              <w:keepNext/>
              <w:contextualSpacing/>
              <w:rPr>
                <w:rFonts w:cstheme="minorHAnsi"/>
                <w:color w:val="000000"/>
                <w:sz w:val="18"/>
                <w:szCs w:val="18"/>
                <w:lang w:val="fr-FR"/>
              </w:rPr>
            </w:pPr>
            <w:r w:rsidRPr="008B72F6">
              <w:rPr>
                <w:rFonts w:cstheme="minorHAnsi"/>
                <w:color w:val="000000"/>
                <w:sz w:val="18"/>
                <w:szCs w:val="18"/>
              </w:rPr>
              <w:t>Risque : instabilité politique et sécuritaire</w:t>
            </w:r>
          </w:p>
          <w:p w14:paraId="1F23651D" w14:textId="77777777" w:rsidR="00DD583B" w:rsidRPr="008B72F6" w:rsidRDefault="00DD583B" w:rsidP="005D2A90">
            <w:pPr>
              <w:keepNext/>
              <w:contextualSpacing/>
              <w:rPr>
                <w:rFonts w:cstheme="minorHAnsi"/>
                <w:color w:val="000000"/>
                <w:sz w:val="18"/>
                <w:szCs w:val="18"/>
                <w:lang w:val="fr-FR"/>
              </w:rPr>
            </w:pPr>
          </w:p>
          <w:p w14:paraId="2BEABC57" w14:textId="77777777" w:rsidR="00DD583B" w:rsidRPr="008B72F6" w:rsidRDefault="00DD583B" w:rsidP="005D2A90">
            <w:pPr>
              <w:rPr>
                <w:lang w:val="fr-FR"/>
              </w:rPr>
            </w:pPr>
            <w:r w:rsidRPr="008B72F6">
              <w:rPr>
                <w:rFonts w:cstheme="minorHAnsi"/>
                <w:color w:val="000000"/>
                <w:sz w:val="18"/>
                <w:szCs w:val="18"/>
              </w:rPr>
              <w:t>Hypothèse : Mise en œuvre correcte des politiques sectorielles</w:t>
            </w:r>
          </w:p>
        </w:tc>
        <w:tc>
          <w:tcPr>
            <w:tcW w:w="1936" w:type="dxa"/>
            <w:vMerge w:val="restart"/>
          </w:tcPr>
          <w:p w14:paraId="67480EEC" w14:textId="77777777" w:rsidR="00DD583B" w:rsidRPr="008B72F6" w:rsidRDefault="00DD583B" w:rsidP="005D2A90">
            <w:pPr>
              <w:rPr>
                <w:rFonts w:cstheme="minorHAnsi"/>
                <w:sz w:val="18"/>
                <w:szCs w:val="18"/>
                <w:lang w:val="fr-FR"/>
              </w:rPr>
            </w:pPr>
            <w:r w:rsidRPr="008B72F6">
              <w:rPr>
                <w:rFonts w:cstheme="minorHAnsi"/>
                <w:sz w:val="18"/>
                <w:szCs w:val="18"/>
              </w:rPr>
              <w:t>Accompagnement technique et financière</w:t>
            </w:r>
          </w:p>
          <w:p w14:paraId="52717236" w14:textId="77777777" w:rsidR="00DD583B" w:rsidRPr="008B72F6" w:rsidRDefault="00DD583B" w:rsidP="005D2A90">
            <w:pPr>
              <w:rPr>
                <w:rFonts w:cstheme="minorHAnsi"/>
                <w:sz w:val="18"/>
                <w:szCs w:val="18"/>
                <w:lang w:val="fr-FR"/>
              </w:rPr>
            </w:pPr>
          </w:p>
          <w:p w14:paraId="653772D5" w14:textId="77777777" w:rsidR="00DD583B" w:rsidRPr="008B72F6" w:rsidRDefault="00DD583B" w:rsidP="005D2A90">
            <w:pPr>
              <w:rPr>
                <w:lang w:val="fr-FR"/>
              </w:rPr>
            </w:pPr>
          </w:p>
        </w:tc>
        <w:tc>
          <w:tcPr>
            <w:tcW w:w="1248" w:type="dxa"/>
            <w:vMerge w:val="restart"/>
          </w:tcPr>
          <w:p w14:paraId="1B3D40D4" w14:textId="77777777" w:rsidR="00DD583B" w:rsidRPr="002E5C18" w:rsidRDefault="00DD583B" w:rsidP="005D2A90">
            <w:pPr>
              <w:rPr>
                <w:rFonts w:cstheme="minorHAnsi"/>
                <w:sz w:val="18"/>
                <w:szCs w:val="18"/>
                <w:lang w:val="fr-FR"/>
              </w:rPr>
            </w:pPr>
          </w:p>
          <w:p w14:paraId="17ECCAA0" w14:textId="77777777" w:rsidR="00DD583B" w:rsidRPr="00A4071B" w:rsidRDefault="00DD583B" w:rsidP="005D2A90">
            <w:pPr>
              <w:rPr>
                <w:lang w:val="fr-FR"/>
              </w:rPr>
            </w:pPr>
          </w:p>
        </w:tc>
      </w:tr>
      <w:tr w:rsidR="00DD583B" w:rsidRPr="00A4071B" w14:paraId="0F317185" w14:textId="77777777" w:rsidTr="005D2A90">
        <w:tc>
          <w:tcPr>
            <w:tcW w:w="2507" w:type="dxa"/>
            <w:vMerge/>
            <w:shd w:val="clear" w:color="auto" w:fill="DBE5F1" w:themeFill="accent1" w:themeFillTint="33"/>
            <w:vAlign w:val="center"/>
          </w:tcPr>
          <w:p w14:paraId="3D788758" w14:textId="77777777" w:rsidR="00DD583B" w:rsidRPr="00A4071B" w:rsidRDefault="00DD583B" w:rsidP="005D2A90">
            <w:pPr>
              <w:rPr>
                <w:lang w:val="fr-FR"/>
              </w:rPr>
            </w:pPr>
          </w:p>
        </w:tc>
        <w:tc>
          <w:tcPr>
            <w:tcW w:w="2719" w:type="dxa"/>
            <w:vAlign w:val="center"/>
          </w:tcPr>
          <w:p w14:paraId="53ED1734" w14:textId="77777777" w:rsidR="00DD583B" w:rsidRDefault="00DD583B" w:rsidP="005D2A90">
            <w:pPr>
              <w:widowControl w:val="0"/>
              <w:snapToGrid w:val="0"/>
              <w:rPr>
                <w:rFonts w:ascii="Times New Roman" w:hAnsi="Times New Roman" w:cs="Times New Roman"/>
                <w:bCs/>
              </w:rPr>
            </w:pPr>
            <w:r w:rsidRPr="008B71B5">
              <w:rPr>
                <w:rFonts w:ascii="Times New Roman" w:hAnsi="Times New Roman" w:cs="Times New Roman"/>
                <w:bCs/>
              </w:rPr>
              <w:t>Indicateur 5.4.</w:t>
            </w:r>
            <w:r>
              <w:rPr>
                <w:rFonts w:ascii="Times New Roman" w:hAnsi="Times New Roman" w:cs="Times New Roman"/>
                <w:bCs/>
              </w:rPr>
              <w:t>2</w:t>
            </w:r>
            <w:r w:rsidRPr="008B71B5">
              <w:rPr>
                <w:rFonts w:ascii="Times New Roman" w:hAnsi="Times New Roman" w:cs="Times New Roman"/>
                <w:bCs/>
              </w:rPr>
              <w:t xml:space="preserve"> Nombre de </w:t>
            </w:r>
            <w:r>
              <w:rPr>
                <w:rFonts w:ascii="Times New Roman" w:hAnsi="Times New Roman" w:cs="Times New Roman"/>
                <w:bCs/>
              </w:rPr>
              <w:t xml:space="preserve">personnes vivant dans les </w:t>
            </w:r>
            <w:r w:rsidRPr="009A4F02">
              <w:rPr>
                <w:rFonts w:ascii="Times New Roman" w:hAnsi="Times New Roman" w:cs="Times New Roman"/>
                <w:bCs/>
              </w:rPr>
              <w:t>communaut</w:t>
            </w:r>
            <w:r>
              <w:rPr>
                <w:rFonts w:ascii="Times New Roman" w:hAnsi="Times New Roman" w:cs="Times New Roman"/>
                <w:bCs/>
              </w:rPr>
              <w:t>é</w:t>
            </w:r>
            <w:r w:rsidRPr="009A4F02">
              <w:rPr>
                <w:rFonts w:ascii="Times New Roman" w:hAnsi="Times New Roman" w:cs="Times New Roman"/>
                <w:bCs/>
              </w:rPr>
              <w:t>s certifi</w:t>
            </w:r>
            <w:r>
              <w:rPr>
                <w:rFonts w:ascii="Times New Roman" w:hAnsi="Times New Roman" w:cs="Times New Roman"/>
                <w:bCs/>
              </w:rPr>
              <w:t>é</w:t>
            </w:r>
            <w:r w:rsidRPr="009A4F02">
              <w:rPr>
                <w:rFonts w:ascii="Times New Roman" w:hAnsi="Times New Roman" w:cs="Times New Roman"/>
                <w:bCs/>
              </w:rPr>
              <w:t>es FEDAL (Fin de la Defecation a l'air libre)</w:t>
            </w:r>
          </w:p>
          <w:p w14:paraId="49A016BB" w14:textId="77777777" w:rsidR="00DD583B" w:rsidRDefault="00DD583B" w:rsidP="005D2A90">
            <w:pPr>
              <w:widowControl w:val="0"/>
              <w:snapToGrid w:val="0"/>
              <w:rPr>
                <w:rFonts w:ascii="Times New Roman" w:hAnsi="Times New Roman" w:cs="Times New Roman"/>
                <w:bCs/>
              </w:rPr>
            </w:pPr>
          </w:p>
          <w:p w14:paraId="1D94F2E8" w14:textId="77777777" w:rsidR="00DD583B" w:rsidRPr="00805AEC" w:rsidRDefault="00DD583B" w:rsidP="005D2A90">
            <w:pPr>
              <w:widowControl w:val="0"/>
              <w:snapToGrid w:val="0"/>
              <w:rPr>
                <w:rFonts w:ascii="Times New Roman" w:hAnsi="Times New Roman" w:cs="Times New Roman"/>
                <w:bCs/>
              </w:rPr>
            </w:pPr>
            <w:r w:rsidRPr="00805AEC">
              <w:rPr>
                <w:rFonts w:ascii="Times New Roman" w:hAnsi="Times New Roman" w:cs="Times New Roman"/>
                <w:bCs/>
              </w:rPr>
              <w:t xml:space="preserve">Base : 942,500 (2017) </w:t>
            </w:r>
          </w:p>
          <w:p w14:paraId="76376221" w14:textId="77777777" w:rsidR="00DD583B" w:rsidRPr="00805AEC" w:rsidRDefault="00DD583B" w:rsidP="005D2A90">
            <w:pPr>
              <w:widowControl w:val="0"/>
              <w:snapToGrid w:val="0"/>
              <w:rPr>
                <w:rFonts w:ascii="Times New Roman" w:hAnsi="Times New Roman" w:cs="Times New Roman"/>
                <w:bCs/>
                <w:color w:val="FF0000"/>
              </w:rPr>
            </w:pPr>
            <w:r w:rsidRPr="00805AEC">
              <w:rPr>
                <w:rFonts w:ascii="Times New Roman" w:hAnsi="Times New Roman" w:cs="Times New Roman"/>
                <w:bCs/>
                <w:color w:val="FF0000"/>
              </w:rPr>
              <w:t>Situation en fin 2017: 942,500</w:t>
            </w:r>
          </w:p>
          <w:p w14:paraId="45BC8080" w14:textId="77777777" w:rsidR="00DD583B" w:rsidRPr="00A4071B" w:rsidRDefault="00DD583B" w:rsidP="005D2A90">
            <w:pPr>
              <w:rPr>
                <w:lang w:val="fr-FR"/>
              </w:rPr>
            </w:pPr>
            <w:r w:rsidRPr="00805AEC">
              <w:rPr>
                <w:rFonts w:ascii="Times New Roman" w:hAnsi="Times New Roman" w:cs="Times New Roman"/>
                <w:bCs/>
              </w:rPr>
              <w:t>Cible :  1,000,000</w:t>
            </w:r>
          </w:p>
        </w:tc>
        <w:tc>
          <w:tcPr>
            <w:tcW w:w="3622" w:type="dxa"/>
            <w:vAlign w:val="center"/>
          </w:tcPr>
          <w:p w14:paraId="6B9A99B8"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 xml:space="preserve">Mode de calcul : Dénombrement des </w:t>
            </w:r>
            <w:r w:rsidRPr="008B71B5">
              <w:rPr>
                <w:rFonts w:ascii="Times New Roman" w:hAnsi="Times New Roman" w:cs="Times New Roman"/>
                <w:bCs/>
              </w:rPr>
              <w:t xml:space="preserve"> personnes ayant accès à une latrine, suite à l’appui du programme</w:t>
            </w:r>
          </w:p>
          <w:p w14:paraId="25082547"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Sources de données</w:t>
            </w:r>
            <w:r>
              <w:rPr>
                <w:rFonts w:ascii="Times New Roman" w:hAnsi="Times New Roman" w:cs="Times New Roman"/>
              </w:rPr>
              <w:t>/Moyens de vérification</w:t>
            </w:r>
            <w:r w:rsidRPr="008B71B5">
              <w:rPr>
                <w:rFonts w:ascii="Times New Roman" w:hAnsi="Times New Roman" w:cs="Times New Roman"/>
              </w:rPr>
              <w:t>: Données SNU/Effet 5</w:t>
            </w:r>
          </w:p>
          <w:p w14:paraId="448ACAF7"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 ou moins</w:t>
            </w:r>
          </w:p>
          <w:p w14:paraId="1B994C16" w14:textId="77777777" w:rsidR="00DD583B" w:rsidRPr="00A4071B" w:rsidRDefault="00DD583B" w:rsidP="005D2A90">
            <w:pPr>
              <w:pStyle w:val="Paragraphedeliste"/>
              <w:numPr>
                <w:ilvl w:val="0"/>
                <w:numId w:val="16"/>
              </w:numPr>
              <w:ind w:left="357" w:hanging="357"/>
              <w:rPr>
                <w:lang w:val="fr-FR"/>
              </w:rPr>
            </w:pPr>
            <w:r w:rsidRPr="008B71B5">
              <w:rPr>
                <w:rFonts w:ascii="Times New Roman" w:hAnsi="Times New Roman" w:cs="Times New Roman"/>
              </w:rPr>
              <w:t>Maître d’œuvre : Groupe de Résultat</w:t>
            </w:r>
          </w:p>
        </w:tc>
        <w:tc>
          <w:tcPr>
            <w:tcW w:w="3136" w:type="dxa"/>
            <w:vMerge/>
          </w:tcPr>
          <w:p w14:paraId="6308A01D" w14:textId="77777777" w:rsidR="00DD583B" w:rsidRPr="00A4071B" w:rsidRDefault="00DD583B" w:rsidP="005D2A90">
            <w:pPr>
              <w:widowControl w:val="0"/>
              <w:snapToGrid w:val="0"/>
              <w:rPr>
                <w:rFonts w:ascii="Times New Roman" w:hAnsi="Times New Roman" w:cs="Times New Roman"/>
                <w:color w:val="000000"/>
                <w:highlight w:val="yellow"/>
                <w:lang w:val="fr-FR"/>
              </w:rPr>
            </w:pPr>
          </w:p>
        </w:tc>
        <w:tc>
          <w:tcPr>
            <w:tcW w:w="1936" w:type="dxa"/>
            <w:vMerge/>
          </w:tcPr>
          <w:p w14:paraId="5CF3543F" w14:textId="77777777" w:rsidR="00DD583B" w:rsidRPr="00A4071B" w:rsidRDefault="00DD583B" w:rsidP="005D2A90">
            <w:pPr>
              <w:rPr>
                <w:rFonts w:ascii="Times New Roman" w:hAnsi="Times New Roman" w:cs="Times New Roman"/>
                <w:highlight w:val="yellow"/>
                <w:lang w:val="fr-FR"/>
              </w:rPr>
            </w:pPr>
          </w:p>
        </w:tc>
        <w:tc>
          <w:tcPr>
            <w:tcW w:w="1248" w:type="dxa"/>
            <w:vMerge/>
          </w:tcPr>
          <w:p w14:paraId="7DF3DB4F" w14:textId="77777777" w:rsidR="00DD583B" w:rsidRPr="00A4071B" w:rsidRDefault="00DD583B" w:rsidP="005D2A90">
            <w:pPr>
              <w:rPr>
                <w:lang w:val="fr-FR"/>
              </w:rPr>
            </w:pPr>
          </w:p>
        </w:tc>
      </w:tr>
      <w:tr w:rsidR="00DD583B" w:rsidRPr="00A4071B" w14:paraId="738E8765" w14:textId="77777777" w:rsidTr="005D2A90">
        <w:tc>
          <w:tcPr>
            <w:tcW w:w="2507" w:type="dxa"/>
            <w:shd w:val="clear" w:color="auto" w:fill="DBE5F1" w:themeFill="accent1" w:themeFillTint="33"/>
            <w:vAlign w:val="center"/>
          </w:tcPr>
          <w:p w14:paraId="76DCACB1" w14:textId="77777777" w:rsidR="00DD583B" w:rsidRPr="00A4071B" w:rsidRDefault="00DD583B" w:rsidP="005D2A90">
            <w:pPr>
              <w:rPr>
                <w:lang w:val="fr-FR"/>
              </w:rPr>
            </w:pPr>
            <w:r w:rsidRPr="008B71B5">
              <w:rPr>
                <w:rFonts w:ascii="Times New Roman" w:hAnsi="Times New Roman" w:cs="Times New Roman"/>
                <w:bCs/>
              </w:rPr>
              <w:lastRenderedPageBreak/>
              <w:t>Produit 5.5 : La résilience des populations face aux changements climatiques est renforcée par la mise en œuvre des politiques de promotion de l’utilisation accrue des énergies nouvelles et renouvelables, l’efficacité énergétique par des mesures d’adaptation aux changements climatiques et de réduction des risques de catastrophes</w:t>
            </w:r>
          </w:p>
        </w:tc>
        <w:tc>
          <w:tcPr>
            <w:tcW w:w="2719" w:type="dxa"/>
            <w:vAlign w:val="center"/>
          </w:tcPr>
          <w:p w14:paraId="0AD9F70B" w14:textId="77777777" w:rsidR="00DD583B" w:rsidRDefault="00DD583B" w:rsidP="005D2A90">
            <w:pPr>
              <w:rPr>
                <w:rFonts w:ascii="Times New Roman" w:hAnsi="Times New Roman" w:cs="Times New Roman"/>
                <w:bCs/>
              </w:rPr>
            </w:pPr>
            <w:r w:rsidRPr="008B71B5">
              <w:rPr>
                <w:rFonts w:ascii="Times New Roman" w:hAnsi="Times New Roman" w:cs="Times New Roman"/>
                <w:bCs/>
              </w:rPr>
              <w:t>Indicateur 5.5.</w:t>
            </w:r>
            <w:r>
              <w:rPr>
                <w:rFonts w:ascii="Times New Roman" w:hAnsi="Times New Roman" w:cs="Times New Roman"/>
                <w:bCs/>
              </w:rPr>
              <w:t>1</w:t>
            </w:r>
            <w:r w:rsidRPr="008B71B5">
              <w:rPr>
                <w:rFonts w:ascii="Times New Roman" w:hAnsi="Times New Roman" w:cs="Times New Roman"/>
                <w:bCs/>
              </w:rPr>
              <w:t xml:space="preserve"> Nombre de villages bénéficiaires de technologies d’énergie solaires, suite à l’appui du programme</w:t>
            </w:r>
          </w:p>
          <w:p w14:paraId="66E71478" w14:textId="77777777" w:rsidR="00DD583B" w:rsidRDefault="00DD583B" w:rsidP="005D2A90">
            <w:pPr>
              <w:widowControl w:val="0"/>
              <w:snapToGrid w:val="0"/>
              <w:rPr>
                <w:rFonts w:ascii="Times New Roman" w:hAnsi="Times New Roman" w:cs="Times New Roman"/>
                <w:bCs/>
              </w:rPr>
            </w:pPr>
          </w:p>
          <w:p w14:paraId="4A0937A1" w14:textId="77777777" w:rsidR="00DD583B" w:rsidRDefault="00DD583B" w:rsidP="005D2A90">
            <w:pPr>
              <w:widowControl w:val="0"/>
              <w:snapToGrid w:val="0"/>
              <w:rPr>
                <w:rFonts w:ascii="Times New Roman" w:hAnsi="Times New Roman" w:cs="Times New Roman"/>
                <w:bCs/>
              </w:rPr>
            </w:pPr>
            <w:r>
              <w:rPr>
                <w:rFonts w:ascii="Times New Roman" w:hAnsi="Times New Roman" w:cs="Times New Roman"/>
                <w:bCs/>
              </w:rPr>
              <w:t xml:space="preserve">Base : </w:t>
            </w:r>
            <w:r w:rsidRPr="008B71B5">
              <w:rPr>
                <w:rFonts w:ascii="Times New Roman" w:hAnsi="Times New Roman" w:cs="Times New Roman"/>
                <w:bCs/>
              </w:rPr>
              <w:t>100 (2011) </w:t>
            </w:r>
          </w:p>
          <w:p w14:paraId="5EA7F4E0"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300</w:t>
            </w:r>
          </w:p>
          <w:p w14:paraId="6C6A29F6" w14:textId="77777777" w:rsidR="00DD583B" w:rsidRDefault="00DD583B" w:rsidP="005D2A90">
            <w:pPr>
              <w:widowControl w:val="0"/>
              <w:snapToGrid w:val="0"/>
              <w:rPr>
                <w:rFonts w:ascii="Times New Roman" w:hAnsi="Times New Roman" w:cs="Times New Roman"/>
                <w:bCs/>
              </w:rPr>
            </w:pPr>
          </w:p>
          <w:p w14:paraId="3FD8B47C" w14:textId="77777777" w:rsidR="00DD583B" w:rsidRPr="00A4071B" w:rsidRDefault="00DD583B" w:rsidP="005D2A90">
            <w:pPr>
              <w:rPr>
                <w:lang w:val="fr-FR"/>
              </w:rPr>
            </w:pPr>
            <w:r>
              <w:rPr>
                <w:rFonts w:ascii="Times New Roman" w:hAnsi="Times New Roman" w:cs="Times New Roman"/>
                <w:bCs/>
              </w:rPr>
              <w:t>Cible :  200</w:t>
            </w:r>
          </w:p>
        </w:tc>
        <w:tc>
          <w:tcPr>
            <w:tcW w:w="3622" w:type="dxa"/>
            <w:vAlign w:val="center"/>
          </w:tcPr>
          <w:p w14:paraId="7790C519"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Mode de calcul : Dénombrement des</w:t>
            </w:r>
            <w:r w:rsidRPr="008B71B5">
              <w:rPr>
                <w:rFonts w:ascii="Times New Roman" w:hAnsi="Times New Roman" w:cs="Times New Roman"/>
                <w:bCs/>
              </w:rPr>
              <w:t xml:space="preserve"> villages bénéficiaires de technologies d’énergie solaires, suite à l’appui du programme</w:t>
            </w:r>
          </w:p>
          <w:p w14:paraId="07E637F0"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Sources de données</w:t>
            </w:r>
            <w:r>
              <w:rPr>
                <w:rFonts w:ascii="Times New Roman" w:hAnsi="Times New Roman" w:cs="Times New Roman"/>
              </w:rPr>
              <w:t>/Moyens de vérification</w:t>
            </w:r>
            <w:r w:rsidRPr="008B71B5">
              <w:rPr>
                <w:rFonts w:ascii="Times New Roman" w:hAnsi="Times New Roman" w:cs="Times New Roman"/>
              </w:rPr>
              <w:t>: Données SNU/Effet5</w:t>
            </w:r>
          </w:p>
          <w:p w14:paraId="25FC9C60"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 ou moins</w:t>
            </w:r>
          </w:p>
          <w:p w14:paraId="6707CC77" w14:textId="77777777" w:rsidR="00DD583B" w:rsidRPr="00A4071B" w:rsidRDefault="00DD583B" w:rsidP="005D2A90">
            <w:pPr>
              <w:pStyle w:val="Paragraphedeliste"/>
              <w:numPr>
                <w:ilvl w:val="0"/>
                <w:numId w:val="16"/>
              </w:numPr>
              <w:ind w:left="357" w:hanging="357"/>
              <w:rPr>
                <w:lang w:val="fr-FR"/>
              </w:rPr>
            </w:pPr>
            <w:r w:rsidRPr="008B71B5">
              <w:rPr>
                <w:rFonts w:ascii="Times New Roman" w:hAnsi="Times New Roman" w:cs="Times New Roman"/>
              </w:rPr>
              <w:t>Maître d’œuvre : Groupe de Résultat, en rapport avec l’Appareil statistique national</w:t>
            </w:r>
          </w:p>
        </w:tc>
        <w:tc>
          <w:tcPr>
            <w:tcW w:w="3136" w:type="dxa"/>
            <w:shd w:val="clear" w:color="auto" w:fill="auto"/>
          </w:tcPr>
          <w:p w14:paraId="313BD6E9" w14:textId="77777777" w:rsidR="00DD583B" w:rsidRPr="008B72F6" w:rsidRDefault="00DD583B" w:rsidP="005D2A90">
            <w:pPr>
              <w:keepNext/>
              <w:contextualSpacing/>
              <w:rPr>
                <w:rFonts w:cstheme="minorHAnsi"/>
                <w:color w:val="000000"/>
                <w:sz w:val="18"/>
                <w:szCs w:val="18"/>
                <w:lang w:val="fr-FR"/>
              </w:rPr>
            </w:pPr>
            <w:r w:rsidRPr="008B72F6">
              <w:rPr>
                <w:rFonts w:cstheme="minorHAnsi"/>
                <w:color w:val="000000"/>
                <w:sz w:val="18"/>
                <w:szCs w:val="18"/>
              </w:rPr>
              <w:t>Risque : instabilité politique et sécuritaire</w:t>
            </w:r>
          </w:p>
          <w:p w14:paraId="5FB06EC7" w14:textId="77777777" w:rsidR="00DD583B" w:rsidRPr="008B72F6" w:rsidRDefault="00DD583B" w:rsidP="005D2A90">
            <w:pPr>
              <w:keepNext/>
              <w:contextualSpacing/>
              <w:rPr>
                <w:rFonts w:cstheme="minorHAnsi"/>
                <w:color w:val="000000"/>
                <w:sz w:val="18"/>
                <w:szCs w:val="18"/>
                <w:lang w:val="fr-FR"/>
              </w:rPr>
            </w:pPr>
          </w:p>
          <w:p w14:paraId="0E96A2BC" w14:textId="77777777" w:rsidR="00DD583B" w:rsidRPr="008B72F6" w:rsidRDefault="00DD583B" w:rsidP="005D2A90">
            <w:pPr>
              <w:keepNext/>
              <w:contextualSpacing/>
              <w:rPr>
                <w:rFonts w:cstheme="minorHAnsi"/>
                <w:color w:val="000000"/>
                <w:sz w:val="18"/>
                <w:szCs w:val="18"/>
                <w:lang w:val="fr-FR"/>
              </w:rPr>
            </w:pPr>
          </w:p>
          <w:p w14:paraId="43EDC2FD" w14:textId="77777777" w:rsidR="00DD583B" w:rsidRPr="008B72F6" w:rsidRDefault="00DD583B" w:rsidP="005D2A90">
            <w:pPr>
              <w:keepNext/>
              <w:contextualSpacing/>
              <w:rPr>
                <w:rFonts w:cstheme="minorHAnsi"/>
                <w:color w:val="000000"/>
                <w:sz w:val="18"/>
                <w:szCs w:val="18"/>
                <w:lang w:val="fr-FR"/>
              </w:rPr>
            </w:pPr>
            <w:r w:rsidRPr="008B72F6">
              <w:rPr>
                <w:rFonts w:cstheme="minorHAnsi"/>
                <w:color w:val="000000"/>
                <w:sz w:val="18"/>
                <w:szCs w:val="18"/>
              </w:rPr>
              <w:t>Hypothèse : services de vulgarisation fortement impliqués.</w:t>
            </w:r>
          </w:p>
          <w:p w14:paraId="135E42B3" w14:textId="77777777" w:rsidR="00DD583B" w:rsidRPr="008B72F6" w:rsidRDefault="00DD583B" w:rsidP="005D2A90">
            <w:pPr>
              <w:keepNext/>
              <w:contextualSpacing/>
              <w:rPr>
                <w:rFonts w:cstheme="minorHAnsi"/>
                <w:color w:val="000000"/>
                <w:sz w:val="18"/>
                <w:szCs w:val="18"/>
                <w:lang w:val="fr-FR"/>
              </w:rPr>
            </w:pPr>
            <w:r w:rsidRPr="008B72F6">
              <w:rPr>
                <w:rFonts w:cstheme="minorHAnsi"/>
                <w:color w:val="000000"/>
                <w:sz w:val="18"/>
                <w:szCs w:val="18"/>
              </w:rPr>
              <w:t>Hypothèse : Assemblée Nationale et Autorités décentralisées fortement engagées.</w:t>
            </w:r>
          </w:p>
          <w:p w14:paraId="223177E3" w14:textId="77777777" w:rsidR="00DD583B" w:rsidRPr="008B72F6" w:rsidRDefault="00DD583B" w:rsidP="005D2A90">
            <w:pPr>
              <w:keepNext/>
              <w:contextualSpacing/>
              <w:rPr>
                <w:rFonts w:cstheme="minorHAnsi"/>
                <w:color w:val="000000"/>
                <w:sz w:val="18"/>
                <w:szCs w:val="18"/>
                <w:lang w:val="fr-FR"/>
              </w:rPr>
            </w:pPr>
          </w:p>
          <w:p w14:paraId="5ED11568" w14:textId="77777777" w:rsidR="00DD583B" w:rsidRPr="008B72F6" w:rsidRDefault="00DD583B" w:rsidP="005D2A90">
            <w:pPr>
              <w:keepNext/>
              <w:contextualSpacing/>
              <w:rPr>
                <w:rFonts w:cstheme="minorHAnsi"/>
                <w:color w:val="000000"/>
                <w:sz w:val="18"/>
                <w:szCs w:val="18"/>
                <w:lang w:val="fr-FR"/>
              </w:rPr>
            </w:pPr>
          </w:p>
          <w:p w14:paraId="162F1DBC" w14:textId="77777777" w:rsidR="00DD583B" w:rsidRPr="008B72F6" w:rsidRDefault="00DD583B" w:rsidP="005D2A90">
            <w:pPr>
              <w:keepNext/>
              <w:contextualSpacing/>
              <w:rPr>
                <w:rFonts w:cstheme="minorHAnsi"/>
                <w:color w:val="000000"/>
                <w:sz w:val="18"/>
                <w:szCs w:val="18"/>
                <w:lang w:val="fr-FR"/>
              </w:rPr>
            </w:pPr>
            <w:r w:rsidRPr="008B72F6">
              <w:rPr>
                <w:rFonts w:cstheme="minorHAnsi"/>
                <w:color w:val="000000"/>
                <w:sz w:val="18"/>
                <w:szCs w:val="18"/>
              </w:rPr>
              <w:t>Hypothèse : Mise en œuvre correcte des politiques sectorielles</w:t>
            </w:r>
          </w:p>
          <w:p w14:paraId="28947ECE" w14:textId="77777777" w:rsidR="00DD583B" w:rsidRPr="008B72F6" w:rsidRDefault="00DD583B" w:rsidP="005D2A90">
            <w:pPr>
              <w:keepNext/>
              <w:contextualSpacing/>
              <w:rPr>
                <w:rFonts w:cstheme="minorHAnsi"/>
                <w:color w:val="000000"/>
                <w:sz w:val="18"/>
                <w:szCs w:val="18"/>
                <w:lang w:val="fr-FR"/>
              </w:rPr>
            </w:pPr>
          </w:p>
          <w:p w14:paraId="63D15F94" w14:textId="77777777" w:rsidR="00DD583B" w:rsidRPr="008B72F6" w:rsidRDefault="00DD583B" w:rsidP="005D2A90">
            <w:pPr>
              <w:keepNext/>
              <w:contextualSpacing/>
              <w:rPr>
                <w:rFonts w:cstheme="minorHAnsi"/>
                <w:color w:val="000000"/>
                <w:sz w:val="18"/>
                <w:szCs w:val="18"/>
                <w:lang w:val="fr-FR"/>
              </w:rPr>
            </w:pPr>
          </w:p>
          <w:p w14:paraId="724C9A30" w14:textId="77777777" w:rsidR="00DD583B" w:rsidRPr="008B72F6" w:rsidRDefault="00DD583B" w:rsidP="005D2A90">
            <w:pPr>
              <w:keepNext/>
              <w:contextualSpacing/>
              <w:rPr>
                <w:rFonts w:eastAsia="MyriadPro-Light" w:cs="MyriadPro-Light"/>
                <w:color w:val="000000"/>
                <w:sz w:val="18"/>
                <w:szCs w:val="18"/>
              </w:rPr>
            </w:pPr>
            <w:r w:rsidRPr="008B72F6">
              <w:rPr>
                <w:rFonts w:eastAsia="MyriadPro-Light" w:cs="MyriadPro-Light"/>
                <w:color w:val="000000"/>
                <w:sz w:val="18"/>
                <w:szCs w:val="18"/>
              </w:rPr>
              <w:t>Déficit de données statistiques</w:t>
            </w:r>
          </w:p>
          <w:p w14:paraId="7FC41314" w14:textId="77777777" w:rsidR="00DD583B" w:rsidRPr="008B72F6" w:rsidRDefault="00DD583B" w:rsidP="005D2A90">
            <w:pPr>
              <w:keepNext/>
              <w:contextualSpacing/>
              <w:rPr>
                <w:rFonts w:eastAsia="MyriadPro-Light" w:cs="MyriadPro-Light"/>
                <w:color w:val="000000"/>
                <w:sz w:val="18"/>
                <w:szCs w:val="18"/>
              </w:rPr>
            </w:pPr>
          </w:p>
          <w:p w14:paraId="201CD8FC" w14:textId="77777777" w:rsidR="00DD583B" w:rsidRPr="008B72F6" w:rsidRDefault="00DD583B" w:rsidP="005D2A90">
            <w:pPr>
              <w:keepNext/>
              <w:contextualSpacing/>
              <w:rPr>
                <w:rFonts w:eastAsia="MyriadPro-Light" w:cs="MyriadPro-Light"/>
                <w:color w:val="000000"/>
                <w:sz w:val="18"/>
                <w:szCs w:val="18"/>
              </w:rPr>
            </w:pPr>
            <w:r w:rsidRPr="008B72F6">
              <w:rPr>
                <w:rFonts w:eastAsia="MyriadPro-Light" w:cs="MyriadPro-Light"/>
                <w:color w:val="000000"/>
                <w:sz w:val="18"/>
                <w:szCs w:val="18"/>
              </w:rPr>
              <w:t>Manque de volonté politique éventuel d’accorder la priorité à ce produit</w:t>
            </w:r>
          </w:p>
          <w:p w14:paraId="0DBCF29F" w14:textId="77777777" w:rsidR="00DD583B" w:rsidRPr="008B72F6" w:rsidRDefault="00DD583B" w:rsidP="005D2A90">
            <w:pPr>
              <w:keepNext/>
              <w:contextualSpacing/>
              <w:rPr>
                <w:rFonts w:eastAsia="MyriadPro-Light" w:cs="MyriadPro-Light"/>
                <w:color w:val="000000"/>
                <w:sz w:val="18"/>
                <w:szCs w:val="18"/>
              </w:rPr>
            </w:pPr>
          </w:p>
          <w:p w14:paraId="24B484A5" w14:textId="77777777" w:rsidR="00DD583B" w:rsidRPr="008B72F6" w:rsidRDefault="00DD583B" w:rsidP="005D2A90">
            <w:pPr>
              <w:keepNext/>
              <w:contextualSpacing/>
              <w:rPr>
                <w:rFonts w:eastAsia="MyriadPro-Light" w:cs="MyriadPro-Light"/>
                <w:color w:val="000000"/>
                <w:sz w:val="18"/>
                <w:szCs w:val="18"/>
              </w:rPr>
            </w:pPr>
            <w:r w:rsidRPr="008B72F6">
              <w:rPr>
                <w:rFonts w:eastAsia="MyriadPro-Light" w:cs="MyriadPro-Light"/>
                <w:color w:val="000000"/>
                <w:sz w:val="18"/>
                <w:szCs w:val="18"/>
              </w:rPr>
              <w:t>Le DDR et la résilience sont des thématiques transversales  qu’on ne peut se contenter de mesurer dans le seul domaine environnemental</w:t>
            </w:r>
          </w:p>
          <w:p w14:paraId="3C518156" w14:textId="77777777" w:rsidR="00DD583B" w:rsidRPr="008B72F6" w:rsidRDefault="00DD583B" w:rsidP="005D2A90">
            <w:pPr>
              <w:keepNext/>
              <w:contextualSpacing/>
              <w:rPr>
                <w:rFonts w:eastAsia="MyriadPro-Light" w:cs="MyriadPro-Light"/>
                <w:color w:val="000000"/>
                <w:sz w:val="18"/>
                <w:szCs w:val="18"/>
              </w:rPr>
            </w:pPr>
          </w:p>
          <w:p w14:paraId="1DDBA074" w14:textId="77777777" w:rsidR="00DD583B" w:rsidRPr="008B72F6" w:rsidRDefault="00DD583B" w:rsidP="005D2A90">
            <w:pPr>
              <w:keepNext/>
              <w:contextualSpacing/>
              <w:rPr>
                <w:rFonts w:cstheme="minorHAnsi"/>
                <w:color w:val="000000"/>
                <w:sz w:val="18"/>
                <w:szCs w:val="18"/>
                <w:lang w:val="fr-FR"/>
              </w:rPr>
            </w:pPr>
            <w:r w:rsidRPr="008B72F6">
              <w:rPr>
                <w:rFonts w:cstheme="minorHAnsi"/>
                <w:color w:val="000000"/>
                <w:sz w:val="18"/>
                <w:szCs w:val="18"/>
              </w:rPr>
              <w:t xml:space="preserve">Stabilité politique. </w:t>
            </w:r>
          </w:p>
          <w:p w14:paraId="640E3111" w14:textId="41BAF238" w:rsidR="00DD583B" w:rsidRPr="00E432D7" w:rsidRDefault="00DD583B" w:rsidP="00E432D7">
            <w:pPr>
              <w:keepNext/>
              <w:contextualSpacing/>
              <w:rPr>
                <w:rFonts w:cstheme="minorHAnsi"/>
                <w:color w:val="000000"/>
                <w:sz w:val="18"/>
                <w:szCs w:val="18"/>
                <w:lang w:val="fr-FR"/>
              </w:rPr>
            </w:pPr>
            <w:r w:rsidRPr="008B72F6">
              <w:rPr>
                <w:rFonts w:cstheme="minorHAnsi"/>
                <w:color w:val="000000"/>
                <w:sz w:val="18"/>
                <w:szCs w:val="18"/>
              </w:rPr>
              <w:t>Autorités politiques sensibles à la RRC</w:t>
            </w:r>
          </w:p>
        </w:tc>
        <w:tc>
          <w:tcPr>
            <w:tcW w:w="1936" w:type="dxa"/>
            <w:shd w:val="clear" w:color="auto" w:fill="auto"/>
          </w:tcPr>
          <w:p w14:paraId="0F7D4740" w14:textId="77777777" w:rsidR="00DD583B" w:rsidRPr="008B72F6" w:rsidRDefault="00DD583B" w:rsidP="005D2A90">
            <w:pPr>
              <w:rPr>
                <w:rFonts w:cstheme="minorHAnsi"/>
                <w:sz w:val="18"/>
                <w:szCs w:val="18"/>
                <w:lang w:val="fr-FR"/>
              </w:rPr>
            </w:pPr>
          </w:p>
          <w:p w14:paraId="54230F35" w14:textId="77777777" w:rsidR="00DD583B" w:rsidRPr="008B72F6" w:rsidRDefault="00DD583B" w:rsidP="005D2A90">
            <w:pPr>
              <w:rPr>
                <w:rFonts w:cstheme="minorHAnsi"/>
                <w:sz w:val="18"/>
                <w:szCs w:val="18"/>
                <w:lang w:val="fr-FR"/>
              </w:rPr>
            </w:pPr>
          </w:p>
          <w:p w14:paraId="600B3D7E" w14:textId="77777777" w:rsidR="00DD583B" w:rsidRPr="008B72F6" w:rsidRDefault="00DD583B" w:rsidP="005D2A90">
            <w:pPr>
              <w:rPr>
                <w:rFonts w:cstheme="minorHAnsi"/>
                <w:sz w:val="18"/>
                <w:szCs w:val="18"/>
                <w:lang w:val="fr-FR"/>
              </w:rPr>
            </w:pPr>
          </w:p>
          <w:p w14:paraId="2A42F16D" w14:textId="77777777" w:rsidR="00DD583B" w:rsidRPr="008B72F6" w:rsidRDefault="00DD583B" w:rsidP="005D2A90">
            <w:pPr>
              <w:rPr>
                <w:rFonts w:cstheme="minorHAnsi"/>
                <w:sz w:val="18"/>
                <w:szCs w:val="18"/>
                <w:lang w:val="fr-FR"/>
              </w:rPr>
            </w:pPr>
            <w:r w:rsidRPr="008B72F6">
              <w:rPr>
                <w:rFonts w:cstheme="minorHAnsi"/>
                <w:sz w:val="18"/>
                <w:szCs w:val="18"/>
              </w:rPr>
              <w:t>Accompagnement technique et financier</w:t>
            </w:r>
          </w:p>
          <w:p w14:paraId="6534B697" w14:textId="77777777" w:rsidR="00DD583B" w:rsidRPr="008B72F6" w:rsidRDefault="00DD583B" w:rsidP="005D2A90">
            <w:pPr>
              <w:rPr>
                <w:rFonts w:cstheme="minorHAnsi"/>
                <w:sz w:val="18"/>
                <w:szCs w:val="18"/>
                <w:lang w:val="fr-FR"/>
              </w:rPr>
            </w:pPr>
          </w:p>
          <w:p w14:paraId="324DB073" w14:textId="77777777" w:rsidR="00DD583B" w:rsidRPr="008B72F6" w:rsidRDefault="00DD583B" w:rsidP="005D2A90">
            <w:pPr>
              <w:rPr>
                <w:rFonts w:cstheme="minorHAnsi"/>
                <w:sz w:val="18"/>
                <w:szCs w:val="18"/>
                <w:lang w:val="fr-FR"/>
              </w:rPr>
            </w:pPr>
          </w:p>
          <w:p w14:paraId="6976ED56" w14:textId="77777777" w:rsidR="00DD583B" w:rsidRPr="008B72F6" w:rsidRDefault="00DD583B" w:rsidP="005D2A90">
            <w:pPr>
              <w:rPr>
                <w:rFonts w:cstheme="minorHAnsi"/>
                <w:sz w:val="18"/>
                <w:szCs w:val="18"/>
                <w:lang w:val="fr-FR"/>
              </w:rPr>
            </w:pPr>
          </w:p>
          <w:p w14:paraId="127BF9FA" w14:textId="77777777" w:rsidR="00DD583B" w:rsidRPr="008B72F6" w:rsidRDefault="00DD583B" w:rsidP="005D2A90">
            <w:pPr>
              <w:rPr>
                <w:rFonts w:cstheme="minorHAnsi"/>
                <w:sz w:val="18"/>
                <w:szCs w:val="18"/>
                <w:lang w:val="fr-FR"/>
              </w:rPr>
            </w:pPr>
          </w:p>
          <w:p w14:paraId="3931975B" w14:textId="77777777" w:rsidR="00DD583B" w:rsidRPr="008B72F6" w:rsidRDefault="00DD583B" w:rsidP="005D2A90">
            <w:pPr>
              <w:rPr>
                <w:rFonts w:cstheme="minorHAnsi"/>
                <w:sz w:val="18"/>
                <w:szCs w:val="18"/>
                <w:lang w:val="fr-FR"/>
              </w:rPr>
            </w:pPr>
          </w:p>
          <w:p w14:paraId="3E8845FD" w14:textId="77777777" w:rsidR="00DD583B" w:rsidRPr="008B72F6" w:rsidRDefault="00DD583B" w:rsidP="005D2A90">
            <w:pPr>
              <w:rPr>
                <w:rFonts w:cstheme="minorHAnsi"/>
                <w:sz w:val="18"/>
                <w:szCs w:val="18"/>
                <w:lang w:val="fr-FR"/>
              </w:rPr>
            </w:pPr>
          </w:p>
          <w:p w14:paraId="0CF1E324" w14:textId="77777777" w:rsidR="00DD583B" w:rsidRPr="008B72F6" w:rsidRDefault="00DD583B" w:rsidP="005D2A90">
            <w:pPr>
              <w:rPr>
                <w:rFonts w:cstheme="minorHAnsi"/>
                <w:sz w:val="18"/>
                <w:szCs w:val="18"/>
                <w:lang w:val="fr-FR"/>
              </w:rPr>
            </w:pPr>
          </w:p>
          <w:p w14:paraId="36A38298" w14:textId="77777777" w:rsidR="00DD583B" w:rsidRPr="008B72F6" w:rsidRDefault="00DD583B" w:rsidP="005D2A90">
            <w:pPr>
              <w:rPr>
                <w:rFonts w:cstheme="minorHAnsi"/>
                <w:sz w:val="18"/>
                <w:szCs w:val="18"/>
                <w:lang w:val="fr-FR"/>
              </w:rPr>
            </w:pPr>
          </w:p>
          <w:p w14:paraId="39D5C2A2" w14:textId="77777777" w:rsidR="00DD583B" w:rsidRPr="008B72F6" w:rsidRDefault="00DD583B" w:rsidP="005D2A90">
            <w:pPr>
              <w:rPr>
                <w:rFonts w:cstheme="minorHAnsi"/>
                <w:sz w:val="18"/>
                <w:szCs w:val="18"/>
                <w:lang w:val="fr-FR"/>
              </w:rPr>
            </w:pPr>
          </w:p>
          <w:p w14:paraId="58988A48" w14:textId="77777777" w:rsidR="00DD583B" w:rsidRPr="008B72F6" w:rsidRDefault="00DD583B" w:rsidP="005D2A90">
            <w:pPr>
              <w:rPr>
                <w:rFonts w:cstheme="minorHAnsi"/>
                <w:sz w:val="18"/>
                <w:szCs w:val="18"/>
                <w:lang w:val="fr-FR"/>
              </w:rPr>
            </w:pPr>
          </w:p>
          <w:p w14:paraId="6EFDC64B" w14:textId="77777777" w:rsidR="00DD583B" w:rsidRPr="008B72F6" w:rsidRDefault="00DD583B" w:rsidP="005D2A90">
            <w:pPr>
              <w:rPr>
                <w:rFonts w:cstheme="minorHAnsi"/>
                <w:sz w:val="18"/>
                <w:szCs w:val="18"/>
                <w:lang w:val="fr-FR"/>
              </w:rPr>
            </w:pPr>
          </w:p>
          <w:p w14:paraId="18AD18CB" w14:textId="77777777" w:rsidR="00DD583B" w:rsidRPr="008B72F6" w:rsidRDefault="00DD583B" w:rsidP="005D2A90">
            <w:pPr>
              <w:rPr>
                <w:rFonts w:cstheme="minorHAnsi"/>
                <w:sz w:val="18"/>
                <w:szCs w:val="18"/>
                <w:lang w:val="fr-FR"/>
              </w:rPr>
            </w:pPr>
          </w:p>
          <w:p w14:paraId="439CECCD" w14:textId="77777777" w:rsidR="00DD583B" w:rsidRPr="008B72F6" w:rsidRDefault="00DD583B" w:rsidP="005D2A90">
            <w:pPr>
              <w:rPr>
                <w:rFonts w:cstheme="minorHAnsi"/>
                <w:sz w:val="18"/>
                <w:szCs w:val="18"/>
                <w:lang w:val="fr-FR"/>
              </w:rPr>
            </w:pPr>
          </w:p>
          <w:p w14:paraId="76355221" w14:textId="77777777" w:rsidR="00DD583B" w:rsidRPr="008B72F6" w:rsidRDefault="00DD583B" w:rsidP="005D2A90">
            <w:pPr>
              <w:rPr>
                <w:rFonts w:cstheme="minorHAnsi"/>
                <w:sz w:val="18"/>
                <w:szCs w:val="18"/>
                <w:lang w:val="fr-FR"/>
              </w:rPr>
            </w:pPr>
          </w:p>
          <w:p w14:paraId="769CBE23" w14:textId="77777777" w:rsidR="00DD583B" w:rsidRPr="008B72F6" w:rsidRDefault="00DD583B" w:rsidP="005D2A90">
            <w:pPr>
              <w:rPr>
                <w:rFonts w:cstheme="minorHAnsi"/>
                <w:sz w:val="18"/>
                <w:szCs w:val="18"/>
                <w:lang w:val="fr-FR"/>
              </w:rPr>
            </w:pPr>
          </w:p>
          <w:p w14:paraId="7637322F" w14:textId="77777777" w:rsidR="00DD583B" w:rsidRPr="008B72F6" w:rsidRDefault="00DD583B" w:rsidP="005D2A90">
            <w:pPr>
              <w:rPr>
                <w:rFonts w:cstheme="minorHAnsi"/>
                <w:sz w:val="18"/>
                <w:szCs w:val="18"/>
                <w:lang w:val="fr-FR"/>
              </w:rPr>
            </w:pPr>
          </w:p>
          <w:p w14:paraId="3E8D1D73" w14:textId="77777777" w:rsidR="00DD583B" w:rsidRPr="008B72F6" w:rsidRDefault="00DD583B" w:rsidP="005D2A90">
            <w:pPr>
              <w:rPr>
                <w:rFonts w:cstheme="minorHAnsi"/>
                <w:sz w:val="18"/>
                <w:szCs w:val="18"/>
                <w:lang w:val="fr-FR"/>
              </w:rPr>
            </w:pPr>
            <w:r w:rsidRPr="008B72F6">
              <w:rPr>
                <w:rFonts w:cstheme="minorHAnsi"/>
                <w:sz w:val="18"/>
                <w:szCs w:val="18"/>
              </w:rPr>
              <w:t>Encadrement technique</w:t>
            </w:r>
          </w:p>
          <w:p w14:paraId="46AF9FAA" w14:textId="77777777" w:rsidR="00DD583B" w:rsidRPr="008B72F6" w:rsidRDefault="00DD583B" w:rsidP="005D2A90">
            <w:pPr>
              <w:rPr>
                <w:lang w:val="fr-FR"/>
              </w:rPr>
            </w:pPr>
            <w:r w:rsidRPr="008B72F6">
              <w:rPr>
                <w:rFonts w:cstheme="minorHAnsi"/>
                <w:sz w:val="18"/>
                <w:szCs w:val="18"/>
              </w:rPr>
              <w:t>Financement</w:t>
            </w:r>
          </w:p>
        </w:tc>
        <w:tc>
          <w:tcPr>
            <w:tcW w:w="1248" w:type="dxa"/>
          </w:tcPr>
          <w:p w14:paraId="5A8D2342" w14:textId="77777777" w:rsidR="00DD583B" w:rsidRPr="00A4071B" w:rsidRDefault="00DD583B" w:rsidP="005D2A90">
            <w:pPr>
              <w:rPr>
                <w:lang w:val="fr-FR"/>
              </w:rPr>
            </w:pPr>
          </w:p>
        </w:tc>
      </w:tr>
      <w:tr w:rsidR="00DD583B" w:rsidRPr="00A4071B" w14:paraId="6CBAF370" w14:textId="77777777" w:rsidTr="005D2A90">
        <w:tc>
          <w:tcPr>
            <w:tcW w:w="2507" w:type="dxa"/>
            <w:shd w:val="clear" w:color="auto" w:fill="DBE5F1" w:themeFill="accent1" w:themeFillTint="33"/>
            <w:vAlign w:val="center"/>
          </w:tcPr>
          <w:p w14:paraId="3DED2786" w14:textId="77777777" w:rsidR="00DD583B" w:rsidRPr="00A4071B" w:rsidRDefault="00DD583B" w:rsidP="005D2A90">
            <w:pPr>
              <w:rPr>
                <w:lang w:val="fr-FR"/>
              </w:rPr>
            </w:pPr>
          </w:p>
        </w:tc>
        <w:tc>
          <w:tcPr>
            <w:tcW w:w="2719" w:type="dxa"/>
            <w:vAlign w:val="center"/>
          </w:tcPr>
          <w:p w14:paraId="4E122701" w14:textId="77777777" w:rsidR="00DD583B" w:rsidRDefault="00DD583B" w:rsidP="005D2A90">
            <w:pPr>
              <w:rPr>
                <w:rFonts w:ascii="Times New Roman" w:hAnsi="Times New Roman" w:cs="Times New Roman"/>
                <w:bCs/>
              </w:rPr>
            </w:pPr>
            <w:r w:rsidRPr="008B71B5">
              <w:rPr>
                <w:rFonts w:ascii="Times New Roman" w:hAnsi="Times New Roman" w:cs="Times New Roman"/>
                <w:bCs/>
              </w:rPr>
              <w:t>Indicateur 5.5.</w:t>
            </w:r>
            <w:r>
              <w:rPr>
                <w:rFonts w:ascii="Times New Roman" w:hAnsi="Times New Roman" w:cs="Times New Roman"/>
                <w:bCs/>
              </w:rPr>
              <w:t>2</w:t>
            </w:r>
            <w:r w:rsidRPr="008B71B5">
              <w:rPr>
                <w:rFonts w:ascii="Times New Roman" w:hAnsi="Times New Roman" w:cs="Times New Roman"/>
                <w:bCs/>
              </w:rPr>
              <w:t xml:space="preserve"> % producteurs agricoles </w:t>
            </w:r>
            <w:r>
              <w:rPr>
                <w:rFonts w:ascii="Times New Roman" w:hAnsi="Times New Roman" w:cs="Times New Roman"/>
                <w:bCs/>
              </w:rPr>
              <w:t xml:space="preserve">formés </w:t>
            </w:r>
            <w:r w:rsidRPr="008B71B5">
              <w:rPr>
                <w:rFonts w:ascii="Times New Roman" w:hAnsi="Times New Roman" w:cs="Times New Roman"/>
                <w:bCs/>
              </w:rPr>
              <w:t>utilisant des techniques de maîtrise et de gestion d’eau et/ou des techniques de production et de gestion durable des terres, suite à l’appui du programme</w:t>
            </w:r>
          </w:p>
          <w:p w14:paraId="296F3DB6" w14:textId="77777777" w:rsidR="00DD583B" w:rsidRDefault="00DD583B" w:rsidP="005D2A90">
            <w:pPr>
              <w:widowControl w:val="0"/>
              <w:snapToGrid w:val="0"/>
              <w:rPr>
                <w:rFonts w:ascii="Times New Roman" w:hAnsi="Times New Roman" w:cs="Times New Roman"/>
                <w:bCs/>
              </w:rPr>
            </w:pPr>
          </w:p>
          <w:p w14:paraId="2B9F3B9F" w14:textId="77777777" w:rsidR="00DD583B" w:rsidRDefault="00DD583B" w:rsidP="005D2A90">
            <w:pPr>
              <w:widowControl w:val="0"/>
              <w:snapToGrid w:val="0"/>
              <w:rPr>
                <w:rFonts w:ascii="Times New Roman" w:hAnsi="Times New Roman" w:cs="Times New Roman"/>
                <w:bCs/>
              </w:rPr>
            </w:pPr>
            <w:r>
              <w:rPr>
                <w:rFonts w:ascii="Times New Roman" w:hAnsi="Times New Roman" w:cs="Times New Roman"/>
                <w:bCs/>
              </w:rPr>
              <w:t xml:space="preserve">Base : </w:t>
            </w:r>
            <w:r w:rsidRPr="008B71B5">
              <w:rPr>
                <w:rFonts w:ascii="Times New Roman" w:hAnsi="Times New Roman" w:cs="Times New Roman"/>
                <w:bCs/>
              </w:rPr>
              <w:t>15%</w:t>
            </w:r>
          </w:p>
          <w:p w14:paraId="16BF07B3"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80%</w:t>
            </w:r>
          </w:p>
          <w:p w14:paraId="399715B3" w14:textId="77777777" w:rsidR="00DD583B" w:rsidRDefault="00DD583B" w:rsidP="005D2A90">
            <w:pPr>
              <w:widowControl w:val="0"/>
              <w:snapToGrid w:val="0"/>
              <w:rPr>
                <w:rFonts w:ascii="Times New Roman" w:hAnsi="Times New Roman" w:cs="Times New Roman"/>
                <w:bCs/>
              </w:rPr>
            </w:pPr>
          </w:p>
          <w:p w14:paraId="74284C4A" w14:textId="77777777" w:rsidR="00DD583B" w:rsidRPr="00A4071B" w:rsidRDefault="00DD583B" w:rsidP="005D2A90">
            <w:pPr>
              <w:rPr>
                <w:lang w:val="fr-FR"/>
              </w:rPr>
            </w:pPr>
            <w:r w:rsidRPr="00665A95">
              <w:rPr>
                <w:rFonts w:ascii="Times New Roman" w:hAnsi="Times New Roman" w:cstheme="minorBidi"/>
              </w:rPr>
              <w:t>Cible :  80%</w:t>
            </w:r>
          </w:p>
        </w:tc>
        <w:tc>
          <w:tcPr>
            <w:tcW w:w="3622" w:type="dxa"/>
            <w:vAlign w:val="center"/>
          </w:tcPr>
          <w:p w14:paraId="4903B209"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 xml:space="preserve">Mode de calcul : Rapport Nb de </w:t>
            </w:r>
            <w:r w:rsidRPr="008B71B5">
              <w:rPr>
                <w:rFonts w:ascii="Times New Roman" w:hAnsi="Times New Roman" w:cs="Times New Roman"/>
                <w:bCs/>
              </w:rPr>
              <w:t>producteurs agricoles utilisant des techniques de maîtrise et de gestion d’eau et/ou des techniques de production et de gestion durable des terres, sur Nb total de producteurs agricoles</w:t>
            </w:r>
          </w:p>
          <w:p w14:paraId="2DD1E68D"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Sources de données</w:t>
            </w:r>
            <w:r>
              <w:rPr>
                <w:rFonts w:ascii="Times New Roman" w:hAnsi="Times New Roman" w:cs="Times New Roman"/>
              </w:rPr>
              <w:t>/Moyens de vérification</w:t>
            </w:r>
            <w:r w:rsidRPr="008B71B5">
              <w:rPr>
                <w:rFonts w:ascii="Times New Roman" w:hAnsi="Times New Roman" w:cs="Times New Roman"/>
              </w:rPr>
              <w:t>: Données agricoles nationales</w:t>
            </w:r>
          </w:p>
          <w:p w14:paraId="68867C8C"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w:t>
            </w:r>
          </w:p>
          <w:p w14:paraId="0A64F216" w14:textId="77777777" w:rsidR="00DD583B" w:rsidRPr="00A4071B" w:rsidRDefault="00DD583B" w:rsidP="005D2A90">
            <w:pPr>
              <w:pStyle w:val="Paragraphedeliste"/>
              <w:numPr>
                <w:ilvl w:val="0"/>
                <w:numId w:val="16"/>
              </w:numPr>
              <w:ind w:left="357" w:hanging="357"/>
              <w:rPr>
                <w:lang w:val="fr-FR"/>
              </w:rPr>
            </w:pPr>
            <w:r w:rsidRPr="008B71B5">
              <w:rPr>
                <w:rFonts w:ascii="Times New Roman" w:hAnsi="Times New Roman" w:cs="Times New Roman"/>
              </w:rPr>
              <w:lastRenderedPageBreak/>
              <w:t>Maître d’œuvre : Groupe de Résultat, en rapport avec l’Appareil statistique national</w:t>
            </w:r>
          </w:p>
        </w:tc>
        <w:tc>
          <w:tcPr>
            <w:tcW w:w="3136" w:type="dxa"/>
            <w:shd w:val="clear" w:color="auto" w:fill="auto"/>
          </w:tcPr>
          <w:p w14:paraId="5DA7E6B2" w14:textId="77777777" w:rsidR="00DD583B" w:rsidRPr="00A4071B" w:rsidRDefault="00DD583B" w:rsidP="005D2A90">
            <w:pPr>
              <w:rPr>
                <w:lang w:val="fr-FR"/>
              </w:rPr>
            </w:pPr>
          </w:p>
        </w:tc>
        <w:tc>
          <w:tcPr>
            <w:tcW w:w="1936" w:type="dxa"/>
            <w:shd w:val="clear" w:color="auto" w:fill="auto"/>
          </w:tcPr>
          <w:p w14:paraId="0D4A170E" w14:textId="77777777" w:rsidR="00DD583B" w:rsidRPr="00A4071B" w:rsidRDefault="00DD583B" w:rsidP="005D2A90">
            <w:pPr>
              <w:rPr>
                <w:lang w:val="fr-FR"/>
              </w:rPr>
            </w:pPr>
          </w:p>
        </w:tc>
        <w:tc>
          <w:tcPr>
            <w:tcW w:w="1248" w:type="dxa"/>
          </w:tcPr>
          <w:p w14:paraId="6E632623" w14:textId="77777777" w:rsidR="00DD583B" w:rsidRPr="00A4071B" w:rsidRDefault="00DD583B" w:rsidP="005D2A90">
            <w:pPr>
              <w:rPr>
                <w:lang w:val="fr-FR"/>
              </w:rPr>
            </w:pPr>
          </w:p>
        </w:tc>
      </w:tr>
      <w:tr w:rsidR="00DD583B" w:rsidRPr="00A4071B" w14:paraId="5AF2408D" w14:textId="77777777" w:rsidTr="005D2A90">
        <w:tc>
          <w:tcPr>
            <w:tcW w:w="2507" w:type="dxa"/>
            <w:shd w:val="clear" w:color="auto" w:fill="DBE5F1" w:themeFill="accent1" w:themeFillTint="33"/>
            <w:vAlign w:val="center"/>
          </w:tcPr>
          <w:p w14:paraId="5B1A1116" w14:textId="77777777" w:rsidR="00DD583B" w:rsidRPr="00A4071B" w:rsidRDefault="00DD583B" w:rsidP="005D2A90">
            <w:pPr>
              <w:rPr>
                <w:lang w:val="fr-FR"/>
              </w:rPr>
            </w:pPr>
          </w:p>
        </w:tc>
        <w:tc>
          <w:tcPr>
            <w:tcW w:w="2719" w:type="dxa"/>
            <w:vAlign w:val="center"/>
          </w:tcPr>
          <w:p w14:paraId="120E6D82" w14:textId="77777777" w:rsidR="00DD583B" w:rsidRDefault="00DD583B" w:rsidP="005D2A90">
            <w:pPr>
              <w:rPr>
                <w:rFonts w:ascii="Times New Roman" w:hAnsi="Times New Roman" w:cs="Times New Roman"/>
                <w:bCs/>
              </w:rPr>
            </w:pPr>
            <w:r w:rsidRPr="008B71B5">
              <w:rPr>
                <w:rFonts w:ascii="Times New Roman" w:hAnsi="Times New Roman" w:cs="Times New Roman"/>
                <w:bCs/>
              </w:rPr>
              <w:t>Indicateur 5.5.</w:t>
            </w:r>
            <w:r>
              <w:rPr>
                <w:rFonts w:ascii="Times New Roman" w:hAnsi="Times New Roman" w:cs="Times New Roman"/>
                <w:bCs/>
              </w:rPr>
              <w:t>3</w:t>
            </w:r>
            <w:r w:rsidRPr="008B71B5">
              <w:rPr>
                <w:rFonts w:ascii="Times New Roman" w:hAnsi="Times New Roman" w:cs="Times New Roman"/>
                <w:bCs/>
              </w:rPr>
              <w:t xml:space="preserve"> Nombre de comités communaux et locaux de RRC mis en place et opérationnels, suite à l’appui du programme</w:t>
            </w:r>
          </w:p>
          <w:p w14:paraId="4E8BD903" w14:textId="77777777" w:rsidR="00DD583B" w:rsidRDefault="00DD583B" w:rsidP="005D2A90">
            <w:pPr>
              <w:widowControl w:val="0"/>
              <w:snapToGrid w:val="0"/>
              <w:rPr>
                <w:rFonts w:ascii="Times New Roman" w:hAnsi="Times New Roman" w:cs="Times New Roman"/>
                <w:bCs/>
              </w:rPr>
            </w:pPr>
          </w:p>
          <w:p w14:paraId="66111830" w14:textId="77777777" w:rsidR="00DD583B" w:rsidRDefault="00DD583B" w:rsidP="005D2A90">
            <w:pPr>
              <w:widowControl w:val="0"/>
              <w:snapToGrid w:val="0"/>
              <w:rPr>
                <w:rFonts w:ascii="Times New Roman" w:hAnsi="Times New Roman" w:cs="Times New Roman"/>
                <w:bCs/>
              </w:rPr>
            </w:pPr>
            <w:r>
              <w:rPr>
                <w:rFonts w:ascii="Times New Roman" w:hAnsi="Times New Roman" w:cs="Times New Roman"/>
                <w:bCs/>
              </w:rPr>
              <w:t>Base : 0</w:t>
            </w:r>
          </w:p>
          <w:p w14:paraId="38D9C9F2"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2</w:t>
            </w:r>
          </w:p>
          <w:p w14:paraId="162520F5" w14:textId="77777777" w:rsidR="00DD583B" w:rsidRDefault="00DD583B" w:rsidP="005D2A90">
            <w:pPr>
              <w:widowControl w:val="0"/>
              <w:snapToGrid w:val="0"/>
              <w:rPr>
                <w:rFonts w:ascii="Times New Roman" w:hAnsi="Times New Roman" w:cs="Times New Roman"/>
                <w:bCs/>
              </w:rPr>
            </w:pPr>
          </w:p>
          <w:p w14:paraId="296E1AE4" w14:textId="77777777" w:rsidR="00DD583B" w:rsidRDefault="00DD583B" w:rsidP="005D2A90">
            <w:pPr>
              <w:rPr>
                <w:lang w:val="fr-FR"/>
              </w:rPr>
            </w:pPr>
            <w:r>
              <w:rPr>
                <w:rFonts w:ascii="Times New Roman" w:hAnsi="Times New Roman" w:cs="Times New Roman"/>
                <w:bCs/>
              </w:rPr>
              <w:t>Cible :  15</w:t>
            </w:r>
          </w:p>
        </w:tc>
        <w:tc>
          <w:tcPr>
            <w:tcW w:w="3622" w:type="dxa"/>
            <w:vAlign w:val="center"/>
          </w:tcPr>
          <w:p w14:paraId="000A660A"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 xml:space="preserve">Mode de calcul : Dénombrement des </w:t>
            </w:r>
            <w:r w:rsidRPr="008B71B5">
              <w:rPr>
                <w:rFonts w:ascii="Times New Roman" w:hAnsi="Times New Roman" w:cs="Times New Roman"/>
                <w:bCs/>
              </w:rPr>
              <w:t xml:space="preserve"> comités communaux et locaux de RRC mis en place et opérationnels suite à l’appui du programme</w:t>
            </w:r>
          </w:p>
          <w:p w14:paraId="29F92C81"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Sources de données</w:t>
            </w:r>
            <w:r>
              <w:rPr>
                <w:rFonts w:ascii="Times New Roman" w:hAnsi="Times New Roman" w:cs="Times New Roman"/>
              </w:rPr>
              <w:t>/Moyens de vérification</w:t>
            </w:r>
            <w:r w:rsidRPr="008B71B5">
              <w:rPr>
                <w:rFonts w:ascii="Times New Roman" w:hAnsi="Times New Roman" w:cs="Times New Roman"/>
              </w:rPr>
              <w:t>: Données SNU</w:t>
            </w:r>
          </w:p>
          <w:p w14:paraId="572D2469"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w:t>
            </w:r>
          </w:p>
          <w:p w14:paraId="79DAA58F" w14:textId="77777777" w:rsidR="00DD583B" w:rsidRPr="00A4071B" w:rsidRDefault="00DD583B" w:rsidP="005D2A90">
            <w:pPr>
              <w:pStyle w:val="Paragraphedeliste"/>
              <w:numPr>
                <w:ilvl w:val="0"/>
                <w:numId w:val="16"/>
              </w:numPr>
              <w:ind w:left="357" w:hanging="357"/>
              <w:rPr>
                <w:lang w:val="fr-FR"/>
              </w:rPr>
            </w:pPr>
            <w:r w:rsidRPr="008B71B5">
              <w:rPr>
                <w:rFonts w:ascii="Times New Roman" w:hAnsi="Times New Roman" w:cs="Times New Roman"/>
              </w:rPr>
              <w:t>Maître d’œuvre : Groupe de Résultat</w:t>
            </w:r>
          </w:p>
        </w:tc>
        <w:tc>
          <w:tcPr>
            <w:tcW w:w="3136" w:type="dxa"/>
            <w:shd w:val="clear" w:color="auto" w:fill="auto"/>
          </w:tcPr>
          <w:p w14:paraId="540E61D9" w14:textId="77777777" w:rsidR="00DD583B" w:rsidRPr="00A4071B" w:rsidRDefault="00DD583B" w:rsidP="005D2A90">
            <w:pPr>
              <w:rPr>
                <w:lang w:val="fr-FR"/>
              </w:rPr>
            </w:pPr>
          </w:p>
        </w:tc>
        <w:tc>
          <w:tcPr>
            <w:tcW w:w="1936" w:type="dxa"/>
            <w:shd w:val="clear" w:color="auto" w:fill="auto"/>
          </w:tcPr>
          <w:p w14:paraId="46CCA842" w14:textId="77777777" w:rsidR="00DD583B" w:rsidRPr="00A4071B" w:rsidRDefault="00DD583B" w:rsidP="005D2A90">
            <w:pPr>
              <w:rPr>
                <w:lang w:val="fr-FR"/>
              </w:rPr>
            </w:pPr>
          </w:p>
        </w:tc>
        <w:tc>
          <w:tcPr>
            <w:tcW w:w="1248" w:type="dxa"/>
          </w:tcPr>
          <w:p w14:paraId="345FD16E" w14:textId="77777777" w:rsidR="00DD583B" w:rsidRPr="00A4071B" w:rsidRDefault="00DD583B" w:rsidP="005D2A90">
            <w:pPr>
              <w:rPr>
                <w:lang w:val="fr-FR"/>
              </w:rPr>
            </w:pPr>
          </w:p>
        </w:tc>
      </w:tr>
      <w:tr w:rsidR="00DD583B" w:rsidRPr="00A4071B" w14:paraId="0DC7A1ED" w14:textId="77777777" w:rsidTr="005D2A90">
        <w:tc>
          <w:tcPr>
            <w:tcW w:w="2507" w:type="dxa"/>
            <w:vMerge w:val="restart"/>
            <w:shd w:val="clear" w:color="auto" w:fill="DBE5F1" w:themeFill="accent1" w:themeFillTint="33"/>
            <w:vAlign w:val="center"/>
          </w:tcPr>
          <w:p w14:paraId="1AA34807" w14:textId="77777777" w:rsidR="00DD583B" w:rsidRPr="00A4071B" w:rsidRDefault="00DD583B" w:rsidP="005D2A90">
            <w:pPr>
              <w:rPr>
                <w:lang w:val="fr-FR"/>
              </w:rPr>
            </w:pPr>
            <w:r w:rsidRPr="008B71B5">
              <w:rPr>
                <w:rFonts w:ascii="Times New Roman" w:hAnsi="Times New Roman" w:cs="Times New Roman"/>
                <w:bCs/>
              </w:rPr>
              <w:t>Produit 5.6 : Les populations et les autres acteurs affectés par la désertification et la déforestation bénéficient de capacités accrues pour gérer de manière durable les ressources naturelles et protéger la biodiversité et les écosystèmes</w:t>
            </w:r>
          </w:p>
        </w:tc>
        <w:tc>
          <w:tcPr>
            <w:tcW w:w="2719" w:type="dxa"/>
            <w:vAlign w:val="center"/>
          </w:tcPr>
          <w:p w14:paraId="050EF01D" w14:textId="77777777" w:rsidR="00DD583B" w:rsidRDefault="00DD583B" w:rsidP="005D2A90">
            <w:pPr>
              <w:rPr>
                <w:rFonts w:ascii="Times New Roman" w:hAnsi="Times New Roman" w:cs="Times New Roman"/>
                <w:bCs/>
              </w:rPr>
            </w:pPr>
            <w:r w:rsidRPr="008B71B5">
              <w:rPr>
                <w:rFonts w:ascii="Times New Roman" w:hAnsi="Times New Roman" w:cs="Times New Roman"/>
                <w:bCs/>
              </w:rPr>
              <w:t>Indicateur 5.6.1 Superficie des aires protégées </w:t>
            </w:r>
          </w:p>
          <w:p w14:paraId="291E4B86" w14:textId="77777777" w:rsidR="00DD583B" w:rsidRDefault="00DD583B" w:rsidP="005D2A90">
            <w:pPr>
              <w:rPr>
                <w:rFonts w:ascii="Times New Roman" w:hAnsi="Times New Roman" w:cs="Times New Roman"/>
                <w:bCs/>
              </w:rPr>
            </w:pPr>
          </w:p>
          <w:p w14:paraId="0A4415FF" w14:textId="77777777" w:rsidR="00DD583B" w:rsidRDefault="00DD583B" w:rsidP="005D2A90">
            <w:pPr>
              <w:widowControl w:val="0"/>
              <w:snapToGrid w:val="0"/>
              <w:rPr>
                <w:rFonts w:ascii="Times New Roman" w:hAnsi="Times New Roman" w:cs="Times New Roman"/>
                <w:bCs/>
              </w:rPr>
            </w:pPr>
            <w:r>
              <w:rPr>
                <w:rFonts w:ascii="Times New Roman" w:hAnsi="Times New Roman" w:cs="Times New Roman"/>
                <w:bCs/>
              </w:rPr>
              <w:t xml:space="preserve">Base : </w:t>
            </w:r>
            <w:r w:rsidRPr="008B71B5">
              <w:rPr>
                <w:rFonts w:ascii="Times New Roman" w:hAnsi="Times New Roman" w:cs="Times New Roman"/>
                <w:bCs/>
              </w:rPr>
              <w:t>100000 ha en 2010 </w:t>
            </w:r>
          </w:p>
          <w:p w14:paraId="710C8198"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w:t>
            </w:r>
            <w:r>
              <w:rPr>
                <w:rFonts w:ascii="Calibri" w:hAnsi="Calibri"/>
                <w:color w:val="FF0000"/>
                <w:sz w:val="18"/>
                <w:szCs w:val="18"/>
              </w:rPr>
              <w:t xml:space="preserve">100,719 </w:t>
            </w:r>
          </w:p>
          <w:p w14:paraId="07D499A3" w14:textId="77777777" w:rsidR="00DD583B" w:rsidRPr="00E44CE6" w:rsidRDefault="00DD583B" w:rsidP="005D2A90">
            <w:pPr>
              <w:widowControl w:val="0"/>
              <w:snapToGrid w:val="0"/>
              <w:rPr>
                <w:rFonts w:ascii="Times New Roman" w:hAnsi="Times New Roman" w:cs="Times New Roman"/>
                <w:bCs/>
                <w:lang w:val="fr-FR"/>
              </w:rPr>
            </w:pPr>
          </w:p>
          <w:p w14:paraId="0216A79C" w14:textId="77777777" w:rsidR="00DD583B" w:rsidRDefault="00DD583B" w:rsidP="005D2A90">
            <w:pPr>
              <w:rPr>
                <w:lang w:val="fr-FR"/>
              </w:rPr>
            </w:pPr>
            <w:r>
              <w:rPr>
                <w:rFonts w:ascii="Times New Roman" w:hAnsi="Times New Roman" w:cs="Times New Roman"/>
                <w:bCs/>
              </w:rPr>
              <w:t xml:space="preserve">Cible : </w:t>
            </w:r>
            <w:r w:rsidRPr="008B71B5">
              <w:rPr>
                <w:rFonts w:ascii="Times New Roman" w:hAnsi="Times New Roman" w:cs="Times New Roman"/>
                <w:bCs/>
              </w:rPr>
              <w:t>131220 ha</w:t>
            </w:r>
          </w:p>
        </w:tc>
        <w:tc>
          <w:tcPr>
            <w:tcW w:w="3622" w:type="dxa"/>
            <w:vAlign w:val="center"/>
          </w:tcPr>
          <w:p w14:paraId="3A28B149"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Mode de calcul : Mesure des aires protégées</w:t>
            </w:r>
          </w:p>
          <w:p w14:paraId="46261E67"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Sources de données</w:t>
            </w:r>
            <w:r>
              <w:rPr>
                <w:rFonts w:ascii="Times New Roman" w:hAnsi="Times New Roman" w:cs="Times New Roman"/>
              </w:rPr>
              <w:t>/Moyens de vérification</w:t>
            </w:r>
            <w:r w:rsidRPr="008B71B5">
              <w:rPr>
                <w:rFonts w:ascii="Times New Roman" w:hAnsi="Times New Roman" w:cs="Times New Roman"/>
              </w:rPr>
              <w:t>: Données nationales</w:t>
            </w:r>
          </w:p>
          <w:p w14:paraId="3F6940F1"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w:t>
            </w:r>
          </w:p>
          <w:p w14:paraId="43ED2A21" w14:textId="77777777" w:rsidR="00DD583B" w:rsidRPr="00A4071B" w:rsidRDefault="00DD583B" w:rsidP="005D2A90">
            <w:pPr>
              <w:pStyle w:val="Paragraphedeliste"/>
              <w:numPr>
                <w:ilvl w:val="0"/>
                <w:numId w:val="16"/>
              </w:numPr>
              <w:ind w:left="357" w:hanging="357"/>
              <w:rPr>
                <w:lang w:val="fr-FR"/>
              </w:rPr>
            </w:pPr>
            <w:r w:rsidRPr="008B71B5">
              <w:rPr>
                <w:rFonts w:ascii="Times New Roman" w:hAnsi="Times New Roman" w:cs="Times New Roman"/>
              </w:rPr>
              <w:t>Maître d’œuvre : Groupe de Résultat, en rapport avec l’Appareil statistique national</w:t>
            </w:r>
          </w:p>
        </w:tc>
        <w:tc>
          <w:tcPr>
            <w:tcW w:w="3136" w:type="dxa"/>
            <w:vMerge w:val="restart"/>
          </w:tcPr>
          <w:p w14:paraId="7C75FFE3" w14:textId="77777777" w:rsidR="00DD583B" w:rsidRPr="008B72F6" w:rsidRDefault="00DD583B" w:rsidP="005D2A90">
            <w:pPr>
              <w:keepNext/>
              <w:contextualSpacing/>
              <w:rPr>
                <w:rFonts w:cstheme="minorHAnsi"/>
                <w:color w:val="000000"/>
                <w:sz w:val="18"/>
                <w:szCs w:val="18"/>
                <w:lang w:val="fr-FR"/>
              </w:rPr>
            </w:pPr>
          </w:p>
          <w:p w14:paraId="55E6A7BE" w14:textId="77777777" w:rsidR="00DD583B" w:rsidRPr="008B72F6" w:rsidRDefault="00DD583B" w:rsidP="005D2A90">
            <w:pPr>
              <w:keepNext/>
              <w:contextualSpacing/>
              <w:rPr>
                <w:rFonts w:cstheme="minorHAnsi"/>
                <w:color w:val="000000"/>
                <w:sz w:val="18"/>
                <w:szCs w:val="18"/>
                <w:lang w:val="fr-FR"/>
              </w:rPr>
            </w:pPr>
          </w:p>
          <w:p w14:paraId="0CBDFCAB" w14:textId="77777777" w:rsidR="00DD583B" w:rsidRPr="008B72F6" w:rsidRDefault="00DD583B" w:rsidP="005D2A90">
            <w:pPr>
              <w:keepNext/>
              <w:contextualSpacing/>
              <w:rPr>
                <w:rFonts w:cstheme="minorHAnsi"/>
                <w:color w:val="000000"/>
                <w:sz w:val="18"/>
                <w:szCs w:val="18"/>
                <w:lang w:val="fr-FR"/>
              </w:rPr>
            </w:pPr>
            <w:r w:rsidRPr="008B72F6">
              <w:rPr>
                <w:rFonts w:cstheme="minorHAnsi"/>
                <w:color w:val="000000"/>
                <w:sz w:val="18"/>
                <w:szCs w:val="18"/>
              </w:rPr>
              <w:t>instabilité politique et sécuritaire</w:t>
            </w:r>
          </w:p>
          <w:p w14:paraId="6F92DB06" w14:textId="77777777" w:rsidR="00DD583B" w:rsidRPr="008B72F6" w:rsidRDefault="00DD583B" w:rsidP="005D2A90">
            <w:pPr>
              <w:keepNext/>
              <w:contextualSpacing/>
              <w:rPr>
                <w:rFonts w:cstheme="minorHAnsi"/>
                <w:color w:val="000000"/>
                <w:sz w:val="18"/>
                <w:szCs w:val="18"/>
                <w:lang w:val="fr-FR"/>
              </w:rPr>
            </w:pPr>
          </w:p>
          <w:p w14:paraId="6FE96A24" w14:textId="77777777" w:rsidR="00DD583B" w:rsidRPr="008B72F6" w:rsidRDefault="00DD583B" w:rsidP="005D2A90">
            <w:pPr>
              <w:keepNext/>
              <w:contextualSpacing/>
              <w:rPr>
                <w:rFonts w:cstheme="minorHAnsi"/>
                <w:color w:val="000000"/>
                <w:sz w:val="18"/>
                <w:szCs w:val="18"/>
                <w:lang w:val="fr-FR"/>
              </w:rPr>
            </w:pPr>
          </w:p>
          <w:p w14:paraId="6899D5BF" w14:textId="77777777" w:rsidR="00DD583B" w:rsidRPr="008B72F6" w:rsidRDefault="00DD583B" w:rsidP="005D2A90">
            <w:pPr>
              <w:keepNext/>
              <w:contextualSpacing/>
              <w:rPr>
                <w:rFonts w:cstheme="minorHAnsi"/>
                <w:color w:val="000000"/>
                <w:sz w:val="18"/>
                <w:szCs w:val="18"/>
                <w:lang w:val="fr-FR"/>
              </w:rPr>
            </w:pPr>
          </w:p>
          <w:p w14:paraId="70A9E52A" w14:textId="77777777" w:rsidR="00DD583B" w:rsidRPr="008B72F6" w:rsidRDefault="00DD583B" w:rsidP="005D2A90">
            <w:pPr>
              <w:keepNext/>
              <w:contextualSpacing/>
              <w:rPr>
                <w:rFonts w:cstheme="minorHAnsi"/>
                <w:color w:val="000000"/>
                <w:sz w:val="18"/>
                <w:szCs w:val="18"/>
                <w:lang w:val="fr-FR"/>
              </w:rPr>
            </w:pPr>
          </w:p>
          <w:p w14:paraId="40C961DC" w14:textId="77777777" w:rsidR="00DD583B" w:rsidRPr="008B72F6" w:rsidRDefault="00DD583B" w:rsidP="005D2A90">
            <w:pPr>
              <w:rPr>
                <w:lang w:val="fr-FR"/>
              </w:rPr>
            </w:pPr>
            <w:r w:rsidRPr="008B72F6">
              <w:rPr>
                <w:rFonts w:cstheme="minorHAnsi"/>
                <w:color w:val="000000"/>
                <w:sz w:val="18"/>
                <w:szCs w:val="18"/>
              </w:rPr>
              <w:t>Mise en œuvre correcte des politiques sectorielles</w:t>
            </w:r>
          </w:p>
        </w:tc>
        <w:tc>
          <w:tcPr>
            <w:tcW w:w="1936" w:type="dxa"/>
            <w:vMerge w:val="restart"/>
          </w:tcPr>
          <w:p w14:paraId="08BC1A74" w14:textId="77777777" w:rsidR="00DD583B" w:rsidRPr="00A4071B" w:rsidRDefault="00DD583B" w:rsidP="005D2A90">
            <w:pPr>
              <w:rPr>
                <w:lang w:val="fr-FR"/>
              </w:rPr>
            </w:pPr>
          </w:p>
        </w:tc>
        <w:tc>
          <w:tcPr>
            <w:tcW w:w="1248" w:type="dxa"/>
            <w:vMerge w:val="restart"/>
          </w:tcPr>
          <w:p w14:paraId="334F8C57" w14:textId="77777777" w:rsidR="00DD583B" w:rsidRPr="00A4071B" w:rsidRDefault="00DD583B" w:rsidP="005D2A90">
            <w:pPr>
              <w:rPr>
                <w:lang w:val="fr-FR"/>
              </w:rPr>
            </w:pPr>
          </w:p>
        </w:tc>
      </w:tr>
      <w:tr w:rsidR="00DD583B" w:rsidRPr="00A4071B" w14:paraId="6EDE466C" w14:textId="77777777" w:rsidTr="005D2A90">
        <w:tc>
          <w:tcPr>
            <w:tcW w:w="2507" w:type="dxa"/>
            <w:vMerge/>
            <w:shd w:val="clear" w:color="auto" w:fill="DBE5F1" w:themeFill="accent1" w:themeFillTint="33"/>
            <w:vAlign w:val="center"/>
          </w:tcPr>
          <w:p w14:paraId="3E9BBD0A" w14:textId="77777777" w:rsidR="00DD583B" w:rsidRPr="00A4071B" w:rsidRDefault="00DD583B" w:rsidP="005D2A90">
            <w:pPr>
              <w:rPr>
                <w:lang w:val="fr-FR"/>
              </w:rPr>
            </w:pPr>
          </w:p>
        </w:tc>
        <w:tc>
          <w:tcPr>
            <w:tcW w:w="2719" w:type="dxa"/>
            <w:vAlign w:val="center"/>
          </w:tcPr>
          <w:p w14:paraId="77B00E75" w14:textId="77777777" w:rsidR="00DD583B" w:rsidRDefault="00DD583B" w:rsidP="005D2A90">
            <w:pPr>
              <w:rPr>
                <w:rFonts w:ascii="Times New Roman" w:hAnsi="Times New Roman" w:cs="Times New Roman"/>
                <w:bCs/>
              </w:rPr>
            </w:pPr>
            <w:r w:rsidRPr="008B71B5">
              <w:rPr>
                <w:rFonts w:ascii="Times New Roman" w:hAnsi="Times New Roman" w:cs="Times New Roman"/>
                <w:bCs/>
              </w:rPr>
              <w:t>Indicateur 5.6.2 Bilan des émissions/absorptions de gaz à effet de serre dans le secteur du changement d’affectation des terres et de la foresterie (Giga grammes de CO2)</w:t>
            </w:r>
          </w:p>
          <w:p w14:paraId="382798F0" w14:textId="77777777" w:rsidR="00DD583B" w:rsidRDefault="00DD583B" w:rsidP="005D2A90">
            <w:pPr>
              <w:widowControl w:val="0"/>
              <w:snapToGrid w:val="0"/>
              <w:rPr>
                <w:rFonts w:ascii="Times New Roman" w:hAnsi="Times New Roman" w:cs="Times New Roman"/>
                <w:bCs/>
              </w:rPr>
            </w:pPr>
          </w:p>
          <w:p w14:paraId="62230188" w14:textId="77777777" w:rsidR="00DD583B" w:rsidRDefault="00DD583B" w:rsidP="005D2A90">
            <w:pPr>
              <w:widowControl w:val="0"/>
              <w:snapToGrid w:val="0"/>
              <w:rPr>
                <w:rFonts w:ascii="Times New Roman" w:hAnsi="Times New Roman" w:cs="Times New Roman"/>
                <w:bCs/>
              </w:rPr>
            </w:pPr>
            <w:r>
              <w:rPr>
                <w:rFonts w:ascii="Times New Roman" w:hAnsi="Times New Roman" w:cs="Times New Roman"/>
                <w:bCs/>
              </w:rPr>
              <w:t xml:space="preserve">Base : </w:t>
            </w:r>
            <w:r w:rsidRPr="008B71B5">
              <w:rPr>
                <w:rFonts w:ascii="Times New Roman" w:hAnsi="Times New Roman" w:cs="Times New Roman"/>
                <w:bCs/>
              </w:rPr>
              <w:t>-42 318</w:t>
            </w:r>
          </w:p>
          <w:p w14:paraId="73FEB025" w14:textId="77777777" w:rsidR="00DD583B" w:rsidRPr="00CE2384" w:rsidRDefault="00DD583B" w:rsidP="005D2A90">
            <w:pPr>
              <w:snapToGrid w:val="0"/>
              <w:rPr>
                <w:rFonts w:ascii="Calibri" w:hAnsi="Calibri"/>
                <w:color w:val="FF0000"/>
                <w:sz w:val="18"/>
                <w:szCs w:val="18"/>
                <w:lang w:val="fr-FR"/>
              </w:rPr>
            </w:pPr>
            <w:r w:rsidRPr="00CE2384">
              <w:rPr>
                <w:rFonts w:ascii="Calibri" w:hAnsi="Calibri"/>
                <w:color w:val="FF0000"/>
                <w:sz w:val="18"/>
                <w:szCs w:val="18"/>
              </w:rPr>
              <w:t xml:space="preserve">Situation en fin 2017: : </w:t>
            </w:r>
            <w:r w:rsidRPr="00FD0B21">
              <w:rPr>
                <w:rFonts w:ascii="Calibri" w:hAnsi="Calibri"/>
                <w:color w:val="FF0000"/>
                <w:sz w:val="18"/>
                <w:szCs w:val="18"/>
              </w:rPr>
              <w:t>-2</w:t>
            </w:r>
            <w:r>
              <w:rPr>
                <w:rFonts w:ascii="Calibri" w:hAnsi="Calibri"/>
                <w:color w:val="FF0000"/>
                <w:sz w:val="18"/>
                <w:szCs w:val="18"/>
              </w:rPr>
              <w:t>45177</w:t>
            </w:r>
            <w:r w:rsidRPr="00FD0B21">
              <w:rPr>
                <w:rFonts w:ascii="Calibri" w:hAnsi="Calibri"/>
                <w:color w:val="FF0000"/>
                <w:sz w:val="18"/>
                <w:szCs w:val="18"/>
              </w:rPr>
              <w:t xml:space="preserve"> ktéq CO2</w:t>
            </w:r>
          </w:p>
          <w:p w14:paraId="0CB8714F" w14:textId="77777777" w:rsidR="00DD583B" w:rsidRDefault="00DD583B" w:rsidP="005D2A90">
            <w:pPr>
              <w:widowControl w:val="0"/>
              <w:snapToGrid w:val="0"/>
              <w:rPr>
                <w:rFonts w:ascii="Times New Roman" w:hAnsi="Times New Roman" w:cs="Times New Roman"/>
                <w:bCs/>
              </w:rPr>
            </w:pPr>
          </w:p>
          <w:p w14:paraId="1ADF8C8A" w14:textId="77777777" w:rsidR="00DD583B" w:rsidRDefault="00DD583B" w:rsidP="005D2A90">
            <w:pPr>
              <w:rPr>
                <w:lang w:val="fr-FR"/>
              </w:rPr>
            </w:pPr>
            <w:r>
              <w:rPr>
                <w:rFonts w:ascii="Times New Roman" w:hAnsi="Times New Roman" w:cs="Times New Roman"/>
                <w:bCs/>
              </w:rPr>
              <w:t xml:space="preserve">Cible :  </w:t>
            </w:r>
            <w:r w:rsidRPr="008B71B5">
              <w:rPr>
                <w:rFonts w:ascii="Times New Roman" w:hAnsi="Times New Roman" w:cs="Times New Roman"/>
                <w:bCs/>
              </w:rPr>
              <w:t>-65 646</w:t>
            </w:r>
          </w:p>
        </w:tc>
        <w:tc>
          <w:tcPr>
            <w:tcW w:w="3622" w:type="dxa"/>
            <w:vAlign w:val="center"/>
          </w:tcPr>
          <w:p w14:paraId="0D1F3D63"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Mode de calcul : "</w:t>
            </w:r>
            <w:r w:rsidRPr="008B71B5">
              <w:rPr>
                <w:rFonts w:ascii="Times New Roman" w:hAnsi="Times New Roman" w:cs="Times New Roman"/>
                <w:bCs/>
              </w:rPr>
              <w:t>Bilan des émissions/absorptions de gaz à effet de serre dans le secteur du changement d’affectation des terres et de la foresterie (Giga grammes de CO2)"</w:t>
            </w:r>
          </w:p>
          <w:p w14:paraId="0282BBBC"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Sources de données</w:t>
            </w:r>
            <w:r>
              <w:rPr>
                <w:rFonts w:ascii="Times New Roman" w:hAnsi="Times New Roman" w:cs="Times New Roman"/>
              </w:rPr>
              <w:t>/Moyens de vérification</w:t>
            </w:r>
            <w:r w:rsidRPr="008B71B5">
              <w:rPr>
                <w:rFonts w:ascii="Times New Roman" w:hAnsi="Times New Roman" w:cs="Times New Roman"/>
              </w:rPr>
              <w:t>: Données nationales</w:t>
            </w:r>
          </w:p>
          <w:p w14:paraId="6C68DAAF"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Périodicité : Annuelle</w:t>
            </w:r>
          </w:p>
          <w:p w14:paraId="0D9A5F0B" w14:textId="77777777" w:rsidR="00DD583B" w:rsidRPr="00A4071B" w:rsidRDefault="00DD583B" w:rsidP="005D2A90">
            <w:pPr>
              <w:pStyle w:val="Paragraphedeliste"/>
              <w:numPr>
                <w:ilvl w:val="0"/>
                <w:numId w:val="16"/>
              </w:numPr>
              <w:ind w:left="357" w:hanging="357"/>
              <w:rPr>
                <w:lang w:val="fr-FR"/>
              </w:rPr>
            </w:pPr>
            <w:r w:rsidRPr="008B71B5">
              <w:rPr>
                <w:rFonts w:ascii="Times New Roman" w:hAnsi="Times New Roman" w:cs="Times New Roman"/>
              </w:rPr>
              <w:t>Maître d’œuvre : Groupe de Résultat, en rapport avec l’Appareil statistique national</w:t>
            </w:r>
          </w:p>
        </w:tc>
        <w:tc>
          <w:tcPr>
            <w:tcW w:w="3136" w:type="dxa"/>
            <w:vMerge/>
          </w:tcPr>
          <w:p w14:paraId="763CEFF3" w14:textId="77777777" w:rsidR="00DD583B" w:rsidRPr="00A4071B" w:rsidRDefault="00DD583B" w:rsidP="005D2A90">
            <w:pPr>
              <w:rPr>
                <w:lang w:val="fr-FR"/>
              </w:rPr>
            </w:pPr>
          </w:p>
        </w:tc>
        <w:tc>
          <w:tcPr>
            <w:tcW w:w="1936" w:type="dxa"/>
            <w:vMerge/>
          </w:tcPr>
          <w:p w14:paraId="1ACE3E02" w14:textId="77777777" w:rsidR="00DD583B" w:rsidRPr="00A4071B" w:rsidRDefault="00DD583B" w:rsidP="005D2A90">
            <w:pPr>
              <w:rPr>
                <w:lang w:val="fr-FR"/>
              </w:rPr>
            </w:pPr>
          </w:p>
        </w:tc>
        <w:tc>
          <w:tcPr>
            <w:tcW w:w="1248" w:type="dxa"/>
            <w:vMerge/>
          </w:tcPr>
          <w:p w14:paraId="752D8899" w14:textId="77777777" w:rsidR="00DD583B" w:rsidRPr="00A4071B" w:rsidRDefault="00DD583B" w:rsidP="005D2A90">
            <w:pPr>
              <w:rPr>
                <w:lang w:val="fr-FR"/>
              </w:rPr>
            </w:pPr>
          </w:p>
        </w:tc>
      </w:tr>
      <w:tr w:rsidR="00DD583B" w:rsidRPr="00A4071B" w14:paraId="0A4EA5A6" w14:textId="77777777" w:rsidTr="005D2A90">
        <w:tc>
          <w:tcPr>
            <w:tcW w:w="2507" w:type="dxa"/>
            <w:vMerge/>
            <w:shd w:val="clear" w:color="auto" w:fill="DBE5F1" w:themeFill="accent1" w:themeFillTint="33"/>
            <w:vAlign w:val="center"/>
          </w:tcPr>
          <w:p w14:paraId="60408C5A" w14:textId="77777777" w:rsidR="00DD583B" w:rsidRPr="00A4071B" w:rsidRDefault="00DD583B" w:rsidP="005D2A90">
            <w:pPr>
              <w:rPr>
                <w:lang w:val="fr-FR"/>
              </w:rPr>
            </w:pPr>
          </w:p>
        </w:tc>
        <w:tc>
          <w:tcPr>
            <w:tcW w:w="2719" w:type="dxa"/>
            <w:vAlign w:val="center"/>
          </w:tcPr>
          <w:p w14:paraId="275540EC" w14:textId="77777777" w:rsidR="00DD583B" w:rsidRDefault="00DD583B" w:rsidP="005D2A90">
            <w:pPr>
              <w:rPr>
                <w:rFonts w:ascii="Times New Roman" w:hAnsi="Times New Roman" w:cs="Times New Roman"/>
                <w:bCs/>
              </w:rPr>
            </w:pPr>
            <w:r w:rsidRPr="008B71B5">
              <w:rPr>
                <w:rFonts w:ascii="Times New Roman" w:hAnsi="Times New Roman" w:cs="Times New Roman"/>
                <w:bCs/>
              </w:rPr>
              <w:t>Indicateur 5.6.3 Nombre de projets mis en œuvre à travers le Fonds Climat Mali, suite à l’assistance du programme</w:t>
            </w:r>
          </w:p>
          <w:p w14:paraId="0CA86A9D" w14:textId="77777777" w:rsidR="00DD583B" w:rsidRDefault="00DD583B" w:rsidP="005D2A90">
            <w:pPr>
              <w:widowControl w:val="0"/>
              <w:snapToGrid w:val="0"/>
              <w:rPr>
                <w:rFonts w:ascii="Times New Roman" w:hAnsi="Times New Roman" w:cs="Times New Roman"/>
                <w:bCs/>
              </w:rPr>
            </w:pPr>
          </w:p>
          <w:p w14:paraId="340ECA73" w14:textId="77777777" w:rsidR="00DD583B" w:rsidRDefault="00DD583B" w:rsidP="005D2A90">
            <w:pPr>
              <w:widowControl w:val="0"/>
              <w:snapToGrid w:val="0"/>
              <w:rPr>
                <w:rFonts w:ascii="Times New Roman" w:hAnsi="Times New Roman" w:cs="Times New Roman"/>
                <w:bCs/>
              </w:rPr>
            </w:pPr>
            <w:r>
              <w:rPr>
                <w:rFonts w:ascii="Times New Roman" w:hAnsi="Times New Roman" w:cs="Times New Roman"/>
                <w:bCs/>
              </w:rPr>
              <w:t>Base : 3</w:t>
            </w:r>
          </w:p>
          <w:p w14:paraId="36796735" w14:textId="77777777" w:rsidR="00DD583B" w:rsidRDefault="00DD583B" w:rsidP="005D2A90">
            <w:pPr>
              <w:snapToGrid w:val="0"/>
              <w:rPr>
                <w:rFonts w:ascii="Calibri" w:hAnsi="Calibri"/>
                <w:color w:val="FF0000"/>
                <w:sz w:val="18"/>
                <w:szCs w:val="18"/>
              </w:rPr>
            </w:pPr>
            <w:r w:rsidRPr="00CE2384">
              <w:rPr>
                <w:rFonts w:ascii="Calibri" w:hAnsi="Calibri"/>
                <w:color w:val="FF0000"/>
                <w:sz w:val="18"/>
                <w:szCs w:val="18"/>
              </w:rPr>
              <w:t xml:space="preserve">Situation en fin 2017: </w:t>
            </w:r>
            <w:r>
              <w:rPr>
                <w:rFonts w:ascii="Calibri" w:hAnsi="Calibri"/>
                <w:color w:val="FF0000"/>
                <w:sz w:val="18"/>
                <w:szCs w:val="18"/>
              </w:rPr>
              <w:t xml:space="preserve">3 </w:t>
            </w:r>
          </w:p>
          <w:p w14:paraId="6A793664" w14:textId="77777777" w:rsidR="00DD583B" w:rsidRPr="00CE2384" w:rsidRDefault="00DD583B" w:rsidP="005D2A90">
            <w:pPr>
              <w:snapToGrid w:val="0"/>
              <w:rPr>
                <w:rFonts w:ascii="Calibri" w:hAnsi="Calibri"/>
                <w:color w:val="FF0000"/>
                <w:sz w:val="18"/>
                <w:szCs w:val="18"/>
                <w:lang w:val="fr-FR"/>
              </w:rPr>
            </w:pPr>
            <w:r>
              <w:rPr>
                <w:rFonts w:ascii="Calibri" w:hAnsi="Calibri"/>
                <w:color w:val="FF0000"/>
                <w:sz w:val="18"/>
                <w:szCs w:val="18"/>
              </w:rPr>
              <w:lastRenderedPageBreak/>
              <w:t>(rapport PNUD, ONUFemmes et FAO)</w:t>
            </w:r>
          </w:p>
          <w:p w14:paraId="472887E0" w14:textId="77777777" w:rsidR="00DD583B" w:rsidRDefault="00DD583B" w:rsidP="005D2A90">
            <w:pPr>
              <w:widowControl w:val="0"/>
              <w:snapToGrid w:val="0"/>
              <w:rPr>
                <w:rFonts w:ascii="Times New Roman" w:hAnsi="Times New Roman" w:cs="Times New Roman"/>
                <w:bCs/>
              </w:rPr>
            </w:pPr>
          </w:p>
          <w:p w14:paraId="78F16547" w14:textId="77777777" w:rsidR="00DD583B" w:rsidRDefault="00DD583B" w:rsidP="005D2A90">
            <w:pPr>
              <w:rPr>
                <w:lang w:val="fr-FR"/>
              </w:rPr>
            </w:pPr>
            <w:r>
              <w:rPr>
                <w:rFonts w:ascii="Times New Roman" w:hAnsi="Times New Roman" w:cs="Times New Roman"/>
                <w:bCs/>
              </w:rPr>
              <w:t>Cible :  10</w:t>
            </w:r>
          </w:p>
        </w:tc>
        <w:tc>
          <w:tcPr>
            <w:tcW w:w="3622" w:type="dxa"/>
            <w:vAlign w:val="center"/>
          </w:tcPr>
          <w:p w14:paraId="5FC74AE1"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lastRenderedPageBreak/>
              <w:t>Mode de calcul : Dénombrement des</w:t>
            </w:r>
            <w:r w:rsidRPr="008B71B5">
              <w:rPr>
                <w:rFonts w:ascii="Times New Roman" w:hAnsi="Times New Roman" w:cs="Times New Roman"/>
                <w:bCs/>
              </w:rPr>
              <w:t xml:space="preserve"> projets mis en œuvre à travers le Fonds Climat Mali, suite à l’assistance du programme</w:t>
            </w:r>
          </w:p>
          <w:p w14:paraId="7B907DC4"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t>Sources de données</w:t>
            </w:r>
            <w:r>
              <w:rPr>
                <w:rFonts w:ascii="Times New Roman" w:hAnsi="Times New Roman" w:cs="Times New Roman"/>
              </w:rPr>
              <w:t>/Moyens de vérification</w:t>
            </w:r>
            <w:r w:rsidRPr="008B71B5">
              <w:rPr>
                <w:rFonts w:ascii="Times New Roman" w:hAnsi="Times New Roman" w:cs="Times New Roman"/>
              </w:rPr>
              <w:t>: Données Fonds Climat mali</w:t>
            </w:r>
          </w:p>
          <w:p w14:paraId="7135B4D9" w14:textId="77777777" w:rsidR="00DD583B" w:rsidRPr="008B71B5" w:rsidRDefault="00DD583B" w:rsidP="005D2A90">
            <w:pPr>
              <w:numPr>
                <w:ilvl w:val="0"/>
                <w:numId w:val="35"/>
              </w:numPr>
              <w:suppressAutoHyphens/>
              <w:rPr>
                <w:rFonts w:ascii="Times New Roman" w:hAnsi="Times New Roman" w:cs="Times New Roman"/>
              </w:rPr>
            </w:pPr>
            <w:r w:rsidRPr="008B71B5">
              <w:rPr>
                <w:rFonts w:ascii="Times New Roman" w:hAnsi="Times New Roman" w:cs="Times New Roman"/>
              </w:rPr>
              <w:lastRenderedPageBreak/>
              <w:t>Périodicité : Annuelle ou moins</w:t>
            </w:r>
          </w:p>
          <w:p w14:paraId="3467D15C" w14:textId="77777777" w:rsidR="00DD583B" w:rsidRPr="00A4071B" w:rsidRDefault="00DD583B" w:rsidP="005D2A90">
            <w:pPr>
              <w:pStyle w:val="Paragraphedeliste"/>
              <w:numPr>
                <w:ilvl w:val="0"/>
                <w:numId w:val="16"/>
              </w:numPr>
              <w:ind w:left="357" w:hanging="357"/>
              <w:rPr>
                <w:lang w:val="fr-FR"/>
              </w:rPr>
            </w:pPr>
            <w:r w:rsidRPr="008B71B5">
              <w:rPr>
                <w:rFonts w:ascii="Times New Roman" w:hAnsi="Times New Roman" w:cs="Times New Roman"/>
              </w:rPr>
              <w:t>Maître d’œuvre : Groupe de Résultat, en rapport avec le Fonds Climat Mali</w:t>
            </w:r>
          </w:p>
        </w:tc>
        <w:tc>
          <w:tcPr>
            <w:tcW w:w="3136" w:type="dxa"/>
            <w:vMerge/>
          </w:tcPr>
          <w:p w14:paraId="0DD778E3" w14:textId="77777777" w:rsidR="00DD583B" w:rsidRPr="00A4071B" w:rsidRDefault="00DD583B" w:rsidP="005D2A90">
            <w:pPr>
              <w:rPr>
                <w:lang w:val="fr-FR"/>
              </w:rPr>
            </w:pPr>
          </w:p>
        </w:tc>
        <w:tc>
          <w:tcPr>
            <w:tcW w:w="1936" w:type="dxa"/>
            <w:vMerge/>
          </w:tcPr>
          <w:p w14:paraId="1E45545D" w14:textId="77777777" w:rsidR="00DD583B" w:rsidRPr="00A4071B" w:rsidRDefault="00DD583B" w:rsidP="005D2A90">
            <w:pPr>
              <w:rPr>
                <w:lang w:val="fr-FR"/>
              </w:rPr>
            </w:pPr>
          </w:p>
        </w:tc>
        <w:tc>
          <w:tcPr>
            <w:tcW w:w="1248" w:type="dxa"/>
            <w:vMerge/>
          </w:tcPr>
          <w:p w14:paraId="64C23A97" w14:textId="77777777" w:rsidR="00DD583B" w:rsidRPr="00A4071B" w:rsidRDefault="00DD583B" w:rsidP="005D2A90">
            <w:pPr>
              <w:rPr>
                <w:lang w:val="fr-FR"/>
              </w:rPr>
            </w:pPr>
          </w:p>
        </w:tc>
      </w:tr>
    </w:tbl>
    <w:p w14:paraId="06358F46" w14:textId="2A44DC2F" w:rsidR="00DD583B" w:rsidRDefault="00DD583B" w:rsidP="00DD583B">
      <w:pPr>
        <w:rPr>
          <w:rFonts w:ascii="Calibri" w:hAnsi="Calibri" w:cs="Calibri"/>
          <w:sz w:val="16"/>
          <w:szCs w:val="16"/>
        </w:rPr>
      </w:pPr>
    </w:p>
    <w:p w14:paraId="2EBFD02A" w14:textId="202AE7C7" w:rsidR="008E1510" w:rsidRDefault="008E1510" w:rsidP="00DD583B">
      <w:pPr>
        <w:rPr>
          <w:rFonts w:ascii="Calibri" w:hAnsi="Calibri" w:cs="Calibri"/>
          <w:sz w:val="16"/>
          <w:szCs w:val="16"/>
        </w:rPr>
      </w:pPr>
    </w:p>
    <w:p w14:paraId="290A8633" w14:textId="42C45424" w:rsidR="008E1510" w:rsidRDefault="008E1510" w:rsidP="00DD583B">
      <w:pPr>
        <w:rPr>
          <w:rFonts w:ascii="Calibri" w:hAnsi="Calibri" w:cs="Calibri"/>
          <w:sz w:val="16"/>
          <w:szCs w:val="16"/>
        </w:rPr>
      </w:pPr>
    </w:p>
    <w:p w14:paraId="00DCCCE3" w14:textId="13EEA93A" w:rsidR="008E1510" w:rsidRDefault="008E1510" w:rsidP="00DD583B">
      <w:pPr>
        <w:rPr>
          <w:rFonts w:ascii="Calibri" w:hAnsi="Calibri" w:cs="Calibri"/>
          <w:sz w:val="16"/>
          <w:szCs w:val="16"/>
        </w:rPr>
      </w:pPr>
    </w:p>
    <w:p w14:paraId="45DECDBE" w14:textId="6B148014" w:rsidR="008E1510" w:rsidRDefault="008E1510" w:rsidP="00DD583B">
      <w:pPr>
        <w:rPr>
          <w:rFonts w:ascii="Calibri" w:hAnsi="Calibri" w:cs="Calibri"/>
          <w:sz w:val="16"/>
          <w:szCs w:val="16"/>
        </w:rPr>
      </w:pPr>
    </w:p>
    <w:p w14:paraId="0C826446" w14:textId="1AA8E5BD" w:rsidR="008E1510" w:rsidRDefault="008E1510" w:rsidP="00DD583B">
      <w:pPr>
        <w:rPr>
          <w:rFonts w:ascii="Calibri" w:hAnsi="Calibri" w:cs="Calibri"/>
          <w:sz w:val="16"/>
          <w:szCs w:val="16"/>
        </w:rPr>
      </w:pPr>
    </w:p>
    <w:p w14:paraId="5C823EB4" w14:textId="77777777" w:rsidR="008E1510" w:rsidRPr="00A4071B" w:rsidRDefault="008E1510" w:rsidP="00DD583B">
      <w:pPr>
        <w:rPr>
          <w:rFonts w:ascii="Calibri" w:hAnsi="Calibri" w:cs="Calibri"/>
          <w:sz w:val="16"/>
          <w:szCs w:val="16"/>
        </w:rPr>
      </w:pPr>
    </w:p>
    <w:tbl>
      <w:tblPr>
        <w:tblStyle w:val="Grilledutableau"/>
        <w:tblW w:w="15027" w:type="dxa"/>
        <w:tblInd w:w="-495" w:type="dxa"/>
        <w:tblLook w:val="04A0" w:firstRow="1" w:lastRow="0" w:firstColumn="1" w:lastColumn="0" w:noHBand="0" w:noVBand="1"/>
      </w:tblPr>
      <w:tblGrid>
        <w:gridCol w:w="441"/>
        <w:gridCol w:w="2128"/>
        <w:gridCol w:w="5121"/>
        <w:gridCol w:w="2250"/>
        <w:gridCol w:w="2817"/>
        <w:gridCol w:w="2270"/>
      </w:tblGrid>
      <w:tr w:rsidR="00DD583B" w:rsidRPr="008B72F6" w14:paraId="1767F5A4" w14:textId="77777777" w:rsidTr="005D2A90">
        <w:tc>
          <w:tcPr>
            <w:tcW w:w="15027" w:type="dxa"/>
            <w:gridSpan w:val="6"/>
            <w:shd w:val="clear" w:color="auto" w:fill="F2F2F2" w:themeFill="background1" w:themeFillShade="F2"/>
            <w:vAlign w:val="center"/>
          </w:tcPr>
          <w:p w14:paraId="6388EFE4" w14:textId="07B61C37" w:rsidR="00DD583B" w:rsidRPr="00AA53AB" w:rsidRDefault="00DD583B" w:rsidP="005D2A90">
            <w:pPr>
              <w:pStyle w:val="Titre2"/>
              <w:outlineLvl w:val="1"/>
              <w:rPr>
                <w:color w:val="auto"/>
                <w:sz w:val="30"/>
                <w:szCs w:val="30"/>
                <w:vertAlign w:val="superscript"/>
              </w:rPr>
            </w:pPr>
            <w:r>
              <w:rPr>
                <w:rFonts w:ascii="Calibri" w:hAnsi="Calibri" w:cs="Calibri"/>
                <w:sz w:val="20"/>
                <w:szCs w:val="20"/>
              </w:rPr>
              <w:br w:type="page"/>
            </w:r>
            <w:r w:rsidRPr="00AA53AB">
              <w:rPr>
                <w:color w:val="auto"/>
                <w:sz w:val="30"/>
                <w:szCs w:val="30"/>
              </w:rPr>
              <w:t>Tableau d’explicitation de l’ancrage des questions émergentes dans la Matrice UNDAF</w:t>
            </w:r>
            <w:r w:rsidRPr="00AA53AB">
              <w:rPr>
                <w:color w:val="auto"/>
                <w:sz w:val="30"/>
                <w:szCs w:val="30"/>
                <w:vertAlign w:val="superscript"/>
              </w:rPr>
              <w:t>+</w:t>
            </w:r>
          </w:p>
        </w:tc>
      </w:tr>
      <w:tr w:rsidR="00DD583B" w:rsidRPr="008B72F6" w14:paraId="62065437" w14:textId="77777777" w:rsidTr="00E432D7">
        <w:tc>
          <w:tcPr>
            <w:tcW w:w="441" w:type="dxa"/>
            <w:vMerge w:val="restart"/>
            <w:shd w:val="clear" w:color="auto" w:fill="F2F2F2" w:themeFill="background1" w:themeFillShade="F2"/>
            <w:vAlign w:val="center"/>
          </w:tcPr>
          <w:p w14:paraId="0A476488"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N°</w:t>
            </w:r>
          </w:p>
        </w:tc>
        <w:tc>
          <w:tcPr>
            <w:tcW w:w="7249" w:type="dxa"/>
            <w:gridSpan w:val="2"/>
            <w:vMerge w:val="restart"/>
            <w:shd w:val="clear" w:color="auto" w:fill="F2F2F2" w:themeFill="background1" w:themeFillShade="F2"/>
            <w:vAlign w:val="center"/>
          </w:tcPr>
          <w:p w14:paraId="6FE8619D" w14:textId="77777777" w:rsidR="00DD583B" w:rsidRPr="008B72F6" w:rsidRDefault="00DD583B" w:rsidP="005D2A90">
            <w:pPr>
              <w:jc w:val="center"/>
              <w:rPr>
                <w:rFonts w:ascii="Times New Roman" w:hAnsi="Times New Roman" w:cs="Times New Roman"/>
              </w:rPr>
            </w:pPr>
            <w:r w:rsidRPr="008B72F6">
              <w:rPr>
                <w:rFonts w:ascii="Times New Roman" w:hAnsi="Times New Roman" w:cs="Times New Roman"/>
              </w:rPr>
              <w:t>Thématiques nouvelles ou saillantes à prendre sur lesquelles articuler des contenus de programmes dans le cadre des Effets et Produits ci-contre</w:t>
            </w:r>
          </w:p>
        </w:tc>
        <w:tc>
          <w:tcPr>
            <w:tcW w:w="5067" w:type="dxa"/>
            <w:gridSpan w:val="2"/>
            <w:shd w:val="clear" w:color="auto" w:fill="F2F2F2" w:themeFill="background1" w:themeFillShade="F2"/>
            <w:vAlign w:val="center"/>
          </w:tcPr>
          <w:p w14:paraId="40F5A451" w14:textId="77777777" w:rsidR="00DD583B" w:rsidRPr="008B72F6" w:rsidRDefault="00DD583B" w:rsidP="005D2A90">
            <w:pPr>
              <w:jc w:val="center"/>
              <w:rPr>
                <w:rFonts w:ascii="Times New Roman" w:hAnsi="Times New Roman" w:cs="Times New Roman"/>
              </w:rPr>
            </w:pPr>
            <w:r w:rsidRPr="008B72F6">
              <w:rPr>
                <w:rFonts w:ascii="Times New Roman" w:hAnsi="Times New Roman" w:cs="Times New Roman"/>
              </w:rPr>
              <w:t>Ancrage dans la Matrice</w:t>
            </w:r>
          </w:p>
        </w:tc>
        <w:tc>
          <w:tcPr>
            <w:tcW w:w="2270" w:type="dxa"/>
            <w:vMerge w:val="restart"/>
            <w:shd w:val="clear" w:color="auto" w:fill="F2F2F2" w:themeFill="background1" w:themeFillShade="F2"/>
            <w:vAlign w:val="center"/>
          </w:tcPr>
          <w:p w14:paraId="2AADA100" w14:textId="77777777" w:rsidR="00DD583B" w:rsidRPr="008B72F6" w:rsidRDefault="00DD583B" w:rsidP="005D2A90">
            <w:pPr>
              <w:jc w:val="center"/>
              <w:rPr>
                <w:rFonts w:ascii="Times New Roman" w:hAnsi="Times New Roman" w:cs="Times New Roman"/>
              </w:rPr>
            </w:pPr>
            <w:r w:rsidRPr="008B72F6">
              <w:rPr>
                <w:rFonts w:ascii="Times New Roman" w:hAnsi="Times New Roman" w:cs="Times New Roman"/>
              </w:rPr>
              <w:t>Logiques de programmation</w:t>
            </w:r>
          </w:p>
        </w:tc>
      </w:tr>
      <w:tr w:rsidR="00DD583B" w:rsidRPr="008B72F6" w14:paraId="02DCEDD7" w14:textId="77777777" w:rsidTr="00E432D7">
        <w:tc>
          <w:tcPr>
            <w:tcW w:w="441" w:type="dxa"/>
            <w:vMerge/>
            <w:vAlign w:val="center"/>
          </w:tcPr>
          <w:p w14:paraId="27D9AC4E" w14:textId="77777777" w:rsidR="00DD583B" w:rsidRPr="008B72F6" w:rsidRDefault="00DD583B" w:rsidP="005D2A90">
            <w:pPr>
              <w:rPr>
                <w:rFonts w:ascii="Times New Roman" w:hAnsi="Times New Roman" w:cs="Times New Roman"/>
              </w:rPr>
            </w:pPr>
          </w:p>
        </w:tc>
        <w:tc>
          <w:tcPr>
            <w:tcW w:w="7249" w:type="dxa"/>
            <w:gridSpan w:val="2"/>
            <w:vMerge/>
            <w:vAlign w:val="center"/>
          </w:tcPr>
          <w:p w14:paraId="64B3FC82" w14:textId="77777777" w:rsidR="00DD583B" w:rsidRPr="008B72F6" w:rsidRDefault="00DD583B" w:rsidP="005D2A90">
            <w:pPr>
              <w:rPr>
                <w:rFonts w:ascii="Times New Roman" w:hAnsi="Times New Roman" w:cs="Times New Roman"/>
              </w:rPr>
            </w:pPr>
          </w:p>
        </w:tc>
        <w:tc>
          <w:tcPr>
            <w:tcW w:w="2250" w:type="dxa"/>
            <w:shd w:val="clear" w:color="auto" w:fill="F2F2F2" w:themeFill="background1" w:themeFillShade="F2"/>
            <w:vAlign w:val="center"/>
          </w:tcPr>
          <w:p w14:paraId="67EAEEB3"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Niveau Effets</w:t>
            </w:r>
          </w:p>
        </w:tc>
        <w:tc>
          <w:tcPr>
            <w:tcW w:w="2817" w:type="dxa"/>
            <w:shd w:val="clear" w:color="auto" w:fill="F2F2F2" w:themeFill="background1" w:themeFillShade="F2"/>
            <w:vAlign w:val="center"/>
          </w:tcPr>
          <w:p w14:paraId="3AD44350"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Niveau Produits</w:t>
            </w:r>
          </w:p>
        </w:tc>
        <w:tc>
          <w:tcPr>
            <w:tcW w:w="2270" w:type="dxa"/>
            <w:vMerge/>
            <w:vAlign w:val="center"/>
          </w:tcPr>
          <w:p w14:paraId="7C271852" w14:textId="77777777" w:rsidR="00DD583B" w:rsidRPr="008B72F6" w:rsidRDefault="00DD583B" w:rsidP="005D2A90">
            <w:pPr>
              <w:rPr>
                <w:rFonts w:ascii="Times New Roman" w:hAnsi="Times New Roman" w:cs="Times New Roman"/>
              </w:rPr>
            </w:pPr>
          </w:p>
        </w:tc>
      </w:tr>
      <w:tr w:rsidR="00DD583B" w:rsidRPr="008B72F6" w14:paraId="06E2A2E4" w14:textId="77777777" w:rsidTr="00E432D7">
        <w:tc>
          <w:tcPr>
            <w:tcW w:w="441" w:type="dxa"/>
            <w:vMerge w:val="restart"/>
            <w:vAlign w:val="center"/>
          </w:tcPr>
          <w:p w14:paraId="709D01E2"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.1.</w:t>
            </w:r>
          </w:p>
        </w:tc>
        <w:tc>
          <w:tcPr>
            <w:tcW w:w="2128" w:type="dxa"/>
            <w:vMerge w:val="restart"/>
            <w:shd w:val="clear" w:color="auto" w:fill="F2F2F2" w:themeFill="background1" w:themeFillShade="F2"/>
            <w:vAlign w:val="center"/>
          </w:tcPr>
          <w:p w14:paraId="525E1E75" w14:textId="1E98AE26" w:rsidR="00DD583B" w:rsidRPr="008B72F6" w:rsidRDefault="00DD583B" w:rsidP="005D2A90">
            <w:pPr>
              <w:rPr>
                <w:rFonts w:ascii="Times New Roman" w:hAnsi="Times New Roman" w:cs="Times New Roman"/>
                <w:b/>
              </w:rPr>
            </w:pPr>
            <w:r w:rsidRPr="008B72F6">
              <w:rPr>
                <w:rFonts w:ascii="Times New Roman" w:hAnsi="Times New Roman" w:cs="Times New Roman"/>
                <w:b/>
              </w:rPr>
              <w:t>CREDD/</w:t>
            </w:r>
            <w:r w:rsidR="00E432D7">
              <w:rPr>
                <w:rFonts w:ascii="Times New Roman" w:hAnsi="Times New Roman" w:cs="Times New Roman"/>
                <w:b/>
              </w:rPr>
              <w:t xml:space="preserve"> </w:t>
            </w:r>
            <w:r w:rsidRPr="008B72F6">
              <w:rPr>
                <w:rFonts w:ascii="Times New Roman" w:hAnsi="Times New Roman" w:cs="Times New Roman"/>
                <w:b/>
              </w:rPr>
              <w:t>Croissance Inclusive</w:t>
            </w:r>
          </w:p>
        </w:tc>
        <w:tc>
          <w:tcPr>
            <w:tcW w:w="5121" w:type="dxa"/>
            <w:shd w:val="clear" w:color="auto" w:fill="F2F2F2" w:themeFill="background1" w:themeFillShade="F2"/>
            <w:vAlign w:val="center"/>
          </w:tcPr>
          <w:p w14:paraId="7FC359DF" w14:textId="77777777" w:rsidR="00DD583B" w:rsidRPr="008B72F6" w:rsidRDefault="00DD583B" w:rsidP="005D2A90">
            <w:pPr>
              <w:pStyle w:val="Paragraphedeliste"/>
              <w:numPr>
                <w:ilvl w:val="0"/>
                <w:numId w:val="38"/>
              </w:numPr>
              <w:rPr>
                <w:rFonts w:ascii="Times New Roman" w:hAnsi="Times New Roman" w:cs="Times New Roman"/>
                <w:sz w:val="16"/>
                <w:szCs w:val="16"/>
              </w:rPr>
            </w:pPr>
            <w:r w:rsidRPr="008B72F6">
              <w:rPr>
                <w:rFonts w:ascii="Times New Roman" w:hAnsi="Times New Roman" w:cs="Times New Roman"/>
                <w:sz w:val="16"/>
                <w:szCs w:val="16"/>
              </w:rPr>
              <w:t>"</w:t>
            </w:r>
            <w:r w:rsidRPr="008B72F6">
              <w:rPr>
                <w:rFonts w:ascii="Times New Roman" w:eastAsia="Calibri" w:hAnsi="Times New Roman" w:cs="Times New Roman"/>
                <w:sz w:val="16"/>
                <w:szCs w:val="16"/>
              </w:rPr>
              <w:t>Elément de diagnostic dans le CREDD : "</w:t>
            </w:r>
            <w:r w:rsidRPr="008B72F6">
              <w:rPr>
                <w:rFonts w:ascii="Times New Roman" w:eastAsia="Calibri" w:hAnsi="Times New Roman" w:cs="Times New Roman"/>
                <w:i/>
                <w:sz w:val="16"/>
                <w:szCs w:val="16"/>
              </w:rPr>
              <w:t>L</w:t>
            </w:r>
            <w:r w:rsidRPr="008B72F6">
              <w:rPr>
                <w:rFonts w:ascii="Times New Roman" w:eastAsia="Calibri" w:hAnsi="Times New Roman" w:cs="Times New Roman"/>
                <w:i/>
                <w:color w:val="000000"/>
                <w:sz w:val="16"/>
                <w:szCs w:val="16"/>
              </w:rPr>
              <w:t>e Mali doit relever le défi de rendre le secteur privé plus dynamique, compétitif et créateur d’emplois, notamment à travers des réformes structurelles importantes</w:t>
            </w:r>
            <w:r w:rsidRPr="008B72F6">
              <w:rPr>
                <w:rFonts w:ascii="Times New Roman" w:eastAsia="Calibri" w:hAnsi="Times New Roman" w:cs="Times New Roman"/>
                <w:color w:val="000000"/>
                <w:sz w:val="16"/>
                <w:szCs w:val="16"/>
              </w:rPr>
              <w:t>." : le Programme pourrait consacrer plus d’effort à aider le pays à améliorer son attractivité pour les investisseurs étrangers.</w:t>
            </w:r>
          </w:p>
        </w:tc>
        <w:tc>
          <w:tcPr>
            <w:tcW w:w="2250" w:type="dxa"/>
            <w:vAlign w:val="center"/>
          </w:tcPr>
          <w:p w14:paraId="045BCB62"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Effet 5</w:t>
            </w:r>
            <w:r w:rsidRPr="008B72F6">
              <w:rPr>
                <w:rFonts w:ascii="Times New Roman" w:hAnsi="Times New Roman" w:cs="Times New Roman"/>
                <w:sz w:val="16"/>
                <w:szCs w:val="16"/>
              </w:rPr>
              <w:t xml:space="preserve"> : Les populations défavorisées particulièrement les femmes et les jeunes, bénéficient de capacités et d’opportunités productives accrues, dans un environnement sain et durable, favorable à la réduction de la pauvreté.</w:t>
            </w:r>
          </w:p>
        </w:tc>
        <w:tc>
          <w:tcPr>
            <w:tcW w:w="2817" w:type="dxa"/>
            <w:shd w:val="clear" w:color="auto" w:fill="F2F2F2" w:themeFill="background1" w:themeFillShade="F2"/>
            <w:vAlign w:val="center"/>
          </w:tcPr>
          <w:p w14:paraId="50961C62"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5.2</w:t>
            </w:r>
            <w:r w:rsidRPr="008B72F6">
              <w:rPr>
                <w:rFonts w:ascii="Times New Roman" w:hAnsi="Times New Roman" w:cs="Times New Roman"/>
                <w:bCs/>
                <w:sz w:val="16"/>
                <w:szCs w:val="16"/>
              </w:rPr>
              <w:t xml:space="preserve"> : Les structures étatiques, le secteur privé, la diaspora et la société civile disposent de compétences techniques et de moyens pour améliorer les capacités productives et commerciales pour impulser une croissance verte et inclusive.</w:t>
            </w:r>
          </w:p>
        </w:tc>
        <w:tc>
          <w:tcPr>
            <w:tcW w:w="2270" w:type="dxa"/>
            <w:shd w:val="clear" w:color="auto" w:fill="F2F2F2" w:themeFill="background1" w:themeFillShade="F2"/>
            <w:vAlign w:val="center"/>
          </w:tcPr>
          <w:p w14:paraId="29CBB4C5"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sz w:val="16"/>
                <w:szCs w:val="16"/>
              </w:rPr>
              <w:t xml:space="preserve">Développer des activités/projets/programmes capables d’influencer la thématique en colonnes 2-3, et ancrées dans les Produits et Effets ci-contre !  </w:t>
            </w:r>
          </w:p>
        </w:tc>
      </w:tr>
      <w:tr w:rsidR="00DD583B" w:rsidRPr="008B72F6" w14:paraId="6E8A8E33" w14:textId="77777777" w:rsidTr="00E432D7">
        <w:tc>
          <w:tcPr>
            <w:tcW w:w="441" w:type="dxa"/>
            <w:vMerge/>
            <w:vAlign w:val="center"/>
          </w:tcPr>
          <w:p w14:paraId="3F8FB695" w14:textId="77777777" w:rsidR="00DD583B" w:rsidRPr="008B72F6" w:rsidRDefault="00DD583B" w:rsidP="005D2A90">
            <w:pPr>
              <w:rPr>
                <w:rFonts w:ascii="Times New Roman" w:hAnsi="Times New Roman" w:cs="Times New Roman"/>
              </w:rPr>
            </w:pPr>
          </w:p>
        </w:tc>
        <w:tc>
          <w:tcPr>
            <w:tcW w:w="2128" w:type="dxa"/>
            <w:vMerge/>
            <w:shd w:val="clear" w:color="auto" w:fill="F2F2F2" w:themeFill="background1" w:themeFillShade="F2"/>
            <w:vAlign w:val="center"/>
          </w:tcPr>
          <w:p w14:paraId="075C3CFC" w14:textId="77777777" w:rsidR="00DD583B" w:rsidRPr="008B72F6" w:rsidRDefault="00DD583B" w:rsidP="005D2A90">
            <w:pPr>
              <w:rPr>
                <w:rFonts w:ascii="Times New Roman" w:hAnsi="Times New Roman" w:cs="Times New Roman"/>
              </w:rPr>
            </w:pPr>
          </w:p>
        </w:tc>
        <w:tc>
          <w:tcPr>
            <w:tcW w:w="5121" w:type="dxa"/>
            <w:shd w:val="clear" w:color="auto" w:fill="F2F2F2" w:themeFill="background1" w:themeFillShade="F2"/>
            <w:vAlign w:val="center"/>
          </w:tcPr>
          <w:p w14:paraId="789C54A1" w14:textId="77777777" w:rsidR="00DD583B" w:rsidRPr="008B72F6" w:rsidRDefault="00DD583B" w:rsidP="005D2A90">
            <w:pPr>
              <w:pStyle w:val="Paragraphedeliste"/>
              <w:numPr>
                <w:ilvl w:val="0"/>
                <w:numId w:val="38"/>
              </w:numPr>
              <w:rPr>
                <w:rFonts w:ascii="Times New Roman" w:hAnsi="Times New Roman" w:cs="Times New Roman"/>
                <w:sz w:val="16"/>
                <w:szCs w:val="16"/>
              </w:rPr>
            </w:pPr>
            <w:r w:rsidRPr="008B72F6">
              <w:rPr>
                <w:rFonts w:ascii="Times New Roman" w:eastAsia="Calibri" w:hAnsi="Times New Roman" w:cs="Times New Roman"/>
                <w:color w:val="000000"/>
                <w:sz w:val="16"/>
                <w:szCs w:val="16"/>
              </w:rPr>
              <w:t>Autre élément de diagnostic et d’orientation possible pour le programme (rangé dans le volet services sociaux de base du CREDD) : "</w:t>
            </w:r>
            <w:r w:rsidRPr="008B72F6">
              <w:rPr>
                <w:rFonts w:ascii="Times New Roman" w:eastAsia="Calibri" w:hAnsi="Times New Roman" w:cs="Times New Roman"/>
                <w:i/>
                <w:color w:val="000000"/>
                <w:sz w:val="16"/>
                <w:szCs w:val="16"/>
              </w:rPr>
              <w:t>Inadéquation entre formation et emploi (employabilité des jeunes sortants)</w:t>
            </w:r>
            <w:r w:rsidRPr="008B72F6">
              <w:rPr>
                <w:rFonts w:ascii="Times New Roman" w:eastAsia="Calibri" w:hAnsi="Times New Roman" w:cs="Times New Roman"/>
                <w:color w:val="000000"/>
                <w:sz w:val="16"/>
                <w:szCs w:val="16"/>
              </w:rPr>
              <w:t>" : dans le cadre de la transition de l’humanitaire vers le développement, le programme devrait mieux aider le pays à initier des réformes pour favoriser les liaisons entre le système éducatif et l’appareil national de production.</w:t>
            </w:r>
          </w:p>
        </w:tc>
        <w:tc>
          <w:tcPr>
            <w:tcW w:w="2250" w:type="dxa"/>
            <w:vAlign w:val="center"/>
          </w:tcPr>
          <w:p w14:paraId="20679076"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rPr>
              <w:t>Effet 5</w:t>
            </w:r>
            <w:r w:rsidRPr="008B72F6">
              <w:rPr>
                <w:rFonts w:ascii="Times New Roman" w:hAnsi="Times New Roman" w:cs="Times New Roman"/>
                <w:sz w:val="16"/>
                <w:szCs w:val="16"/>
              </w:rPr>
              <w:t xml:space="preserve"> : Les populations défavorisées particulièrement les femmes et les jeunes, bénéficient de capacités et d’opportunités productives accrues, dans un environnement sain et durable, favorable à la réduction de la pauvreté.</w:t>
            </w:r>
          </w:p>
        </w:tc>
        <w:tc>
          <w:tcPr>
            <w:tcW w:w="2817" w:type="dxa"/>
            <w:shd w:val="clear" w:color="auto" w:fill="F2F2F2" w:themeFill="background1" w:themeFillShade="F2"/>
            <w:vAlign w:val="center"/>
          </w:tcPr>
          <w:p w14:paraId="401DCEF7"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5.3</w:t>
            </w:r>
            <w:r w:rsidRPr="008B72F6">
              <w:rPr>
                <w:rFonts w:ascii="Times New Roman" w:hAnsi="Times New Roman" w:cs="Times New Roman"/>
                <w:bCs/>
                <w:sz w:val="16"/>
                <w:szCs w:val="16"/>
              </w:rPr>
              <w:t xml:space="preserve"> : La mise en œuvre des politiques nationales de création d’emplois et d’entreprenariat féminin favorise une meilleure insertion socio-économique des jeunes et des femmes</w:t>
            </w:r>
          </w:p>
        </w:tc>
        <w:tc>
          <w:tcPr>
            <w:tcW w:w="2270" w:type="dxa"/>
            <w:shd w:val="clear" w:color="auto" w:fill="F2F2F2" w:themeFill="background1" w:themeFillShade="F2"/>
            <w:vAlign w:val="center"/>
          </w:tcPr>
          <w:p w14:paraId="5299BA3D"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sz w:val="16"/>
                <w:szCs w:val="16"/>
              </w:rPr>
              <w:t xml:space="preserve">Développer des activités/projets/programmes capables d’influencer la thématique en colonnes 2-3, et ancrées dans les Produits et Effets ci-contre !  </w:t>
            </w:r>
          </w:p>
        </w:tc>
      </w:tr>
      <w:tr w:rsidR="00DD583B" w:rsidRPr="008B72F6" w14:paraId="35124D11" w14:textId="77777777" w:rsidTr="00E432D7">
        <w:tc>
          <w:tcPr>
            <w:tcW w:w="441" w:type="dxa"/>
            <w:vMerge/>
            <w:vAlign w:val="center"/>
          </w:tcPr>
          <w:p w14:paraId="547E24C6" w14:textId="77777777" w:rsidR="00DD583B" w:rsidRPr="008B72F6" w:rsidRDefault="00DD583B" w:rsidP="005D2A90">
            <w:pPr>
              <w:rPr>
                <w:rFonts w:ascii="Times New Roman" w:hAnsi="Times New Roman" w:cs="Times New Roman"/>
              </w:rPr>
            </w:pPr>
          </w:p>
        </w:tc>
        <w:tc>
          <w:tcPr>
            <w:tcW w:w="2128" w:type="dxa"/>
            <w:vMerge w:val="restart"/>
            <w:shd w:val="clear" w:color="auto" w:fill="F2F2F2" w:themeFill="background1" w:themeFillShade="F2"/>
            <w:vAlign w:val="center"/>
          </w:tcPr>
          <w:p w14:paraId="0655AFA7" w14:textId="77777777" w:rsidR="00DD583B" w:rsidRPr="008B72F6" w:rsidRDefault="00DD583B" w:rsidP="005D2A90">
            <w:pPr>
              <w:rPr>
                <w:rFonts w:ascii="Times New Roman" w:hAnsi="Times New Roman" w:cs="Times New Roman"/>
                <w:b/>
              </w:rPr>
            </w:pPr>
            <w:r w:rsidRPr="008B72F6">
              <w:rPr>
                <w:rFonts w:ascii="Times New Roman" w:hAnsi="Times New Roman" w:cs="Times New Roman"/>
                <w:b/>
              </w:rPr>
              <w:t>CREDD/Services Sociaux de Base</w:t>
            </w:r>
          </w:p>
        </w:tc>
        <w:tc>
          <w:tcPr>
            <w:tcW w:w="5121" w:type="dxa"/>
            <w:shd w:val="clear" w:color="auto" w:fill="F2F2F2" w:themeFill="background1" w:themeFillShade="F2"/>
            <w:vAlign w:val="center"/>
          </w:tcPr>
          <w:p w14:paraId="2040467A" w14:textId="77777777" w:rsidR="00DD583B" w:rsidRPr="008B72F6" w:rsidRDefault="00DD583B" w:rsidP="005D2A90">
            <w:pPr>
              <w:pStyle w:val="Paragraphedeliste"/>
              <w:numPr>
                <w:ilvl w:val="0"/>
                <w:numId w:val="39"/>
              </w:numPr>
              <w:rPr>
                <w:rFonts w:ascii="Times New Roman" w:hAnsi="Times New Roman" w:cs="Times New Roman"/>
                <w:sz w:val="16"/>
                <w:szCs w:val="16"/>
              </w:rPr>
            </w:pPr>
            <w:r w:rsidRPr="008B72F6">
              <w:rPr>
                <w:rFonts w:ascii="Times New Roman" w:eastAsia="Calibri" w:hAnsi="Times New Roman" w:cs="Times New Roman"/>
                <w:sz w:val="16"/>
                <w:szCs w:val="16"/>
                <w:lang w:eastAsia="fr-FR"/>
              </w:rPr>
              <w:t>Eléments de diagnostic du secteur Education : "</w:t>
            </w:r>
            <w:r w:rsidRPr="008B72F6">
              <w:rPr>
                <w:rFonts w:ascii="Times New Roman" w:eastAsia="Calibri" w:hAnsi="Times New Roman" w:cs="Times New Roman"/>
                <w:i/>
                <w:sz w:val="16"/>
                <w:szCs w:val="16"/>
                <w:lang w:eastAsia="fr-FR"/>
              </w:rPr>
              <w:t>F</w:t>
            </w:r>
            <w:r w:rsidRPr="008B72F6">
              <w:rPr>
                <w:rFonts w:ascii="Times New Roman" w:eastAsia="Times New Roman" w:hAnsi="Times New Roman" w:cs="Times New Roman"/>
                <w:i/>
                <w:color w:val="000000"/>
                <w:sz w:val="16"/>
                <w:szCs w:val="16"/>
                <w:lang w:eastAsia="fr-FR"/>
              </w:rPr>
              <w:t>aiblesse de la gouvernance du secteur (insuffisance et mauvaise gestion des ressources financières, prolifération d’établissements privés non conformes aux normes) ; inexistence d’une carte scolaire adaptée</w:t>
            </w:r>
            <w:r w:rsidRPr="008B72F6">
              <w:rPr>
                <w:rFonts w:ascii="Times New Roman" w:eastAsia="Times New Roman" w:hAnsi="Times New Roman" w:cs="Times New Roman"/>
                <w:color w:val="000000"/>
                <w:sz w:val="16"/>
                <w:szCs w:val="16"/>
                <w:lang w:eastAsia="fr-FR"/>
              </w:rPr>
              <w:t>" : le programme pourrait renforcer son action stratégique dans le cadre du développement des ressources techniques de gestion du secteur, en complément à son action humanitaire de terrain, et dans le cadre de la transition de l’humanitaire vers le développement</w:t>
            </w:r>
          </w:p>
        </w:tc>
        <w:tc>
          <w:tcPr>
            <w:tcW w:w="2250" w:type="dxa"/>
            <w:vAlign w:val="center"/>
          </w:tcPr>
          <w:p w14:paraId="5CDC819F"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Effet 4</w:t>
            </w:r>
            <w:r w:rsidRPr="008B72F6">
              <w:rPr>
                <w:rFonts w:ascii="Times New Roman" w:hAnsi="Times New Roman" w:cs="Times New Roman"/>
                <w:sz w:val="16"/>
                <w:szCs w:val="16"/>
              </w:rPr>
              <w:t xml:space="preserve"> : D’ici 2019, les populations, en particulier les femmes et les enfants les plus vulnérables et celles affectées par les crises, ont un accès accru et équitable et utilisent les SSB de qualité</w:t>
            </w:r>
          </w:p>
        </w:tc>
        <w:tc>
          <w:tcPr>
            <w:tcW w:w="2817" w:type="dxa"/>
            <w:shd w:val="clear" w:color="auto" w:fill="F2F2F2" w:themeFill="background1" w:themeFillShade="F2"/>
            <w:vAlign w:val="center"/>
          </w:tcPr>
          <w:p w14:paraId="12659FA9"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4.4</w:t>
            </w:r>
            <w:r w:rsidRPr="008B72F6">
              <w:rPr>
                <w:rFonts w:ascii="Times New Roman" w:hAnsi="Times New Roman" w:cs="Times New Roman"/>
                <w:bCs/>
                <w:sz w:val="16"/>
                <w:szCs w:val="16"/>
              </w:rPr>
              <w:t xml:space="preserve"> : Les enfants d’âge préscolaires et scolaires et les jeunes, particulièrement les plus vulnérables ont accès à une éducation de base de qualité  </w:t>
            </w:r>
          </w:p>
        </w:tc>
        <w:tc>
          <w:tcPr>
            <w:tcW w:w="2270" w:type="dxa"/>
            <w:shd w:val="clear" w:color="auto" w:fill="F2F2F2" w:themeFill="background1" w:themeFillShade="F2"/>
            <w:vAlign w:val="center"/>
          </w:tcPr>
          <w:p w14:paraId="5FAAC346"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sz w:val="16"/>
                <w:szCs w:val="16"/>
              </w:rPr>
              <w:t xml:space="preserve">Développer des activités/projets/programmes capables d’influencer la thématique en colonnes 2-3, et ancrées dans les Produits et Effets ci-contre !  </w:t>
            </w:r>
          </w:p>
        </w:tc>
      </w:tr>
      <w:tr w:rsidR="00DD583B" w:rsidRPr="008B72F6" w14:paraId="33A604BA" w14:textId="77777777" w:rsidTr="00E432D7">
        <w:tc>
          <w:tcPr>
            <w:tcW w:w="441" w:type="dxa"/>
            <w:vMerge/>
            <w:vAlign w:val="center"/>
          </w:tcPr>
          <w:p w14:paraId="1A234997" w14:textId="77777777" w:rsidR="00DD583B" w:rsidRPr="008B72F6" w:rsidRDefault="00DD583B" w:rsidP="005D2A90">
            <w:pPr>
              <w:rPr>
                <w:rFonts w:ascii="Times New Roman" w:hAnsi="Times New Roman" w:cs="Times New Roman"/>
              </w:rPr>
            </w:pPr>
          </w:p>
        </w:tc>
        <w:tc>
          <w:tcPr>
            <w:tcW w:w="2128" w:type="dxa"/>
            <w:vMerge/>
            <w:shd w:val="clear" w:color="auto" w:fill="F2F2F2" w:themeFill="background1" w:themeFillShade="F2"/>
            <w:vAlign w:val="center"/>
          </w:tcPr>
          <w:p w14:paraId="56CAD31C" w14:textId="77777777" w:rsidR="00DD583B" w:rsidRPr="008B72F6" w:rsidRDefault="00DD583B" w:rsidP="005D2A90">
            <w:pPr>
              <w:rPr>
                <w:rFonts w:ascii="Times New Roman" w:hAnsi="Times New Roman" w:cs="Times New Roman"/>
              </w:rPr>
            </w:pPr>
          </w:p>
        </w:tc>
        <w:tc>
          <w:tcPr>
            <w:tcW w:w="5121" w:type="dxa"/>
            <w:shd w:val="clear" w:color="auto" w:fill="F2F2F2" w:themeFill="background1" w:themeFillShade="F2"/>
            <w:vAlign w:val="center"/>
          </w:tcPr>
          <w:p w14:paraId="3E11CE49" w14:textId="77777777" w:rsidR="00DD583B" w:rsidRPr="008B72F6" w:rsidRDefault="00DD583B" w:rsidP="005D2A90">
            <w:pPr>
              <w:pStyle w:val="Paragraphedeliste"/>
              <w:numPr>
                <w:ilvl w:val="0"/>
                <w:numId w:val="39"/>
              </w:numPr>
              <w:rPr>
                <w:rFonts w:ascii="Times New Roman" w:hAnsi="Times New Roman" w:cs="Times New Roman"/>
                <w:sz w:val="16"/>
                <w:szCs w:val="16"/>
              </w:rPr>
            </w:pPr>
            <w:r w:rsidRPr="008B72F6">
              <w:rPr>
                <w:rFonts w:ascii="Times New Roman" w:eastAsia="Times New Roman" w:hAnsi="Times New Roman" w:cs="Times New Roman"/>
                <w:color w:val="000000"/>
                <w:sz w:val="16"/>
                <w:szCs w:val="16"/>
                <w:lang w:eastAsia="fr-FR"/>
              </w:rPr>
              <w:t>Eléments de diagnostic du secteur Santé : "</w:t>
            </w:r>
            <w:r w:rsidRPr="008B72F6">
              <w:rPr>
                <w:rFonts w:ascii="Times New Roman" w:eastAsia="Times New Roman" w:hAnsi="Times New Roman" w:cs="Times New Roman"/>
                <w:i/>
                <w:color w:val="000000"/>
                <w:sz w:val="16"/>
                <w:szCs w:val="16"/>
                <w:lang w:eastAsia="fr-FR"/>
              </w:rPr>
              <w:t>Il s’agissait de transférer aux collectivités/communautés les pouvoirs de décision et de gestion relatifs à la résolution des problèmes locaux de santé et de développer un système de financement communautaire des dépenses de santé complémentaire au financement public. Dans ce cadre, il s’agira de renforcer la dynamique communautaire positive qui s’est instaurée</w:t>
            </w:r>
            <w:r w:rsidRPr="008B72F6">
              <w:rPr>
                <w:rFonts w:ascii="Times New Roman" w:eastAsia="Times New Roman" w:hAnsi="Times New Roman" w:cs="Times New Roman"/>
                <w:color w:val="000000"/>
                <w:sz w:val="16"/>
                <w:szCs w:val="16"/>
                <w:lang w:eastAsia="fr-FR"/>
              </w:rPr>
              <w:t xml:space="preserve">." : toujours dans le cadre de la transition de l’humanitaire vers le </w:t>
            </w:r>
            <w:r w:rsidRPr="008B72F6">
              <w:rPr>
                <w:rFonts w:ascii="Times New Roman" w:eastAsia="Times New Roman" w:hAnsi="Times New Roman" w:cs="Times New Roman"/>
                <w:color w:val="000000"/>
                <w:sz w:val="16"/>
                <w:szCs w:val="16"/>
                <w:lang w:eastAsia="fr-FR"/>
              </w:rPr>
              <w:lastRenderedPageBreak/>
              <w:t>développement, le programme pourrait mieux susciter et accompagner des dynamiques d’ancrage institutionnel local et communautaire de l’offre de services de santé.</w:t>
            </w:r>
          </w:p>
        </w:tc>
        <w:tc>
          <w:tcPr>
            <w:tcW w:w="2250" w:type="dxa"/>
            <w:vAlign w:val="center"/>
          </w:tcPr>
          <w:p w14:paraId="4C239CB0"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lastRenderedPageBreak/>
              <w:t>Effet 4</w:t>
            </w:r>
            <w:r w:rsidRPr="008B72F6">
              <w:rPr>
                <w:rFonts w:ascii="Times New Roman" w:hAnsi="Times New Roman" w:cs="Times New Roman"/>
                <w:sz w:val="16"/>
                <w:szCs w:val="16"/>
              </w:rPr>
              <w:t xml:space="preserve"> : D’ici 2019, les populations, en particulier les femmes et les enfants les plus vulnérables et celles affectées par les crises, ont un accès accru et équitable et utilisent les SSB de qualité</w:t>
            </w:r>
          </w:p>
        </w:tc>
        <w:tc>
          <w:tcPr>
            <w:tcW w:w="2817" w:type="dxa"/>
            <w:shd w:val="clear" w:color="auto" w:fill="F2F2F2" w:themeFill="background1" w:themeFillShade="F2"/>
            <w:vAlign w:val="center"/>
          </w:tcPr>
          <w:p w14:paraId="0D3EE16F" w14:textId="77777777" w:rsidR="00DD583B" w:rsidRPr="008B72F6" w:rsidRDefault="00DD583B" w:rsidP="005D2A90">
            <w:pPr>
              <w:rPr>
                <w:rFonts w:ascii="Times New Roman" w:hAnsi="Times New Roman" w:cs="Times New Roman"/>
                <w:bCs/>
                <w:sz w:val="16"/>
                <w:szCs w:val="16"/>
              </w:rPr>
            </w:pPr>
            <w:r w:rsidRPr="008B72F6">
              <w:rPr>
                <w:rFonts w:ascii="Times New Roman" w:hAnsi="Times New Roman" w:cs="Times New Roman"/>
                <w:b/>
                <w:bCs/>
                <w:sz w:val="16"/>
                <w:szCs w:val="16"/>
              </w:rPr>
              <w:t>Produit 4.1</w:t>
            </w:r>
            <w:r w:rsidRPr="008B72F6">
              <w:rPr>
                <w:rFonts w:ascii="Times New Roman" w:hAnsi="Times New Roman" w:cs="Times New Roman"/>
                <w:bCs/>
                <w:sz w:val="16"/>
                <w:szCs w:val="16"/>
              </w:rPr>
              <w:t xml:space="preserve"> : Les femmes, enfants et jeunes, en particulier les plus vulnérables utilisent un paquet intégré de services de santé de qualité</w:t>
            </w:r>
          </w:p>
          <w:p w14:paraId="405B1C77"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4.2</w:t>
            </w:r>
            <w:r w:rsidRPr="008B72F6">
              <w:rPr>
                <w:rFonts w:ascii="Times New Roman" w:hAnsi="Times New Roman" w:cs="Times New Roman"/>
                <w:bCs/>
                <w:sz w:val="16"/>
                <w:szCs w:val="16"/>
              </w:rPr>
              <w:t xml:space="preserve">: Les populations, en particulier les plus vulnérables ont accès </w:t>
            </w:r>
            <w:r w:rsidRPr="008B72F6">
              <w:rPr>
                <w:rFonts w:ascii="Times New Roman" w:hAnsi="Times New Roman" w:cs="Times New Roman"/>
                <w:bCs/>
                <w:sz w:val="16"/>
                <w:szCs w:val="16"/>
              </w:rPr>
              <w:lastRenderedPageBreak/>
              <w:t>à des services de qualité  de prévention et de prise en charge du VIH et du Sida.</w:t>
            </w:r>
          </w:p>
        </w:tc>
        <w:tc>
          <w:tcPr>
            <w:tcW w:w="2270" w:type="dxa"/>
            <w:shd w:val="clear" w:color="auto" w:fill="F2F2F2" w:themeFill="background1" w:themeFillShade="F2"/>
            <w:vAlign w:val="center"/>
          </w:tcPr>
          <w:p w14:paraId="025FE377"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sz w:val="16"/>
                <w:szCs w:val="16"/>
              </w:rPr>
              <w:lastRenderedPageBreak/>
              <w:t xml:space="preserve">Développer des activités/projets/programmes capables d’influencer la thématique en colonnes 2-3, et ancrées dans les Produits et Effets ci-contre !  </w:t>
            </w:r>
          </w:p>
        </w:tc>
      </w:tr>
      <w:tr w:rsidR="00DD583B" w:rsidRPr="008B72F6" w14:paraId="37332769" w14:textId="77777777" w:rsidTr="00E432D7">
        <w:tc>
          <w:tcPr>
            <w:tcW w:w="441" w:type="dxa"/>
            <w:vMerge/>
            <w:vAlign w:val="center"/>
          </w:tcPr>
          <w:p w14:paraId="03102BC4" w14:textId="77777777" w:rsidR="00DD583B" w:rsidRPr="008B72F6" w:rsidRDefault="00DD583B" w:rsidP="005D2A90">
            <w:pPr>
              <w:rPr>
                <w:rFonts w:ascii="Times New Roman" w:hAnsi="Times New Roman" w:cs="Times New Roman"/>
              </w:rPr>
            </w:pPr>
          </w:p>
        </w:tc>
        <w:tc>
          <w:tcPr>
            <w:tcW w:w="2128" w:type="dxa"/>
            <w:vMerge w:val="restart"/>
            <w:shd w:val="clear" w:color="auto" w:fill="F2F2F2" w:themeFill="background1" w:themeFillShade="F2"/>
            <w:vAlign w:val="center"/>
          </w:tcPr>
          <w:p w14:paraId="1E6BC0AB" w14:textId="77777777" w:rsidR="00DD583B" w:rsidRPr="008B72F6" w:rsidRDefault="00DD583B" w:rsidP="005D2A90">
            <w:pPr>
              <w:rPr>
                <w:rFonts w:ascii="Times New Roman" w:hAnsi="Times New Roman" w:cs="Times New Roman"/>
                <w:b/>
              </w:rPr>
            </w:pPr>
            <w:r w:rsidRPr="008B72F6">
              <w:rPr>
                <w:rFonts w:ascii="Times New Roman" w:hAnsi="Times New Roman" w:cs="Times New Roman"/>
                <w:b/>
              </w:rPr>
              <w:t>CREDD/Gouvernance</w:t>
            </w:r>
          </w:p>
        </w:tc>
        <w:tc>
          <w:tcPr>
            <w:tcW w:w="5121" w:type="dxa"/>
            <w:shd w:val="clear" w:color="auto" w:fill="F2F2F2" w:themeFill="background1" w:themeFillShade="F2"/>
            <w:vAlign w:val="center"/>
          </w:tcPr>
          <w:p w14:paraId="26CB1806" w14:textId="77777777" w:rsidR="00DD583B" w:rsidRPr="008B72F6" w:rsidRDefault="00DD583B" w:rsidP="005D2A90">
            <w:pPr>
              <w:pStyle w:val="Paragraphedeliste"/>
              <w:numPr>
                <w:ilvl w:val="0"/>
                <w:numId w:val="40"/>
              </w:numPr>
              <w:rPr>
                <w:rFonts w:ascii="Times New Roman" w:hAnsi="Times New Roman" w:cs="Times New Roman"/>
                <w:sz w:val="16"/>
                <w:szCs w:val="16"/>
              </w:rPr>
            </w:pPr>
            <w:r w:rsidRPr="008B72F6">
              <w:rPr>
                <w:rFonts w:ascii="Times New Roman" w:hAnsi="Times New Roman" w:cs="Times New Roman"/>
                <w:sz w:val="16"/>
                <w:szCs w:val="16"/>
              </w:rPr>
              <w:t>Elément de diagnostic et d’orientation : "Agir efficacement et rapidement pour la Paix et la Réconciliation Nationale", en rapport avec l’ODD 16 sur priorisé par le pays : "Promouvoir l’avènement de sociétés pacifiques et ouvertes aux fins du développement durable, assurer l’accès de tous à la justice et mettre en place, à tous les niveaux, des institutions efficaces, responsables et ouvertes » : L’enjeu pour le programme peut être dans les deux années à venir, de voir comment mieux faire avancer les composantes clés de l’Accord de Paix : la démobilisation et le désarmement, tout en soutenant les efforts de neutralisation des groupes terroristes dans le cadre sans doute sous-régional du G5 Sahel.</w:t>
            </w:r>
          </w:p>
        </w:tc>
        <w:tc>
          <w:tcPr>
            <w:tcW w:w="2250" w:type="dxa"/>
            <w:vAlign w:val="center"/>
          </w:tcPr>
          <w:p w14:paraId="586555A0"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Effet 1</w:t>
            </w:r>
            <w:r w:rsidRPr="008B72F6">
              <w:rPr>
                <w:rFonts w:ascii="Times New Roman" w:hAnsi="Times New Roman" w:cs="Times New Roman"/>
                <w:sz w:val="16"/>
                <w:szCs w:val="16"/>
              </w:rPr>
              <w:t xml:space="preserve"> : La paix et la stabilisation sont assurées à travers un dialogue politique inclusif et une réforme démocratique des institutions concernées, et la promotion d’une coexistence pacifique et le respect des droits humains</w:t>
            </w:r>
          </w:p>
        </w:tc>
        <w:tc>
          <w:tcPr>
            <w:tcW w:w="2817" w:type="dxa"/>
            <w:shd w:val="clear" w:color="auto" w:fill="F2F2F2" w:themeFill="background1" w:themeFillShade="F2"/>
            <w:vAlign w:val="center"/>
          </w:tcPr>
          <w:p w14:paraId="4292C4D9"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sz w:val="16"/>
                <w:szCs w:val="16"/>
                <w:u w:val="single"/>
              </w:rPr>
              <w:t>Produit 1.2</w:t>
            </w:r>
            <w:r w:rsidRPr="008B72F6">
              <w:rPr>
                <w:rFonts w:ascii="Times New Roman" w:hAnsi="Times New Roman" w:cs="Times New Roman"/>
                <w:sz w:val="16"/>
                <w:szCs w:val="16"/>
              </w:rPr>
              <w:t>. Secteur de la sécurité : Le secteur de la sécurité est renforcé dans le cadre de  la mise en œuvre de la politique nationale de la réforme du secteur de la sécurité, y compris la lutte contre les crimes transnationaux</w:t>
            </w:r>
          </w:p>
          <w:p w14:paraId="13969DFD"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sz w:val="16"/>
                <w:szCs w:val="16"/>
                <w:u w:val="single"/>
              </w:rPr>
              <w:t>Produit 1.3</w:t>
            </w:r>
            <w:r w:rsidRPr="008B72F6">
              <w:rPr>
                <w:rFonts w:ascii="Times New Roman" w:hAnsi="Times New Roman" w:cs="Times New Roman"/>
                <w:sz w:val="16"/>
                <w:szCs w:val="16"/>
              </w:rPr>
              <w:t>. DDR/Réinsertion : Les capacités techniques, logistiques et institutionnelles de la Commission nationale de DDR et des acteurs concernés sont renforcées pour la mise en œuvre d’une démobilisation et d’une réinsertion inclusive (ex-combattants, milices et groupes d’auto-défense, communautés et groupes vulnérables, notamment les enfants)</w:t>
            </w:r>
          </w:p>
        </w:tc>
        <w:tc>
          <w:tcPr>
            <w:tcW w:w="2270" w:type="dxa"/>
            <w:shd w:val="clear" w:color="auto" w:fill="F2F2F2" w:themeFill="background1" w:themeFillShade="F2"/>
            <w:vAlign w:val="center"/>
          </w:tcPr>
          <w:p w14:paraId="1437AEA2"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sz w:val="16"/>
                <w:szCs w:val="16"/>
              </w:rPr>
              <w:t xml:space="preserve">Développer des activités/projets/programmes capables d’influencer la thématique en colonnes 2-3, et ancrées dans les Produits et Effets ci-contre !  </w:t>
            </w:r>
          </w:p>
        </w:tc>
      </w:tr>
      <w:tr w:rsidR="00DD583B" w:rsidRPr="008B72F6" w14:paraId="76B22C04" w14:textId="77777777" w:rsidTr="00E432D7">
        <w:tc>
          <w:tcPr>
            <w:tcW w:w="441" w:type="dxa"/>
            <w:vMerge/>
            <w:vAlign w:val="center"/>
          </w:tcPr>
          <w:p w14:paraId="407BC794" w14:textId="77777777" w:rsidR="00DD583B" w:rsidRPr="008B72F6" w:rsidRDefault="00DD583B" w:rsidP="005D2A90">
            <w:pPr>
              <w:rPr>
                <w:rFonts w:ascii="Times New Roman" w:hAnsi="Times New Roman" w:cs="Times New Roman"/>
              </w:rPr>
            </w:pPr>
          </w:p>
        </w:tc>
        <w:tc>
          <w:tcPr>
            <w:tcW w:w="2128" w:type="dxa"/>
            <w:vMerge/>
            <w:shd w:val="clear" w:color="auto" w:fill="F2F2F2" w:themeFill="background1" w:themeFillShade="F2"/>
            <w:vAlign w:val="center"/>
          </w:tcPr>
          <w:p w14:paraId="67A449D6" w14:textId="77777777" w:rsidR="00DD583B" w:rsidRPr="008B72F6" w:rsidRDefault="00DD583B" w:rsidP="005D2A90">
            <w:pPr>
              <w:rPr>
                <w:rFonts w:ascii="Times New Roman" w:hAnsi="Times New Roman" w:cs="Times New Roman"/>
              </w:rPr>
            </w:pPr>
          </w:p>
        </w:tc>
        <w:tc>
          <w:tcPr>
            <w:tcW w:w="5121" w:type="dxa"/>
            <w:shd w:val="clear" w:color="auto" w:fill="F2F2F2" w:themeFill="background1" w:themeFillShade="F2"/>
            <w:vAlign w:val="center"/>
          </w:tcPr>
          <w:p w14:paraId="24B1851D" w14:textId="77777777" w:rsidR="00DD583B" w:rsidRPr="008B72F6" w:rsidRDefault="00DD583B" w:rsidP="005D2A90">
            <w:pPr>
              <w:pStyle w:val="Paragraphedeliste"/>
              <w:numPr>
                <w:ilvl w:val="0"/>
                <w:numId w:val="41"/>
              </w:numPr>
              <w:rPr>
                <w:rFonts w:ascii="Times New Roman" w:hAnsi="Times New Roman" w:cs="Times New Roman"/>
                <w:sz w:val="16"/>
                <w:szCs w:val="16"/>
              </w:rPr>
            </w:pPr>
            <w:r w:rsidRPr="008B72F6">
              <w:rPr>
                <w:rFonts w:ascii="Times New Roman" w:eastAsia="Times New Roman" w:hAnsi="Times New Roman" w:cs="Times New Roman"/>
                <w:color w:val="000000"/>
                <w:sz w:val="16"/>
                <w:szCs w:val="16"/>
                <w:lang w:eastAsia="fr-FR"/>
              </w:rPr>
              <w:t xml:space="preserve">Eléments de diagnostic du CREDD : "(…) </w:t>
            </w:r>
            <w:r w:rsidRPr="008B72F6">
              <w:rPr>
                <w:rFonts w:ascii="Times New Roman" w:eastAsia="Times New Roman" w:hAnsi="Times New Roman" w:cs="Times New Roman"/>
                <w:i/>
                <w:color w:val="000000"/>
                <w:sz w:val="16"/>
                <w:szCs w:val="16"/>
                <w:lang w:eastAsia="fr-FR"/>
              </w:rPr>
              <w:t>une gouvernance inclusive du territoire pour conforter la légitimité des collectivités territoriales, une meilleure prise en compte des citoyens, des organisations de la société civile dans la gestion des affaires publiques</w:t>
            </w:r>
            <w:r w:rsidRPr="008B72F6">
              <w:rPr>
                <w:rFonts w:ascii="Times New Roman" w:eastAsia="Times New Roman" w:hAnsi="Times New Roman" w:cs="Times New Roman"/>
                <w:color w:val="000000"/>
                <w:sz w:val="16"/>
                <w:szCs w:val="16"/>
                <w:lang w:eastAsia="fr-FR"/>
              </w:rPr>
              <w:t xml:space="preserve">" ; "(…) </w:t>
            </w:r>
            <w:r w:rsidRPr="008B72F6">
              <w:rPr>
                <w:rFonts w:ascii="Times New Roman" w:eastAsia="Times New Roman" w:hAnsi="Times New Roman" w:cs="Times New Roman"/>
                <w:i/>
                <w:color w:val="000000"/>
                <w:sz w:val="16"/>
                <w:szCs w:val="16"/>
                <w:lang w:eastAsia="fr-FR"/>
              </w:rPr>
              <w:t>l’adoption et la mise en œuvre de la Politique Nationale de la GAR ; l’amélioration des mécanismes de transparence et de redevabilité auprès du citoyen concernant les politiques et programmes publics</w:t>
            </w:r>
            <w:r w:rsidRPr="008B72F6">
              <w:rPr>
                <w:rFonts w:ascii="Times New Roman" w:eastAsia="Times New Roman" w:hAnsi="Times New Roman" w:cs="Times New Roman"/>
                <w:color w:val="000000"/>
                <w:sz w:val="16"/>
                <w:szCs w:val="16"/>
                <w:lang w:eastAsia="fr-FR"/>
              </w:rPr>
              <w:t>." : le programme pourrait accompagner cet objectif par une relance des appuis stratégiques aux organes de contrôle comme la Section des Comptes du Conseil Constitutionnel, mais aussi à la société civile en soutien à des actions de contrôle citoyen de l’action publique</w:t>
            </w:r>
          </w:p>
        </w:tc>
        <w:tc>
          <w:tcPr>
            <w:tcW w:w="2250" w:type="dxa"/>
            <w:vAlign w:val="center"/>
          </w:tcPr>
          <w:p w14:paraId="494C725D"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Effet 3</w:t>
            </w:r>
            <w:r w:rsidRPr="008B72F6">
              <w:rPr>
                <w:rFonts w:ascii="Times New Roman" w:hAnsi="Times New Roman" w:cs="Times New Roman"/>
                <w:sz w:val="16"/>
                <w:szCs w:val="16"/>
              </w:rPr>
              <w:t xml:space="preserve"> : Les institutions étatiques, nationales et locales, exercent de manière plus efficace leurs missions de service public et les acteurs non étatiques participent et assurent le contrôle citoyen en conformité avec les principes de bonne gouvernance et d’Etat de droit</w:t>
            </w:r>
          </w:p>
          <w:p w14:paraId="14CC48E8" w14:textId="77777777" w:rsidR="00DD583B" w:rsidRPr="008B72F6" w:rsidRDefault="00DD583B" w:rsidP="005D2A90">
            <w:pPr>
              <w:rPr>
                <w:rFonts w:ascii="Times New Roman" w:hAnsi="Times New Roman" w:cs="Times New Roman"/>
                <w:sz w:val="16"/>
                <w:szCs w:val="16"/>
              </w:rPr>
            </w:pPr>
          </w:p>
        </w:tc>
        <w:tc>
          <w:tcPr>
            <w:tcW w:w="2817" w:type="dxa"/>
            <w:vMerge w:val="restart"/>
            <w:shd w:val="clear" w:color="auto" w:fill="F2F2F2" w:themeFill="background1" w:themeFillShade="F2"/>
            <w:vAlign w:val="center"/>
          </w:tcPr>
          <w:p w14:paraId="7C15AE11"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3.1</w:t>
            </w:r>
            <w:r w:rsidRPr="008B72F6">
              <w:rPr>
                <w:rFonts w:ascii="Times New Roman" w:hAnsi="Times New Roman" w:cs="Times New Roman"/>
                <w:bCs/>
                <w:sz w:val="16"/>
                <w:szCs w:val="16"/>
              </w:rPr>
              <w:t> : Les capacités de l’Assemblée Nationale et des   Structures de contrôle des Finances publiques (Section des Comptes de la Cours Suprême) sont renforcées en vue d’améliorer la redevabilité dans la gestion des politiques publiques</w:t>
            </w:r>
          </w:p>
          <w:p w14:paraId="66C3AE72"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3.2</w:t>
            </w:r>
            <w:r w:rsidRPr="008B72F6">
              <w:rPr>
                <w:rFonts w:ascii="Times New Roman" w:hAnsi="Times New Roman" w:cs="Times New Roman"/>
                <w:bCs/>
                <w:sz w:val="16"/>
                <w:szCs w:val="16"/>
              </w:rPr>
              <w:t> : Les capacités de l’Etat, des OGE et OSC sont renforcées en vue de l’amélioration de la crédibilité des processus électoraux et d’une plus grande participation, notamment des femmes et des jeunes.</w:t>
            </w:r>
          </w:p>
          <w:p w14:paraId="7C083762"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3.3</w:t>
            </w:r>
            <w:r w:rsidRPr="008B72F6">
              <w:rPr>
                <w:rFonts w:ascii="Times New Roman" w:hAnsi="Times New Roman" w:cs="Times New Roman"/>
                <w:bCs/>
                <w:sz w:val="16"/>
                <w:szCs w:val="16"/>
              </w:rPr>
              <w:t> : Les stratégies et plans d’action disponibles sont opérationnalisés pour l’approfondissement de la décentralisation et la consolidation de la gouvernance locale.</w:t>
            </w:r>
          </w:p>
          <w:p w14:paraId="6241A0FD"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3.4</w:t>
            </w:r>
            <w:r w:rsidRPr="008B72F6">
              <w:rPr>
                <w:rFonts w:ascii="Times New Roman" w:hAnsi="Times New Roman" w:cs="Times New Roman"/>
                <w:bCs/>
                <w:sz w:val="16"/>
                <w:szCs w:val="16"/>
              </w:rPr>
              <w:t> : Les capacités des institutions publiques (au niveau national, régional, sectoriel) pour la planification et la programmation axée sur l’évidence, le S&amp;E et la production des données statistiques comparables et désagrégés sont renforcées</w:t>
            </w:r>
          </w:p>
          <w:p w14:paraId="0AC9E374"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3.5</w:t>
            </w:r>
            <w:r w:rsidRPr="008B72F6">
              <w:rPr>
                <w:rFonts w:ascii="Times New Roman" w:hAnsi="Times New Roman" w:cs="Times New Roman"/>
                <w:bCs/>
                <w:sz w:val="16"/>
                <w:szCs w:val="16"/>
              </w:rPr>
              <w:t> : Les capacités des organisations de la société civile et des médias sont renforcées en vue d’améliorer le contrôle citoyen, la redevabilité des institutions et la participation des femmes et des jeunes dans la vie publique</w:t>
            </w:r>
          </w:p>
          <w:p w14:paraId="7E278EF0" w14:textId="77777777" w:rsidR="00DD583B" w:rsidRPr="008B72F6" w:rsidRDefault="00DD583B" w:rsidP="005D2A90">
            <w:pPr>
              <w:rPr>
                <w:rFonts w:ascii="Times New Roman" w:hAnsi="Times New Roman" w:cs="Times New Roman"/>
                <w:bCs/>
                <w:sz w:val="16"/>
                <w:szCs w:val="16"/>
              </w:rPr>
            </w:pPr>
            <w:r w:rsidRPr="008B72F6">
              <w:rPr>
                <w:rFonts w:ascii="Times New Roman" w:hAnsi="Times New Roman" w:cs="Times New Roman"/>
                <w:b/>
                <w:bCs/>
                <w:sz w:val="16"/>
                <w:szCs w:val="16"/>
              </w:rPr>
              <w:lastRenderedPageBreak/>
              <w:t>Produit 3.6</w:t>
            </w:r>
            <w:r w:rsidRPr="008B72F6">
              <w:rPr>
                <w:rFonts w:ascii="Times New Roman" w:hAnsi="Times New Roman" w:cs="Times New Roman"/>
                <w:bCs/>
                <w:sz w:val="16"/>
                <w:szCs w:val="16"/>
              </w:rPr>
              <w:t> : Le fonctionnement des Institutions judiciaires et pénitentiaires et des organes de lutte contre l’impunité est amélioré sur toute l’étendue du territoire national dans un cadre juridique réformé conforme aux principes de l’Etat de droit</w:t>
            </w:r>
          </w:p>
          <w:p w14:paraId="701B6D9D" w14:textId="602621D3"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3.7</w:t>
            </w:r>
            <w:r w:rsidRPr="008B72F6">
              <w:rPr>
                <w:rFonts w:ascii="Times New Roman" w:hAnsi="Times New Roman" w:cs="Times New Roman"/>
                <w:bCs/>
                <w:sz w:val="16"/>
                <w:szCs w:val="16"/>
              </w:rPr>
              <w:t> : Les mécanismes nationaux formels et informels de promotion et de protection des droits Humains disposent des capacités institutionnelles et techniques pour mieux accomplir leurs missions en conformité avec les standards internationaux</w:t>
            </w:r>
          </w:p>
        </w:tc>
        <w:tc>
          <w:tcPr>
            <w:tcW w:w="2270" w:type="dxa"/>
            <w:shd w:val="clear" w:color="auto" w:fill="F2F2F2" w:themeFill="background1" w:themeFillShade="F2"/>
            <w:vAlign w:val="center"/>
          </w:tcPr>
          <w:p w14:paraId="674900D7"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sz w:val="16"/>
                <w:szCs w:val="16"/>
              </w:rPr>
              <w:lastRenderedPageBreak/>
              <w:t xml:space="preserve">Développer des activités/projets/programmes capables d’influencer la thématique en colonnes 2-3, et ancrées dans les Produits et Effets ci-contre !  </w:t>
            </w:r>
          </w:p>
        </w:tc>
      </w:tr>
      <w:tr w:rsidR="00DD583B" w:rsidRPr="008B72F6" w14:paraId="72C01FB8" w14:textId="77777777" w:rsidTr="00E432D7">
        <w:tc>
          <w:tcPr>
            <w:tcW w:w="441" w:type="dxa"/>
            <w:vMerge/>
            <w:vAlign w:val="center"/>
          </w:tcPr>
          <w:p w14:paraId="2C4F9595" w14:textId="77777777" w:rsidR="00DD583B" w:rsidRPr="008B72F6" w:rsidRDefault="00DD583B" w:rsidP="005D2A90">
            <w:pPr>
              <w:rPr>
                <w:rFonts w:ascii="Times New Roman" w:hAnsi="Times New Roman" w:cs="Times New Roman"/>
              </w:rPr>
            </w:pPr>
          </w:p>
        </w:tc>
        <w:tc>
          <w:tcPr>
            <w:tcW w:w="2128" w:type="dxa"/>
            <w:vMerge/>
            <w:shd w:val="clear" w:color="auto" w:fill="F2F2F2" w:themeFill="background1" w:themeFillShade="F2"/>
            <w:vAlign w:val="center"/>
          </w:tcPr>
          <w:p w14:paraId="042A3FFC" w14:textId="77777777" w:rsidR="00DD583B" w:rsidRPr="008B72F6" w:rsidRDefault="00DD583B" w:rsidP="005D2A90">
            <w:pPr>
              <w:rPr>
                <w:rFonts w:ascii="Times New Roman" w:hAnsi="Times New Roman" w:cs="Times New Roman"/>
              </w:rPr>
            </w:pPr>
          </w:p>
        </w:tc>
        <w:tc>
          <w:tcPr>
            <w:tcW w:w="5121" w:type="dxa"/>
            <w:shd w:val="clear" w:color="auto" w:fill="F2F2F2" w:themeFill="background1" w:themeFillShade="F2"/>
            <w:vAlign w:val="center"/>
          </w:tcPr>
          <w:p w14:paraId="63E56BA1" w14:textId="77777777" w:rsidR="00DD583B" w:rsidRPr="008B72F6" w:rsidRDefault="00DD583B" w:rsidP="005D2A90">
            <w:pPr>
              <w:pStyle w:val="Paragraphedeliste"/>
              <w:numPr>
                <w:ilvl w:val="0"/>
                <w:numId w:val="41"/>
              </w:numPr>
              <w:rPr>
                <w:rFonts w:ascii="Times New Roman" w:hAnsi="Times New Roman" w:cs="Times New Roman"/>
                <w:sz w:val="16"/>
                <w:szCs w:val="16"/>
              </w:rPr>
            </w:pPr>
            <w:r w:rsidRPr="008B72F6">
              <w:rPr>
                <w:rFonts w:ascii="Times New Roman" w:hAnsi="Times New Roman" w:cs="Times New Roman"/>
                <w:sz w:val="16"/>
                <w:szCs w:val="16"/>
              </w:rPr>
              <w:t>Autre élément de diagnostic de la gouvernance nationale : "En matière de gestion des finances publiques, le Gouvernement devra accroitre l’efficacité de la politique fiscale, renforcer la qualité du contrôle interne ex post et du contrôle externe, mettre effectivement en application la loi contre l’enrichissement illicite, et la politique nationale de la transparence." : il s’agirait pour le programme de voir en quoi le gouvernement pourrait être accompagné dans la mise en œuvre de ces différents outils et cadres de gouvernance, bien que l’on puisse présumer que la période électorale imminente  ne serait pas très propice à des évolutions importantes en ces matières.</w:t>
            </w:r>
          </w:p>
        </w:tc>
        <w:tc>
          <w:tcPr>
            <w:tcW w:w="2250" w:type="dxa"/>
            <w:vAlign w:val="center"/>
          </w:tcPr>
          <w:p w14:paraId="735EEB75"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Effet 3</w:t>
            </w:r>
            <w:r w:rsidRPr="008B72F6">
              <w:rPr>
                <w:rFonts w:ascii="Times New Roman" w:hAnsi="Times New Roman" w:cs="Times New Roman"/>
                <w:sz w:val="16"/>
                <w:szCs w:val="16"/>
              </w:rPr>
              <w:t xml:space="preserve"> : Les institutions étatiques, nationales et locales, exercent de manière plus efficace leurs missions de service public et les acteurs non étatiques participent et assurent le contrôle citoyen en conformité avec les principes de bonne gouvernance et d’Etat de droit</w:t>
            </w:r>
          </w:p>
          <w:p w14:paraId="1B7BDDE5" w14:textId="77777777" w:rsidR="00DD583B" w:rsidRPr="008B72F6" w:rsidRDefault="00DD583B" w:rsidP="005D2A90">
            <w:pPr>
              <w:rPr>
                <w:rFonts w:ascii="Times New Roman" w:hAnsi="Times New Roman" w:cs="Times New Roman"/>
                <w:sz w:val="16"/>
                <w:szCs w:val="16"/>
              </w:rPr>
            </w:pPr>
          </w:p>
        </w:tc>
        <w:tc>
          <w:tcPr>
            <w:tcW w:w="2817" w:type="dxa"/>
            <w:vMerge/>
            <w:shd w:val="clear" w:color="auto" w:fill="F2F2F2" w:themeFill="background1" w:themeFillShade="F2"/>
            <w:vAlign w:val="center"/>
          </w:tcPr>
          <w:p w14:paraId="79FC4D5D" w14:textId="77777777" w:rsidR="00DD583B" w:rsidRPr="008B72F6" w:rsidRDefault="00DD583B" w:rsidP="005D2A90">
            <w:pPr>
              <w:rPr>
                <w:rFonts w:ascii="Times New Roman" w:hAnsi="Times New Roman" w:cs="Times New Roman"/>
              </w:rPr>
            </w:pPr>
          </w:p>
        </w:tc>
        <w:tc>
          <w:tcPr>
            <w:tcW w:w="2270" w:type="dxa"/>
            <w:shd w:val="clear" w:color="auto" w:fill="F2F2F2" w:themeFill="background1" w:themeFillShade="F2"/>
            <w:vAlign w:val="center"/>
          </w:tcPr>
          <w:p w14:paraId="5F30EB4F"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sz w:val="16"/>
                <w:szCs w:val="16"/>
              </w:rPr>
              <w:t xml:space="preserve">Développer des activités/projets/programmes capables d’influencer la thématique en colonnes 2-3, et ancrées dans les Produits et Effets ci-contre !  </w:t>
            </w:r>
          </w:p>
        </w:tc>
      </w:tr>
      <w:tr w:rsidR="00DD583B" w:rsidRPr="008B72F6" w14:paraId="3DAAEE43" w14:textId="77777777" w:rsidTr="00E432D7">
        <w:tc>
          <w:tcPr>
            <w:tcW w:w="441" w:type="dxa"/>
            <w:vMerge w:val="restart"/>
            <w:vAlign w:val="center"/>
          </w:tcPr>
          <w:p w14:paraId="4F8DD6DF" w14:textId="77777777" w:rsidR="00DD583B" w:rsidRPr="008B72F6" w:rsidRDefault="00DD583B" w:rsidP="005D2A90">
            <w:pPr>
              <w:rPr>
                <w:rFonts w:ascii="Times New Roman" w:hAnsi="Times New Roman" w:cs="Times New Roman"/>
                <w:b/>
              </w:rPr>
            </w:pPr>
            <w:r w:rsidRPr="008B72F6">
              <w:rPr>
                <w:rFonts w:ascii="Times New Roman" w:hAnsi="Times New Roman" w:cs="Times New Roman"/>
                <w:b/>
              </w:rPr>
              <w:t>.2.</w:t>
            </w:r>
          </w:p>
        </w:tc>
        <w:tc>
          <w:tcPr>
            <w:tcW w:w="2128" w:type="dxa"/>
            <w:vMerge w:val="restart"/>
            <w:shd w:val="clear" w:color="auto" w:fill="F2F2F2" w:themeFill="background1" w:themeFillShade="F2"/>
            <w:vAlign w:val="center"/>
          </w:tcPr>
          <w:p w14:paraId="0F78FAC3" w14:textId="77777777" w:rsidR="00DD583B" w:rsidRPr="008B72F6" w:rsidRDefault="00DD583B" w:rsidP="005D2A90">
            <w:pPr>
              <w:rPr>
                <w:rFonts w:ascii="Times New Roman" w:hAnsi="Times New Roman" w:cs="Times New Roman"/>
                <w:b/>
              </w:rPr>
            </w:pPr>
            <w:r w:rsidRPr="008B72F6">
              <w:rPr>
                <w:rFonts w:ascii="Times New Roman" w:eastAsia="Calibri" w:hAnsi="Times New Roman" w:cs="Times New Roman"/>
                <w:b/>
                <w:sz w:val="24"/>
                <w:szCs w:val="24"/>
              </w:rPr>
              <w:t>SSDIRN/Nord-Mali</w:t>
            </w:r>
          </w:p>
        </w:tc>
        <w:tc>
          <w:tcPr>
            <w:tcW w:w="5121" w:type="dxa"/>
            <w:shd w:val="clear" w:color="auto" w:fill="F2F2F2" w:themeFill="background1" w:themeFillShade="F2"/>
            <w:vAlign w:val="center"/>
          </w:tcPr>
          <w:p w14:paraId="2F38C4D6"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sz w:val="16"/>
                <w:szCs w:val="16"/>
                <w:u w:val="single"/>
              </w:rPr>
              <w:t>Critère de choix de projets pro-SSDRN/1</w:t>
            </w:r>
            <w:r w:rsidRPr="008B72F6">
              <w:rPr>
                <w:rFonts w:ascii="Times New Roman" w:hAnsi="Times New Roman" w:cs="Times New Roman"/>
                <w:sz w:val="16"/>
                <w:szCs w:val="16"/>
              </w:rPr>
              <w:t> : "Exploiter les atouts pérennes et naturels : afin de définir parmi ce portefeuille le « projet phare », il est proposé de se fonder sur ceux qui exploitent et mettent en valeur directement les atouts pérennes de ces régions du Nord du Mali, et notamment le fleuve Niger, le climat ensoleillé, le sous-sol et le patrimoine culturel. En somme, les caractéristiques spatiales des régions du Nord du Mali et les enjeux liés à la géopolitique et à la géostratégie, commandent de faire des contraintes d’aujourd’hui les atouts de demain."</w:t>
            </w:r>
          </w:p>
        </w:tc>
        <w:tc>
          <w:tcPr>
            <w:tcW w:w="2250" w:type="dxa"/>
            <w:vMerge w:val="restart"/>
            <w:vAlign w:val="center"/>
          </w:tcPr>
          <w:p w14:paraId="2FE40FD9"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Effet 1</w:t>
            </w:r>
          </w:p>
          <w:p w14:paraId="5B40C3F5"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Effet 2</w:t>
            </w:r>
          </w:p>
          <w:p w14:paraId="5EAA7CD2"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Effet 3</w:t>
            </w:r>
          </w:p>
          <w:p w14:paraId="4D8376EE"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Effet 4</w:t>
            </w:r>
          </w:p>
          <w:p w14:paraId="47765EDA"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Effet 5</w:t>
            </w:r>
          </w:p>
        </w:tc>
        <w:tc>
          <w:tcPr>
            <w:tcW w:w="2817" w:type="dxa"/>
            <w:vMerge w:val="restart"/>
            <w:shd w:val="clear" w:color="auto" w:fill="F2F2F2" w:themeFill="background1" w:themeFillShade="F2"/>
            <w:vAlign w:val="center"/>
          </w:tcPr>
          <w:p w14:paraId="2321BB98"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Tous Produits/Effet 1</w:t>
            </w:r>
          </w:p>
          <w:p w14:paraId="60268D5C"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Tous Produits/Effet 2</w:t>
            </w:r>
          </w:p>
          <w:p w14:paraId="4209E5C7"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Tous Produits/Effet 3</w:t>
            </w:r>
          </w:p>
          <w:p w14:paraId="10C0D797"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Tous Produits/Effet 4</w:t>
            </w:r>
          </w:p>
          <w:p w14:paraId="511B7C98"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Tous Produits/Effet 5</w:t>
            </w:r>
          </w:p>
        </w:tc>
        <w:tc>
          <w:tcPr>
            <w:tcW w:w="2270" w:type="dxa"/>
            <w:vMerge w:val="restart"/>
            <w:shd w:val="clear" w:color="auto" w:fill="F2F2F2" w:themeFill="background1" w:themeFillShade="F2"/>
            <w:vAlign w:val="center"/>
          </w:tcPr>
          <w:p w14:paraId="2687AAA9"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sz w:val="16"/>
                <w:szCs w:val="16"/>
              </w:rPr>
              <w:t>Dans la SSDIRN, il n’y a pas de contenus qui sortent du cadre d’appui fixé dans le programme. En revanche, la Stratégie a ce plus de dégager des critères, à utiliser par les entités parties à l’UNDAF, lors de la formulation de leurs projets et programmes spécifiques, pour s’assurer de la prise en compte des régions du Nord</w:t>
            </w:r>
          </w:p>
        </w:tc>
      </w:tr>
      <w:tr w:rsidR="00DD583B" w:rsidRPr="008B72F6" w14:paraId="12FD8955" w14:textId="77777777" w:rsidTr="00E432D7">
        <w:tc>
          <w:tcPr>
            <w:tcW w:w="441" w:type="dxa"/>
            <w:vMerge/>
            <w:vAlign w:val="center"/>
          </w:tcPr>
          <w:p w14:paraId="61834426" w14:textId="77777777" w:rsidR="00DD583B" w:rsidRPr="008B72F6" w:rsidRDefault="00DD583B" w:rsidP="005D2A90">
            <w:pPr>
              <w:rPr>
                <w:rFonts w:ascii="Times New Roman" w:hAnsi="Times New Roman" w:cs="Times New Roman"/>
              </w:rPr>
            </w:pPr>
          </w:p>
        </w:tc>
        <w:tc>
          <w:tcPr>
            <w:tcW w:w="2128" w:type="dxa"/>
            <w:vMerge/>
            <w:shd w:val="clear" w:color="auto" w:fill="F2F2F2" w:themeFill="background1" w:themeFillShade="F2"/>
            <w:vAlign w:val="center"/>
          </w:tcPr>
          <w:p w14:paraId="03DA4E69" w14:textId="77777777" w:rsidR="00DD583B" w:rsidRPr="008B72F6" w:rsidRDefault="00DD583B" w:rsidP="005D2A90">
            <w:pPr>
              <w:rPr>
                <w:rFonts w:ascii="Times New Roman" w:hAnsi="Times New Roman" w:cs="Times New Roman"/>
              </w:rPr>
            </w:pPr>
          </w:p>
        </w:tc>
        <w:tc>
          <w:tcPr>
            <w:tcW w:w="5121" w:type="dxa"/>
            <w:shd w:val="clear" w:color="auto" w:fill="F2F2F2" w:themeFill="background1" w:themeFillShade="F2"/>
            <w:vAlign w:val="center"/>
          </w:tcPr>
          <w:p w14:paraId="68FEB522" w14:textId="77777777" w:rsidR="00DD583B" w:rsidRPr="008B72F6" w:rsidRDefault="00DD583B" w:rsidP="005D2A90">
            <w:pPr>
              <w:rPr>
                <w:rFonts w:ascii="Times New Roman" w:hAnsi="Times New Roman" w:cs="Times New Roman"/>
              </w:rPr>
            </w:pPr>
            <w:r w:rsidRPr="008B72F6">
              <w:rPr>
                <w:rFonts w:ascii="Times New Roman" w:hAnsi="Times New Roman" w:cs="Times New Roman"/>
                <w:sz w:val="16"/>
                <w:szCs w:val="16"/>
                <w:u w:val="single"/>
              </w:rPr>
              <w:t>Critère de choix de projets pro-SSDRN/2</w:t>
            </w:r>
            <w:r w:rsidRPr="008B72F6">
              <w:rPr>
                <w:rFonts w:ascii="Times New Roman" w:hAnsi="Times New Roman" w:cs="Times New Roman"/>
                <w:sz w:val="16"/>
                <w:szCs w:val="16"/>
              </w:rPr>
              <w:t> : "Prendre en considération les exigences du court terme et préparer l’avenir : ainsi, il est nécessaire d’avoir un impact significatif sur le court terme et, dans le même temps, préparer l’avenir. Deux types de projets prioritaires sont donc proposés, d’une part les projets qui tout en exploitant les atouts naturels du pays, permettent d’obtenir des résultats significatifs à un an, et d’autre part, les projets structurants à plus long terme, qui nécessitent plus de préparation, et pour lesquels les choix d’aujourd’hui seront déterminants."</w:t>
            </w:r>
          </w:p>
        </w:tc>
        <w:tc>
          <w:tcPr>
            <w:tcW w:w="2250" w:type="dxa"/>
            <w:vMerge/>
            <w:vAlign w:val="center"/>
          </w:tcPr>
          <w:p w14:paraId="0E77D2E3" w14:textId="77777777" w:rsidR="00DD583B" w:rsidRPr="008B72F6" w:rsidRDefault="00DD583B" w:rsidP="005D2A90">
            <w:pPr>
              <w:rPr>
                <w:rFonts w:ascii="Times New Roman" w:hAnsi="Times New Roman" w:cs="Times New Roman"/>
              </w:rPr>
            </w:pPr>
          </w:p>
        </w:tc>
        <w:tc>
          <w:tcPr>
            <w:tcW w:w="2817" w:type="dxa"/>
            <w:vMerge/>
            <w:shd w:val="clear" w:color="auto" w:fill="F2F2F2" w:themeFill="background1" w:themeFillShade="F2"/>
            <w:vAlign w:val="center"/>
          </w:tcPr>
          <w:p w14:paraId="25E219C5" w14:textId="77777777" w:rsidR="00DD583B" w:rsidRPr="008B72F6" w:rsidRDefault="00DD583B" w:rsidP="005D2A90">
            <w:pPr>
              <w:rPr>
                <w:rFonts w:ascii="Times New Roman" w:hAnsi="Times New Roman" w:cs="Times New Roman"/>
              </w:rPr>
            </w:pPr>
          </w:p>
        </w:tc>
        <w:tc>
          <w:tcPr>
            <w:tcW w:w="2270" w:type="dxa"/>
            <w:vMerge/>
            <w:shd w:val="clear" w:color="auto" w:fill="F2F2F2" w:themeFill="background1" w:themeFillShade="F2"/>
            <w:vAlign w:val="center"/>
          </w:tcPr>
          <w:p w14:paraId="6E036318" w14:textId="77777777" w:rsidR="00DD583B" w:rsidRPr="008B72F6" w:rsidRDefault="00DD583B" w:rsidP="005D2A90">
            <w:pPr>
              <w:rPr>
                <w:rFonts w:ascii="Times New Roman" w:hAnsi="Times New Roman" w:cs="Times New Roman"/>
              </w:rPr>
            </w:pPr>
          </w:p>
        </w:tc>
      </w:tr>
      <w:tr w:rsidR="00DD583B" w:rsidRPr="008B72F6" w14:paraId="17DAFE8F" w14:textId="77777777" w:rsidTr="00E432D7">
        <w:tc>
          <w:tcPr>
            <w:tcW w:w="441" w:type="dxa"/>
            <w:vMerge/>
            <w:vAlign w:val="center"/>
          </w:tcPr>
          <w:p w14:paraId="238A2DDD" w14:textId="77777777" w:rsidR="00DD583B" w:rsidRPr="008B72F6" w:rsidRDefault="00DD583B" w:rsidP="005D2A90">
            <w:pPr>
              <w:rPr>
                <w:rFonts w:ascii="Times New Roman" w:hAnsi="Times New Roman" w:cs="Times New Roman"/>
              </w:rPr>
            </w:pPr>
          </w:p>
        </w:tc>
        <w:tc>
          <w:tcPr>
            <w:tcW w:w="2128" w:type="dxa"/>
            <w:vMerge/>
            <w:shd w:val="clear" w:color="auto" w:fill="F2F2F2" w:themeFill="background1" w:themeFillShade="F2"/>
            <w:vAlign w:val="center"/>
          </w:tcPr>
          <w:p w14:paraId="070E42AB" w14:textId="77777777" w:rsidR="00DD583B" w:rsidRPr="008B72F6" w:rsidRDefault="00DD583B" w:rsidP="005D2A90">
            <w:pPr>
              <w:rPr>
                <w:rFonts w:ascii="Times New Roman" w:hAnsi="Times New Roman" w:cs="Times New Roman"/>
              </w:rPr>
            </w:pPr>
          </w:p>
        </w:tc>
        <w:tc>
          <w:tcPr>
            <w:tcW w:w="5121" w:type="dxa"/>
            <w:shd w:val="clear" w:color="auto" w:fill="F2F2F2" w:themeFill="background1" w:themeFillShade="F2"/>
            <w:vAlign w:val="center"/>
          </w:tcPr>
          <w:p w14:paraId="49204342" w14:textId="77777777" w:rsidR="00DD583B" w:rsidRPr="008B72F6" w:rsidRDefault="00DD583B" w:rsidP="005D2A90">
            <w:pPr>
              <w:rPr>
                <w:rFonts w:ascii="Times New Roman" w:hAnsi="Times New Roman" w:cs="Times New Roman"/>
              </w:rPr>
            </w:pPr>
            <w:r w:rsidRPr="008B72F6">
              <w:rPr>
                <w:rFonts w:ascii="Times New Roman" w:hAnsi="Times New Roman" w:cs="Times New Roman"/>
                <w:sz w:val="16"/>
                <w:szCs w:val="16"/>
                <w:u w:val="single"/>
              </w:rPr>
              <w:t>Critère de choix de projets pro-SSDRN/3</w:t>
            </w:r>
            <w:r w:rsidRPr="008B72F6">
              <w:rPr>
                <w:rFonts w:ascii="Times New Roman" w:hAnsi="Times New Roman" w:cs="Times New Roman"/>
                <w:sz w:val="16"/>
                <w:szCs w:val="16"/>
              </w:rPr>
              <w:t> : "Rechercher les effets leviers et multiplicateurs : la stratégie consiste ici à prioriser les projets qui nécessitent le minimum de pré requis et d’investissements pour réussir (en tenant compte du critère sécuritaire conjoncturel), et qui ont le maximum d’effets leviers en terme d’impact sur le développement de ces régions, sur la cohésion sociale, sur la production de richesses et la réduction de la pauvreté, sur le climat des affaires, et qui faciliteront la mise en œuvre d’autres projets."</w:t>
            </w:r>
          </w:p>
        </w:tc>
        <w:tc>
          <w:tcPr>
            <w:tcW w:w="2250" w:type="dxa"/>
            <w:vMerge/>
            <w:vAlign w:val="center"/>
          </w:tcPr>
          <w:p w14:paraId="75C10A19" w14:textId="77777777" w:rsidR="00DD583B" w:rsidRPr="008B72F6" w:rsidRDefault="00DD583B" w:rsidP="005D2A90">
            <w:pPr>
              <w:rPr>
                <w:rFonts w:ascii="Times New Roman" w:hAnsi="Times New Roman" w:cs="Times New Roman"/>
              </w:rPr>
            </w:pPr>
          </w:p>
        </w:tc>
        <w:tc>
          <w:tcPr>
            <w:tcW w:w="2817" w:type="dxa"/>
            <w:vMerge/>
            <w:shd w:val="clear" w:color="auto" w:fill="F2F2F2" w:themeFill="background1" w:themeFillShade="F2"/>
            <w:vAlign w:val="center"/>
          </w:tcPr>
          <w:p w14:paraId="09AD5A18" w14:textId="77777777" w:rsidR="00DD583B" w:rsidRPr="008B72F6" w:rsidRDefault="00DD583B" w:rsidP="005D2A90">
            <w:pPr>
              <w:rPr>
                <w:rFonts w:ascii="Times New Roman" w:hAnsi="Times New Roman" w:cs="Times New Roman"/>
              </w:rPr>
            </w:pPr>
          </w:p>
        </w:tc>
        <w:tc>
          <w:tcPr>
            <w:tcW w:w="2270" w:type="dxa"/>
            <w:vMerge/>
            <w:shd w:val="clear" w:color="auto" w:fill="F2F2F2" w:themeFill="background1" w:themeFillShade="F2"/>
            <w:vAlign w:val="center"/>
          </w:tcPr>
          <w:p w14:paraId="5A660BAE" w14:textId="77777777" w:rsidR="00DD583B" w:rsidRPr="008B72F6" w:rsidRDefault="00DD583B" w:rsidP="005D2A90">
            <w:pPr>
              <w:rPr>
                <w:rFonts w:ascii="Times New Roman" w:hAnsi="Times New Roman" w:cs="Times New Roman"/>
              </w:rPr>
            </w:pPr>
          </w:p>
        </w:tc>
      </w:tr>
      <w:tr w:rsidR="00DD583B" w:rsidRPr="008B72F6" w14:paraId="06D25C97" w14:textId="77777777" w:rsidTr="00E432D7">
        <w:trPr>
          <w:trHeight w:val="348"/>
        </w:trPr>
        <w:tc>
          <w:tcPr>
            <w:tcW w:w="441" w:type="dxa"/>
            <w:vMerge w:val="restart"/>
            <w:vAlign w:val="center"/>
          </w:tcPr>
          <w:p w14:paraId="47648073" w14:textId="77777777" w:rsidR="00DD583B" w:rsidRPr="008B72F6" w:rsidRDefault="00DD583B" w:rsidP="005D2A90">
            <w:pPr>
              <w:rPr>
                <w:rFonts w:ascii="Times New Roman" w:hAnsi="Times New Roman" w:cs="Times New Roman"/>
                <w:b/>
              </w:rPr>
            </w:pPr>
            <w:r w:rsidRPr="008B72F6">
              <w:rPr>
                <w:rFonts w:ascii="Times New Roman" w:hAnsi="Times New Roman" w:cs="Times New Roman"/>
                <w:b/>
              </w:rPr>
              <w:t>.3.</w:t>
            </w:r>
          </w:p>
        </w:tc>
        <w:tc>
          <w:tcPr>
            <w:tcW w:w="2128" w:type="dxa"/>
            <w:vMerge w:val="restart"/>
            <w:shd w:val="clear" w:color="auto" w:fill="F2F2F2" w:themeFill="background1" w:themeFillShade="F2"/>
            <w:vAlign w:val="center"/>
          </w:tcPr>
          <w:p w14:paraId="75A0A712" w14:textId="77777777" w:rsidR="00DD583B" w:rsidRPr="008B72F6" w:rsidRDefault="00DD583B" w:rsidP="005D2A90">
            <w:pPr>
              <w:rPr>
                <w:rFonts w:ascii="Times New Roman" w:hAnsi="Times New Roman" w:cs="Times New Roman"/>
                <w:b/>
              </w:rPr>
            </w:pPr>
            <w:r w:rsidRPr="008B72F6">
              <w:rPr>
                <w:rFonts w:ascii="Times New Roman" w:hAnsi="Times New Roman" w:cs="Times New Roman"/>
                <w:b/>
              </w:rPr>
              <w:t>ODD priorisés par le Mali : 1, 10 et 16</w:t>
            </w:r>
          </w:p>
        </w:tc>
        <w:tc>
          <w:tcPr>
            <w:tcW w:w="5121" w:type="dxa"/>
            <w:vMerge w:val="restart"/>
            <w:shd w:val="clear" w:color="auto" w:fill="F2F2F2" w:themeFill="background1" w:themeFillShade="F2"/>
            <w:vAlign w:val="center"/>
          </w:tcPr>
          <w:p w14:paraId="2F3661F0"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Si le pays conserve l’ODD 1 (</w:t>
            </w:r>
            <w:r w:rsidRPr="008B72F6">
              <w:rPr>
                <w:rFonts w:ascii="Times New Roman" w:hAnsi="Times New Roman" w:cs="Times New Roman"/>
                <w:u w:val="single"/>
              </w:rPr>
              <w:t>Eliminer la pauvreté</w:t>
            </w:r>
            <w:r w:rsidRPr="008B72F6">
              <w:rPr>
                <w:rFonts w:ascii="Times New Roman" w:hAnsi="Times New Roman" w:cs="Times New Roman"/>
              </w:rPr>
              <w:t xml:space="preserve"> sous toutes ses formes ) comme première priorité, c’est dans les profondeurs de l’ordonnancement international qu’il va chercher ses deuxième et troisième Objectifs prioritaires, à savoir l’ODD 10 (Réduire les inégalités) et l’ODD 16 (Promouvoir l’avènement de sociétés pacifiques et ouvertes aux fins du développement durable, assurer à tous l’accès à la justice et mettre en place, à tous les niveaux, des institutions efficaces, responsables et ouvertes). La focalisation que le pays fait sur les ODD 10 et 16, qui </w:t>
            </w:r>
            <w:r w:rsidRPr="008B72F6">
              <w:rPr>
                <w:rFonts w:ascii="Times New Roman" w:hAnsi="Times New Roman" w:cs="Times New Roman"/>
              </w:rPr>
              <w:lastRenderedPageBreak/>
              <w:t xml:space="preserve">emportent globalement </w:t>
            </w:r>
            <w:r w:rsidRPr="008B72F6">
              <w:rPr>
                <w:rFonts w:ascii="Times New Roman" w:hAnsi="Times New Roman" w:cs="Times New Roman"/>
                <w:u w:val="single"/>
              </w:rPr>
              <w:t>les droits humains, la paix et la réconciliation, mais aussi la gouvernance et l’efficacité des institutions</w:t>
            </w:r>
            <w:r w:rsidRPr="008B72F6">
              <w:rPr>
                <w:rFonts w:ascii="Times New Roman" w:hAnsi="Times New Roman" w:cs="Times New Roman"/>
              </w:rPr>
              <w:t>, etc. notamment, est le fait notable de l’exercice de priorisation, que la suite de l’UNDAF devrait mieux refléter, puisqu’à ces actes de souveraineté près, le Mali reprend pour les autres ODD, l’ordre de priorité structurel.</w:t>
            </w:r>
          </w:p>
        </w:tc>
        <w:tc>
          <w:tcPr>
            <w:tcW w:w="2250" w:type="dxa"/>
            <w:vAlign w:val="center"/>
          </w:tcPr>
          <w:p w14:paraId="54580C87" w14:textId="77777777" w:rsidR="00DD583B" w:rsidRPr="008B72F6" w:rsidRDefault="00DD583B" w:rsidP="005D2A90">
            <w:pPr>
              <w:rPr>
                <w:rFonts w:ascii="Times New Roman" w:hAnsi="Times New Roman" w:cs="Times New Roman"/>
                <w:sz w:val="16"/>
                <w:szCs w:val="16"/>
                <w:u w:val="single"/>
              </w:rPr>
            </w:pPr>
            <w:r w:rsidRPr="008B72F6">
              <w:rPr>
                <w:rFonts w:ascii="Times New Roman" w:hAnsi="Times New Roman" w:cs="Times New Roman"/>
                <w:b/>
                <w:sz w:val="16"/>
                <w:szCs w:val="16"/>
                <w:u w:val="single"/>
              </w:rPr>
              <w:lastRenderedPageBreak/>
              <w:t>ODD 1</w:t>
            </w:r>
            <w:r w:rsidRPr="008B72F6">
              <w:rPr>
                <w:rFonts w:ascii="Times New Roman" w:hAnsi="Times New Roman" w:cs="Times New Roman"/>
                <w:sz w:val="16"/>
                <w:szCs w:val="16"/>
              </w:rPr>
              <w:t> :</w:t>
            </w:r>
            <w:r w:rsidRPr="008B72F6">
              <w:rPr>
                <w:rFonts w:ascii="Times New Roman" w:hAnsi="Times New Roman" w:cs="Times New Roman"/>
                <w:sz w:val="16"/>
                <w:szCs w:val="16"/>
                <w:u w:val="single"/>
              </w:rPr>
              <w:t xml:space="preserve"> </w:t>
            </w:r>
          </w:p>
          <w:p w14:paraId="50E576CD" w14:textId="77777777" w:rsidR="00DD583B" w:rsidRPr="008B72F6" w:rsidRDefault="00DD583B" w:rsidP="005D2A90">
            <w:pPr>
              <w:pStyle w:val="Paragraphedeliste"/>
              <w:numPr>
                <w:ilvl w:val="0"/>
                <w:numId w:val="43"/>
              </w:numPr>
              <w:rPr>
                <w:rFonts w:ascii="Times New Roman" w:hAnsi="Times New Roman" w:cs="Times New Roman"/>
                <w:sz w:val="16"/>
                <w:szCs w:val="16"/>
              </w:rPr>
            </w:pPr>
            <w:r w:rsidRPr="008B72F6">
              <w:rPr>
                <w:rFonts w:ascii="Times New Roman" w:hAnsi="Times New Roman" w:cs="Times New Roman"/>
                <w:b/>
                <w:sz w:val="16"/>
                <w:szCs w:val="16"/>
                <w:u w:val="single"/>
              </w:rPr>
              <w:t>Effet 4</w:t>
            </w:r>
            <w:r w:rsidRPr="008B72F6">
              <w:rPr>
                <w:rFonts w:ascii="Times New Roman" w:hAnsi="Times New Roman" w:cs="Times New Roman"/>
                <w:sz w:val="16"/>
                <w:szCs w:val="16"/>
              </w:rPr>
              <w:t xml:space="preserve"> : D’ici 2019, les populations, en particulier les femmes et les enfants les plus vulnérables et celles affectées par les crises, ont un accès accru et équitable et utilisent les SSB de qualité</w:t>
            </w:r>
          </w:p>
        </w:tc>
        <w:tc>
          <w:tcPr>
            <w:tcW w:w="2817" w:type="dxa"/>
            <w:shd w:val="clear" w:color="auto" w:fill="F2F2F2" w:themeFill="background1" w:themeFillShade="F2"/>
            <w:vAlign w:val="center"/>
          </w:tcPr>
          <w:p w14:paraId="0E0B758F"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4.1</w:t>
            </w:r>
            <w:r w:rsidRPr="008B72F6">
              <w:rPr>
                <w:rFonts w:ascii="Times New Roman" w:hAnsi="Times New Roman" w:cs="Times New Roman"/>
                <w:bCs/>
                <w:sz w:val="16"/>
                <w:szCs w:val="16"/>
              </w:rPr>
              <w:t xml:space="preserve"> : Les femmes, enfants et jeunes, en particulier les plus vulnérables utilisent un paquet intégré de services de santé de qualité</w:t>
            </w:r>
          </w:p>
          <w:p w14:paraId="68A9B5AE"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 xml:space="preserve">Produit 4.2 </w:t>
            </w:r>
            <w:r w:rsidRPr="008B72F6">
              <w:rPr>
                <w:rFonts w:ascii="Times New Roman" w:hAnsi="Times New Roman" w:cs="Times New Roman"/>
                <w:bCs/>
                <w:sz w:val="16"/>
                <w:szCs w:val="16"/>
              </w:rPr>
              <w:t>: Les populations, en particulier les plus vulnérables ont accès à des services de qualité  de prévention et de prise en charge du VIH et du Sida.</w:t>
            </w:r>
          </w:p>
          <w:p w14:paraId="51ABC008"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4.3</w:t>
            </w:r>
            <w:r w:rsidRPr="008B72F6">
              <w:rPr>
                <w:rFonts w:ascii="Times New Roman" w:hAnsi="Times New Roman" w:cs="Times New Roman"/>
                <w:bCs/>
                <w:sz w:val="16"/>
                <w:szCs w:val="16"/>
              </w:rPr>
              <w:t xml:space="preserve"> : Les mères et les enfants, particulièrement les plus vulnérables ou affectées par les crises alimentaire et nutritionnelle, bénéficient d’un paquet complet d’interventions nutritionnelles </w:t>
            </w:r>
            <w:r w:rsidRPr="008B72F6">
              <w:rPr>
                <w:rFonts w:ascii="Times New Roman" w:hAnsi="Times New Roman" w:cs="Times New Roman"/>
                <w:bCs/>
                <w:sz w:val="16"/>
                <w:szCs w:val="16"/>
              </w:rPr>
              <w:lastRenderedPageBreak/>
              <w:t>au niveau des communautés et des services</w:t>
            </w:r>
          </w:p>
          <w:p w14:paraId="44F2DB5B"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4.4</w:t>
            </w:r>
            <w:r w:rsidRPr="008B72F6">
              <w:rPr>
                <w:rFonts w:ascii="Times New Roman" w:hAnsi="Times New Roman" w:cs="Times New Roman"/>
                <w:bCs/>
                <w:sz w:val="16"/>
                <w:szCs w:val="16"/>
              </w:rPr>
              <w:t xml:space="preserve"> : Les enfants d’âge préscolaires et scolaires et les jeunes, particulièrement les plus vulnérables ont accès à une éducation de base de qualité  </w:t>
            </w:r>
          </w:p>
          <w:p w14:paraId="33D613D7"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Cs/>
                <w:sz w:val="16"/>
                <w:szCs w:val="16"/>
              </w:rPr>
              <w:t>Produit 4.5 Les groupes vulnérables (jeunes filles, garçons et femmes) bénéficient de protection et de prise en charge adéquate contre les violences, abus et exploitation</w:t>
            </w:r>
          </w:p>
          <w:p w14:paraId="36C3FA85"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Cs/>
                <w:sz w:val="16"/>
                <w:szCs w:val="16"/>
              </w:rPr>
              <w:t>Produit 4.6: Les groupes vulnérables bénéficient de services de protection sociale adéquate</w:t>
            </w:r>
          </w:p>
        </w:tc>
        <w:tc>
          <w:tcPr>
            <w:tcW w:w="2270" w:type="dxa"/>
            <w:shd w:val="clear" w:color="auto" w:fill="F2F2F2" w:themeFill="background1" w:themeFillShade="F2"/>
            <w:vAlign w:val="center"/>
          </w:tcPr>
          <w:p w14:paraId="176E8ADF"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sz w:val="16"/>
                <w:szCs w:val="16"/>
              </w:rPr>
              <w:lastRenderedPageBreak/>
              <w:t xml:space="preserve">Développer des activités/projets/programmes capables d’influencer la thématique en colonnes 2-3, et ancrées dans les Produits et Effets ci-contre !  </w:t>
            </w:r>
          </w:p>
        </w:tc>
      </w:tr>
      <w:tr w:rsidR="00DD583B" w:rsidRPr="008B72F6" w14:paraId="58EBCB85" w14:textId="77777777" w:rsidTr="00E432D7">
        <w:trPr>
          <w:trHeight w:val="2099"/>
        </w:trPr>
        <w:tc>
          <w:tcPr>
            <w:tcW w:w="441" w:type="dxa"/>
            <w:vMerge/>
            <w:vAlign w:val="center"/>
          </w:tcPr>
          <w:p w14:paraId="4F36BC96" w14:textId="77777777" w:rsidR="00DD583B" w:rsidRPr="008B72F6" w:rsidRDefault="00DD583B" w:rsidP="005D2A90">
            <w:pPr>
              <w:rPr>
                <w:rFonts w:ascii="Times New Roman" w:hAnsi="Times New Roman" w:cs="Times New Roman"/>
              </w:rPr>
            </w:pPr>
          </w:p>
        </w:tc>
        <w:tc>
          <w:tcPr>
            <w:tcW w:w="2128" w:type="dxa"/>
            <w:vMerge/>
            <w:shd w:val="clear" w:color="auto" w:fill="F2F2F2" w:themeFill="background1" w:themeFillShade="F2"/>
            <w:vAlign w:val="center"/>
          </w:tcPr>
          <w:p w14:paraId="01ED9505" w14:textId="77777777" w:rsidR="00DD583B" w:rsidRPr="008B72F6" w:rsidRDefault="00DD583B" w:rsidP="005D2A90">
            <w:pPr>
              <w:rPr>
                <w:rFonts w:ascii="Times New Roman" w:hAnsi="Times New Roman" w:cs="Times New Roman"/>
              </w:rPr>
            </w:pPr>
          </w:p>
        </w:tc>
        <w:tc>
          <w:tcPr>
            <w:tcW w:w="5121" w:type="dxa"/>
            <w:vMerge/>
            <w:shd w:val="clear" w:color="auto" w:fill="F2F2F2" w:themeFill="background1" w:themeFillShade="F2"/>
            <w:vAlign w:val="center"/>
          </w:tcPr>
          <w:p w14:paraId="127AA215" w14:textId="77777777" w:rsidR="00DD583B" w:rsidRPr="008B72F6" w:rsidRDefault="00DD583B" w:rsidP="005D2A90">
            <w:pPr>
              <w:rPr>
                <w:rFonts w:ascii="Times New Roman" w:hAnsi="Times New Roman" w:cs="Times New Roman"/>
              </w:rPr>
            </w:pPr>
          </w:p>
        </w:tc>
        <w:tc>
          <w:tcPr>
            <w:tcW w:w="2250" w:type="dxa"/>
            <w:vAlign w:val="center"/>
          </w:tcPr>
          <w:p w14:paraId="05A8BB21" w14:textId="77777777" w:rsidR="00DD583B" w:rsidRPr="008B72F6" w:rsidRDefault="00DD583B" w:rsidP="005D2A90">
            <w:pPr>
              <w:rPr>
                <w:rFonts w:ascii="Times New Roman" w:hAnsi="Times New Roman" w:cs="Times New Roman"/>
                <w:sz w:val="16"/>
                <w:szCs w:val="16"/>
                <w:u w:val="single"/>
              </w:rPr>
            </w:pPr>
            <w:r w:rsidRPr="008B72F6">
              <w:rPr>
                <w:rFonts w:ascii="Times New Roman" w:hAnsi="Times New Roman" w:cs="Times New Roman"/>
                <w:b/>
                <w:sz w:val="16"/>
                <w:szCs w:val="16"/>
                <w:u w:val="single"/>
              </w:rPr>
              <w:t>ODD 10</w:t>
            </w:r>
            <w:r w:rsidRPr="008B72F6">
              <w:rPr>
                <w:rFonts w:ascii="Times New Roman" w:hAnsi="Times New Roman" w:cs="Times New Roman"/>
                <w:sz w:val="16"/>
                <w:szCs w:val="16"/>
              </w:rPr>
              <w:t> :</w:t>
            </w:r>
          </w:p>
          <w:p w14:paraId="351F8DA6" w14:textId="77777777" w:rsidR="00DD583B" w:rsidRPr="008B72F6" w:rsidRDefault="00DD583B" w:rsidP="005D2A90">
            <w:pPr>
              <w:pStyle w:val="Paragraphedeliste"/>
              <w:numPr>
                <w:ilvl w:val="0"/>
                <w:numId w:val="43"/>
              </w:numPr>
              <w:rPr>
                <w:rFonts w:ascii="Times New Roman" w:hAnsi="Times New Roman" w:cs="Times New Roman"/>
                <w:sz w:val="16"/>
                <w:szCs w:val="16"/>
              </w:rPr>
            </w:pPr>
            <w:r w:rsidRPr="008B72F6">
              <w:rPr>
                <w:rFonts w:ascii="Times New Roman" w:hAnsi="Times New Roman" w:cs="Times New Roman"/>
                <w:b/>
                <w:sz w:val="16"/>
                <w:szCs w:val="16"/>
                <w:u w:val="single"/>
              </w:rPr>
              <w:t>Effet 5</w:t>
            </w:r>
            <w:r w:rsidRPr="008B72F6">
              <w:rPr>
                <w:rFonts w:ascii="Times New Roman" w:hAnsi="Times New Roman" w:cs="Times New Roman"/>
                <w:sz w:val="16"/>
                <w:szCs w:val="16"/>
              </w:rPr>
              <w:t xml:space="preserve"> : Les populations défavorisées particulièrement les femmes et les jeunes, bénéficient de capacités et d’opportunités productives accrues, dans un environnement sain et durable, favorable à la réduction de la pauvreté</w:t>
            </w:r>
          </w:p>
          <w:p w14:paraId="1689D6AC" w14:textId="77777777" w:rsidR="00DD583B" w:rsidRPr="008B72F6" w:rsidRDefault="00DD583B" w:rsidP="005D2A90">
            <w:pPr>
              <w:rPr>
                <w:rFonts w:ascii="Times New Roman" w:hAnsi="Times New Roman" w:cs="Times New Roman"/>
                <w:b/>
                <w:sz w:val="16"/>
                <w:szCs w:val="16"/>
                <w:u w:val="single"/>
              </w:rPr>
            </w:pPr>
          </w:p>
        </w:tc>
        <w:tc>
          <w:tcPr>
            <w:tcW w:w="2817" w:type="dxa"/>
            <w:shd w:val="clear" w:color="auto" w:fill="F2F2F2" w:themeFill="background1" w:themeFillShade="F2"/>
            <w:vAlign w:val="center"/>
          </w:tcPr>
          <w:p w14:paraId="40FD5542"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rPr>
              <w:t>Produit 5.1</w:t>
            </w:r>
            <w:r w:rsidRPr="008B72F6">
              <w:rPr>
                <w:rFonts w:ascii="Times New Roman" w:hAnsi="Times New Roman" w:cs="Times New Roman"/>
                <w:bCs/>
                <w:sz w:val="16"/>
                <w:szCs w:val="16"/>
              </w:rPr>
              <w:t> : Les populations défavorisées et les exploitations familiales bénéficient de compétences techniques, de moyens et d’activités génératrices de revenus pour améliorer la sécurité alimentaire et nutritionnelle.</w:t>
            </w:r>
          </w:p>
          <w:p w14:paraId="51BC9779"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rPr>
              <w:t xml:space="preserve">Produit 5.2 </w:t>
            </w:r>
            <w:r w:rsidRPr="008B72F6">
              <w:rPr>
                <w:rFonts w:ascii="Times New Roman" w:hAnsi="Times New Roman" w:cs="Times New Roman"/>
                <w:bCs/>
                <w:sz w:val="16"/>
                <w:szCs w:val="16"/>
              </w:rPr>
              <w:t>: Les structures étatiques, le secteur privé, la diaspora et la société civile disposent de compétences techniques et de moyens pour améliorer les capacités productives et commerciales pour impulser une croissance verte et inclusive.</w:t>
            </w:r>
          </w:p>
          <w:p w14:paraId="4B0BD645"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rPr>
              <w:t>Produit 5.3</w:t>
            </w:r>
            <w:r w:rsidRPr="008B72F6">
              <w:rPr>
                <w:rFonts w:ascii="Times New Roman" w:hAnsi="Times New Roman" w:cs="Times New Roman"/>
                <w:bCs/>
                <w:sz w:val="16"/>
                <w:szCs w:val="16"/>
              </w:rPr>
              <w:t xml:space="preserve"> : La mise en œuvre des politiques nationales de création d’emplois et d’entreprenariat féminin favorise une meilleure insertion socio-économique des jeunes et des femmes</w:t>
            </w:r>
          </w:p>
          <w:p w14:paraId="202802B0"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rPr>
              <w:t>Produit 5.4</w:t>
            </w:r>
            <w:r w:rsidRPr="008B72F6">
              <w:rPr>
                <w:rFonts w:ascii="Times New Roman" w:hAnsi="Times New Roman" w:cs="Times New Roman"/>
                <w:bCs/>
                <w:sz w:val="16"/>
                <w:szCs w:val="16"/>
              </w:rPr>
              <w:t> : Les populations vulnérables bénéficient d’un meilleur cadre de vie à travers un accès durable à l’eau et un assainissement adéquat</w:t>
            </w:r>
          </w:p>
          <w:p w14:paraId="39FBE9D0"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rPr>
              <w:t>Produit 5.5</w:t>
            </w:r>
            <w:r w:rsidRPr="008B72F6">
              <w:rPr>
                <w:rFonts w:ascii="Times New Roman" w:hAnsi="Times New Roman" w:cs="Times New Roman"/>
                <w:bCs/>
                <w:sz w:val="16"/>
                <w:szCs w:val="16"/>
              </w:rPr>
              <w:t> : La résilience des populations face aux changements climatiques est renforcée par la mise en œuvre des politiques de promotion de l’utilisation accrue des énergies nouvelles et renouvelables, l’efficacité énergétique par des mesures d’adaptation aux changements climatiques et de réduction des risques de catastrophes</w:t>
            </w:r>
          </w:p>
          <w:p w14:paraId="10459C2B"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rPr>
              <w:t>Produit 5.6</w:t>
            </w:r>
            <w:r w:rsidRPr="008B72F6">
              <w:rPr>
                <w:rFonts w:ascii="Times New Roman" w:hAnsi="Times New Roman" w:cs="Times New Roman"/>
                <w:bCs/>
                <w:sz w:val="16"/>
                <w:szCs w:val="16"/>
              </w:rPr>
              <w:t xml:space="preserve"> : Les populations et les autres acteurs affectés par la désertification et la déforestation bénéficient de capacités accrues pour gérer de manière durable les ressources </w:t>
            </w:r>
            <w:r w:rsidRPr="008B72F6">
              <w:rPr>
                <w:rFonts w:ascii="Times New Roman" w:hAnsi="Times New Roman" w:cs="Times New Roman"/>
                <w:bCs/>
                <w:sz w:val="16"/>
                <w:szCs w:val="16"/>
              </w:rPr>
              <w:lastRenderedPageBreak/>
              <w:t>naturelles et protéger la biodiversité et les écosystèmes</w:t>
            </w:r>
          </w:p>
        </w:tc>
        <w:tc>
          <w:tcPr>
            <w:tcW w:w="2270" w:type="dxa"/>
            <w:shd w:val="clear" w:color="auto" w:fill="F2F2F2" w:themeFill="background1" w:themeFillShade="F2"/>
            <w:vAlign w:val="center"/>
          </w:tcPr>
          <w:p w14:paraId="5984DBA9"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sz w:val="16"/>
                <w:szCs w:val="16"/>
              </w:rPr>
              <w:lastRenderedPageBreak/>
              <w:t xml:space="preserve">Développer des activités/projets/programmes capables d’influencer la thématique en colonnes 2-3, et ancrées dans les Produits et Effets ci-contre !  </w:t>
            </w:r>
          </w:p>
        </w:tc>
      </w:tr>
      <w:tr w:rsidR="00DD583B" w:rsidRPr="008B72F6" w14:paraId="5DB440BD" w14:textId="77777777" w:rsidTr="00E432D7">
        <w:trPr>
          <w:trHeight w:val="2099"/>
        </w:trPr>
        <w:tc>
          <w:tcPr>
            <w:tcW w:w="441" w:type="dxa"/>
            <w:vMerge/>
            <w:vAlign w:val="center"/>
          </w:tcPr>
          <w:p w14:paraId="68EB8116" w14:textId="77777777" w:rsidR="00DD583B" w:rsidRPr="008B72F6" w:rsidRDefault="00DD583B" w:rsidP="005D2A90">
            <w:pPr>
              <w:rPr>
                <w:rFonts w:ascii="Times New Roman" w:hAnsi="Times New Roman" w:cs="Times New Roman"/>
              </w:rPr>
            </w:pPr>
          </w:p>
        </w:tc>
        <w:tc>
          <w:tcPr>
            <w:tcW w:w="2128" w:type="dxa"/>
            <w:vMerge/>
            <w:shd w:val="clear" w:color="auto" w:fill="F2F2F2" w:themeFill="background1" w:themeFillShade="F2"/>
            <w:vAlign w:val="center"/>
          </w:tcPr>
          <w:p w14:paraId="2DC405AE" w14:textId="77777777" w:rsidR="00DD583B" w:rsidRPr="008B72F6" w:rsidRDefault="00DD583B" w:rsidP="005D2A90">
            <w:pPr>
              <w:rPr>
                <w:rFonts w:ascii="Times New Roman" w:hAnsi="Times New Roman" w:cs="Times New Roman"/>
              </w:rPr>
            </w:pPr>
          </w:p>
        </w:tc>
        <w:tc>
          <w:tcPr>
            <w:tcW w:w="5121" w:type="dxa"/>
            <w:vMerge/>
            <w:shd w:val="clear" w:color="auto" w:fill="F2F2F2" w:themeFill="background1" w:themeFillShade="F2"/>
            <w:vAlign w:val="center"/>
          </w:tcPr>
          <w:p w14:paraId="541AB223" w14:textId="77777777" w:rsidR="00DD583B" w:rsidRPr="008B72F6" w:rsidRDefault="00DD583B" w:rsidP="005D2A90">
            <w:pPr>
              <w:rPr>
                <w:rFonts w:ascii="Times New Roman" w:hAnsi="Times New Roman" w:cs="Times New Roman"/>
              </w:rPr>
            </w:pPr>
          </w:p>
        </w:tc>
        <w:tc>
          <w:tcPr>
            <w:tcW w:w="2250" w:type="dxa"/>
            <w:vAlign w:val="center"/>
          </w:tcPr>
          <w:p w14:paraId="1F30BEF6" w14:textId="77777777" w:rsidR="00DD583B" w:rsidRPr="008B72F6" w:rsidRDefault="00DD583B" w:rsidP="005D2A90">
            <w:pPr>
              <w:rPr>
                <w:rFonts w:ascii="Times New Roman" w:hAnsi="Times New Roman" w:cs="Times New Roman"/>
                <w:sz w:val="16"/>
                <w:szCs w:val="16"/>
                <w:u w:val="single"/>
              </w:rPr>
            </w:pPr>
            <w:r w:rsidRPr="008B72F6">
              <w:rPr>
                <w:rFonts w:ascii="Times New Roman" w:hAnsi="Times New Roman" w:cs="Times New Roman"/>
                <w:b/>
                <w:sz w:val="16"/>
                <w:szCs w:val="16"/>
                <w:u w:val="single"/>
              </w:rPr>
              <w:t>ODD16</w:t>
            </w:r>
            <w:r w:rsidRPr="008B72F6">
              <w:rPr>
                <w:rFonts w:ascii="Times New Roman" w:hAnsi="Times New Roman" w:cs="Times New Roman"/>
                <w:sz w:val="16"/>
                <w:szCs w:val="16"/>
              </w:rPr>
              <w:t xml:space="preserve"> : </w:t>
            </w:r>
          </w:p>
          <w:p w14:paraId="2C1A9978" w14:textId="77777777" w:rsidR="00DD583B" w:rsidRPr="008B72F6" w:rsidRDefault="00DD583B" w:rsidP="005D2A90">
            <w:pPr>
              <w:pStyle w:val="Paragraphedeliste"/>
              <w:numPr>
                <w:ilvl w:val="0"/>
                <w:numId w:val="42"/>
              </w:numPr>
              <w:rPr>
                <w:rFonts w:ascii="Times New Roman" w:hAnsi="Times New Roman" w:cs="Times New Roman"/>
                <w:sz w:val="16"/>
                <w:szCs w:val="16"/>
              </w:rPr>
            </w:pPr>
            <w:r w:rsidRPr="008B72F6">
              <w:rPr>
                <w:rFonts w:ascii="Times New Roman" w:hAnsi="Times New Roman" w:cs="Times New Roman"/>
                <w:b/>
                <w:sz w:val="16"/>
                <w:szCs w:val="16"/>
                <w:u w:val="single"/>
              </w:rPr>
              <w:t>Effet 1</w:t>
            </w:r>
            <w:r w:rsidRPr="008B72F6">
              <w:rPr>
                <w:rFonts w:ascii="Times New Roman" w:hAnsi="Times New Roman" w:cs="Times New Roman"/>
                <w:sz w:val="16"/>
                <w:szCs w:val="16"/>
              </w:rPr>
              <w:t xml:space="preserve"> : La paix et la stabilisation sont assurées à travers un dialogue politique inclusif et une réforme démocratique des institutions concernées, et la promotion d’une coexistence pacifique et le respect des droits humains </w:t>
            </w:r>
          </w:p>
          <w:p w14:paraId="137E499E" w14:textId="77777777" w:rsidR="00DD583B" w:rsidRPr="008B72F6" w:rsidRDefault="00DD583B" w:rsidP="005D2A90">
            <w:pPr>
              <w:pStyle w:val="Paragraphedeliste"/>
              <w:numPr>
                <w:ilvl w:val="0"/>
                <w:numId w:val="42"/>
              </w:numPr>
              <w:rPr>
                <w:rFonts w:ascii="Times New Roman" w:hAnsi="Times New Roman" w:cs="Times New Roman"/>
                <w:sz w:val="16"/>
                <w:szCs w:val="16"/>
              </w:rPr>
            </w:pPr>
            <w:r w:rsidRPr="008B72F6">
              <w:rPr>
                <w:rFonts w:ascii="Times New Roman" w:hAnsi="Times New Roman" w:cs="Times New Roman"/>
                <w:b/>
                <w:sz w:val="16"/>
                <w:szCs w:val="16"/>
                <w:u w:val="single"/>
              </w:rPr>
              <w:t>Effet 2</w:t>
            </w:r>
            <w:r w:rsidRPr="008B72F6">
              <w:rPr>
                <w:rFonts w:ascii="Times New Roman" w:hAnsi="Times New Roman" w:cs="Times New Roman"/>
                <w:sz w:val="16"/>
                <w:szCs w:val="16"/>
              </w:rPr>
              <w:t xml:space="preserve"> : D’ici 2019, la cohésion sociale est facilitée par la justice transitionnelle, le dialogue communautaire inclusif, la culture et l’éducation pour la paix</w:t>
            </w:r>
          </w:p>
          <w:p w14:paraId="6EDAEEA3" w14:textId="77777777" w:rsidR="00DD583B" w:rsidRPr="008B72F6" w:rsidRDefault="00DD583B" w:rsidP="005D2A90">
            <w:pPr>
              <w:pStyle w:val="Paragraphedeliste"/>
              <w:numPr>
                <w:ilvl w:val="0"/>
                <w:numId w:val="42"/>
              </w:numPr>
              <w:rPr>
                <w:rFonts w:ascii="Times New Roman" w:hAnsi="Times New Roman" w:cs="Times New Roman"/>
                <w:b/>
                <w:sz w:val="16"/>
                <w:szCs w:val="16"/>
                <w:u w:val="single"/>
              </w:rPr>
            </w:pPr>
            <w:r w:rsidRPr="008B72F6">
              <w:rPr>
                <w:rFonts w:ascii="Times New Roman" w:hAnsi="Times New Roman" w:cs="Times New Roman"/>
                <w:b/>
                <w:sz w:val="16"/>
                <w:szCs w:val="16"/>
                <w:u w:val="single"/>
              </w:rPr>
              <w:t>Effet 3</w:t>
            </w:r>
            <w:r w:rsidRPr="008B72F6">
              <w:rPr>
                <w:rFonts w:ascii="Times New Roman" w:hAnsi="Times New Roman" w:cs="Times New Roman"/>
                <w:sz w:val="16"/>
                <w:szCs w:val="16"/>
              </w:rPr>
              <w:t xml:space="preserve"> : Les institutions étatiques, nationales et locales, exercent de manière plus efficace leurs missions de service public et les acteurs non étatiques participent et assurent le contrôle citoyen en conformité avec les principes de bonne gouvernance et d’Etat de droit</w:t>
            </w:r>
          </w:p>
        </w:tc>
        <w:tc>
          <w:tcPr>
            <w:tcW w:w="2817" w:type="dxa"/>
            <w:shd w:val="clear" w:color="auto" w:fill="F2F2F2" w:themeFill="background1" w:themeFillShade="F2"/>
            <w:vAlign w:val="center"/>
          </w:tcPr>
          <w:p w14:paraId="6001E4EA"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Produit 1.1.</w:t>
            </w:r>
            <w:r w:rsidRPr="008B72F6">
              <w:rPr>
                <w:rFonts w:ascii="Times New Roman" w:hAnsi="Times New Roman" w:cs="Times New Roman"/>
                <w:sz w:val="16"/>
                <w:szCs w:val="16"/>
              </w:rPr>
              <w:t xml:space="preserve">  Dialogue politique / médiation: Capacités techniques des institutions gouvernementales et des autres acteurs nationaux y compris les groupes armés, renforcées en vue de l’amélioration des mécanismes de dialogue politique et de médiation inclusifs sont améliorés à travers le renforcement </w:t>
            </w:r>
          </w:p>
          <w:p w14:paraId="43B7CF08"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rPr>
              <w:t>Produit 1.2.</w:t>
            </w:r>
            <w:r w:rsidRPr="008B72F6">
              <w:rPr>
                <w:rFonts w:ascii="Times New Roman" w:hAnsi="Times New Roman" w:cs="Times New Roman"/>
                <w:sz w:val="16"/>
                <w:szCs w:val="16"/>
              </w:rPr>
              <w:t xml:space="preserve"> Secteur de la sécurité : Le secteur de la sécurité est renforcé dans le cadre de  la mise en œuvre de la politique nationale de la réforme du secteur de la sécurité, y compris la lutte contre les crimes transnationaux</w:t>
            </w:r>
          </w:p>
          <w:p w14:paraId="7D8E4091"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 xml:space="preserve">Produit 1.3. </w:t>
            </w:r>
            <w:r w:rsidRPr="008B72F6">
              <w:rPr>
                <w:rFonts w:ascii="Times New Roman" w:hAnsi="Times New Roman" w:cs="Times New Roman"/>
                <w:sz w:val="16"/>
                <w:szCs w:val="16"/>
              </w:rPr>
              <w:t>DDR/Réinsertion : Les capacités techniques, logistiques et institutionnelles de la Commission nationale de DDR et des acteurs concernés sont renforcées pour la mise en œuvre d’une démobilisation et d’une réinsertion inclusive (ex-combattants, milices et groupes d’auto-défense, communautés et groupes vulnérables, notamment les enfants)</w:t>
            </w:r>
          </w:p>
          <w:p w14:paraId="554FF2A3"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Produit 1.4</w:t>
            </w:r>
            <w:r w:rsidRPr="008B72F6">
              <w:rPr>
                <w:rFonts w:ascii="Times New Roman" w:hAnsi="Times New Roman" w:cs="Times New Roman"/>
                <w:sz w:val="16"/>
                <w:szCs w:val="16"/>
              </w:rPr>
              <w:t xml:space="preserve"> : réduction des risques explosifs : Les risques explosifs sont réduits à travers une capacité nationale et communautaire renforcée.</w:t>
            </w:r>
          </w:p>
          <w:p w14:paraId="771C29B5"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Produit 2.1</w:t>
            </w:r>
            <w:r w:rsidRPr="008B72F6">
              <w:rPr>
                <w:rFonts w:ascii="Times New Roman" w:hAnsi="Times New Roman" w:cs="Times New Roman"/>
                <w:sz w:val="16"/>
                <w:szCs w:val="16"/>
              </w:rPr>
              <w:t>. Justice transitionnelle : Les capacités techniques des institutions en charge du processus de réconciliation et de justice transitionnelle et de la société civile sont renforcées pour promouvoir la réconciliation, le droit à la vérité, à la justice et à la réparation des victimes, y compris les femmes</w:t>
            </w:r>
          </w:p>
          <w:p w14:paraId="0E79046F"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Produit 2.2</w:t>
            </w:r>
            <w:r w:rsidRPr="008B72F6">
              <w:rPr>
                <w:rFonts w:ascii="Times New Roman" w:hAnsi="Times New Roman" w:cs="Times New Roman"/>
                <w:sz w:val="16"/>
                <w:szCs w:val="16"/>
              </w:rPr>
              <w:t xml:space="preserve">. Dialogue inter-/intra-communautaire : Les communautés disposent des capacités techniques </w:t>
            </w:r>
            <w:r w:rsidRPr="008B72F6">
              <w:rPr>
                <w:rFonts w:ascii="Times New Roman" w:hAnsi="Times New Roman" w:cs="Times New Roman"/>
                <w:sz w:val="16"/>
                <w:szCs w:val="16"/>
              </w:rPr>
              <w:lastRenderedPageBreak/>
              <w:t>nécessaires à la prévention et à la gestion des conflits communautaires, au renforcement de la cohésion sociale, et de créer les conditions de retour des réfugiés et déplacés</w:t>
            </w:r>
          </w:p>
          <w:p w14:paraId="53ABDD95"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Produit 2.3</w:t>
            </w:r>
            <w:r w:rsidRPr="008B72F6">
              <w:rPr>
                <w:rFonts w:ascii="Times New Roman" w:hAnsi="Times New Roman" w:cs="Times New Roman"/>
                <w:sz w:val="16"/>
                <w:szCs w:val="16"/>
              </w:rPr>
              <w:t>. Education à la culture de la paix : Les capacités techniques et matérielles des institutions (ministère de l’Education, Enseignement supérieur, syndicats d’élèves et d’enseignants) sont renforcées pour la promotion de l’éducation à la culture de la paix et droits de l’homme.</w:t>
            </w:r>
          </w:p>
          <w:p w14:paraId="03606D02"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Produit 2.4</w:t>
            </w:r>
            <w:r w:rsidRPr="008B72F6">
              <w:rPr>
                <w:rFonts w:ascii="Times New Roman" w:hAnsi="Times New Roman" w:cs="Times New Roman"/>
                <w:sz w:val="16"/>
                <w:szCs w:val="16"/>
              </w:rPr>
              <w:t>. Patrimoine culturel : Le patrimoine culturel matériel et immatériel endommagé est réhabilité et des outils pour la promotion de la diversité et des expressions culturelles sont élaborés</w:t>
            </w:r>
          </w:p>
          <w:p w14:paraId="25428AF8"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sz w:val="16"/>
                <w:szCs w:val="16"/>
              </w:rPr>
              <w:t>Les institutions étatiques, nationales et locales, exercent de manière plus efficace leurs missions de service public et les acteurs non étatiques participent et assurent le contrôle citoyen en conformité avec les principes de bonne gouvernance et d’Etat de droit</w:t>
            </w:r>
          </w:p>
          <w:p w14:paraId="04DA0A23"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3.1</w:t>
            </w:r>
            <w:r w:rsidRPr="008B72F6">
              <w:rPr>
                <w:rFonts w:ascii="Times New Roman" w:hAnsi="Times New Roman" w:cs="Times New Roman"/>
                <w:bCs/>
                <w:sz w:val="16"/>
                <w:szCs w:val="16"/>
              </w:rPr>
              <w:t> : Les capacités de l’Assemblée Nationale et des   Structures de contrôle des Finances publiques (Section des Comptes de la Cours Suprême) sont renforcées en vue d’améliorer la redevabilité dans la gestion des politiques publiques.</w:t>
            </w:r>
          </w:p>
          <w:p w14:paraId="3BC3A37A"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3.2</w:t>
            </w:r>
            <w:r w:rsidRPr="008B72F6">
              <w:rPr>
                <w:rFonts w:ascii="Times New Roman" w:hAnsi="Times New Roman" w:cs="Times New Roman"/>
                <w:bCs/>
                <w:sz w:val="16"/>
                <w:szCs w:val="16"/>
              </w:rPr>
              <w:t> : Les capacités de l’Etat, des OGE et OSC sont renforcées en vue de l’amélioration de la crédibilité des processus électoraux et d’une plus grande participation, notamment des femmes et des jeunes.</w:t>
            </w:r>
          </w:p>
          <w:p w14:paraId="5B635317"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3.3</w:t>
            </w:r>
            <w:r w:rsidRPr="008B72F6">
              <w:rPr>
                <w:rFonts w:ascii="Times New Roman" w:hAnsi="Times New Roman" w:cs="Times New Roman"/>
                <w:bCs/>
                <w:sz w:val="16"/>
                <w:szCs w:val="16"/>
              </w:rPr>
              <w:t> : Les stratégies et plans d’action disponibles sont opérationnalisés pour l’approfondissement de la décentralisation et la consolidation de la gouvernance locale.</w:t>
            </w:r>
          </w:p>
          <w:p w14:paraId="0C77760C"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3.4</w:t>
            </w:r>
            <w:r w:rsidRPr="008B72F6">
              <w:rPr>
                <w:rFonts w:ascii="Times New Roman" w:hAnsi="Times New Roman" w:cs="Times New Roman"/>
                <w:bCs/>
                <w:sz w:val="16"/>
                <w:szCs w:val="16"/>
              </w:rPr>
              <w:t> : Les capacités des institutions publiques (au niveau national, régional, sectoriel) pour la planification et la programmation axée sur l’évidence, le S&amp;E et la production des données statistiques comparables et désagrégés sont renforcées</w:t>
            </w:r>
          </w:p>
          <w:p w14:paraId="5DF851EC"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lastRenderedPageBreak/>
              <w:t>Produit 3.5</w:t>
            </w:r>
            <w:r w:rsidRPr="008B72F6">
              <w:rPr>
                <w:rFonts w:ascii="Times New Roman" w:hAnsi="Times New Roman" w:cs="Times New Roman"/>
                <w:bCs/>
                <w:sz w:val="16"/>
                <w:szCs w:val="16"/>
              </w:rPr>
              <w:t> : Les capacités des organisations de la société civile et des médias sont renforcées en vue d’améliorer le contrôle citoyen, la redevabilité des institutions et la participation des femmes et des jeunes dans la vie publique.</w:t>
            </w:r>
          </w:p>
          <w:p w14:paraId="1A6BA0FB"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3.6</w:t>
            </w:r>
            <w:r w:rsidRPr="008B72F6">
              <w:rPr>
                <w:rFonts w:ascii="Times New Roman" w:hAnsi="Times New Roman" w:cs="Times New Roman"/>
                <w:bCs/>
                <w:sz w:val="16"/>
                <w:szCs w:val="16"/>
              </w:rPr>
              <w:t> : Le fonctionnement des Institutions judiciaires et pénitentiaires et des organes de lutte contre l’impunité est amélioré sur toute l’étendue du territoire national dans un cadre juridique réformé conforme aux principes de l’Etat de droit</w:t>
            </w:r>
          </w:p>
          <w:p w14:paraId="2E0B7349"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3.7</w:t>
            </w:r>
            <w:r w:rsidRPr="008B72F6">
              <w:rPr>
                <w:rFonts w:ascii="Times New Roman" w:hAnsi="Times New Roman" w:cs="Times New Roman"/>
                <w:bCs/>
                <w:sz w:val="16"/>
                <w:szCs w:val="16"/>
              </w:rPr>
              <w:t> : Les mécanismes nationaux formels et informels de promotion et de protection des droits Humains disposent des capacités institutionnelles et techniques pour mieux accomplir leurs missions en conformité avec les standards internationaux.</w:t>
            </w:r>
          </w:p>
        </w:tc>
        <w:tc>
          <w:tcPr>
            <w:tcW w:w="2270" w:type="dxa"/>
            <w:shd w:val="clear" w:color="auto" w:fill="F2F2F2" w:themeFill="background1" w:themeFillShade="F2"/>
            <w:vAlign w:val="center"/>
          </w:tcPr>
          <w:p w14:paraId="0852708B"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sz w:val="16"/>
                <w:szCs w:val="16"/>
              </w:rPr>
              <w:lastRenderedPageBreak/>
              <w:t xml:space="preserve">Développer des activités/projets/programmes capables d’influencer la thématique en colonnes 2-3, et ancrées dans les Produits et Effets ci-contre !  </w:t>
            </w:r>
          </w:p>
        </w:tc>
      </w:tr>
      <w:tr w:rsidR="00DD583B" w:rsidRPr="008B72F6" w14:paraId="59A0DC9E" w14:textId="77777777" w:rsidTr="00E432D7">
        <w:tc>
          <w:tcPr>
            <w:tcW w:w="441" w:type="dxa"/>
            <w:vAlign w:val="center"/>
          </w:tcPr>
          <w:p w14:paraId="67246DFF" w14:textId="77777777" w:rsidR="00DD583B" w:rsidRPr="008B72F6" w:rsidRDefault="00DD583B" w:rsidP="005D2A90">
            <w:pPr>
              <w:rPr>
                <w:rFonts w:ascii="Times New Roman" w:hAnsi="Times New Roman" w:cs="Times New Roman"/>
                <w:b/>
              </w:rPr>
            </w:pPr>
            <w:r w:rsidRPr="008B72F6">
              <w:rPr>
                <w:rFonts w:ascii="Times New Roman" w:hAnsi="Times New Roman" w:cs="Times New Roman"/>
                <w:b/>
              </w:rPr>
              <w:lastRenderedPageBreak/>
              <w:t>.4.</w:t>
            </w:r>
          </w:p>
        </w:tc>
        <w:tc>
          <w:tcPr>
            <w:tcW w:w="2128" w:type="dxa"/>
            <w:shd w:val="clear" w:color="auto" w:fill="F2F2F2" w:themeFill="background1" w:themeFillShade="F2"/>
            <w:vAlign w:val="center"/>
          </w:tcPr>
          <w:p w14:paraId="7B9CB995" w14:textId="77777777" w:rsidR="00DD583B" w:rsidRPr="008B72F6" w:rsidRDefault="00DD583B" w:rsidP="005D2A90">
            <w:pPr>
              <w:rPr>
                <w:rFonts w:ascii="Times New Roman" w:hAnsi="Times New Roman" w:cs="Times New Roman"/>
                <w:b/>
              </w:rPr>
            </w:pPr>
            <w:r w:rsidRPr="008B72F6">
              <w:rPr>
                <w:rFonts w:ascii="Times New Roman" w:eastAsia="Calibri" w:hAnsi="Times New Roman" w:cs="Times New Roman"/>
                <w:b/>
                <w:sz w:val="24"/>
                <w:szCs w:val="24"/>
              </w:rPr>
              <w:t>UNISS/G5-Sahel</w:t>
            </w:r>
          </w:p>
        </w:tc>
        <w:tc>
          <w:tcPr>
            <w:tcW w:w="5121" w:type="dxa"/>
            <w:shd w:val="clear" w:color="auto" w:fill="F2F2F2" w:themeFill="background1" w:themeFillShade="F2"/>
            <w:vAlign w:val="center"/>
          </w:tcPr>
          <w:p w14:paraId="46888330"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Les éléments du diagnostic préparatoire au plan d’action de l’UNISS, montrent que le Secrétariat du G5 connaît encore des faiblesses importantes, que des agences pourraient aider à résorber et contribuer ainsi à la pleine opérationnalité du G5 Sahel : l’appropriation du Programme d’Investissement, les interfaces entre le Secrétariat et la Présidence du Groupe, le suivi des engagements de la table ronde G5 Sahel de Bruxelles (sécurité et développement), ainsi que les possibles interactions entre le G5 et les autres entités sous-régionales comme la CEDEAO, le CILSS, la Commission du Bassin du Lac Tchad, sont autant de défis sur lesquels le programme pourrait articuler un plan de développement de capacités du G5 ancré dans l’UNISS, et naturellement limité aux institutions du Mali ayant partie liée aux structures du G5.</w:t>
            </w:r>
          </w:p>
        </w:tc>
        <w:tc>
          <w:tcPr>
            <w:tcW w:w="2250" w:type="dxa"/>
            <w:vAlign w:val="center"/>
          </w:tcPr>
          <w:p w14:paraId="7E1D9E3A" w14:textId="77777777" w:rsidR="00DD583B" w:rsidRPr="008B72F6" w:rsidRDefault="00DD583B" w:rsidP="005D2A90">
            <w:pPr>
              <w:rPr>
                <w:rFonts w:ascii="Times New Roman" w:hAnsi="Times New Roman" w:cs="Times New Roman"/>
              </w:rPr>
            </w:pPr>
            <w:r w:rsidRPr="008B72F6">
              <w:rPr>
                <w:rFonts w:ascii="Times New Roman" w:hAnsi="Times New Roman" w:cs="Times New Roman"/>
                <w:b/>
                <w:u w:val="single"/>
              </w:rPr>
              <w:t>Effet 1</w:t>
            </w:r>
            <w:r w:rsidRPr="008B72F6">
              <w:rPr>
                <w:rFonts w:ascii="Times New Roman" w:hAnsi="Times New Roman" w:cs="Times New Roman"/>
              </w:rPr>
              <w:t xml:space="preserve"> : La paix et la stabilisation sont assurées à travers un dialogue politique inclusif et une réforme démocratique des institutions concernées, et la promotion d’une coexistence pacifique et le respect des droits humains</w:t>
            </w:r>
          </w:p>
        </w:tc>
        <w:tc>
          <w:tcPr>
            <w:tcW w:w="2817" w:type="dxa"/>
            <w:shd w:val="clear" w:color="auto" w:fill="F2F2F2" w:themeFill="background1" w:themeFillShade="F2"/>
            <w:vAlign w:val="center"/>
          </w:tcPr>
          <w:p w14:paraId="514C1673"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 xml:space="preserve">Produit 1.1. </w:t>
            </w:r>
            <w:r w:rsidRPr="008B72F6">
              <w:rPr>
                <w:rFonts w:ascii="Times New Roman" w:hAnsi="Times New Roman" w:cs="Times New Roman"/>
                <w:sz w:val="16"/>
                <w:szCs w:val="16"/>
              </w:rPr>
              <w:t xml:space="preserve"> Dialogue politique / médiation: Capacités techniques des institutions gouvernementales et des autres acteurs nationaux y compris les groupes armés, renforcées en vue de l’amélioration des mécanismes de dialogue politique et de médiation inclusifs sont améliorés à travers le renforcement </w:t>
            </w:r>
          </w:p>
          <w:p w14:paraId="6F060B86"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Produit 1.2.</w:t>
            </w:r>
            <w:r w:rsidRPr="008B72F6">
              <w:rPr>
                <w:rFonts w:ascii="Times New Roman" w:hAnsi="Times New Roman" w:cs="Times New Roman"/>
                <w:sz w:val="16"/>
                <w:szCs w:val="16"/>
              </w:rPr>
              <w:t xml:space="preserve"> Secteur de la sécurité : Le secteur de la sécurité est renforcé dans le cadre de  la mise en œuvre de la politique nationale de la réforme du secteur de la sécurité, y compris la lutte contre les crimes transnationaux</w:t>
            </w:r>
          </w:p>
          <w:p w14:paraId="55F4F409" w14:textId="77777777" w:rsidR="00DD583B"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Produit 1.3.</w:t>
            </w:r>
            <w:r w:rsidRPr="008B72F6">
              <w:rPr>
                <w:rFonts w:ascii="Times New Roman" w:hAnsi="Times New Roman" w:cs="Times New Roman"/>
                <w:sz w:val="16"/>
                <w:szCs w:val="16"/>
              </w:rPr>
              <w:t xml:space="preserve"> DDR/Réinsertion : Les capacités techniques, logistiques et institutionnelles de la Commission nationale de DDR et des acteurs concernés sont renforcées pour la mise en œuvre d’une démobilisation et d’une réinsertion inclusive (ex-combattants, milices et groupes d’auto-défense, communautés et groupes vulnérables, notamment les enfants)</w:t>
            </w:r>
          </w:p>
          <w:p w14:paraId="3142EDE3"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Produit 1.4</w:t>
            </w:r>
            <w:r w:rsidRPr="008B72F6">
              <w:rPr>
                <w:rFonts w:ascii="Times New Roman" w:hAnsi="Times New Roman" w:cs="Times New Roman"/>
                <w:sz w:val="16"/>
                <w:szCs w:val="16"/>
              </w:rPr>
              <w:t xml:space="preserve"> : réduction des risques explosifs : Les risques explosifs sont réduits à travers une capacité nationale et communautaire renforcée</w:t>
            </w:r>
          </w:p>
        </w:tc>
        <w:tc>
          <w:tcPr>
            <w:tcW w:w="2270" w:type="dxa"/>
            <w:shd w:val="clear" w:color="auto" w:fill="F2F2F2" w:themeFill="background1" w:themeFillShade="F2"/>
            <w:vAlign w:val="center"/>
          </w:tcPr>
          <w:p w14:paraId="6FACF787"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sz w:val="16"/>
                <w:szCs w:val="16"/>
              </w:rPr>
              <w:t xml:space="preserve">Développer des activités/projets/programmes capables d’influencer la thématique en colonnes 2-3, et ancrées dans les Produits et Effets ci-contre !  </w:t>
            </w:r>
          </w:p>
        </w:tc>
      </w:tr>
      <w:tr w:rsidR="00DD583B" w:rsidRPr="008B72F6" w14:paraId="3FA25DF5" w14:textId="77777777" w:rsidTr="00E432D7">
        <w:trPr>
          <w:trHeight w:val="3381"/>
        </w:trPr>
        <w:tc>
          <w:tcPr>
            <w:tcW w:w="441" w:type="dxa"/>
            <w:vMerge w:val="restart"/>
            <w:vAlign w:val="center"/>
          </w:tcPr>
          <w:p w14:paraId="0B3C8CDE" w14:textId="77777777" w:rsidR="00DD583B" w:rsidRPr="008B72F6" w:rsidRDefault="00DD583B" w:rsidP="005D2A90">
            <w:pPr>
              <w:rPr>
                <w:rFonts w:ascii="Times New Roman" w:hAnsi="Times New Roman" w:cs="Times New Roman"/>
                <w:b/>
              </w:rPr>
            </w:pPr>
            <w:r w:rsidRPr="008B72F6">
              <w:rPr>
                <w:rFonts w:ascii="Times New Roman" w:hAnsi="Times New Roman" w:cs="Times New Roman"/>
                <w:b/>
              </w:rPr>
              <w:lastRenderedPageBreak/>
              <w:t>.5.</w:t>
            </w:r>
          </w:p>
        </w:tc>
        <w:tc>
          <w:tcPr>
            <w:tcW w:w="2128" w:type="dxa"/>
            <w:vMerge w:val="restart"/>
            <w:shd w:val="clear" w:color="auto" w:fill="F2F2F2" w:themeFill="background1" w:themeFillShade="F2"/>
            <w:vAlign w:val="center"/>
          </w:tcPr>
          <w:p w14:paraId="2CF4D09B" w14:textId="77777777" w:rsidR="00DD583B" w:rsidRPr="008B72F6" w:rsidRDefault="00DD583B" w:rsidP="005D2A90">
            <w:pPr>
              <w:rPr>
                <w:rFonts w:ascii="Times New Roman" w:hAnsi="Times New Roman" w:cs="Times New Roman"/>
                <w:b/>
              </w:rPr>
            </w:pPr>
            <w:r w:rsidRPr="008B72F6">
              <w:rPr>
                <w:rFonts w:ascii="Times New Roman" w:hAnsi="Times New Roman" w:cs="Times New Roman"/>
                <w:b/>
              </w:rPr>
              <w:t>MINUSMA/Stratégie de transition</w:t>
            </w:r>
          </w:p>
        </w:tc>
        <w:tc>
          <w:tcPr>
            <w:tcW w:w="5121" w:type="dxa"/>
            <w:vMerge w:val="restart"/>
            <w:shd w:val="clear" w:color="auto" w:fill="F2F2F2" w:themeFill="background1" w:themeFillShade="F2"/>
            <w:vAlign w:val="center"/>
          </w:tcPr>
          <w:p w14:paraId="46F38760" w14:textId="77777777" w:rsidR="00DD583B" w:rsidRPr="008B72F6" w:rsidRDefault="00DD583B" w:rsidP="005D2A90">
            <w:pPr>
              <w:rPr>
                <w:rFonts w:ascii="Times New Roman" w:hAnsi="Times New Roman" w:cs="Times New Roman"/>
              </w:rPr>
            </w:pPr>
            <w:r w:rsidRPr="008B72F6">
              <w:rPr>
                <w:rFonts w:ascii="Times New Roman" w:hAnsi="Times New Roman" w:cs="Times New Roman"/>
                <w:u w:val="single"/>
              </w:rPr>
              <w:t>Paix et réconciliation</w:t>
            </w:r>
            <w:r w:rsidRPr="008B72F6">
              <w:rPr>
                <w:rFonts w:ascii="Times New Roman" w:hAnsi="Times New Roman" w:cs="Times New Roman"/>
              </w:rPr>
              <w:t xml:space="preserve"> : La mise en œuvre de l’Accord de paix demande plus d’engagement des agences, y compris, avec l’aide de la Mission, le renforcement de leurs capacités là où elles ont le mandat ; dans la mise en œuvre de l’Accord aussi, au fur et à mesure des avancées, la Mission pourrait se recentrer sur les aspects politiques et la mobilisation de ressources et laisser plus de place aux autres entités dans le déroulement opérationnel des programmes de paix et de réconciliation nationale. D’ores et déjà, les agences ayant un mandat sur les aspects de protection humaine, pourraient conforter leur réponse dans des domaines comme la lutte contre les violences sexuelles, la protection des personnes déplacées : le tout dans une logique, sinon de transition, du moins de lien humanitaire-développement, dans les parties du territoire connaissant l’apaisement.</w:t>
            </w:r>
          </w:p>
        </w:tc>
        <w:tc>
          <w:tcPr>
            <w:tcW w:w="2250" w:type="dxa"/>
            <w:vAlign w:val="center"/>
          </w:tcPr>
          <w:p w14:paraId="079D4924" w14:textId="77777777" w:rsidR="00DD583B" w:rsidRPr="008B72F6" w:rsidRDefault="00DD583B" w:rsidP="005D2A90">
            <w:pPr>
              <w:rPr>
                <w:rFonts w:ascii="Times New Roman" w:hAnsi="Times New Roman" w:cs="Times New Roman"/>
              </w:rPr>
            </w:pPr>
            <w:r w:rsidRPr="008B72F6">
              <w:rPr>
                <w:rFonts w:ascii="Times New Roman" w:hAnsi="Times New Roman" w:cs="Times New Roman"/>
                <w:b/>
                <w:u w:val="single"/>
              </w:rPr>
              <w:t>Effet 1</w:t>
            </w:r>
            <w:r w:rsidRPr="008B72F6">
              <w:rPr>
                <w:rFonts w:ascii="Times New Roman" w:hAnsi="Times New Roman" w:cs="Times New Roman"/>
              </w:rPr>
              <w:t xml:space="preserve"> : La paix et la stabilisation sont assurées à travers un dialogue politique inclusif et une réforme démocratique des institutions concernées, et la promotion d’une coexistence pacifique et le respect des droits humains</w:t>
            </w:r>
          </w:p>
        </w:tc>
        <w:tc>
          <w:tcPr>
            <w:tcW w:w="2817" w:type="dxa"/>
            <w:shd w:val="clear" w:color="auto" w:fill="F2F2F2" w:themeFill="background1" w:themeFillShade="F2"/>
            <w:vAlign w:val="center"/>
          </w:tcPr>
          <w:p w14:paraId="380BA6B2"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 xml:space="preserve">Produit 1.1. </w:t>
            </w:r>
            <w:r w:rsidRPr="008B72F6">
              <w:rPr>
                <w:rFonts w:ascii="Times New Roman" w:hAnsi="Times New Roman" w:cs="Times New Roman"/>
                <w:sz w:val="16"/>
                <w:szCs w:val="16"/>
              </w:rPr>
              <w:t xml:space="preserve"> Dialogue politique / médiation: Capacités techniques des institutions gouvernementales et des autres acteurs nationaux y compris les groupes armés, renforcées en vue de l’amélioration des mécanismes de dialogue politique et de médiation inclusifs sont améliorés à travers le renforcement </w:t>
            </w:r>
          </w:p>
          <w:p w14:paraId="3206D27B"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Produit 1.2.</w:t>
            </w:r>
            <w:r w:rsidRPr="008B72F6">
              <w:rPr>
                <w:rFonts w:ascii="Times New Roman" w:hAnsi="Times New Roman" w:cs="Times New Roman"/>
                <w:sz w:val="16"/>
                <w:szCs w:val="16"/>
              </w:rPr>
              <w:t xml:space="preserve"> Secteur de la sécurité : Le secteur de la sécurité est renforcé dans le cadre de  la mise en œuvre de la politique nationale de la réforme du secteur de la sécurité, y compris la lutte contre les crimes transnationaux</w:t>
            </w:r>
          </w:p>
          <w:p w14:paraId="4AC58E07"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Produit 1.3.</w:t>
            </w:r>
            <w:r w:rsidRPr="008B72F6">
              <w:rPr>
                <w:rFonts w:ascii="Times New Roman" w:hAnsi="Times New Roman" w:cs="Times New Roman"/>
                <w:sz w:val="16"/>
                <w:szCs w:val="16"/>
              </w:rPr>
              <w:t xml:space="preserve"> DDR/Réinsertion : Les capacités techniques, logistiques et institutionnelles de la Commission nationale de DDR et des acteurs concernés sont renforcées pour la mise en œuvre d’une démobilisation et d’une réinsertion inclusive (ex-combattants, milices et groupes d’auto-défense, communautés et groupes vulnérables, notamment les enfants)</w:t>
            </w:r>
          </w:p>
          <w:p w14:paraId="17E6781D"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Produit 1.4</w:t>
            </w:r>
            <w:r w:rsidRPr="008B72F6">
              <w:rPr>
                <w:rFonts w:ascii="Times New Roman" w:hAnsi="Times New Roman" w:cs="Times New Roman"/>
                <w:sz w:val="16"/>
                <w:szCs w:val="16"/>
              </w:rPr>
              <w:t xml:space="preserve"> : Réduction des risques explosifs : Les risques explosifs sont réduits à travers une capacité nationale et communautaire renforcée.</w:t>
            </w:r>
          </w:p>
        </w:tc>
        <w:tc>
          <w:tcPr>
            <w:tcW w:w="2270" w:type="dxa"/>
            <w:shd w:val="clear" w:color="auto" w:fill="F2F2F2" w:themeFill="background1" w:themeFillShade="F2"/>
            <w:vAlign w:val="center"/>
          </w:tcPr>
          <w:p w14:paraId="7F9AB4A4"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sz w:val="16"/>
                <w:szCs w:val="16"/>
              </w:rPr>
              <w:t xml:space="preserve">Développer des activités/projets/programmes capables d’influencer la thématique en colonnes 2-3, et ancrées dans les Produits et Effets ci-contre !  </w:t>
            </w:r>
          </w:p>
          <w:p w14:paraId="6D10FC0D" w14:textId="77777777" w:rsidR="00DD583B" w:rsidRPr="008B72F6" w:rsidRDefault="00DD583B" w:rsidP="005D2A90">
            <w:pPr>
              <w:rPr>
                <w:rFonts w:ascii="Times New Roman" w:hAnsi="Times New Roman" w:cs="Times New Roman"/>
                <w:sz w:val="16"/>
                <w:szCs w:val="16"/>
              </w:rPr>
            </w:pPr>
          </w:p>
        </w:tc>
      </w:tr>
      <w:tr w:rsidR="00DD583B" w:rsidRPr="008B72F6" w14:paraId="53D2955D" w14:textId="77777777" w:rsidTr="00E432D7">
        <w:trPr>
          <w:trHeight w:val="3381"/>
        </w:trPr>
        <w:tc>
          <w:tcPr>
            <w:tcW w:w="441" w:type="dxa"/>
            <w:vMerge/>
            <w:vAlign w:val="center"/>
          </w:tcPr>
          <w:p w14:paraId="52FB54BF" w14:textId="77777777" w:rsidR="00DD583B" w:rsidRPr="008B72F6" w:rsidRDefault="00DD583B" w:rsidP="005D2A90">
            <w:pPr>
              <w:rPr>
                <w:rFonts w:ascii="Times New Roman" w:hAnsi="Times New Roman" w:cs="Times New Roman"/>
              </w:rPr>
            </w:pPr>
          </w:p>
        </w:tc>
        <w:tc>
          <w:tcPr>
            <w:tcW w:w="2128" w:type="dxa"/>
            <w:vMerge/>
            <w:shd w:val="clear" w:color="auto" w:fill="F2F2F2" w:themeFill="background1" w:themeFillShade="F2"/>
            <w:vAlign w:val="center"/>
          </w:tcPr>
          <w:p w14:paraId="0EEF0DF0" w14:textId="77777777" w:rsidR="00DD583B" w:rsidRPr="008B72F6" w:rsidRDefault="00DD583B" w:rsidP="005D2A90">
            <w:pPr>
              <w:rPr>
                <w:rFonts w:ascii="Times New Roman" w:hAnsi="Times New Roman" w:cs="Times New Roman"/>
              </w:rPr>
            </w:pPr>
          </w:p>
        </w:tc>
        <w:tc>
          <w:tcPr>
            <w:tcW w:w="5121" w:type="dxa"/>
            <w:vMerge/>
            <w:shd w:val="clear" w:color="auto" w:fill="F2F2F2" w:themeFill="background1" w:themeFillShade="F2"/>
            <w:vAlign w:val="center"/>
          </w:tcPr>
          <w:p w14:paraId="03F66EE8" w14:textId="77777777" w:rsidR="00DD583B" w:rsidRPr="008B72F6" w:rsidRDefault="00DD583B" w:rsidP="005D2A90">
            <w:pPr>
              <w:rPr>
                <w:rFonts w:ascii="Times New Roman" w:hAnsi="Times New Roman" w:cs="Times New Roman"/>
                <w:u w:val="single"/>
              </w:rPr>
            </w:pPr>
          </w:p>
        </w:tc>
        <w:tc>
          <w:tcPr>
            <w:tcW w:w="2250" w:type="dxa"/>
            <w:vAlign w:val="center"/>
          </w:tcPr>
          <w:p w14:paraId="20096F08" w14:textId="77777777" w:rsidR="00DD583B" w:rsidRPr="008B72F6" w:rsidRDefault="00DD583B" w:rsidP="005D2A90">
            <w:pPr>
              <w:rPr>
                <w:rFonts w:ascii="Times New Roman" w:hAnsi="Times New Roman" w:cs="Times New Roman"/>
              </w:rPr>
            </w:pPr>
            <w:r w:rsidRPr="008B72F6">
              <w:rPr>
                <w:rFonts w:ascii="Times New Roman" w:hAnsi="Times New Roman" w:cs="Times New Roman"/>
                <w:b/>
                <w:u w:val="single"/>
              </w:rPr>
              <w:t>Effet 2</w:t>
            </w:r>
            <w:r w:rsidRPr="008B72F6">
              <w:rPr>
                <w:rFonts w:ascii="Times New Roman" w:hAnsi="Times New Roman" w:cs="Times New Roman"/>
              </w:rPr>
              <w:t xml:space="preserve"> : D’ici 2019, la cohésion sociale est facilitée par la justice transitionnelle, le dialogue communautaire inclusif, la culture et l’éducation pour la paix ;</w:t>
            </w:r>
          </w:p>
          <w:p w14:paraId="24F55AF4" w14:textId="77777777" w:rsidR="00DD583B" w:rsidRPr="008B72F6" w:rsidRDefault="00DD583B" w:rsidP="005D2A90">
            <w:pPr>
              <w:rPr>
                <w:rFonts w:ascii="Times New Roman" w:hAnsi="Times New Roman" w:cs="Times New Roman"/>
                <w:b/>
                <w:u w:val="single"/>
              </w:rPr>
            </w:pPr>
          </w:p>
        </w:tc>
        <w:tc>
          <w:tcPr>
            <w:tcW w:w="2817" w:type="dxa"/>
            <w:shd w:val="clear" w:color="auto" w:fill="F2F2F2" w:themeFill="background1" w:themeFillShade="F2"/>
            <w:vAlign w:val="center"/>
          </w:tcPr>
          <w:p w14:paraId="73AEFC55"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Produit 2.1</w:t>
            </w:r>
            <w:r w:rsidRPr="008B72F6">
              <w:rPr>
                <w:rFonts w:ascii="Times New Roman" w:hAnsi="Times New Roman" w:cs="Times New Roman"/>
                <w:sz w:val="16"/>
                <w:szCs w:val="16"/>
              </w:rPr>
              <w:t>. Justice transitionnelle : Les capacités techniques des institutions en charge du processus de réconciliation et de justice transitionnelle et de la société civile sont renforcées pour promouvoir la réconciliation, le droit à la vérité, à la justice et à la réparation des victimes, y compris les femmes</w:t>
            </w:r>
          </w:p>
          <w:p w14:paraId="1B1343D7"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Produit 2.2</w:t>
            </w:r>
            <w:r w:rsidRPr="008B72F6">
              <w:rPr>
                <w:rFonts w:ascii="Times New Roman" w:hAnsi="Times New Roman" w:cs="Times New Roman"/>
                <w:sz w:val="16"/>
                <w:szCs w:val="16"/>
              </w:rPr>
              <w:t>. Dialogue inter-/intra-communautaire : Les communautés disposent des capacités techniques nécessaires à la prévention et à la gestion des conflits communautaires, au renforcement de la cohésion sociale, et de créer les conditions de retour des réfugiés et déplacés</w:t>
            </w:r>
          </w:p>
          <w:p w14:paraId="4D1E456E"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Produit 2.3</w:t>
            </w:r>
            <w:r w:rsidRPr="008B72F6">
              <w:rPr>
                <w:rFonts w:ascii="Times New Roman" w:hAnsi="Times New Roman" w:cs="Times New Roman"/>
                <w:sz w:val="16"/>
                <w:szCs w:val="16"/>
              </w:rPr>
              <w:t xml:space="preserve">. Education à la culture de la paix : Les capacités techniques et matérielles des institutions (ministère de l’Education, Enseignement supérieur, syndicats d’élèves et d’enseignants) sont renforcées pour la promotion de </w:t>
            </w:r>
            <w:r w:rsidRPr="008B72F6">
              <w:rPr>
                <w:rFonts w:ascii="Times New Roman" w:hAnsi="Times New Roman" w:cs="Times New Roman"/>
                <w:sz w:val="16"/>
                <w:szCs w:val="16"/>
              </w:rPr>
              <w:lastRenderedPageBreak/>
              <w:t>l’éducation à la culture de la paix et droits de l’homme.</w:t>
            </w:r>
          </w:p>
          <w:p w14:paraId="1D5A5AE4"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sz w:val="16"/>
                <w:szCs w:val="16"/>
                <w:u w:val="single"/>
              </w:rPr>
              <w:t>Produit 2.4</w:t>
            </w:r>
            <w:r w:rsidRPr="008B72F6">
              <w:rPr>
                <w:rFonts w:ascii="Times New Roman" w:hAnsi="Times New Roman" w:cs="Times New Roman"/>
                <w:sz w:val="16"/>
                <w:szCs w:val="16"/>
              </w:rPr>
              <w:t>. Patrimoine culturel : Le patrimoine culturel matériel et immatériel endommagé est réhabilité et des outils pour la promotion de la diversité et des expressions culturelles sont élaborés</w:t>
            </w:r>
          </w:p>
          <w:p w14:paraId="2E5D8CB5"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sz w:val="16"/>
                <w:szCs w:val="16"/>
              </w:rPr>
              <w:t>Les institutions étatiques, nationales et locales, exercent de manière plus efficace leurs missions de service public et les acteurs non étatiques participent et assurent le contrôle citoyen en conformité avec les principes de bonne gouvernance et d’Etat de droit</w:t>
            </w:r>
          </w:p>
        </w:tc>
        <w:tc>
          <w:tcPr>
            <w:tcW w:w="2270" w:type="dxa"/>
            <w:shd w:val="clear" w:color="auto" w:fill="F2F2F2" w:themeFill="background1" w:themeFillShade="F2"/>
            <w:vAlign w:val="center"/>
          </w:tcPr>
          <w:p w14:paraId="55EBD837"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sz w:val="16"/>
                <w:szCs w:val="16"/>
              </w:rPr>
              <w:lastRenderedPageBreak/>
              <w:t xml:space="preserve">Développer des activités/projets/programmes capables d’influencer la thématique en colonnes 2-3, et ancrées dans les Produits et Effets ci-contre !  </w:t>
            </w:r>
          </w:p>
        </w:tc>
      </w:tr>
      <w:tr w:rsidR="00DD583B" w:rsidRPr="008B72F6" w14:paraId="03459D28" w14:textId="77777777" w:rsidTr="00E432D7">
        <w:tc>
          <w:tcPr>
            <w:tcW w:w="441" w:type="dxa"/>
            <w:vMerge/>
            <w:vAlign w:val="center"/>
          </w:tcPr>
          <w:p w14:paraId="50B8F364" w14:textId="77777777" w:rsidR="00DD583B" w:rsidRPr="008B72F6" w:rsidRDefault="00DD583B" w:rsidP="005D2A90">
            <w:pPr>
              <w:rPr>
                <w:rFonts w:ascii="Times New Roman" w:hAnsi="Times New Roman" w:cs="Times New Roman"/>
              </w:rPr>
            </w:pPr>
          </w:p>
        </w:tc>
        <w:tc>
          <w:tcPr>
            <w:tcW w:w="2128" w:type="dxa"/>
            <w:vMerge/>
            <w:shd w:val="clear" w:color="auto" w:fill="F2F2F2" w:themeFill="background1" w:themeFillShade="F2"/>
            <w:vAlign w:val="center"/>
          </w:tcPr>
          <w:p w14:paraId="625E1EAA" w14:textId="77777777" w:rsidR="00DD583B" w:rsidRPr="008B72F6" w:rsidRDefault="00DD583B" w:rsidP="005D2A90">
            <w:pPr>
              <w:rPr>
                <w:rFonts w:ascii="Times New Roman" w:hAnsi="Times New Roman" w:cs="Times New Roman"/>
              </w:rPr>
            </w:pPr>
          </w:p>
        </w:tc>
        <w:tc>
          <w:tcPr>
            <w:tcW w:w="5121" w:type="dxa"/>
            <w:shd w:val="clear" w:color="auto" w:fill="F2F2F2" w:themeFill="background1" w:themeFillShade="F2"/>
            <w:vAlign w:val="center"/>
          </w:tcPr>
          <w:p w14:paraId="4FCB49B5" w14:textId="77777777" w:rsidR="00DD583B" w:rsidRPr="008B72F6" w:rsidRDefault="00DD583B" w:rsidP="005D2A90">
            <w:pPr>
              <w:rPr>
                <w:rFonts w:ascii="Times New Roman" w:hAnsi="Times New Roman" w:cs="Times New Roman"/>
              </w:rPr>
            </w:pPr>
            <w:r w:rsidRPr="008B72F6">
              <w:rPr>
                <w:rFonts w:ascii="Times New Roman" w:hAnsi="Times New Roman" w:cs="Times New Roman"/>
                <w:u w:val="single"/>
              </w:rPr>
              <w:t>Gouvernance</w:t>
            </w:r>
            <w:r w:rsidRPr="008B72F6">
              <w:rPr>
                <w:rFonts w:ascii="Times New Roman" w:hAnsi="Times New Roman" w:cs="Times New Roman"/>
              </w:rPr>
              <w:t xml:space="preserve"> : Des engagements conjoints - Agences/Mission – forts seront de mise dans l’appui aux réformes et autres processus institutionnels comme le cycle électoral à venir. Là aussi la Mission continuerait à garder le leadership sur le dialogue politique et la levée des blocages sur les conditions préalables qui existent toujours lorsqu’on veut reformer, d’une part, la mobilisation de ressources, d’autre part ; les Agences, Fonds et Programmes, pour leur part, se positionneraient davantage dans le développement de capacités institutionnelles au niveau national et local, la Mission continuant aussi à les assister dans la gestion des contraintes sécuritaires sur le terrain</w:t>
            </w:r>
          </w:p>
        </w:tc>
        <w:tc>
          <w:tcPr>
            <w:tcW w:w="2250" w:type="dxa"/>
            <w:vAlign w:val="center"/>
          </w:tcPr>
          <w:p w14:paraId="44D77873" w14:textId="77777777" w:rsidR="00DD583B" w:rsidRPr="008B72F6" w:rsidRDefault="00DD583B" w:rsidP="005D2A90">
            <w:pPr>
              <w:rPr>
                <w:rFonts w:ascii="Times New Roman" w:hAnsi="Times New Roman" w:cs="Times New Roman"/>
              </w:rPr>
            </w:pPr>
            <w:r w:rsidRPr="008B72F6">
              <w:rPr>
                <w:rFonts w:ascii="Times New Roman" w:hAnsi="Times New Roman" w:cs="Times New Roman"/>
                <w:b/>
                <w:u w:val="single"/>
              </w:rPr>
              <w:t>Effet 3</w:t>
            </w:r>
            <w:r w:rsidRPr="008B72F6">
              <w:rPr>
                <w:rFonts w:ascii="Times New Roman" w:hAnsi="Times New Roman" w:cs="Times New Roman"/>
              </w:rPr>
              <w:t xml:space="preserve"> : Les institutions étatiques, nationales et locales, exercent de manière plus efficace leurs missions de service public et les acteurs non étatiques participent</w:t>
            </w:r>
          </w:p>
        </w:tc>
        <w:tc>
          <w:tcPr>
            <w:tcW w:w="2817" w:type="dxa"/>
            <w:shd w:val="clear" w:color="auto" w:fill="F2F2F2" w:themeFill="background1" w:themeFillShade="F2"/>
            <w:vAlign w:val="center"/>
          </w:tcPr>
          <w:p w14:paraId="1934A97F"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3.1</w:t>
            </w:r>
            <w:r w:rsidRPr="008B72F6">
              <w:rPr>
                <w:rFonts w:ascii="Times New Roman" w:hAnsi="Times New Roman" w:cs="Times New Roman"/>
                <w:bCs/>
                <w:sz w:val="16"/>
                <w:szCs w:val="16"/>
              </w:rPr>
              <w:t> : Les capacités de l’Assemblée Nationale et des   Structures de contrôle des Finances publiques (Section des Comptes de la Cours Suprême) sont renforcées en vue d’améliorer la redevabilité dans la gestion des politiques publiques.</w:t>
            </w:r>
          </w:p>
          <w:p w14:paraId="14573F30"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3.2</w:t>
            </w:r>
            <w:r w:rsidRPr="008B72F6">
              <w:rPr>
                <w:rFonts w:ascii="Times New Roman" w:hAnsi="Times New Roman" w:cs="Times New Roman"/>
                <w:bCs/>
                <w:sz w:val="16"/>
                <w:szCs w:val="16"/>
              </w:rPr>
              <w:t> : Les capacités de l’Etat, des OGE et OSC sont renforcées en vue de l’amélioration de la crédibilité des processus électoraux et d’une plus grande participation, notamment des femmes et des jeunes.</w:t>
            </w:r>
          </w:p>
          <w:p w14:paraId="721FC3F0"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3.3</w:t>
            </w:r>
            <w:r w:rsidRPr="008B72F6">
              <w:rPr>
                <w:rFonts w:ascii="Times New Roman" w:hAnsi="Times New Roman" w:cs="Times New Roman"/>
                <w:bCs/>
                <w:sz w:val="16"/>
                <w:szCs w:val="16"/>
              </w:rPr>
              <w:t> : Les stratégies et plans d’action disponibles sont opérationnalisés pour l’approfondissement de la décentralisation et la consolidation de la gouvernance locale.</w:t>
            </w:r>
          </w:p>
          <w:p w14:paraId="47ACD489"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3.4</w:t>
            </w:r>
            <w:r w:rsidRPr="008B72F6">
              <w:rPr>
                <w:rFonts w:ascii="Times New Roman" w:hAnsi="Times New Roman" w:cs="Times New Roman"/>
                <w:bCs/>
                <w:sz w:val="16"/>
                <w:szCs w:val="16"/>
              </w:rPr>
              <w:t> : Les capacités des institutions publiques (au niveau national, régional, sectoriel) pour la planification et la programmation axée sur l’évidence, le S&amp;E et la production des données statistiques comparables et désagrégés sont renforcées</w:t>
            </w:r>
          </w:p>
          <w:p w14:paraId="4C625978"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3.5</w:t>
            </w:r>
            <w:r w:rsidRPr="008B72F6">
              <w:rPr>
                <w:rFonts w:ascii="Times New Roman" w:hAnsi="Times New Roman" w:cs="Times New Roman"/>
                <w:bCs/>
                <w:sz w:val="16"/>
                <w:szCs w:val="16"/>
              </w:rPr>
              <w:t> : Les capacités des organisations de la société civile et des médias sont renforcées en vue d’améliorer le contrôle citoyen, la redevabilité des institutions et la participation des femmes et des jeunes dans la vie publique.</w:t>
            </w:r>
          </w:p>
          <w:p w14:paraId="740F384B"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lastRenderedPageBreak/>
              <w:t>Produit 3.6</w:t>
            </w:r>
            <w:r w:rsidRPr="008B72F6">
              <w:rPr>
                <w:rFonts w:ascii="Times New Roman" w:hAnsi="Times New Roman" w:cs="Times New Roman"/>
                <w:bCs/>
                <w:sz w:val="16"/>
                <w:szCs w:val="16"/>
              </w:rPr>
              <w:t> : Le fonctionnement des Institutions judiciaires et pénitentiaires et des organes de lutte contre l’impunité est amélioré sur toute l’étendue du territoire national dans un cadre juridique réformé conforme aux principes de l’Etat de droit</w:t>
            </w:r>
          </w:p>
          <w:p w14:paraId="06EF7E13" w14:textId="77777777" w:rsidR="00DD583B" w:rsidRPr="008B72F6" w:rsidRDefault="00DD583B" w:rsidP="005D2A90">
            <w:pPr>
              <w:rPr>
                <w:rFonts w:ascii="Times New Roman" w:hAnsi="Times New Roman" w:cs="Times New Roman"/>
              </w:rPr>
            </w:pPr>
            <w:r w:rsidRPr="008B72F6">
              <w:rPr>
                <w:rFonts w:ascii="Times New Roman" w:hAnsi="Times New Roman" w:cs="Times New Roman"/>
                <w:b/>
                <w:bCs/>
                <w:sz w:val="16"/>
                <w:szCs w:val="16"/>
                <w:u w:val="single"/>
              </w:rPr>
              <w:t>Produit 3.7</w:t>
            </w:r>
            <w:r w:rsidRPr="008B72F6">
              <w:rPr>
                <w:rFonts w:ascii="Times New Roman" w:hAnsi="Times New Roman" w:cs="Times New Roman"/>
                <w:bCs/>
                <w:sz w:val="16"/>
                <w:szCs w:val="16"/>
              </w:rPr>
              <w:t> : Les mécanismes nationaux formels et informels de promotion et de protection des droits Humains disposent des capacités institutionnelles et techniques pour mieux accomplir leurs missions en conformité avec les standards internationaux.</w:t>
            </w:r>
          </w:p>
        </w:tc>
        <w:tc>
          <w:tcPr>
            <w:tcW w:w="2270" w:type="dxa"/>
            <w:shd w:val="clear" w:color="auto" w:fill="F2F2F2" w:themeFill="background1" w:themeFillShade="F2"/>
            <w:vAlign w:val="center"/>
          </w:tcPr>
          <w:p w14:paraId="2CC456E0" w14:textId="77777777" w:rsidR="00DD583B" w:rsidRPr="008B72F6" w:rsidRDefault="00DD583B" w:rsidP="005D2A90">
            <w:pPr>
              <w:rPr>
                <w:rFonts w:ascii="Times New Roman" w:hAnsi="Times New Roman" w:cs="Times New Roman"/>
              </w:rPr>
            </w:pPr>
            <w:r w:rsidRPr="008B72F6">
              <w:rPr>
                <w:rFonts w:ascii="Times New Roman" w:hAnsi="Times New Roman" w:cs="Times New Roman"/>
                <w:sz w:val="16"/>
                <w:szCs w:val="16"/>
              </w:rPr>
              <w:lastRenderedPageBreak/>
              <w:t xml:space="preserve">Développer des activités/projets/programmes capables d’influencer la thématique en colonnes 2-3, et ancrées dans les Produits et Effets ci-contre !  </w:t>
            </w:r>
          </w:p>
        </w:tc>
      </w:tr>
      <w:tr w:rsidR="00DD583B" w:rsidRPr="008B72F6" w14:paraId="29CC4280" w14:textId="77777777" w:rsidTr="00E432D7">
        <w:tc>
          <w:tcPr>
            <w:tcW w:w="441" w:type="dxa"/>
            <w:vMerge/>
            <w:vAlign w:val="center"/>
          </w:tcPr>
          <w:p w14:paraId="20AAA97A" w14:textId="77777777" w:rsidR="00DD583B" w:rsidRPr="008B72F6" w:rsidRDefault="00DD583B" w:rsidP="005D2A90">
            <w:pPr>
              <w:rPr>
                <w:rFonts w:ascii="Times New Roman" w:hAnsi="Times New Roman" w:cs="Times New Roman"/>
              </w:rPr>
            </w:pPr>
          </w:p>
        </w:tc>
        <w:tc>
          <w:tcPr>
            <w:tcW w:w="2128" w:type="dxa"/>
            <w:vMerge/>
            <w:shd w:val="clear" w:color="auto" w:fill="F2F2F2" w:themeFill="background1" w:themeFillShade="F2"/>
            <w:vAlign w:val="center"/>
          </w:tcPr>
          <w:p w14:paraId="4E346BAA" w14:textId="77777777" w:rsidR="00DD583B" w:rsidRPr="008B72F6" w:rsidRDefault="00DD583B" w:rsidP="005D2A90">
            <w:pPr>
              <w:rPr>
                <w:rFonts w:ascii="Times New Roman" w:hAnsi="Times New Roman" w:cs="Times New Roman"/>
              </w:rPr>
            </w:pPr>
          </w:p>
        </w:tc>
        <w:tc>
          <w:tcPr>
            <w:tcW w:w="5121" w:type="dxa"/>
            <w:shd w:val="clear" w:color="auto" w:fill="F2F2F2" w:themeFill="background1" w:themeFillShade="F2"/>
            <w:vAlign w:val="center"/>
          </w:tcPr>
          <w:p w14:paraId="4C132808" w14:textId="77777777" w:rsidR="00DD583B" w:rsidRPr="008B72F6" w:rsidRDefault="00DD583B" w:rsidP="005D2A90">
            <w:pPr>
              <w:rPr>
                <w:rFonts w:ascii="Times New Roman" w:hAnsi="Times New Roman" w:cs="Times New Roman"/>
              </w:rPr>
            </w:pPr>
            <w:r w:rsidRPr="008B72F6">
              <w:rPr>
                <w:rFonts w:ascii="Times New Roman" w:hAnsi="Times New Roman" w:cs="Times New Roman"/>
                <w:u w:val="single"/>
              </w:rPr>
              <w:t>Services sociaux de base</w:t>
            </w:r>
            <w:r w:rsidRPr="008B72F6">
              <w:rPr>
                <w:rFonts w:ascii="Times New Roman" w:hAnsi="Times New Roman" w:cs="Times New Roman"/>
              </w:rPr>
              <w:t xml:space="preserve"> : dans une perspective d’évolution du positionnement de la Mission, celle-ci pourrait travailler en interventions conjointes avec les agences techniques, dans un partage de rôles lui conférant les aspects politiques et sécuritaires, et aux Agences, Fonds et Programmes, la programmation et la gestion opérationnelle des actions à la base (l’idée est de ne pas laisser un vide se créer à la faveur d’un retrait même progressif de la Mission). Les services sociaux de base sont un cadre approprié de mise en œuvre de la transition programmatique humanitaire-développement. Pour le Nord, et dans des secteurs clés comme la santé, la nutrition, l’éducation, la sécurité alimentaire, la Commission de réhabilitation des zones post-conflit (CRZPC), déroule déjà une feuille de route dans ce sens en mettant ensemble acteurs humanitaires et de développement dans cette partie du territoire.</w:t>
            </w:r>
          </w:p>
        </w:tc>
        <w:tc>
          <w:tcPr>
            <w:tcW w:w="2250" w:type="dxa"/>
            <w:vAlign w:val="center"/>
          </w:tcPr>
          <w:p w14:paraId="15F39B7E" w14:textId="77777777" w:rsidR="00DD583B" w:rsidRPr="008B72F6" w:rsidRDefault="00DD583B" w:rsidP="005D2A90">
            <w:pPr>
              <w:rPr>
                <w:rFonts w:ascii="Times New Roman" w:hAnsi="Times New Roman" w:cs="Times New Roman"/>
              </w:rPr>
            </w:pPr>
            <w:r w:rsidRPr="008B72F6">
              <w:rPr>
                <w:rFonts w:ascii="Times New Roman" w:hAnsi="Times New Roman" w:cs="Times New Roman"/>
                <w:b/>
                <w:u w:val="single"/>
              </w:rPr>
              <w:t>Effet 4</w:t>
            </w:r>
            <w:r w:rsidRPr="008B72F6">
              <w:rPr>
                <w:rFonts w:ascii="Times New Roman" w:hAnsi="Times New Roman" w:cs="Times New Roman"/>
              </w:rPr>
              <w:t xml:space="preserve"> : D’ici 2019, les populations, en particulier les femmes et les enfants les plus vulnérables et celles affectées par les crises, ont un accès accru et équitable et utilisent les SSB de qualité.</w:t>
            </w:r>
          </w:p>
        </w:tc>
        <w:tc>
          <w:tcPr>
            <w:tcW w:w="2817" w:type="dxa"/>
            <w:shd w:val="clear" w:color="auto" w:fill="F2F2F2" w:themeFill="background1" w:themeFillShade="F2"/>
            <w:vAlign w:val="center"/>
          </w:tcPr>
          <w:p w14:paraId="3DA0E96B"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roduit 4.1</w:t>
            </w:r>
            <w:r w:rsidRPr="008B72F6">
              <w:rPr>
                <w:rFonts w:ascii="Times New Roman" w:hAnsi="Times New Roman" w:cs="Times New Roman"/>
                <w:bCs/>
                <w:sz w:val="16"/>
                <w:szCs w:val="16"/>
              </w:rPr>
              <w:t xml:space="preserve"> : Les femmes, enfants et jeunes, en particulier les plus vulnérables utilisent un paquet intégré de services de santé de qualité</w:t>
            </w:r>
          </w:p>
          <w:p w14:paraId="612793FF"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 xml:space="preserve">Produit 4.2 </w:t>
            </w:r>
            <w:r w:rsidRPr="008B72F6">
              <w:rPr>
                <w:rFonts w:ascii="Times New Roman" w:hAnsi="Times New Roman" w:cs="Times New Roman"/>
                <w:bCs/>
                <w:sz w:val="16"/>
                <w:szCs w:val="16"/>
              </w:rPr>
              <w:t>: Les populations, en particulier les plus vulnérables ont accès à des services de qualité  de prévention et de prise en charge du VIH et du Sida.</w:t>
            </w:r>
          </w:p>
          <w:p w14:paraId="46658D94"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4.3</w:t>
            </w:r>
            <w:r w:rsidRPr="008B72F6">
              <w:rPr>
                <w:rFonts w:ascii="Times New Roman" w:hAnsi="Times New Roman" w:cs="Times New Roman"/>
                <w:bCs/>
                <w:sz w:val="16"/>
                <w:szCs w:val="16"/>
              </w:rPr>
              <w:t> : Les mères et les enfants, particulièrement les plus vulnérables ou affectées par les crises alimentaire et nutritionnelle, bénéficient d’un paquet complet d’interventions nutritionnelles au niveau des communautés et des services</w:t>
            </w:r>
          </w:p>
          <w:p w14:paraId="40F54ED7"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
                <w:bCs/>
                <w:sz w:val="16"/>
                <w:szCs w:val="16"/>
                <w:u w:val="single"/>
              </w:rPr>
              <w:t>Produit 4.4</w:t>
            </w:r>
            <w:r w:rsidRPr="008B72F6">
              <w:rPr>
                <w:rFonts w:ascii="Times New Roman" w:hAnsi="Times New Roman" w:cs="Times New Roman"/>
                <w:bCs/>
                <w:sz w:val="16"/>
                <w:szCs w:val="16"/>
              </w:rPr>
              <w:t xml:space="preserve"> : Les enfants d’âge préscolaires et scolaires et les jeunes, particulièrement les plus vulnérables ont accès à une éducation de base de qualité  </w:t>
            </w:r>
          </w:p>
          <w:p w14:paraId="1DDE7369" w14:textId="77777777" w:rsidR="00DD583B" w:rsidRPr="008B72F6" w:rsidRDefault="00DD583B" w:rsidP="005D2A90">
            <w:pPr>
              <w:rPr>
                <w:rFonts w:ascii="Times New Roman" w:hAnsi="Times New Roman" w:cs="Times New Roman"/>
                <w:sz w:val="16"/>
                <w:szCs w:val="16"/>
              </w:rPr>
            </w:pPr>
            <w:r w:rsidRPr="008B72F6">
              <w:rPr>
                <w:rFonts w:ascii="Times New Roman" w:hAnsi="Times New Roman" w:cs="Times New Roman"/>
                <w:bCs/>
                <w:sz w:val="16"/>
                <w:szCs w:val="16"/>
              </w:rPr>
              <w:t>Produit 4.5 Les groupes vulnérables (jeunes filles, garçons et femmes) bénéficient de protection et de prise en charge adéquate contre les violences, abus et exploitation</w:t>
            </w:r>
          </w:p>
          <w:p w14:paraId="79FE4CCC" w14:textId="77777777" w:rsidR="00DD583B" w:rsidRPr="008B72F6" w:rsidRDefault="00DD583B" w:rsidP="005D2A90">
            <w:pPr>
              <w:rPr>
                <w:rFonts w:ascii="Times New Roman" w:hAnsi="Times New Roman" w:cs="Times New Roman"/>
              </w:rPr>
            </w:pPr>
            <w:r w:rsidRPr="008B72F6">
              <w:rPr>
                <w:rFonts w:ascii="Times New Roman" w:hAnsi="Times New Roman" w:cs="Times New Roman"/>
                <w:bCs/>
                <w:sz w:val="16"/>
                <w:szCs w:val="16"/>
              </w:rPr>
              <w:t>Produit 4.6: Les groupes vulnérables bénéficient de services de protection sociale adéquate</w:t>
            </w:r>
          </w:p>
        </w:tc>
        <w:tc>
          <w:tcPr>
            <w:tcW w:w="2270" w:type="dxa"/>
            <w:shd w:val="clear" w:color="auto" w:fill="F2F2F2" w:themeFill="background1" w:themeFillShade="F2"/>
            <w:vAlign w:val="center"/>
          </w:tcPr>
          <w:p w14:paraId="2BD51D28" w14:textId="77777777" w:rsidR="00DD583B" w:rsidRPr="008B72F6" w:rsidRDefault="00DD583B" w:rsidP="005D2A90">
            <w:pPr>
              <w:rPr>
                <w:rFonts w:ascii="Times New Roman" w:hAnsi="Times New Roman" w:cs="Times New Roman"/>
              </w:rPr>
            </w:pPr>
            <w:r w:rsidRPr="008B72F6">
              <w:rPr>
                <w:rFonts w:ascii="Times New Roman" w:hAnsi="Times New Roman" w:cs="Times New Roman"/>
                <w:sz w:val="16"/>
                <w:szCs w:val="16"/>
              </w:rPr>
              <w:t xml:space="preserve">Développer des activités/projets/programmes capables d’influencer la thématique en colonnes 2-3, et ancrées dans les Produits et Effets ci-contre !  </w:t>
            </w:r>
          </w:p>
        </w:tc>
      </w:tr>
      <w:tr w:rsidR="00DD583B" w14:paraId="0449ACFE" w14:textId="77777777" w:rsidTr="00E432D7">
        <w:tc>
          <w:tcPr>
            <w:tcW w:w="441" w:type="dxa"/>
            <w:vAlign w:val="center"/>
          </w:tcPr>
          <w:p w14:paraId="1C200078" w14:textId="77777777" w:rsidR="00DD583B" w:rsidRPr="008B72F6" w:rsidRDefault="00DD583B" w:rsidP="005D2A90">
            <w:pPr>
              <w:rPr>
                <w:rFonts w:ascii="Times New Roman" w:hAnsi="Times New Roman" w:cs="Times New Roman"/>
                <w:b/>
              </w:rPr>
            </w:pPr>
            <w:r w:rsidRPr="008B72F6">
              <w:rPr>
                <w:rFonts w:ascii="Times New Roman" w:hAnsi="Times New Roman" w:cs="Times New Roman"/>
                <w:b/>
              </w:rPr>
              <w:t>.6.</w:t>
            </w:r>
          </w:p>
        </w:tc>
        <w:tc>
          <w:tcPr>
            <w:tcW w:w="2128" w:type="dxa"/>
            <w:shd w:val="clear" w:color="auto" w:fill="F2F2F2" w:themeFill="background1" w:themeFillShade="F2"/>
            <w:vAlign w:val="center"/>
          </w:tcPr>
          <w:p w14:paraId="12BEB883" w14:textId="77777777" w:rsidR="00DD583B" w:rsidRPr="008B72F6" w:rsidRDefault="00DD583B" w:rsidP="005D2A90">
            <w:pPr>
              <w:rPr>
                <w:rFonts w:ascii="Times New Roman" w:hAnsi="Times New Roman" w:cs="Times New Roman"/>
                <w:b/>
              </w:rPr>
            </w:pPr>
            <w:r w:rsidRPr="008B72F6">
              <w:rPr>
                <w:rFonts w:ascii="Times New Roman" w:hAnsi="Times New Roman" w:cs="Times New Roman"/>
                <w:b/>
              </w:rPr>
              <w:t>Réforme Coordination résidente</w:t>
            </w:r>
          </w:p>
        </w:tc>
        <w:tc>
          <w:tcPr>
            <w:tcW w:w="5121" w:type="dxa"/>
            <w:shd w:val="clear" w:color="auto" w:fill="F2F2F2" w:themeFill="background1" w:themeFillShade="F2"/>
            <w:vAlign w:val="center"/>
          </w:tcPr>
          <w:p w14:paraId="39B946EB"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 xml:space="preserve">Le renforcement attendu de la fonction de coordination devrait contribuer à créer un environnement collaboratif meilleur pour le renouvellement du souffle du programme. La consolidation de l’autorité du Coordonnateur Résident et de ses capacités institutionnelles et techniques devrait faciliter les arbitrages préalables à l’acceptation des ajustements préconisés dans le cadre de cette révision du programme, ainsi que leur mise en œuvre. En effet, bien que </w:t>
            </w:r>
            <w:r w:rsidRPr="008B72F6">
              <w:rPr>
                <w:rFonts w:ascii="Times New Roman" w:hAnsi="Times New Roman" w:cs="Times New Roman"/>
              </w:rPr>
              <w:lastRenderedPageBreak/>
              <w:t>soit réaffirmé le lien de redevabilité interne aux agences, entre le terrain et leur siège, le Coordonnateur Résident devrait, dans le nouveau contexte, avoir plus de latitude pour composer, avec les agences, l’action locale du Système dans le pays, accéder à des ressources de nature conjointe ou en mobiliser et piloter l’Equipe pays</w:t>
            </w:r>
          </w:p>
        </w:tc>
        <w:tc>
          <w:tcPr>
            <w:tcW w:w="2250" w:type="dxa"/>
            <w:vAlign w:val="center"/>
          </w:tcPr>
          <w:p w14:paraId="13E26A3C"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lastRenderedPageBreak/>
              <w:t>Effet 1</w:t>
            </w:r>
          </w:p>
          <w:p w14:paraId="7012307F"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Effet 2</w:t>
            </w:r>
          </w:p>
          <w:p w14:paraId="04DB7AE4"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Effet 3</w:t>
            </w:r>
          </w:p>
          <w:p w14:paraId="73062EF4"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Effet 4</w:t>
            </w:r>
          </w:p>
          <w:p w14:paraId="4F443456"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Effet 5</w:t>
            </w:r>
          </w:p>
        </w:tc>
        <w:tc>
          <w:tcPr>
            <w:tcW w:w="2817" w:type="dxa"/>
            <w:shd w:val="clear" w:color="auto" w:fill="F2F2F2" w:themeFill="background1" w:themeFillShade="F2"/>
            <w:vAlign w:val="center"/>
          </w:tcPr>
          <w:p w14:paraId="06989E17"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Tous Produits/Effet 1</w:t>
            </w:r>
          </w:p>
          <w:p w14:paraId="27F5797A"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Tous Produits/Effet 2</w:t>
            </w:r>
          </w:p>
          <w:p w14:paraId="0F41FBBD"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Tous Produits/Effet 3</w:t>
            </w:r>
          </w:p>
          <w:p w14:paraId="716340E6"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Tous Produits/Effet 4</w:t>
            </w:r>
          </w:p>
          <w:p w14:paraId="07BD9D16" w14:textId="77777777" w:rsidR="00DD583B" w:rsidRPr="008B72F6" w:rsidRDefault="00DD583B" w:rsidP="005D2A90">
            <w:pPr>
              <w:rPr>
                <w:rFonts w:ascii="Times New Roman" w:hAnsi="Times New Roman" w:cs="Times New Roman"/>
              </w:rPr>
            </w:pPr>
            <w:r w:rsidRPr="008B72F6">
              <w:rPr>
                <w:rFonts w:ascii="Times New Roman" w:hAnsi="Times New Roman" w:cs="Times New Roman"/>
              </w:rPr>
              <w:t>Tous Produits/Effet 5</w:t>
            </w:r>
          </w:p>
        </w:tc>
        <w:tc>
          <w:tcPr>
            <w:tcW w:w="2270" w:type="dxa"/>
            <w:shd w:val="clear" w:color="auto" w:fill="F2F2F2" w:themeFill="background1" w:themeFillShade="F2"/>
            <w:vAlign w:val="center"/>
          </w:tcPr>
          <w:p w14:paraId="10400D44" w14:textId="77777777" w:rsidR="00DD583B" w:rsidRDefault="00DD583B" w:rsidP="005D2A90">
            <w:pPr>
              <w:rPr>
                <w:rFonts w:ascii="Times New Roman" w:hAnsi="Times New Roman" w:cs="Times New Roman"/>
              </w:rPr>
            </w:pPr>
            <w:r w:rsidRPr="008B72F6">
              <w:rPr>
                <w:rFonts w:ascii="Times New Roman" w:hAnsi="Times New Roman" w:cs="Times New Roman"/>
              </w:rPr>
              <w:t>La réforme ne génère pas, non plus de contenus nouveaux, mais devrait rendre plus confortable la programmation et la mise en œuvre et la gestion du programme</w:t>
            </w:r>
          </w:p>
        </w:tc>
      </w:tr>
    </w:tbl>
    <w:p w14:paraId="197E4419" w14:textId="77777777" w:rsidR="00DD583B" w:rsidRPr="00A4071B" w:rsidRDefault="00DD583B" w:rsidP="00DD583B">
      <w:pPr>
        <w:rPr>
          <w:rFonts w:ascii="Calibri" w:hAnsi="Calibri" w:cs="Calibri"/>
          <w:sz w:val="20"/>
          <w:szCs w:val="20"/>
        </w:rPr>
      </w:pPr>
    </w:p>
    <w:sectPr w:rsidR="00DD583B" w:rsidRPr="00A4071B" w:rsidSect="00E86D91">
      <w:pgSz w:w="15840" w:h="12240" w:orient="landscape" w:code="1"/>
      <w:pgMar w:top="1298" w:right="1151" w:bottom="1298" w:left="902"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D3342" w14:textId="77777777" w:rsidR="0066183E" w:rsidRDefault="0066183E" w:rsidP="00EB0CCC">
      <w:r>
        <w:separator/>
      </w:r>
    </w:p>
  </w:endnote>
  <w:endnote w:type="continuationSeparator" w:id="0">
    <w:p w14:paraId="16B8784E" w14:textId="77777777" w:rsidR="0066183E" w:rsidRDefault="0066183E" w:rsidP="00EB0CCC">
      <w:r>
        <w:continuationSeparator/>
      </w:r>
    </w:p>
  </w:endnote>
  <w:endnote w:type="continuationNotice" w:id="1">
    <w:p w14:paraId="211CACC1" w14:textId="77777777" w:rsidR="0066183E" w:rsidRDefault="006618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TimesNewRomanPSMT">
    <w:altName w:val="Cambria"/>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4114962"/>
      <w:docPartObj>
        <w:docPartGallery w:val="Page Numbers (Bottom of Page)"/>
        <w:docPartUnique/>
      </w:docPartObj>
    </w:sdtPr>
    <w:sdtContent>
      <w:p w14:paraId="1E6AE60F" w14:textId="0EB6A359" w:rsidR="00E15BF1" w:rsidRDefault="00E15BF1">
        <w:pPr>
          <w:pStyle w:val="Pieddepage"/>
          <w:jc w:val="right"/>
        </w:pPr>
        <w:r>
          <w:fldChar w:fldCharType="begin"/>
        </w:r>
        <w:r>
          <w:instrText>PAGE   \* MERGEFORMAT</w:instrText>
        </w:r>
        <w:r>
          <w:fldChar w:fldCharType="separate"/>
        </w:r>
        <w:r w:rsidR="00F43836">
          <w:rPr>
            <w:noProof/>
          </w:rPr>
          <w:t>34</w:t>
        </w:r>
        <w:r>
          <w:rPr>
            <w:noProof/>
          </w:rPr>
          <w:fldChar w:fldCharType="end"/>
        </w:r>
      </w:p>
    </w:sdtContent>
  </w:sdt>
  <w:p w14:paraId="0608893F" w14:textId="77777777" w:rsidR="00E15BF1" w:rsidRDefault="00E15BF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BA9D1" w14:textId="77777777" w:rsidR="00E15BF1" w:rsidRDefault="00E15BF1">
    <w:pPr>
      <w:pStyle w:val="Pieddepage"/>
      <w:jc w:val="right"/>
    </w:pPr>
  </w:p>
  <w:p w14:paraId="667EAEBC" w14:textId="77777777" w:rsidR="00E15BF1" w:rsidRDefault="00E15BF1" w:rsidP="00A915E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94C68" w14:textId="77777777" w:rsidR="00E15BF1" w:rsidRDefault="00E15BF1">
    <w:pPr>
      <w:pStyle w:val="Pieddepage"/>
      <w:jc w:val="right"/>
    </w:pPr>
  </w:p>
  <w:p w14:paraId="0274EC28" w14:textId="77777777" w:rsidR="00E15BF1" w:rsidRDefault="00E15BF1" w:rsidP="00A915E9">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2040236"/>
      <w:docPartObj>
        <w:docPartGallery w:val="Page Numbers (Bottom of Page)"/>
        <w:docPartUnique/>
      </w:docPartObj>
    </w:sdtPr>
    <w:sdtContent>
      <w:p w14:paraId="086A6CA3" w14:textId="083C92F1" w:rsidR="00E15BF1" w:rsidRDefault="00E15BF1">
        <w:pPr>
          <w:pStyle w:val="Pieddepage"/>
          <w:jc w:val="right"/>
        </w:pPr>
        <w:r>
          <w:fldChar w:fldCharType="begin"/>
        </w:r>
        <w:r>
          <w:instrText>PAGE   \* MERGEFORMAT</w:instrText>
        </w:r>
        <w:r>
          <w:fldChar w:fldCharType="separate"/>
        </w:r>
        <w:r w:rsidR="00F43836">
          <w:rPr>
            <w:noProof/>
          </w:rPr>
          <w:t>52</w:t>
        </w:r>
        <w:r>
          <w:rPr>
            <w:noProof/>
          </w:rPr>
          <w:fldChar w:fldCharType="end"/>
        </w:r>
      </w:p>
    </w:sdtContent>
  </w:sdt>
  <w:p w14:paraId="75D662D5" w14:textId="77777777" w:rsidR="00E15BF1" w:rsidRDefault="00E15BF1">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EEBE2" w14:textId="77777777" w:rsidR="00E15BF1" w:rsidRDefault="00E15BF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7801FB" w14:textId="77777777" w:rsidR="0066183E" w:rsidRDefault="0066183E" w:rsidP="00EB0CCC">
      <w:r>
        <w:separator/>
      </w:r>
    </w:p>
  </w:footnote>
  <w:footnote w:type="continuationSeparator" w:id="0">
    <w:p w14:paraId="01D79DCC" w14:textId="77777777" w:rsidR="0066183E" w:rsidRDefault="0066183E" w:rsidP="00EB0CCC">
      <w:r>
        <w:continuationSeparator/>
      </w:r>
    </w:p>
  </w:footnote>
  <w:footnote w:type="continuationNotice" w:id="1">
    <w:p w14:paraId="27FF5CAE" w14:textId="77777777" w:rsidR="0066183E" w:rsidRDefault="0066183E"/>
  </w:footnote>
  <w:footnote w:id="2">
    <w:p w14:paraId="02F12F33" w14:textId="77777777" w:rsidR="00E15BF1" w:rsidRPr="00570DCC" w:rsidRDefault="00E15BF1" w:rsidP="00870B34">
      <w:pPr>
        <w:pStyle w:val="Notedebasdepage"/>
        <w:rPr>
          <w:lang w:val="fr-FR"/>
        </w:rPr>
      </w:pPr>
      <w:r w:rsidRPr="00570DCC">
        <w:rPr>
          <w:rStyle w:val="Appelnotedebasdep"/>
          <w:lang w:val="fr-FR"/>
        </w:rPr>
        <w:footnoteRef/>
      </w:r>
      <w:r w:rsidRPr="00570DCC">
        <w:rPr>
          <w:rFonts w:asciiTheme="minorHAnsi" w:eastAsiaTheme="minorHAnsi" w:hAnsiTheme="minorHAnsi" w:cstheme="minorBidi"/>
          <w:bCs/>
          <w:sz w:val="18"/>
          <w:szCs w:val="18"/>
          <w:lang w:val="fr-FR" w:eastAsia="en-US"/>
        </w:rPr>
        <w:t xml:space="preserve">Voir fiche technique du Mali dans le “Rapport décennale compte </w:t>
      </w:r>
      <w:r>
        <w:rPr>
          <w:rFonts w:asciiTheme="minorHAnsi" w:eastAsiaTheme="minorHAnsi" w:hAnsiTheme="minorHAnsi" w:cstheme="minorBidi"/>
          <w:bCs/>
          <w:sz w:val="18"/>
          <w:szCs w:val="18"/>
          <w:lang w:val="fr-FR" w:eastAsia="en-US"/>
        </w:rPr>
        <w:t>à</w:t>
      </w:r>
      <w:r w:rsidRPr="00570DCC">
        <w:rPr>
          <w:rFonts w:asciiTheme="minorHAnsi" w:eastAsiaTheme="minorHAnsi" w:hAnsiTheme="minorHAnsi" w:cstheme="minorBidi"/>
          <w:bCs/>
          <w:sz w:val="18"/>
          <w:szCs w:val="18"/>
          <w:lang w:val="fr-FR" w:eastAsia="en-US"/>
        </w:rPr>
        <w:t xml:space="preserve"> rebours 2015 : Survie de la mère, du nouveau-né et de l’enfant”</w:t>
      </w:r>
    </w:p>
  </w:footnote>
  <w:footnote w:id="3">
    <w:p w14:paraId="6B06EC72" w14:textId="77777777" w:rsidR="00E15BF1" w:rsidRPr="008B09A4" w:rsidRDefault="00E15BF1" w:rsidP="00DD583B">
      <w:pPr>
        <w:pStyle w:val="Notedebasdepage"/>
        <w:numPr>
          <w:ilvl w:val="0"/>
          <w:numId w:val="12"/>
        </w:numPr>
        <w:rPr>
          <w:lang w:val="fr-FR"/>
        </w:rPr>
      </w:pPr>
      <w:r>
        <w:rPr>
          <w:rStyle w:val="Appelnotedebasdep"/>
        </w:rPr>
        <w:footnoteRef/>
      </w:r>
      <w:r w:rsidRPr="00880F37">
        <w:rPr>
          <w:lang w:val="fr-FR"/>
        </w:rPr>
        <w:t xml:space="preserve"> </w:t>
      </w:r>
      <w:r>
        <w:rPr>
          <w:lang w:val="fr-FR"/>
        </w:rPr>
        <w:t>I</w:t>
      </w:r>
      <w:r w:rsidRPr="00880F37">
        <w:rPr>
          <w:lang w:val="fr-FR"/>
        </w:rPr>
        <w:t>ndicateur </w:t>
      </w:r>
      <w:r>
        <w:rPr>
          <w:lang w:val="fr-FR"/>
        </w:rPr>
        <w:t xml:space="preserve">remanié et élargi </w:t>
      </w:r>
      <w:r w:rsidRPr="00880F37">
        <w:rPr>
          <w:lang w:val="fr-FR"/>
        </w:rPr>
        <w:t>pour refléter la composante société civile du Produit 1.1.</w:t>
      </w:r>
    </w:p>
    <w:p w14:paraId="03A9C901" w14:textId="77777777" w:rsidR="00E15BF1" w:rsidRPr="008B09A4" w:rsidRDefault="00E15BF1" w:rsidP="00DD583B">
      <w:pPr>
        <w:pStyle w:val="Notedebasdepage"/>
        <w:rPr>
          <w:lang w:val="fr-FR"/>
        </w:rPr>
      </w:pPr>
    </w:p>
  </w:footnote>
  <w:footnote w:id="4">
    <w:p w14:paraId="2390DAF2" w14:textId="77777777" w:rsidR="00E15BF1" w:rsidRDefault="00E15BF1" w:rsidP="00DD583B">
      <w:pPr>
        <w:rPr>
          <w:rFonts w:ascii="Times New Roman" w:hAnsi="Times New Roman"/>
          <w:color w:val="FF0000"/>
          <w:sz w:val="18"/>
          <w:szCs w:val="18"/>
        </w:rPr>
      </w:pPr>
      <w:r>
        <w:rPr>
          <w:rStyle w:val="Appelnotedebasdep"/>
        </w:rPr>
        <w:footnoteRef/>
      </w:r>
      <w:r>
        <w:rPr>
          <w:color w:val="FF0000"/>
        </w:rPr>
        <w:t xml:space="preserve"> </w:t>
      </w:r>
      <w:r>
        <w:rPr>
          <w:rFonts w:ascii="Times New Roman" w:hAnsi="Times New Roman"/>
          <w:color w:val="FF0000"/>
          <w:sz w:val="18"/>
          <w:szCs w:val="18"/>
          <w:u w:val="single"/>
        </w:rPr>
        <w:t>Note</w:t>
      </w:r>
      <w:r>
        <w:rPr>
          <w:rFonts w:ascii="Times New Roman" w:hAnsi="Times New Roman"/>
          <w:color w:val="FF0000"/>
          <w:sz w:val="18"/>
          <w:szCs w:val="18"/>
        </w:rPr>
        <w:t> : Interventions encadrées sur les mines et les engins explosif: examen de sécurité sur site, recherche et identification d’engins explosifs, neutralisation d’engins explosifs et sécurisation des lieux.</w:t>
      </w:r>
    </w:p>
    <w:p w14:paraId="072C3682" w14:textId="77777777" w:rsidR="00E15BF1" w:rsidRDefault="00E15BF1" w:rsidP="00DD583B">
      <w:pPr>
        <w:rPr>
          <w:rFonts w:ascii="Times New Roman" w:hAnsi="Times New Roman"/>
          <w:color w:val="FF0000"/>
          <w:sz w:val="18"/>
          <w:szCs w:val="18"/>
        </w:rPr>
      </w:pPr>
      <w:r>
        <w:rPr>
          <w:rFonts w:ascii="Times New Roman" w:hAnsi="Times New Roman"/>
          <w:color w:val="FF0000"/>
          <w:sz w:val="18"/>
          <w:szCs w:val="18"/>
        </w:rPr>
        <w:t>Types d’interventions sur les mines et les engins explosifs sans accompagnement aux FDSM déployés dans leur zone de responsabilité, région centre du Mali (la MINUSMA n’a pas d’accès pour des raisons de mandat) : fouille et recherche et neutralisation et destruction des engings explosifs improvisés et/ou mines.</w:t>
      </w:r>
    </w:p>
    <w:p w14:paraId="4633BC5E" w14:textId="77777777" w:rsidR="00E15BF1" w:rsidRPr="00130A89" w:rsidRDefault="00E15BF1" w:rsidP="00DD583B">
      <w:pPr>
        <w:pStyle w:val="Notedebasdepage"/>
        <w:rPr>
          <w:lang w:val="fr-FR"/>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B7CC5"/>
    <w:multiLevelType w:val="hybridMultilevel"/>
    <w:tmpl w:val="5EE29E6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58207AB"/>
    <w:multiLevelType w:val="hybridMultilevel"/>
    <w:tmpl w:val="B45CA7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06104532"/>
    <w:multiLevelType w:val="multilevel"/>
    <w:tmpl w:val="970AE50E"/>
    <w:lvl w:ilvl="0">
      <w:start w:val="1"/>
      <w:numFmt w:val="decimal"/>
      <w:lvlText w:val="2.%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8839BA"/>
    <w:multiLevelType w:val="hybridMultilevel"/>
    <w:tmpl w:val="A3626BD8"/>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0ADE109C"/>
    <w:multiLevelType w:val="hybridMultilevel"/>
    <w:tmpl w:val="261C4F9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0B4453AC"/>
    <w:multiLevelType w:val="hybridMultilevel"/>
    <w:tmpl w:val="CB7E269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7453A"/>
    <w:multiLevelType w:val="hybridMultilevel"/>
    <w:tmpl w:val="29669C3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0CA82DB8"/>
    <w:multiLevelType w:val="hybridMultilevel"/>
    <w:tmpl w:val="49D291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F7A7112"/>
    <w:multiLevelType w:val="hybridMultilevel"/>
    <w:tmpl w:val="6BFC3F6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0F920C34"/>
    <w:multiLevelType w:val="multilevel"/>
    <w:tmpl w:val="91ACE0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53C41C0"/>
    <w:multiLevelType w:val="hybridMultilevel"/>
    <w:tmpl w:val="004CA020"/>
    <w:lvl w:ilvl="0" w:tplc="8F648D46">
      <w:start w:val="1"/>
      <w:numFmt w:val="bullet"/>
      <w:lvlText w:val=""/>
      <w:lvlJc w:val="left"/>
      <w:pPr>
        <w:ind w:left="360" w:hanging="360"/>
      </w:pPr>
      <w:rPr>
        <w:rFonts w:ascii="Symbol" w:hAnsi="Symbol" w:hint="default"/>
        <w:b/>
        <w:i w:val="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19174044"/>
    <w:multiLevelType w:val="hybridMultilevel"/>
    <w:tmpl w:val="42E607D2"/>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1A92173B"/>
    <w:multiLevelType w:val="hybridMultilevel"/>
    <w:tmpl w:val="C43CE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A58A3"/>
    <w:multiLevelType w:val="hybridMultilevel"/>
    <w:tmpl w:val="3AC6503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214A3A9B"/>
    <w:multiLevelType w:val="hybridMultilevel"/>
    <w:tmpl w:val="A2BA2812"/>
    <w:lvl w:ilvl="0" w:tplc="04090005">
      <w:start w:val="1"/>
      <w:numFmt w:val="bullet"/>
      <w:lvlText w:val=""/>
      <w:lvlJc w:val="left"/>
      <w:pPr>
        <w:ind w:left="360" w:hanging="360"/>
      </w:pPr>
      <w:rPr>
        <w:rFonts w:ascii="Wingdings" w:hAnsi="Wingdings" w:cs="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243828B2"/>
    <w:multiLevelType w:val="hybridMultilevel"/>
    <w:tmpl w:val="FC3C19DC"/>
    <w:styleLink w:val="Style31import"/>
    <w:lvl w:ilvl="0" w:tplc="7242CE10">
      <w:start w:val="1"/>
      <w:numFmt w:val="lowerLetter"/>
      <w:lvlText w:val="%1)"/>
      <w:lvlJc w:val="left"/>
      <w:pPr>
        <w:ind w:left="1429" w:hanging="360"/>
      </w:pPr>
      <w:rPr>
        <w:rFonts w:hAnsi="Arial Unicode MS"/>
        <w:caps w:val="0"/>
        <w:smallCaps w:val="0"/>
        <w:strike w:val="0"/>
        <w:dstrike w:val="0"/>
        <w:color w:val="000000"/>
        <w:spacing w:val="0"/>
        <w:w w:val="100"/>
        <w:kern w:val="0"/>
        <w:position w:val="0"/>
        <w:highlight w:val="none"/>
        <w:vertAlign w:val="baseline"/>
      </w:rPr>
    </w:lvl>
    <w:lvl w:ilvl="1" w:tplc="D8002260">
      <w:start w:val="1"/>
      <w:numFmt w:val="lowerLetter"/>
      <w:lvlText w:val="%2."/>
      <w:lvlJc w:val="left"/>
      <w:pPr>
        <w:ind w:left="2149" w:hanging="360"/>
      </w:pPr>
      <w:rPr>
        <w:rFonts w:hAnsi="Arial Unicode MS"/>
        <w:caps w:val="0"/>
        <w:smallCaps w:val="0"/>
        <w:strike w:val="0"/>
        <w:dstrike w:val="0"/>
        <w:color w:val="000000"/>
        <w:spacing w:val="0"/>
        <w:w w:val="100"/>
        <w:kern w:val="0"/>
        <w:position w:val="0"/>
        <w:highlight w:val="none"/>
        <w:vertAlign w:val="baseline"/>
      </w:rPr>
    </w:lvl>
    <w:lvl w:ilvl="2" w:tplc="3946C230">
      <w:start w:val="1"/>
      <w:numFmt w:val="lowerRoman"/>
      <w:lvlText w:val="%3."/>
      <w:lvlJc w:val="left"/>
      <w:pPr>
        <w:ind w:left="2869" w:hanging="289"/>
      </w:pPr>
      <w:rPr>
        <w:rFonts w:hAnsi="Arial Unicode MS"/>
        <w:caps w:val="0"/>
        <w:smallCaps w:val="0"/>
        <w:strike w:val="0"/>
        <w:dstrike w:val="0"/>
        <w:color w:val="000000"/>
        <w:spacing w:val="0"/>
        <w:w w:val="100"/>
        <w:kern w:val="0"/>
        <w:position w:val="0"/>
        <w:highlight w:val="none"/>
        <w:vertAlign w:val="baseline"/>
      </w:rPr>
    </w:lvl>
    <w:lvl w:ilvl="3" w:tplc="352A025E">
      <w:start w:val="1"/>
      <w:numFmt w:val="decimal"/>
      <w:lvlText w:val="%4."/>
      <w:lvlJc w:val="left"/>
      <w:pPr>
        <w:ind w:left="3589" w:hanging="360"/>
      </w:pPr>
      <w:rPr>
        <w:rFonts w:hAnsi="Arial Unicode MS"/>
        <w:caps w:val="0"/>
        <w:smallCaps w:val="0"/>
        <w:strike w:val="0"/>
        <w:dstrike w:val="0"/>
        <w:color w:val="000000"/>
        <w:spacing w:val="0"/>
        <w:w w:val="100"/>
        <w:kern w:val="0"/>
        <w:position w:val="0"/>
        <w:highlight w:val="none"/>
        <w:vertAlign w:val="baseline"/>
      </w:rPr>
    </w:lvl>
    <w:lvl w:ilvl="4" w:tplc="48ECDB28">
      <w:start w:val="1"/>
      <w:numFmt w:val="lowerLetter"/>
      <w:lvlText w:val="%5."/>
      <w:lvlJc w:val="left"/>
      <w:pPr>
        <w:ind w:left="4309" w:hanging="360"/>
      </w:pPr>
      <w:rPr>
        <w:rFonts w:hAnsi="Arial Unicode MS"/>
        <w:caps w:val="0"/>
        <w:smallCaps w:val="0"/>
        <w:strike w:val="0"/>
        <w:dstrike w:val="0"/>
        <w:color w:val="000000"/>
        <w:spacing w:val="0"/>
        <w:w w:val="100"/>
        <w:kern w:val="0"/>
        <w:position w:val="0"/>
        <w:highlight w:val="none"/>
        <w:vertAlign w:val="baseline"/>
      </w:rPr>
    </w:lvl>
    <w:lvl w:ilvl="5" w:tplc="4AF8A006">
      <w:start w:val="1"/>
      <w:numFmt w:val="lowerRoman"/>
      <w:lvlText w:val="%6."/>
      <w:lvlJc w:val="left"/>
      <w:pPr>
        <w:ind w:left="5029" w:hanging="289"/>
      </w:pPr>
      <w:rPr>
        <w:rFonts w:hAnsi="Arial Unicode MS"/>
        <w:caps w:val="0"/>
        <w:smallCaps w:val="0"/>
        <w:strike w:val="0"/>
        <w:dstrike w:val="0"/>
        <w:color w:val="000000"/>
        <w:spacing w:val="0"/>
        <w:w w:val="100"/>
        <w:kern w:val="0"/>
        <w:position w:val="0"/>
        <w:highlight w:val="none"/>
        <w:vertAlign w:val="baseline"/>
      </w:rPr>
    </w:lvl>
    <w:lvl w:ilvl="6" w:tplc="6E02A248">
      <w:start w:val="1"/>
      <w:numFmt w:val="decimal"/>
      <w:lvlText w:val="%7."/>
      <w:lvlJc w:val="left"/>
      <w:pPr>
        <w:ind w:left="5749" w:hanging="360"/>
      </w:pPr>
      <w:rPr>
        <w:rFonts w:hAnsi="Arial Unicode MS"/>
        <w:caps w:val="0"/>
        <w:smallCaps w:val="0"/>
        <w:strike w:val="0"/>
        <w:dstrike w:val="0"/>
        <w:color w:val="000000"/>
        <w:spacing w:val="0"/>
        <w:w w:val="100"/>
        <w:kern w:val="0"/>
        <w:position w:val="0"/>
        <w:highlight w:val="none"/>
        <w:vertAlign w:val="baseline"/>
      </w:rPr>
    </w:lvl>
    <w:lvl w:ilvl="7" w:tplc="54A0EC24">
      <w:start w:val="1"/>
      <w:numFmt w:val="lowerLetter"/>
      <w:lvlText w:val="%8."/>
      <w:lvlJc w:val="left"/>
      <w:pPr>
        <w:ind w:left="6469" w:hanging="360"/>
      </w:pPr>
      <w:rPr>
        <w:rFonts w:hAnsi="Arial Unicode MS"/>
        <w:caps w:val="0"/>
        <w:smallCaps w:val="0"/>
        <w:strike w:val="0"/>
        <w:dstrike w:val="0"/>
        <w:color w:val="000000"/>
        <w:spacing w:val="0"/>
        <w:w w:val="100"/>
        <w:kern w:val="0"/>
        <w:position w:val="0"/>
        <w:highlight w:val="none"/>
        <w:vertAlign w:val="baseline"/>
      </w:rPr>
    </w:lvl>
    <w:lvl w:ilvl="8" w:tplc="DAC436DE">
      <w:start w:val="1"/>
      <w:numFmt w:val="lowerRoman"/>
      <w:lvlText w:val="%9."/>
      <w:lvlJc w:val="left"/>
      <w:pPr>
        <w:ind w:left="7189" w:hanging="289"/>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24D24B84"/>
    <w:multiLevelType w:val="hybridMultilevel"/>
    <w:tmpl w:val="4B544E1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26EF4893"/>
    <w:multiLevelType w:val="hybridMultilevel"/>
    <w:tmpl w:val="4302FCB8"/>
    <w:lvl w:ilvl="0" w:tplc="47C6DB94">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9816BCB"/>
    <w:multiLevelType w:val="hybridMultilevel"/>
    <w:tmpl w:val="23002606"/>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2EC209B5"/>
    <w:multiLevelType w:val="hybridMultilevel"/>
    <w:tmpl w:val="E2AEDE4C"/>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0" w15:restartNumberingAfterBreak="0">
    <w:nsid w:val="2FC55061"/>
    <w:multiLevelType w:val="hybridMultilevel"/>
    <w:tmpl w:val="E948EBF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2FF74143"/>
    <w:multiLevelType w:val="multilevel"/>
    <w:tmpl w:val="BE402F74"/>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2" w15:restartNumberingAfterBreak="0">
    <w:nsid w:val="2FFA335F"/>
    <w:multiLevelType w:val="multilevel"/>
    <w:tmpl w:val="807C7F48"/>
    <w:lvl w:ilvl="0">
      <w:start w:val="1"/>
      <w:numFmt w:val="decimal"/>
      <w:lvlText w:val="4.%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57621AB"/>
    <w:multiLevelType w:val="hybridMultilevel"/>
    <w:tmpl w:val="1F0A060C"/>
    <w:lvl w:ilvl="0" w:tplc="79BC844E">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377B17EC"/>
    <w:multiLevelType w:val="hybridMultilevel"/>
    <w:tmpl w:val="FC3C19DC"/>
    <w:lvl w:ilvl="0" w:tplc="C73E3B74">
      <w:start w:val="1"/>
      <w:numFmt w:val="lowerLetter"/>
      <w:lvlText w:val="%1)"/>
      <w:lvlJc w:val="left"/>
      <w:pPr>
        <w:ind w:left="-390" w:hanging="360"/>
      </w:pPr>
      <w:rPr>
        <w:rFonts w:hAnsi="Arial Unicode MS"/>
        <w:caps w:val="0"/>
        <w:smallCaps w:val="0"/>
        <w:strike w:val="0"/>
        <w:dstrike w:val="0"/>
        <w:color w:val="000000"/>
        <w:spacing w:val="0"/>
        <w:w w:val="100"/>
        <w:kern w:val="0"/>
        <w:position w:val="0"/>
        <w:highlight w:val="none"/>
        <w:vertAlign w:val="baseline"/>
      </w:rPr>
    </w:lvl>
    <w:lvl w:ilvl="1" w:tplc="29561732">
      <w:start w:val="1"/>
      <w:numFmt w:val="lowerLetter"/>
      <w:lvlText w:val="%2."/>
      <w:lvlJc w:val="left"/>
      <w:pPr>
        <w:ind w:left="330" w:hanging="360"/>
      </w:pPr>
      <w:rPr>
        <w:rFonts w:hAnsi="Arial Unicode MS"/>
        <w:caps w:val="0"/>
        <w:smallCaps w:val="0"/>
        <w:strike w:val="0"/>
        <w:dstrike w:val="0"/>
        <w:color w:val="000000"/>
        <w:spacing w:val="0"/>
        <w:w w:val="100"/>
        <w:kern w:val="0"/>
        <w:position w:val="0"/>
        <w:highlight w:val="none"/>
        <w:vertAlign w:val="baseline"/>
      </w:rPr>
    </w:lvl>
    <w:lvl w:ilvl="2" w:tplc="2710052A">
      <w:start w:val="1"/>
      <w:numFmt w:val="lowerRoman"/>
      <w:lvlText w:val="%3."/>
      <w:lvlJc w:val="left"/>
      <w:pPr>
        <w:ind w:left="1050" w:hanging="289"/>
      </w:pPr>
      <w:rPr>
        <w:rFonts w:hAnsi="Arial Unicode MS"/>
        <w:caps w:val="0"/>
        <w:smallCaps w:val="0"/>
        <w:strike w:val="0"/>
        <w:dstrike w:val="0"/>
        <w:color w:val="000000"/>
        <w:spacing w:val="0"/>
        <w:w w:val="100"/>
        <w:kern w:val="0"/>
        <w:position w:val="0"/>
        <w:highlight w:val="none"/>
        <w:vertAlign w:val="baseline"/>
      </w:rPr>
    </w:lvl>
    <w:lvl w:ilvl="3" w:tplc="588EA514">
      <w:start w:val="1"/>
      <w:numFmt w:val="decimal"/>
      <w:lvlText w:val="%4."/>
      <w:lvlJc w:val="left"/>
      <w:pPr>
        <w:ind w:left="1770" w:hanging="360"/>
      </w:pPr>
      <w:rPr>
        <w:rFonts w:hAnsi="Arial Unicode MS"/>
        <w:caps w:val="0"/>
        <w:smallCaps w:val="0"/>
        <w:strike w:val="0"/>
        <w:dstrike w:val="0"/>
        <w:color w:val="000000"/>
        <w:spacing w:val="0"/>
        <w:w w:val="100"/>
        <w:kern w:val="0"/>
        <w:position w:val="0"/>
        <w:highlight w:val="none"/>
        <w:vertAlign w:val="baseline"/>
      </w:rPr>
    </w:lvl>
    <w:lvl w:ilvl="4" w:tplc="663A4228">
      <w:start w:val="1"/>
      <w:numFmt w:val="lowerLetter"/>
      <w:lvlText w:val="%5."/>
      <w:lvlJc w:val="left"/>
      <w:pPr>
        <w:ind w:left="2490" w:hanging="360"/>
      </w:pPr>
      <w:rPr>
        <w:rFonts w:hAnsi="Arial Unicode MS"/>
        <w:caps w:val="0"/>
        <w:smallCaps w:val="0"/>
        <w:strike w:val="0"/>
        <w:dstrike w:val="0"/>
        <w:color w:val="000000"/>
        <w:spacing w:val="0"/>
        <w:w w:val="100"/>
        <w:kern w:val="0"/>
        <w:position w:val="0"/>
        <w:highlight w:val="none"/>
        <w:vertAlign w:val="baseline"/>
      </w:rPr>
    </w:lvl>
    <w:lvl w:ilvl="5" w:tplc="79120280">
      <w:start w:val="1"/>
      <w:numFmt w:val="lowerRoman"/>
      <w:lvlText w:val="%6."/>
      <w:lvlJc w:val="left"/>
      <w:pPr>
        <w:ind w:left="3210" w:hanging="289"/>
      </w:pPr>
      <w:rPr>
        <w:rFonts w:hAnsi="Arial Unicode MS"/>
        <w:caps w:val="0"/>
        <w:smallCaps w:val="0"/>
        <w:strike w:val="0"/>
        <w:dstrike w:val="0"/>
        <w:color w:val="000000"/>
        <w:spacing w:val="0"/>
        <w:w w:val="100"/>
        <w:kern w:val="0"/>
        <w:position w:val="0"/>
        <w:highlight w:val="none"/>
        <w:vertAlign w:val="baseline"/>
      </w:rPr>
    </w:lvl>
    <w:lvl w:ilvl="6" w:tplc="4E929666">
      <w:start w:val="1"/>
      <w:numFmt w:val="decimal"/>
      <w:lvlText w:val="%7."/>
      <w:lvlJc w:val="left"/>
      <w:pPr>
        <w:ind w:left="3930" w:hanging="360"/>
      </w:pPr>
      <w:rPr>
        <w:rFonts w:hAnsi="Arial Unicode MS"/>
        <w:caps w:val="0"/>
        <w:smallCaps w:val="0"/>
        <w:strike w:val="0"/>
        <w:dstrike w:val="0"/>
        <w:color w:val="000000"/>
        <w:spacing w:val="0"/>
        <w:w w:val="100"/>
        <w:kern w:val="0"/>
        <w:position w:val="0"/>
        <w:highlight w:val="none"/>
        <w:vertAlign w:val="baseline"/>
      </w:rPr>
    </w:lvl>
    <w:lvl w:ilvl="7" w:tplc="45EAA7DE">
      <w:start w:val="1"/>
      <w:numFmt w:val="lowerLetter"/>
      <w:lvlText w:val="%8."/>
      <w:lvlJc w:val="left"/>
      <w:pPr>
        <w:ind w:left="4650" w:hanging="360"/>
      </w:pPr>
      <w:rPr>
        <w:rFonts w:hAnsi="Arial Unicode MS"/>
        <w:caps w:val="0"/>
        <w:smallCaps w:val="0"/>
        <w:strike w:val="0"/>
        <w:dstrike w:val="0"/>
        <w:color w:val="000000"/>
        <w:spacing w:val="0"/>
        <w:w w:val="100"/>
        <w:kern w:val="0"/>
        <w:position w:val="0"/>
        <w:highlight w:val="none"/>
        <w:vertAlign w:val="baseline"/>
      </w:rPr>
    </w:lvl>
    <w:lvl w:ilvl="8" w:tplc="9D8A6882">
      <w:start w:val="1"/>
      <w:numFmt w:val="lowerRoman"/>
      <w:lvlText w:val="%9."/>
      <w:lvlJc w:val="left"/>
      <w:pPr>
        <w:ind w:left="5370" w:hanging="289"/>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AB87422"/>
    <w:multiLevelType w:val="multilevel"/>
    <w:tmpl w:val="08ECC6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BCB14D8"/>
    <w:multiLevelType w:val="hybridMultilevel"/>
    <w:tmpl w:val="30AED07C"/>
    <w:lvl w:ilvl="0" w:tplc="F7844A28">
      <w:start w:val="1"/>
      <w:numFmt w:val="bullet"/>
      <w:lvlText w:val=""/>
      <w:lvlJc w:val="left"/>
      <w:pPr>
        <w:ind w:left="360" w:hanging="360"/>
      </w:pPr>
      <w:rPr>
        <w:rFonts w:ascii="Symbol" w:hAnsi="Symbol"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27" w15:restartNumberingAfterBreak="0">
    <w:nsid w:val="42DC2973"/>
    <w:multiLevelType w:val="hybridMultilevel"/>
    <w:tmpl w:val="B534295C"/>
    <w:lvl w:ilvl="0" w:tplc="85EADA0C">
      <w:start w:val="1"/>
      <w:numFmt w:val="bullet"/>
      <w:lvlText w:val=""/>
      <w:lvlJc w:val="left"/>
      <w:pPr>
        <w:ind w:left="360" w:hanging="360"/>
      </w:pPr>
      <w:rPr>
        <w:rFonts w:ascii="Wingdings" w:hAnsi="Wingdings" w:hint="default"/>
      </w:rPr>
    </w:lvl>
    <w:lvl w:ilvl="1" w:tplc="A3E06E2C" w:tentative="1">
      <w:start w:val="1"/>
      <w:numFmt w:val="bullet"/>
      <w:lvlText w:val="o"/>
      <w:lvlJc w:val="left"/>
      <w:pPr>
        <w:ind w:left="1080" w:hanging="360"/>
      </w:pPr>
      <w:rPr>
        <w:rFonts w:ascii="Courier New" w:hAnsi="Courier New" w:cs="Courier New" w:hint="default"/>
      </w:rPr>
    </w:lvl>
    <w:lvl w:ilvl="2" w:tplc="1518A83C" w:tentative="1">
      <w:start w:val="1"/>
      <w:numFmt w:val="bullet"/>
      <w:lvlText w:val=""/>
      <w:lvlJc w:val="left"/>
      <w:pPr>
        <w:ind w:left="1800" w:hanging="360"/>
      </w:pPr>
      <w:rPr>
        <w:rFonts w:ascii="Wingdings" w:hAnsi="Wingdings" w:hint="default"/>
      </w:rPr>
    </w:lvl>
    <w:lvl w:ilvl="3" w:tplc="B86CBBDE" w:tentative="1">
      <w:start w:val="1"/>
      <w:numFmt w:val="bullet"/>
      <w:lvlText w:val=""/>
      <w:lvlJc w:val="left"/>
      <w:pPr>
        <w:ind w:left="2520" w:hanging="360"/>
      </w:pPr>
      <w:rPr>
        <w:rFonts w:ascii="Symbol" w:hAnsi="Symbol" w:hint="default"/>
      </w:rPr>
    </w:lvl>
    <w:lvl w:ilvl="4" w:tplc="B69E811C" w:tentative="1">
      <w:start w:val="1"/>
      <w:numFmt w:val="bullet"/>
      <w:lvlText w:val="o"/>
      <w:lvlJc w:val="left"/>
      <w:pPr>
        <w:ind w:left="3240" w:hanging="360"/>
      </w:pPr>
      <w:rPr>
        <w:rFonts w:ascii="Courier New" w:hAnsi="Courier New" w:cs="Courier New" w:hint="default"/>
      </w:rPr>
    </w:lvl>
    <w:lvl w:ilvl="5" w:tplc="A8F2B8B8" w:tentative="1">
      <w:start w:val="1"/>
      <w:numFmt w:val="bullet"/>
      <w:lvlText w:val=""/>
      <w:lvlJc w:val="left"/>
      <w:pPr>
        <w:ind w:left="3960" w:hanging="360"/>
      </w:pPr>
      <w:rPr>
        <w:rFonts w:ascii="Wingdings" w:hAnsi="Wingdings" w:hint="default"/>
      </w:rPr>
    </w:lvl>
    <w:lvl w:ilvl="6" w:tplc="14B6C714" w:tentative="1">
      <w:start w:val="1"/>
      <w:numFmt w:val="bullet"/>
      <w:lvlText w:val=""/>
      <w:lvlJc w:val="left"/>
      <w:pPr>
        <w:ind w:left="4680" w:hanging="360"/>
      </w:pPr>
      <w:rPr>
        <w:rFonts w:ascii="Symbol" w:hAnsi="Symbol" w:hint="default"/>
      </w:rPr>
    </w:lvl>
    <w:lvl w:ilvl="7" w:tplc="BC940310" w:tentative="1">
      <w:start w:val="1"/>
      <w:numFmt w:val="bullet"/>
      <w:lvlText w:val="o"/>
      <w:lvlJc w:val="left"/>
      <w:pPr>
        <w:ind w:left="5400" w:hanging="360"/>
      </w:pPr>
      <w:rPr>
        <w:rFonts w:ascii="Courier New" w:hAnsi="Courier New" w:cs="Courier New" w:hint="default"/>
      </w:rPr>
    </w:lvl>
    <w:lvl w:ilvl="8" w:tplc="CF5440CA" w:tentative="1">
      <w:start w:val="1"/>
      <w:numFmt w:val="bullet"/>
      <w:lvlText w:val=""/>
      <w:lvlJc w:val="left"/>
      <w:pPr>
        <w:ind w:left="6120" w:hanging="360"/>
      </w:pPr>
      <w:rPr>
        <w:rFonts w:ascii="Wingdings" w:hAnsi="Wingdings" w:hint="default"/>
      </w:rPr>
    </w:lvl>
  </w:abstractNum>
  <w:abstractNum w:abstractNumId="28" w15:restartNumberingAfterBreak="0">
    <w:nsid w:val="46AE4551"/>
    <w:multiLevelType w:val="hybridMultilevel"/>
    <w:tmpl w:val="23D04DE4"/>
    <w:lvl w:ilvl="0" w:tplc="DDB062F4">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46B00E4D"/>
    <w:multiLevelType w:val="hybridMultilevel"/>
    <w:tmpl w:val="4712D4D8"/>
    <w:lvl w:ilvl="0" w:tplc="FA0080A6">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15:restartNumberingAfterBreak="0">
    <w:nsid w:val="4836041F"/>
    <w:multiLevelType w:val="hybridMultilevel"/>
    <w:tmpl w:val="78302EE8"/>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485C3609"/>
    <w:multiLevelType w:val="hybridMultilevel"/>
    <w:tmpl w:val="55921884"/>
    <w:lvl w:ilvl="0" w:tplc="1388B7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15:restartNumberingAfterBreak="0">
    <w:nsid w:val="48D95FDA"/>
    <w:multiLevelType w:val="hybridMultilevel"/>
    <w:tmpl w:val="FC90E7BE"/>
    <w:lvl w:ilvl="0" w:tplc="31B0AA8E">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33" w15:restartNumberingAfterBreak="0">
    <w:nsid w:val="49ED5217"/>
    <w:multiLevelType w:val="hybridMultilevel"/>
    <w:tmpl w:val="B4103C5E"/>
    <w:lvl w:ilvl="0" w:tplc="040C000F">
      <w:start w:val="1"/>
      <w:numFmt w:val="bullet"/>
      <w:lvlText w:val=""/>
      <w:lvlJc w:val="left"/>
      <w:pPr>
        <w:ind w:left="360" w:hanging="360"/>
      </w:pPr>
      <w:rPr>
        <w:rFonts w:ascii="Wingdings" w:hAnsi="Wingdings" w:cs="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34" w15:restartNumberingAfterBreak="0">
    <w:nsid w:val="4A0E3F08"/>
    <w:multiLevelType w:val="hybridMultilevel"/>
    <w:tmpl w:val="8ABA7130"/>
    <w:lvl w:ilvl="0" w:tplc="040C0001">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5" w15:restartNumberingAfterBreak="0">
    <w:nsid w:val="4F1525E0"/>
    <w:multiLevelType w:val="hybridMultilevel"/>
    <w:tmpl w:val="8CC6F60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4FE4266E"/>
    <w:multiLevelType w:val="hybridMultilevel"/>
    <w:tmpl w:val="955C8624"/>
    <w:lvl w:ilvl="0" w:tplc="F2A8C974">
      <w:start w:val="1"/>
      <w:numFmt w:val="decimal"/>
      <w:lvlText w:val="%1."/>
      <w:lvlJc w:val="left"/>
      <w:pPr>
        <w:ind w:left="360" w:hanging="360"/>
      </w:pPr>
      <w:rPr>
        <w:rFonts w:ascii="Arial Narrow" w:hAnsi="Arial Narrow" w:hint="default"/>
        <w:b w:val="0"/>
        <w:color w:val="auto"/>
        <w:sz w:val="22"/>
        <w:szCs w:val="22"/>
        <w:lang w:val="fr-FR"/>
      </w:r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7" w15:restartNumberingAfterBreak="0">
    <w:nsid w:val="56803FE9"/>
    <w:multiLevelType w:val="hybridMultilevel"/>
    <w:tmpl w:val="994A31EA"/>
    <w:lvl w:ilvl="0" w:tplc="FF76E4FE">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38" w15:restartNumberingAfterBreak="0">
    <w:nsid w:val="5B9D7157"/>
    <w:multiLevelType w:val="hybridMultilevel"/>
    <w:tmpl w:val="8BB631F4"/>
    <w:lvl w:ilvl="0" w:tplc="1388B7C8">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15:restartNumberingAfterBreak="0">
    <w:nsid w:val="5CD22BD4"/>
    <w:multiLevelType w:val="hybridMultilevel"/>
    <w:tmpl w:val="48044198"/>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0" w15:restartNumberingAfterBreak="0">
    <w:nsid w:val="5D4869BF"/>
    <w:multiLevelType w:val="hybridMultilevel"/>
    <w:tmpl w:val="9DCAF340"/>
    <w:lvl w:ilvl="0" w:tplc="AB02E4DE">
      <w:start w:val="5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DBB291E"/>
    <w:multiLevelType w:val="hybridMultilevel"/>
    <w:tmpl w:val="428A23D8"/>
    <w:lvl w:ilvl="0" w:tplc="040C0001">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2" w15:restartNumberingAfterBreak="0">
    <w:nsid w:val="5E692CDD"/>
    <w:multiLevelType w:val="hybridMultilevel"/>
    <w:tmpl w:val="55FAD17C"/>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3" w15:restartNumberingAfterBreak="0">
    <w:nsid w:val="689737C9"/>
    <w:multiLevelType w:val="multilevel"/>
    <w:tmpl w:val="B4E0A7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AE80540"/>
    <w:multiLevelType w:val="hybridMultilevel"/>
    <w:tmpl w:val="F138A348"/>
    <w:lvl w:ilvl="0" w:tplc="040C0005">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15:restartNumberingAfterBreak="0">
    <w:nsid w:val="70DD22C7"/>
    <w:multiLevelType w:val="hybridMultilevel"/>
    <w:tmpl w:val="8E305010"/>
    <w:lvl w:ilvl="0" w:tplc="30CE97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63E6D64"/>
    <w:multiLevelType w:val="multilevel"/>
    <w:tmpl w:val="D15EA6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6990FBA"/>
    <w:multiLevelType w:val="hybridMultilevel"/>
    <w:tmpl w:val="1D42F23E"/>
    <w:lvl w:ilvl="0" w:tplc="040C0001">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8" w15:restartNumberingAfterBreak="0">
    <w:nsid w:val="775A0B60"/>
    <w:multiLevelType w:val="hybridMultilevel"/>
    <w:tmpl w:val="4C20CDEC"/>
    <w:lvl w:ilvl="0" w:tplc="707A5512">
      <w:start w:val="1"/>
      <w:numFmt w:val="bullet"/>
      <w:lvlText w:val=""/>
      <w:lvlJc w:val="left"/>
      <w:pPr>
        <w:ind w:left="360" w:hanging="360"/>
      </w:pPr>
      <w:rPr>
        <w:rFonts w:ascii="Wingdings" w:hAnsi="Wingdings" w:hint="default"/>
      </w:rPr>
    </w:lvl>
    <w:lvl w:ilvl="1" w:tplc="0A6C135C" w:tentative="1">
      <w:start w:val="1"/>
      <w:numFmt w:val="bullet"/>
      <w:lvlText w:val="o"/>
      <w:lvlJc w:val="left"/>
      <w:pPr>
        <w:ind w:left="1080" w:hanging="360"/>
      </w:pPr>
      <w:rPr>
        <w:rFonts w:ascii="Courier New" w:hAnsi="Courier New" w:cs="Courier New" w:hint="default"/>
      </w:rPr>
    </w:lvl>
    <w:lvl w:ilvl="2" w:tplc="0DF84C7E" w:tentative="1">
      <w:start w:val="1"/>
      <w:numFmt w:val="bullet"/>
      <w:lvlText w:val=""/>
      <w:lvlJc w:val="left"/>
      <w:pPr>
        <w:ind w:left="1800" w:hanging="360"/>
      </w:pPr>
      <w:rPr>
        <w:rFonts w:ascii="Wingdings" w:hAnsi="Wingdings" w:hint="default"/>
      </w:rPr>
    </w:lvl>
    <w:lvl w:ilvl="3" w:tplc="EFFAE970" w:tentative="1">
      <w:start w:val="1"/>
      <w:numFmt w:val="bullet"/>
      <w:lvlText w:val=""/>
      <w:lvlJc w:val="left"/>
      <w:pPr>
        <w:ind w:left="2520" w:hanging="360"/>
      </w:pPr>
      <w:rPr>
        <w:rFonts w:ascii="Symbol" w:hAnsi="Symbol" w:hint="default"/>
      </w:rPr>
    </w:lvl>
    <w:lvl w:ilvl="4" w:tplc="2C82F9A4" w:tentative="1">
      <w:start w:val="1"/>
      <w:numFmt w:val="bullet"/>
      <w:lvlText w:val="o"/>
      <w:lvlJc w:val="left"/>
      <w:pPr>
        <w:ind w:left="3240" w:hanging="360"/>
      </w:pPr>
      <w:rPr>
        <w:rFonts w:ascii="Courier New" w:hAnsi="Courier New" w:cs="Courier New" w:hint="default"/>
      </w:rPr>
    </w:lvl>
    <w:lvl w:ilvl="5" w:tplc="9CEA2A66" w:tentative="1">
      <w:start w:val="1"/>
      <w:numFmt w:val="bullet"/>
      <w:lvlText w:val=""/>
      <w:lvlJc w:val="left"/>
      <w:pPr>
        <w:ind w:left="3960" w:hanging="360"/>
      </w:pPr>
      <w:rPr>
        <w:rFonts w:ascii="Wingdings" w:hAnsi="Wingdings" w:hint="default"/>
      </w:rPr>
    </w:lvl>
    <w:lvl w:ilvl="6" w:tplc="FDA44328" w:tentative="1">
      <w:start w:val="1"/>
      <w:numFmt w:val="bullet"/>
      <w:lvlText w:val=""/>
      <w:lvlJc w:val="left"/>
      <w:pPr>
        <w:ind w:left="4680" w:hanging="360"/>
      </w:pPr>
      <w:rPr>
        <w:rFonts w:ascii="Symbol" w:hAnsi="Symbol" w:hint="default"/>
      </w:rPr>
    </w:lvl>
    <w:lvl w:ilvl="7" w:tplc="CB74D1AE" w:tentative="1">
      <w:start w:val="1"/>
      <w:numFmt w:val="bullet"/>
      <w:lvlText w:val="o"/>
      <w:lvlJc w:val="left"/>
      <w:pPr>
        <w:ind w:left="5400" w:hanging="360"/>
      </w:pPr>
      <w:rPr>
        <w:rFonts w:ascii="Courier New" w:hAnsi="Courier New" w:cs="Courier New" w:hint="default"/>
      </w:rPr>
    </w:lvl>
    <w:lvl w:ilvl="8" w:tplc="7F6818B0" w:tentative="1">
      <w:start w:val="1"/>
      <w:numFmt w:val="bullet"/>
      <w:lvlText w:val=""/>
      <w:lvlJc w:val="left"/>
      <w:pPr>
        <w:ind w:left="6120" w:hanging="360"/>
      </w:pPr>
      <w:rPr>
        <w:rFonts w:ascii="Wingdings" w:hAnsi="Wingdings" w:hint="default"/>
      </w:rPr>
    </w:lvl>
  </w:abstractNum>
  <w:abstractNum w:abstractNumId="49" w15:restartNumberingAfterBreak="0">
    <w:nsid w:val="7831337B"/>
    <w:multiLevelType w:val="hybridMultilevel"/>
    <w:tmpl w:val="63A29DF2"/>
    <w:lvl w:ilvl="0" w:tplc="D7F2DC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92138C4"/>
    <w:multiLevelType w:val="multilevel"/>
    <w:tmpl w:val="F6D2716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CB460A2"/>
    <w:multiLevelType w:val="hybridMultilevel"/>
    <w:tmpl w:val="48F43AD4"/>
    <w:lvl w:ilvl="0" w:tplc="29DE8704">
      <w:numFmt w:val="bullet"/>
      <w:lvlText w:val="-"/>
      <w:lvlJc w:val="left"/>
      <w:pPr>
        <w:ind w:left="360" w:hanging="360"/>
      </w:pPr>
      <w:rPr>
        <w:rFonts w:ascii="Calibri" w:eastAsiaTheme="minorEastAsia" w:hAnsi="Calibri"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2" w15:restartNumberingAfterBreak="0">
    <w:nsid w:val="7CB4620B"/>
    <w:multiLevelType w:val="hybridMultilevel"/>
    <w:tmpl w:val="3A926DA4"/>
    <w:lvl w:ilvl="0" w:tplc="29D88E5E">
      <w:start w:val="1"/>
      <w:numFmt w:val="bullet"/>
      <w:lvlText w:val=""/>
      <w:lvlJc w:val="left"/>
      <w:pPr>
        <w:ind w:left="360" w:hanging="360"/>
      </w:pPr>
      <w:rPr>
        <w:rFonts w:ascii="Wingdings" w:hAnsi="Wingding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53" w15:restartNumberingAfterBreak="0">
    <w:nsid w:val="7CD019DE"/>
    <w:multiLevelType w:val="hybridMultilevel"/>
    <w:tmpl w:val="2B3025B8"/>
    <w:lvl w:ilvl="0" w:tplc="55CCF44C">
      <w:numFmt w:val="bullet"/>
      <w:lvlText w:val=""/>
      <w:lvlJc w:val="left"/>
      <w:pPr>
        <w:ind w:left="360" w:hanging="360"/>
      </w:pPr>
      <w:rPr>
        <w:rFonts w:ascii="Symbol" w:eastAsia="Times New Roman" w:hAnsi="Symbol" w:hint="default"/>
        <w:b w:val="0"/>
        <w:bCs w:val="0"/>
        <w:i/>
        <w:iCs/>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4" w15:restartNumberingAfterBreak="0">
    <w:nsid w:val="7E8F09AA"/>
    <w:multiLevelType w:val="hybridMultilevel"/>
    <w:tmpl w:val="E1AE75DA"/>
    <w:lvl w:ilvl="0" w:tplc="040C0005">
      <w:start w:val="1"/>
      <w:numFmt w:val="decimal"/>
      <w:lvlText w:val="%1."/>
      <w:lvlJc w:val="left"/>
      <w:pPr>
        <w:ind w:left="1429" w:hanging="360"/>
      </w:pPr>
    </w:lvl>
    <w:lvl w:ilvl="1" w:tplc="040C0003" w:tentative="1">
      <w:start w:val="1"/>
      <w:numFmt w:val="lowerLetter"/>
      <w:lvlText w:val="%2."/>
      <w:lvlJc w:val="left"/>
      <w:pPr>
        <w:ind w:left="2149" w:hanging="360"/>
      </w:pPr>
    </w:lvl>
    <w:lvl w:ilvl="2" w:tplc="040C0005" w:tentative="1">
      <w:start w:val="1"/>
      <w:numFmt w:val="lowerRoman"/>
      <w:lvlText w:val="%3."/>
      <w:lvlJc w:val="right"/>
      <w:pPr>
        <w:ind w:left="2869" w:hanging="180"/>
      </w:pPr>
    </w:lvl>
    <w:lvl w:ilvl="3" w:tplc="040C0001" w:tentative="1">
      <w:start w:val="1"/>
      <w:numFmt w:val="decimal"/>
      <w:lvlText w:val="%4."/>
      <w:lvlJc w:val="left"/>
      <w:pPr>
        <w:ind w:left="3589" w:hanging="360"/>
      </w:pPr>
    </w:lvl>
    <w:lvl w:ilvl="4" w:tplc="040C0003" w:tentative="1">
      <w:start w:val="1"/>
      <w:numFmt w:val="lowerLetter"/>
      <w:lvlText w:val="%5."/>
      <w:lvlJc w:val="left"/>
      <w:pPr>
        <w:ind w:left="4309" w:hanging="360"/>
      </w:pPr>
    </w:lvl>
    <w:lvl w:ilvl="5" w:tplc="040C0005" w:tentative="1">
      <w:start w:val="1"/>
      <w:numFmt w:val="lowerRoman"/>
      <w:lvlText w:val="%6."/>
      <w:lvlJc w:val="right"/>
      <w:pPr>
        <w:ind w:left="5029" w:hanging="180"/>
      </w:pPr>
    </w:lvl>
    <w:lvl w:ilvl="6" w:tplc="040C0001" w:tentative="1">
      <w:start w:val="1"/>
      <w:numFmt w:val="decimal"/>
      <w:lvlText w:val="%7."/>
      <w:lvlJc w:val="left"/>
      <w:pPr>
        <w:ind w:left="5749" w:hanging="360"/>
      </w:pPr>
    </w:lvl>
    <w:lvl w:ilvl="7" w:tplc="040C0003" w:tentative="1">
      <w:start w:val="1"/>
      <w:numFmt w:val="lowerLetter"/>
      <w:lvlText w:val="%8."/>
      <w:lvlJc w:val="left"/>
      <w:pPr>
        <w:ind w:left="6469" w:hanging="360"/>
      </w:pPr>
    </w:lvl>
    <w:lvl w:ilvl="8" w:tplc="040C0005" w:tentative="1">
      <w:start w:val="1"/>
      <w:numFmt w:val="lowerRoman"/>
      <w:lvlText w:val="%9."/>
      <w:lvlJc w:val="right"/>
      <w:pPr>
        <w:ind w:left="7189" w:hanging="180"/>
      </w:pPr>
    </w:lvl>
  </w:abstractNum>
  <w:num w:numId="1">
    <w:abstractNumId w:val="54"/>
  </w:num>
  <w:num w:numId="2">
    <w:abstractNumId w:val="50"/>
  </w:num>
  <w:num w:numId="3">
    <w:abstractNumId w:val="2"/>
  </w:num>
  <w:num w:numId="4">
    <w:abstractNumId w:val="22"/>
  </w:num>
  <w:num w:numId="5">
    <w:abstractNumId w:val="10"/>
  </w:num>
  <w:num w:numId="6">
    <w:abstractNumId w:val="43"/>
  </w:num>
  <w:num w:numId="7">
    <w:abstractNumId w:val="12"/>
  </w:num>
  <w:num w:numId="8">
    <w:abstractNumId w:val="44"/>
  </w:num>
  <w:num w:numId="9">
    <w:abstractNumId w:val="38"/>
  </w:num>
  <w:num w:numId="10">
    <w:abstractNumId w:val="33"/>
  </w:num>
  <w:num w:numId="11">
    <w:abstractNumId w:val="14"/>
  </w:num>
  <w:num w:numId="12">
    <w:abstractNumId w:val="13"/>
  </w:num>
  <w:num w:numId="13">
    <w:abstractNumId w:val="1"/>
  </w:num>
  <w:num w:numId="14">
    <w:abstractNumId w:val="48"/>
  </w:num>
  <w:num w:numId="15">
    <w:abstractNumId w:val="28"/>
  </w:num>
  <w:num w:numId="16">
    <w:abstractNumId w:val="29"/>
  </w:num>
  <w:num w:numId="17">
    <w:abstractNumId w:val="20"/>
  </w:num>
  <w:num w:numId="18">
    <w:abstractNumId w:val="31"/>
  </w:num>
  <w:num w:numId="19">
    <w:abstractNumId w:val="7"/>
  </w:num>
  <w:num w:numId="20">
    <w:abstractNumId w:val="32"/>
  </w:num>
  <w:num w:numId="21">
    <w:abstractNumId w:val="49"/>
  </w:num>
  <w:num w:numId="22">
    <w:abstractNumId w:val="18"/>
  </w:num>
  <w:num w:numId="23">
    <w:abstractNumId w:val="6"/>
  </w:num>
  <w:num w:numId="24">
    <w:abstractNumId w:val="47"/>
  </w:num>
  <w:num w:numId="25">
    <w:abstractNumId w:val="39"/>
  </w:num>
  <w:num w:numId="26">
    <w:abstractNumId w:val="37"/>
  </w:num>
  <w:num w:numId="27">
    <w:abstractNumId w:val="52"/>
  </w:num>
  <w:num w:numId="28">
    <w:abstractNumId w:val="27"/>
  </w:num>
  <w:num w:numId="29">
    <w:abstractNumId w:val="11"/>
  </w:num>
  <w:num w:numId="30">
    <w:abstractNumId w:val="35"/>
  </w:num>
  <w:num w:numId="31">
    <w:abstractNumId w:val="8"/>
  </w:num>
  <w:num w:numId="32">
    <w:abstractNumId w:val="34"/>
  </w:num>
  <w:num w:numId="33">
    <w:abstractNumId w:val="4"/>
  </w:num>
  <w:num w:numId="34">
    <w:abstractNumId w:val="41"/>
  </w:num>
  <w:num w:numId="35">
    <w:abstractNumId w:val="26"/>
  </w:num>
  <w:num w:numId="36">
    <w:abstractNumId w:val="16"/>
  </w:num>
  <w:num w:numId="37">
    <w:abstractNumId w:val="15"/>
  </w:num>
  <w:num w:numId="38">
    <w:abstractNumId w:val="19"/>
  </w:num>
  <w:num w:numId="39">
    <w:abstractNumId w:val="30"/>
  </w:num>
  <w:num w:numId="40">
    <w:abstractNumId w:val="3"/>
  </w:num>
  <w:num w:numId="41">
    <w:abstractNumId w:val="53"/>
  </w:num>
  <w:num w:numId="42">
    <w:abstractNumId w:val="0"/>
  </w:num>
  <w:num w:numId="43">
    <w:abstractNumId w:val="42"/>
  </w:num>
  <w:num w:numId="44">
    <w:abstractNumId w:val="17"/>
  </w:num>
  <w:num w:numId="45">
    <w:abstractNumId w:val="24"/>
  </w:num>
  <w:num w:numId="46">
    <w:abstractNumId w:val="23"/>
  </w:num>
  <w:num w:numId="47">
    <w:abstractNumId w:val="21"/>
  </w:num>
  <w:num w:numId="48">
    <w:abstractNumId w:val="25"/>
  </w:num>
  <w:num w:numId="49">
    <w:abstractNumId w:val="9"/>
  </w:num>
  <w:num w:numId="50">
    <w:abstractNumId w:val="46"/>
  </w:num>
  <w:num w:numId="51">
    <w:abstractNumId w:val="36"/>
  </w:num>
  <w:num w:numId="52">
    <w:abstractNumId w:val="51"/>
  </w:num>
  <w:num w:numId="53">
    <w:abstractNumId w:val="5"/>
  </w:num>
  <w:num w:numId="54">
    <w:abstractNumId w:val="45"/>
  </w:num>
  <w:num w:numId="55">
    <w:abstractNumId w:val="4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ML" w:vendorID="64" w:dllVersion="0" w:nlCheck="1" w:checkStyle="0"/>
  <w:activeWritingStyle w:appName="MSWord" w:lang="es-US" w:vendorID="64" w:dllVersion="0" w:nlCheck="1" w:checkStyle="0"/>
  <w:doNotTrackFormatting/>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B8"/>
    <w:rsid w:val="00000B12"/>
    <w:rsid w:val="00002CE0"/>
    <w:rsid w:val="000100FA"/>
    <w:rsid w:val="00014675"/>
    <w:rsid w:val="000154BD"/>
    <w:rsid w:val="0002015C"/>
    <w:rsid w:val="00021923"/>
    <w:rsid w:val="00023DF4"/>
    <w:rsid w:val="0002505A"/>
    <w:rsid w:val="000257EC"/>
    <w:rsid w:val="00026B09"/>
    <w:rsid w:val="00027E00"/>
    <w:rsid w:val="000304E2"/>
    <w:rsid w:val="00030F7A"/>
    <w:rsid w:val="000327C5"/>
    <w:rsid w:val="00035CDC"/>
    <w:rsid w:val="000360AC"/>
    <w:rsid w:val="00036E29"/>
    <w:rsid w:val="00041759"/>
    <w:rsid w:val="0004461E"/>
    <w:rsid w:val="000502A0"/>
    <w:rsid w:val="000546B8"/>
    <w:rsid w:val="000576A8"/>
    <w:rsid w:val="000643C7"/>
    <w:rsid w:val="0006512C"/>
    <w:rsid w:val="0007216D"/>
    <w:rsid w:val="0007314D"/>
    <w:rsid w:val="00084B02"/>
    <w:rsid w:val="00086D60"/>
    <w:rsid w:val="0009038A"/>
    <w:rsid w:val="00093339"/>
    <w:rsid w:val="0009333F"/>
    <w:rsid w:val="00094FBF"/>
    <w:rsid w:val="0009615C"/>
    <w:rsid w:val="000A0894"/>
    <w:rsid w:val="000B391B"/>
    <w:rsid w:val="000B43B9"/>
    <w:rsid w:val="000B6FDC"/>
    <w:rsid w:val="000C01B0"/>
    <w:rsid w:val="000C13BA"/>
    <w:rsid w:val="000C1600"/>
    <w:rsid w:val="000C4799"/>
    <w:rsid w:val="000C554F"/>
    <w:rsid w:val="000D3E97"/>
    <w:rsid w:val="000D4050"/>
    <w:rsid w:val="000D6318"/>
    <w:rsid w:val="000D6DAE"/>
    <w:rsid w:val="000D72AF"/>
    <w:rsid w:val="000E05B6"/>
    <w:rsid w:val="000E21D7"/>
    <w:rsid w:val="000E2513"/>
    <w:rsid w:val="000E4456"/>
    <w:rsid w:val="000E519E"/>
    <w:rsid w:val="000F2C06"/>
    <w:rsid w:val="000F5428"/>
    <w:rsid w:val="000F6999"/>
    <w:rsid w:val="000F741B"/>
    <w:rsid w:val="001012E3"/>
    <w:rsid w:val="00102785"/>
    <w:rsid w:val="00103E75"/>
    <w:rsid w:val="00106708"/>
    <w:rsid w:val="00114153"/>
    <w:rsid w:val="00120DEA"/>
    <w:rsid w:val="0012390E"/>
    <w:rsid w:val="00123EE9"/>
    <w:rsid w:val="00126D38"/>
    <w:rsid w:val="001275EF"/>
    <w:rsid w:val="0013072F"/>
    <w:rsid w:val="00130A90"/>
    <w:rsid w:val="001312BF"/>
    <w:rsid w:val="00134E4E"/>
    <w:rsid w:val="00134F2D"/>
    <w:rsid w:val="00135105"/>
    <w:rsid w:val="0013584E"/>
    <w:rsid w:val="00136E78"/>
    <w:rsid w:val="00142892"/>
    <w:rsid w:val="001430EB"/>
    <w:rsid w:val="00143A63"/>
    <w:rsid w:val="00144DDB"/>
    <w:rsid w:val="00146078"/>
    <w:rsid w:val="00146ECF"/>
    <w:rsid w:val="00147153"/>
    <w:rsid w:val="00150FEB"/>
    <w:rsid w:val="001529CD"/>
    <w:rsid w:val="00152BAF"/>
    <w:rsid w:val="00155476"/>
    <w:rsid w:val="00160257"/>
    <w:rsid w:val="00160746"/>
    <w:rsid w:val="00161FCB"/>
    <w:rsid w:val="0016412B"/>
    <w:rsid w:val="00165A4C"/>
    <w:rsid w:val="00166C84"/>
    <w:rsid w:val="00170DB3"/>
    <w:rsid w:val="00172055"/>
    <w:rsid w:val="001733C2"/>
    <w:rsid w:val="001753EC"/>
    <w:rsid w:val="001756DA"/>
    <w:rsid w:val="00176BB3"/>
    <w:rsid w:val="001826DC"/>
    <w:rsid w:val="00182D4A"/>
    <w:rsid w:val="00186DD5"/>
    <w:rsid w:val="001904DA"/>
    <w:rsid w:val="00190CDF"/>
    <w:rsid w:val="001935E0"/>
    <w:rsid w:val="00197DD5"/>
    <w:rsid w:val="001A23A3"/>
    <w:rsid w:val="001A32F2"/>
    <w:rsid w:val="001A6883"/>
    <w:rsid w:val="001A6EA9"/>
    <w:rsid w:val="001C061B"/>
    <w:rsid w:val="001C526D"/>
    <w:rsid w:val="001D1EE3"/>
    <w:rsid w:val="001D2077"/>
    <w:rsid w:val="001D28F7"/>
    <w:rsid w:val="001D5BAD"/>
    <w:rsid w:val="001D6E49"/>
    <w:rsid w:val="001E1588"/>
    <w:rsid w:val="001E19BC"/>
    <w:rsid w:val="001E1DE0"/>
    <w:rsid w:val="001E1EAF"/>
    <w:rsid w:val="001E4F64"/>
    <w:rsid w:val="001F17DE"/>
    <w:rsid w:val="001F26B5"/>
    <w:rsid w:val="001F311F"/>
    <w:rsid w:val="001F3C1A"/>
    <w:rsid w:val="001F4F50"/>
    <w:rsid w:val="001F588B"/>
    <w:rsid w:val="001F711F"/>
    <w:rsid w:val="002017A2"/>
    <w:rsid w:val="00201F7F"/>
    <w:rsid w:val="00203128"/>
    <w:rsid w:val="002036C2"/>
    <w:rsid w:val="0020407B"/>
    <w:rsid w:val="00207459"/>
    <w:rsid w:val="00207606"/>
    <w:rsid w:val="00211701"/>
    <w:rsid w:val="002137FC"/>
    <w:rsid w:val="00222405"/>
    <w:rsid w:val="00222C31"/>
    <w:rsid w:val="00222E46"/>
    <w:rsid w:val="00224EEC"/>
    <w:rsid w:val="00225564"/>
    <w:rsid w:val="002256CF"/>
    <w:rsid w:val="002273B3"/>
    <w:rsid w:val="002326F3"/>
    <w:rsid w:val="002344B7"/>
    <w:rsid w:val="00234F34"/>
    <w:rsid w:val="00235D79"/>
    <w:rsid w:val="00244F6E"/>
    <w:rsid w:val="00245AE1"/>
    <w:rsid w:val="00247BD5"/>
    <w:rsid w:val="00251D76"/>
    <w:rsid w:val="0025429F"/>
    <w:rsid w:val="002564A5"/>
    <w:rsid w:val="00260F6D"/>
    <w:rsid w:val="0026128E"/>
    <w:rsid w:val="002622C1"/>
    <w:rsid w:val="00266251"/>
    <w:rsid w:val="0026676D"/>
    <w:rsid w:val="002705A6"/>
    <w:rsid w:val="002705AF"/>
    <w:rsid w:val="0027062A"/>
    <w:rsid w:val="00274CA9"/>
    <w:rsid w:val="0027508C"/>
    <w:rsid w:val="00277A43"/>
    <w:rsid w:val="00281D92"/>
    <w:rsid w:val="002830EE"/>
    <w:rsid w:val="002831B2"/>
    <w:rsid w:val="00292F86"/>
    <w:rsid w:val="00293136"/>
    <w:rsid w:val="00293CFE"/>
    <w:rsid w:val="00294E90"/>
    <w:rsid w:val="002A2C9B"/>
    <w:rsid w:val="002A59D0"/>
    <w:rsid w:val="002A7BB9"/>
    <w:rsid w:val="002B32C3"/>
    <w:rsid w:val="002B429F"/>
    <w:rsid w:val="002B58C6"/>
    <w:rsid w:val="002B6392"/>
    <w:rsid w:val="002C0DBD"/>
    <w:rsid w:val="002C2FA0"/>
    <w:rsid w:val="002D142D"/>
    <w:rsid w:val="002D71EE"/>
    <w:rsid w:val="002E04E2"/>
    <w:rsid w:val="002E1B29"/>
    <w:rsid w:val="002E4E1F"/>
    <w:rsid w:val="002E520A"/>
    <w:rsid w:val="002E5C18"/>
    <w:rsid w:val="002E6EA8"/>
    <w:rsid w:val="002E7FAE"/>
    <w:rsid w:val="002F1814"/>
    <w:rsid w:val="002F1CA4"/>
    <w:rsid w:val="002F2633"/>
    <w:rsid w:val="002F3D51"/>
    <w:rsid w:val="00300638"/>
    <w:rsid w:val="00301DC3"/>
    <w:rsid w:val="00301F6A"/>
    <w:rsid w:val="00303202"/>
    <w:rsid w:val="0030371F"/>
    <w:rsid w:val="00304856"/>
    <w:rsid w:val="00305E9E"/>
    <w:rsid w:val="0031303F"/>
    <w:rsid w:val="00313D83"/>
    <w:rsid w:val="0031451C"/>
    <w:rsid w:val="00316012"/>
    <w:rsid w:val="00321052"/>
    <w:rsid w:val="0032155B"/>
    <w:rsid w:val="00322A76"/>
    <w:rsid w:val="00323908"/>
    <w:rsid w:val="00324372"/>
    <w:rsid w:val="00330A47"/>
    <w:rsid w:val="003311CF"/>
    <w:rsid w:val="00331672"/>
    <w:rsid w:val="0033226A"/>
    <w:rsid w:val="00332D79"/>
    <w:rsid w:val="00334982"/>
    <w:rsid w:val="00335A98"/>
    <w:rsid w:val="00337B83"/>
    <w:rsid w:val="003401AD"/>
    <w:rsid w:val="00340F3C"/>
    <w:rsid w:val="003422DF"/>
    <w:rsid w:val="00345D43"/>
    <w:rsid w:val="00354085"/>
    <w:rsid w:val="00354AF9"/>
    <w:rsid w:val="003601F6"/>
    <w:rsid w:val="00361EC4"/>
    <w:rsid w:val="00365105"/>
    <w:rsid w:val="003664B4"/>
    <w:rsid w:val="00366A15"/>
    <w:rsid w:val="00366A8A"/>
    <w:rsid w:val="00366CC9"/>
    <w:rsid w:val="00367F2D"/>
    <w:rsid w:val="0037114C"/>
    <w:rsid w:val="00371CB5"/>
    <w:rsid w:val="00373340"/>
    <w:rsid w:val="003748A2"/>
    <w:rsid w:val="003764E3"/>
    <w:rsid w:val="00380C85"/>
    <w:rsid w:val="00380FC0"/>
    <w:rsid w:val="00381386"/>
    <w:rsid w:val="00382CBB"/>
    <w:rsid w:val="0038653D"/>
    <w:rsid w:val="00386757"/>
    <w:rsid w:val="0038737F"/>
    <w:rsid w:val="00387EE8"/>
    <w:rsid w:val="00391D0D"/>
    <w:rsid w:val="00393EFD"/>
    <w:rsid w:val="00394972"/>
    <w:rsid w:val="00394CCD"/>
    <w:rsid w:val="00396745"/>
    <w:rsid w:val="00397133"/>
    <w:rsid w:val="003972F7"/>
    <w:rsid w:val="0039779F"/>
    <w:rsid w:val="003A1929"/>
    <w:rsid w:val="003A1F13"/>
    <w:rsid w:val="003A39AD"/>
    <w:rsid w:val="003A5F01"/>
    <w:rsid w:val="003B0400"/>
    <w:rsid w:val="003B24F8"/>
    <w:rsid w:val="003B5B3F"/>
    <w:rsid w:val="003B7BDC"/>
    <w:rsid w:val="003C0F9F"/>
    <w:rsid w:val="003C215D"/>
    <w:rsid w:val="003C45AA"/>
    <w:rsid w:val="003C6647"/>
    <w:rsid w:val="003D0638"/>
    <w:rsid w:val="003D44E3"/>
    <w:rsid w:val="003E0015"/>
    <w:rsid w:val="003E0794"/>
    <w:rsid w:val="003E0E3F"/>
    <w:rsid w:val="003E15E3"/>
    <w:rsid w:val="003E5DA5"/>
    <w:rsid w:val="003E60FA"/>
    <w:rsid w:val="003F0D8D"/>
    <w:rsid w:val="003F29F9"/>
    <w:rsid w:val="003F2D4E"/>
    <w:rsid w:val="003F315E"/>
    <w:rsid w:val="003F33B6"/>
    <w:rsid w:val="003F356B"/>
    <w:rsid w:val="003F6C87"/>
    <w:rsid w:val="003F700A"/>
    <w:rsid w:val="0040059B"/>
    <w:rsid w:val="00403A07"/>
    <w:rsid w:val="004044C1"/>
    <w:rsid w:val="00407BEF"/>
    <w:rsid w:val="00411815"/>
    <w:rsid w:val="00413CC1"/>
    <w:rsid w:val="004149DE"/>
    <w:rsid w:val="00423506"/>
    <w:rsid w:val="004242C5"/>
    <w:rsid w:val="00424B73"/>
    <w:rsid w:val="004258DC"/>
    <w:rsid w:val="004262F2"/>
    <w:rsid w:val="00427091"/>
    <w:rsid w:val="00431369"/>
    <w:rsid w:val="004314C7"/>
    <w:rsid w:val="00433CEF"/>
    <w:rsid w:val="00451907"/>
    <w:rsid w:val="00452431"/>
    <w:rsid w:val="0045358B"/>
    <w:rsid w:val="0045409B"/>
    <w:rsid w:val="004543DE"/>
    <w:rsid w:val="00463AB6"/>
    <w:rsid w:val="00466D48"/>
    <w:rsid w:val="0047116A"/>
    <w:rsid w:val="00472243"/>
    <w:rsid w:val="004732EE"/>
    <w:rsid w:val="00477308"/>
    <w:rsid w:val="00477469"/>
    <w:rsid w:val="00477CD8"/>
    <w:rsid w:val="0048045A"/>
    <w:rsid w:val="004818BF"/>
    <w:rsid w:val="004835A6"/>
    <w:rsid w:val="004838CF"/>
    <w:rsid w:val="0048618C"/>
    <w:rsid w:val="004940D1"/>
    <w:rsid w:val="00494FF7"/>
    <w:rsid w:val="00495649"/>
    <w:rsid w:val="004A0E8A"/>
    <w:rsid w:val="004A1523"/>
    <w:rsid w:val="004A2EDB"/>
    <w:rsid w:val="004A4905"/>
    <w:rsid w:val="004B3A0A"/>
    <w:rsid w:val="004B3E44"/>
    <w:rsid w:val="004C003F"/>
    <w:rsid w:val="004C109A"/>
    <w:rsid w:val="004C1190"/>
    <w:rsid w:val="004C122D"/>
    <w:rsid w:val="004C1977"/>
    <w:rsid w:val="004C1BBA"/>
    <w:rsid w:val="004C33CA"/>
    <w:rsid w:val="004C713C"/>
    <w:rsid w:val="004C72DE"/>
    <w:rsid w:val="004C75E9"/>
    <w:rsid w:val="004C7BDA"/>
    <w:rsid w:val="004D0CB5"/>
    <w:rsid w:val="004D151A"/>
    <w:rsid w:val="004D1BD5"/>
    <w:rsid w:val="004D2843"/>
    <w:rsid w:val="004D37A7"/>
    <w:rsid w:val="004D4BFB"/>
    <w:rsid w:val="004E0D73"/>
    <w:rsid w:val="004E5909"/>
    <w:rsid w:val="004E69A8"/>
    <w:rsid w:val="004F0485"/>
    <w:rsid w:val="004F1E15"/>
    <w:rsid w:val="004F5693"/>
    <w:rsid w:val="004F5AD0"/>
    <w:rsid w:val="004F5E4E"/>
    <w:rsid w:val="004F70E0"/>
    <w:rsid w:val="004F71D7"/>
    <w:rsid w:val="005007D6"/>
    <w:rsid w:val="00500B22"/>
    <w:rsid w:val="005021DF"/>
    <w:rsid w:val="005024F2"/>
    <w:rsid w:val="00502FC7"/>
    <w:rsid w:val="005038FA"/>
    <w:rsid w:val="00503B53"/>
    <w:rsid w:val="005040F7"/>
    <w:rsid w:val="00520A6E"/>
    <w:rsid w:val="00521FE0"/>
    <w:rsid w:val="00526487"/>
    <w:rsid w:val="0053055F"/>
    <w:rsid w:val="00530797"/>
    <w:rsid w:val="00530E64"/>
    <w:rsid w:val="0053396B"/>
    <w:rsid w:val="00535DBF"/>
    <w:rsid w:val="00540BD6"/>
    <w:rsid w:val="00542C96"/>
    <w:rsid w:val="0054329B"/>
    <w:rsid w:val="00543824"/>
    <w:rsid w:val="00545AB2"/>
    <w:rsid w:val="00545AD3"/>
    <w:rsid w:val="0055219E"/>
    <w:rsid w:val="00552376"/>
    <w:rsid w:val="00554725"/>
    <w:rsid w:val="00554F0F"/>
    <w:rsid w:val="00555B1D"/>
    <w:rsid w:val="005560C1"/>
    <w:rsid w:val="00560416"/>
    <w:rsid w:val="00560B29"/>
    <w:rsid w:val="00560E0F"/>
    <w:rsid w:val="00561D86"/>
    <w:rsid w:val="00563213"/>
    <w:rsid w:val="00564535"/>
    <w:rsid w:val="005705F5"/>
    <w:rsid w:val="005716C5"/>
    <w:rsid w:val="005723A3"/>
    <w:rsid w:val="00573B14"/>
    <w:rsid w:val="0057519F"/>
    <w:rsid w:val="00576086"/>
    <w:rsid w:val="00576A31"/>
    <w:rsid w:val="00576DD2"/>
    <w:rsid w:val="00577B78"/>
    <w:rsid w:val="00585B0C"/>
    <w:rsid w:val="00586456"/>
    <w:rsid w:val="00586533"/>
    <w:rsid w:val="00586CC4"/>
    <w:rsid w:val="00586FF7"/>
    <w:rsid w:val="0058705C"/>
    <w:rsid w:val="00590018"/>
    <w:rsid w:val="00592FF1"/>
    <w:rsid w:val="00593921"/>
    <w:rsid w:val="0059455E"/>
    <w:rsid w:val="005948D9"/>
    <w:rsid w:val="00595D14"/>
    <w:rsid w:val="00595DE8"/>
    <w:rsid w:val="005A0D00"/>
    <w:rsid w:val="005A2674"/>
    <w:rsid w:val="005A7C2B"/>
    <w:rsid w:val="005A7E8E"/>
    <w:rsid w:val="005B053F"/>
    <w:rsid w:val="005B0E36"/>
    <w:rsid w:val="005B161A"/>
    <w:rsid w:val="005B6E84"/>
    <w:rsid w:val="005B7D3E"/>
    <w:rsid w:val="005B7EC8"/>
    <w:rsid w:val="005C249B"/>
    <w:rsid w:val="005C34ED"/>
    <w:rsid w:val="005C43C9"/>
    <w:rsid w:val="005D2A90"/>
    <w:rsid w:val="005D2B54"/>
    <w:rsid w:val="005D45B4"/>
    <w:rsid w:val="005D6215"/>
    <w:rsid w:val="005D6B7D"/>
    <w:rsid w:val="005D6CDE"/>
    <w:rsid w:val="005D6F02"/>
    <w:rsid w:val="005E0379"/>
    <w:rsid w:val="005E1844"/>
    <w:rsid w:val="005E1D87"/>
    <w:rsid w:val="005E2791"/>
    <w:rsid w:val="005E290A"/>
    <w:rsid w:val="005F1B02"/>
    <w:rsid w:val="005F2698"/>
    <w:rsid w:val="005F6134"/>
    <w:rsid w:val="005F75AA"/>
    <w:rsid w:val="0060131D"/>
    <w:rsid w:val="006047C7"/>
    <w:rsid w:val="0060555A"/>
    <w:rsid w:val="006065C1"/>
    <w:rsid w:val="00606812"/>
    <w:rsid w:val="006072E1"/>
    <w:rsid w:val="00610568"/>
    <w:rsid w:val="006138EE"/>
    <w:rsid w:val="00615517"/>
    <w:rsid w:val="0061640B"/>
    <w:rsid w:val="00616BD7"/>
    <w:rsid w:val="006176AF"/>
    <w:rsid w:val="0062178E"/>
    <w:rsid w:val="0062181C"/>
    <w:rsid w:val="00621EB0"/>
    <w:rsid w:val="00622C81"/>
    <w:rsid w:val="00623CBF"/>
    <w:rsid w:val="00626A5C"/>
    <w:rsid w:val="00627EC0"/>
    <w:rsid w:val="00631D0D"/>
    <w:rsid w:val="00634B94"/>
    <w:rsid w:val="00640502"/>
    <w:rsid w:val="00641A66"/>
    <w:rsid w:val="00644711"/>
    <w:rsid w:val="006479E3"/>
    <w:rsid w:val="00650256"/>
    <w:rsid w:val="00651F7A"/>
    <w:rsid w:val="0065489E"/>
    <w:rsid w:val="00655B2C"/>
    <w:rsid w:val="00657DFD"/>
    <w:rsid w:val="006614F8"/>
    <w:rsid w:val="0066183E"/>
    <w:rsid w:val="00665241"/>
    <w:rsid w:val="00665E48"/>
    <w:rsid w:val="00666CB1"/>
    <w:rsid w:val="00666F28"/>
    <w:rsid w:val="006704A0"/>
    <w:rsid w:val="00670B15"/>
    <w:rsid w:val="00674253"/>
    <w:rsid w:val="006742C0"/>
    <w:rsid w:val="00674820"/>
    <w:rsid w:val="006749DE"/>
    <w:rsid w:val="00676D2F"/>
    <w:rsid w:val="0068028E"/>
    <w:rsid w:val="00680C65"/>
    <w:rsid w:val="00681EE1"/>
    <w:rsid w:val="0068708D"/>
    <w:rsid w:val="006913CB"/>
    <w:rsid w:val="00695718"/>
    <w:rsid w:val="006A269B"/>
    <w:rsid w:val="006B28BD"/>
    <w:rsid w:val="006B4E6D"/>
    <w:rsid w:val="006B59D0"/>
    <w:rsid w:val="006C05A5"/>
    <w:rsid w:val="006C4983"/>
    <w:rsid w:val="006C62B2"/>
    <w:rsid w:val="006C6A4E"/>
    <w:rsid w:val="006D0A82"/>
    <w:rsid w:val="006E2882"/>
    <w:rsid w:val="006E2938"/>
    <w:rsid w:val="006E325E"/>
    <w:rsid w:val="006E33D8"/>
    <w:rsid w:val="006E5734"/>
    <w:rsid w:val="006E6924"/>
    <w:rsid w:val="006E7C97"/>
    <w:rsid w:val="006F4BE0"/>
    <w:rsid w:val="006F77AC"/>
    <w:rsid w:val="006F7C39"/>
    <w:rsid w:val="007017D6"/>
    <w:rsid w:val="007020FD"/>
    <w:rsid w:val="007035A0"/>
    <w:rsid w:val="00703900"/>
    <w:rsid w:val="00703F05"/>
    <w:rsid w:val="007041DA"/>
    <w:rsid w:val="00704E3C"/>
    <w:rsid w:val="00705497"/>
    <w:rsid w:val="00705CEE"/>
    <w:rsid w:val="00707353"/>
    <w:rsid w:val="00716607"/>
    <w:rsid w:val="00722270"/>
    <w:rsid w:val="00724AC5"/>
    <w:rsid w:val="00724E1B"/>
    <w:rsid w:val="007267E6"/>
    <w:rsid w:val="00730403"/>
    <w:rsid w:val="00735057"/>
    <w:rsid w:val="00735E1C"/>
    <w:rsid w:val="00736FBC"/>
    <w:rsid w:val="00737826"/>
    <w:rsid w:val="00743D53"/>
    <w:rsid w:val="007445DA"/>
    <w:rsid w:val="00744ED9"/>
    <w:rsid w:val="00746614"/>
    <w:rsid w:val="007477C8"/>
    <w:rsid w:val="00750AE1"/>
    <w:rsid w:val="00755138"/>
    <w:rsid w:val="007575DC"/>
    <w:rsid w:val="00760465"/>
    <w:rsid w:val="007662A1"/>
    <w:rsid w:val="00772D31"/>
    <w:rsid w:val="007737BF"/>
    <w:rsid w:val="00773928"/>
    <w:rsid w:val="0077545E"/>
    <w:rsid w:val="007803D6"/>
    <w:rsid w:val="00783690"/>
    <w:rsid w:val="007868CA"/>
    <w:rsid w:val="0078700D"/>
    <w:rsid w:val="00787AAE"/>
    <w:rsid w:val="00787B79"/>
    <w:rsid w:val="007915B6"/>
    <w:rsid w:val="00795599"/>
    <w:rsid w:val="0079685D"/>
    <w:rsid w:val="007A1848"/>
    <w:rsid w:val="007A2EA8"/>
    <w:rsid w:val="007A5F76"/>
    <w:rsid w:val="007B29EB"/>
    <w:rsid w:val="007B406F"/>
    <w:rsid w:val="007B5767"/>
    <w:rsid w:val="007B5960"/>
    <w:rsid w:val="007C36E1"/>
    <w:rsid w:val="007C6BB8"/>
    <w:rsid w:val="007C758C"/>
    <w:rsid w:val="007D0EF1"/>
    <w:rsid w:val="007D13EA"/>
    <w:rsid w:val="007D2B47"/>
    <w:rsid w:val="007D31A6"/>
    <w:rsid w:val="007D501E"/>
    <w:rsid w:val="007D6CFA"/>
    <w:rsid w:val="007D7F17"/>
    <w:rsid w:val="007E1126"/>
    <w:rsid w:val="007E4555"/>
    <w:rsid w:val="007F2533"/>
    <w:rsid w:val="007F2B57"/>
    <w:rsid w:val="007F40B3"/>
    <w:rsid w:val="00800CFC"/>
    <w:rsid w:val="00803C80"/>
    <w:rsid w:val="008103E8"/>
    <w:rsid w:val="0081072F"/>
    <w:rsid w:val="0081290C"/>
    <w:rsid w:val="00814418"/>
    <w:rsid w:val="00816982"/>
    <w:rsid w:val="008169DB"/>
    <w:rsid w:val="00817127"/>
    <w:rsid w:val="00817373"/>
    <w:rsid w:val="00825413"/>
    <w:rsid w:val="00827FB3"/>
    <w:rsid w:val="00830DF5"/>
    <w:rsid w:val="00831061"/>
    <w:rsid w:val="00831074"/>
    <w:rsid w:val="00832503"/>
    <w:rsid w:val="008339CD"/>
    <w:rsid w:val="00833B44"/>
    <w:rsid w:val="00836260"/>
    <w:rsid w:val="008424FA"/>
    <w:rsid w:val="00842A91"/>
    <w:rsid w:val="008434A1"/>
    <w:rsid w:val="008449C1"/>
    <w:rsid w:val="0084647C"/>
    <w:rsid w:val="008466AA"/>
    <w:rsid w:val="00846904"/>
    <w:rsid w:val="00853F30"/>
    <w:rsid w:val="00854FD7"/>
    <w:rsid w:val="008618F4"/>
    <w:rsid w:val="008624C6"/>
    <w:rsid w:val="008629F5"/>
    <w:rsid w:val="00870B34"/>
    <w:rsid w:val="00873B90"/>
    <w:rsid w:val="00873C62"/>
    <w:rsid w:val="00873E30"/>
    <w:rsid w:val="008771FD"/>
    <w:rsid w:val="00877C9E"/>
    <w:rsid w:val="00880F37"/>
    <w:rsid w:val="00882310"/>
    <w:rsid w:val="00882BC8"/>
    <w:rsid w:val="0088667F"/>
    <w:rsid w:val="00886F2F"/>
    <w:rsid w:val="00887DE0"/>
    <w:rsid w:val="00890955"/>
    <w:rsid w:val="00890D65"/>
    <w:rsid w:val="00892E38"/>
    <w:rsid w:val="00894104"/>
    <w:rsid w:val="008948E6"/>
    <w:rsid w:val="008A1075"/>
    <w:rsid w:val="008A140E"/>
    <w:rsid w:val="008A3B21"/>
    <w:rsid w:val="008A409F"/>
    <w:rsid w:val="008A4786"/>
    <w:rsid w:val="008A5F5F"/>
    <w:rsid w:val="008A6E21"/>
    <w:rsid w:val="008B09A4"/>
    <w:rsid w:val="008B0C0D"/>
    <w:rsid w:val="008B19BE"/>
    <w:rsid w:val="008B1B43"/>
    <w:rsid w:val="008B3E1C"/>
    <w:rsid w:val="008B5598"/>
    <w:rsid w:val="008B5C05"/>
    <w:rsid w:val="008B72F6"/>
    <w:rsid w:val="008C0FF3"/>
    <w:rsid w:val="008C31BE"/>
    <w:rsid w:val="008C3DC1"/>
    <w:rsid w:val="008C4853"/>
    <w:rsid w:val="008C6046"/>
    <w:rsid w:val="008D0D99"/>
    <w:rsid w:val="008D1716"/>
    <w:rsid w:val="008E1510"/>
    <w:rsid w:val="008E2C9D"/>
    <w:rsid w:val="008E434F"/>
    <w:rsid w:val="008F1D77"/>
    <w:rsid w:val="008F20D6"/>
    <w:rsid w:val="008F42B8"/>
    <w:rsid w:val="008F4BA7"/>
    <w:rsid w:val="008F54E5"/>
    <w:rsid w:val="008F5C1B"/>
    <w:rsid w:val="008F63A8"/>
    <w:rsid w:val="00900CFC"/>
    <w:rsid w:val="00901F5E"/>
    <w:rsid w:val="00903B04"/>
    <w:rsid w:val="00905785"/>
    <w:rsid w:val="00907289"/>
    <w:rsid w:val="00912EA0"/>
    <w:rsid w:val="00913C7A"/>
    <w:rsid w:val="00920BA2"/>
    <w:rsid w:val="009245D7"/>
    <w:rsid w:val="00925FBA"/>
    <w:rsid w:val="009260DF"/>
    <w:rsid w:val="00930BC7"/>
    <w:rsid w:val="00931279"/>
    <w:rsid w:val="00934AA0"/>
    <w:rsid w:val="0093523F"/>
    <w:rsid w:val="00936A2D"/>
    <w:rsid w:val="00940546"/>
    <w:rsid w:val="00941802"/>
    <w:rsid w:val="00944EE4"/>
    <w:rsid w:val="00945C89"/>
    <w:rsid w:val="0094621A"/>
    <w:rsid w:val="009477D3"/>
    <w:rsid w:val="00950B3A"/>
    <w:rsid w:val="0095238B"/>
    <w:rsid w:val="009532B0"/>
    <w:rsid w:val="009532B4"/>
    <w:rsid w:val="009536D1"/>
    <w:rsid w:val="00953AAD"/>
    <w:rsid w:val="009567EE"/>
    <w:rsid w:val="00957E7A"/>
    <w:rsid w:val="00957F49"/>
    <w:rsid w:val="0096035E"/>
    <w:rsid w:val="0096156E"/>
    <w:rsid w:val="00961575"/>
    <w:rsid w:val="00961839"/>
    <w:rsid w:val="0096389E"/>
    <w:rsid w:val="00964B48"/>
    <w:rsid w:val="009650C2"/>
    <w:rsid w:val="00966231"/>
    <w:rsid w:val="00966EB0"/>
    <w:rsid w:val="00970B00"/>
    <w:rsid w:val="00972661"/>
    <w:rsid w:val="00973127"/>
    <w:rsid w:val="00975D94"/>
    <w:rsid w:val="00976217"/>
    <w:rsid w:val="009779B1"/>
    <w:rsid w:val="00981B64"/>
    <w:rsid w:val="00983246"/>
    <w:rsid w:val="0098398B"/>
    <w:rsid w:val="00986326"/>
    <w:rsid w:val="009918C5"/>
    <w:rsid w:val="00993406"/>
    <w:rsid w:val="00994506"/>
    <w:rsid w:val="009A1115"/>
    <w:rsid w:val="009A2CE7"/>
    <w:rsid w:val="009A3250"/>
    <w:rsid w:val="009A342F"/>
    <w:rsid w:val="009A4814"/>
    <w:rsid w:val="009A4BF4"/>
    <w:rsid w:val="009A4E0F"/>
    <w:rsid w:val="009A5898"/>
    <w:rsid w:val="009A78CA"/>
    <w:rsid w:val="009B212C"/>
    <w:rsid w:val="009B2EBD"/>
    <w:rsid w:val="009B46A6"/>
    <w:rsid w:val="009B5263"/>
    <w:rsid w:val="009C2050"/>
    <w:rsid w:val="009C490C"/>
    <w:rsid w:val="009D3DED"/>
    <w:rsid w:val="009D4B58"/>
    <w:rsid w:val="009D7E22"/>
    <w:rsid w:val="009E31A4"/>
    <w:rsid w:val="009E45F2"/>
    <w:rsid w:val="009E4873"/>
    <w:rsid w:val="009E54B4"/>
    <w:rsid w:val="009E6E6E"/>
    <w:rsid w:val="009F1AB7"/>
    <w:rsid w:val="009F27F3"/>
    <w:rsid w:val="009F2AEC"/>
    <w:rsid w:val="009F3F0F"/>
    <w:rsid w:val="009F515B"/>
    <w:rsid w:val="00A00241"/>
    <w:rsid w:val="00A00F79"/>
    <w:rsid w:val="00A01490"/>
    <w:rsid w:val="00A028C9"/>
    <w:rsid w:val="00A0471A"/>
    <w:rsid w:val="00A05881"/>
    <w:rsid w:val="00A06978"/>
    <w:rsid w:val="00A06E36"/>
    <w:rsid w:val="00A10DC3"/>
    <w:rsid w:val="00A10E9A"/>
    <w:rsid w:val="00A12C31"/>
    <w:rsid w:val="00A13424"/>
    <w:rsid w:val="00A15472"/>
    <w:rsid w:val="00A15F38"/>
    <w:rsid w:val="00A2054A"/>
    <w:rsid w:val="00A20614"/>
    <w:rsid w:val="00A20CAF"/>
    <w:rsid w:val="00A2175A"/>
    <w:rsid w:val="00A2272A"/>
    <w:rsid w:val="00A22FC6"/>
    <w:rsid w:val="00A23D2D"/>
    <w:rsid w:val="00A253B1"/>
    <w:rsid w:val="00A26568"/>
    <w:rsid w:val="00A31A63"/>
    <w:rsid w:val="00A4071B"/>
    <w:rsid w:val="00A476BC"/>
    <w:rsid w:val="00A6163A"/>
    <w:rsid w:val="00A66A71"/>
    <w:rsid w:val="00A701F5"/>
    <w:rsid w:val="00A70BDC"/>
    <w:rsid w:val="00A71A5F"/>
    <w:rsid w:val="00A7259B"/>
    <w:rsid w:val="00A73495"/>
    <w:rsid w:val="00A76558"/>
    <w:rsid w:val="00A80C99"/>
    <w:rsid w:val="00A80D5C"/>
    <w:rsid w:val="00A8410C"/>
    <w:rsid w:val="00A8585D"/>
    <w:rsid w:val="00A85866"/>
    <w:rsid w:val="00A915E9"/>
    <w:rsid w:val="00A917C0"/>
    <w:rsid w:val="00A93555"/>
    <w:rsid w:val="00A97C10"/>
    <w:rsid w:val="00AA3D0E"/>
    <w:rsid w:val="00AA48A9"/>
    <w:rsid w:val="00AA53AB"/>
    <w:rsid w:val="00AB01A0"/>
    <w:rsid w:val="00AB174E"/>
    <w:rsid w:val="00AB1C84"/>
    <w:rsid w:val="00AB4D37"/>
    <w:rsid w:val="00AB5154"/>
    <w:rsid w:val="00AC02BF"/>
    <w:rsid w:val="00AC04C9"/>
    <w:rsid w:val="00AC1E37"/>
    <w:rsid w:val="00AC2D80"/>
    <w:rsid w:val="00AC5B1B"/>
    <w:rsid w:val="00AC7EDC"/>
    <w:rsid w:val="00AD0829"/>
    <w:rsid w:val="00AD158B"/>
    <w:rsid w:val="00AD1769"/>
    <w:rsid w:val="00AD3C9A"/>
    <w:rsid w:val="00AD480A"/>
    <w:rsid w:val="00AD4C1B"/>
    <w:rsid w:val="00AD5096"/>
    <w:rsid w:val="00AD63BA"/>
    <w:rsid w:val="00AD7001"/>
    <w:rsid w:val="00AD7663"/>
    <w:rsid w:val="00AE1633"/>
    <w:rsid w:val="00AE6413"/>
    <w:rsid w:val="00AF0426"/>
    <w:rsid w:val="00AF2C3A"/>
    <w:rsid w:val="00AF60C7"/>
    <w:rsid w:val="00B01E9F"/>
    <w:rsid w:val="00B032BF"/>
    <w:rsid w:val="00B05092"/>
    <w:rsid w:val="00B05A7D"/>
    <w:rsid w:val="00B06567"/>
    <w:rsid w:val="00B1351D"/>
    <w:rsid w:val="00B152DA"/>
    <w:rsid w:val="00B17567"/>
    <w:rsid w:val="00B20DA8"/>
    <w:rsid w:val="00B228F6"/>
    <w:rsid w:val="00B24DF8"/>
    <w:rsid w:val="00B26079"/>
    <w:rsid w:val="00B271AD"/>
    <w:rsid w:val="00B30959"/>
    <w:rsid w:val="00B314BE"/>
    <w:rsid w:val="00B32533"/>
    <w:rsid w:val="00B36F02"/>
    <w:rsid w:val="00B42DAD"/>
    <w:rsid w:val="00B43261"/>
    <w:rsid w:val="00B50191"/>
    <w:rsid w:val="00B50E99"/>
    <w:rsid w:val="00B51F05"/>
    <w:rsid w:val="00B53C42"/>
    <w:rsid w:val="00B53DD3"/>
    <w:rsid w:val="00B544E2"/>
    <w:rsid w:val="00B549DD"/>
    <w:rsid w:val="00B55427"/>
    <w:rsid w:val="00B568F9"/>
    <w:rsid w:val="00B57194"/>
    <w:rsid w:val="00B62222"/>
    <w:rsid w:val="00B63B2E"/>
    <w:rsid w:val="00B64172"/>
    <w:rsid w:val="00B643B8"/>
    <w:rsid w:val="00B67291"/>
    <w:rsid w:val="00B735CC"/>
    <w:rsid w:val="00B73CA6"/>
    <w:rsid w:val="00B74AA3"/>
    <w:rsid w:val="00B751C1"/>
    <w:rsid w:val="00B75B89"/>
    <w:rsid w:val="00B82764"/>
    <w:rsid w:val="00B85B0D"/>
    <w:rsid w:val="00B86B0D"/>
    <w:rsid w:val="00B8750E"/>
    <w:rsid w:val="00B92B76"/>
    <w:rsid w:val="00B94216"/>
    <w:rsid w:val="00BA5BED"/>
    <w:rsid w:val="00BA733B"/>
    <w:rsid w:val="00BB067A"/>
    <w:rsid w:val="00BB07DD"/>
    <w:rsid w:val="00BB194D"/>
    <w:rsid w:val="00BB5223"/>
    <w:rsid w:val="00BB5284"/>
    <w:rsid w:val="00BB7137"/>
    <w:rsid w:val="00BB7CA1"/>
    <w:rsid w:val="00BC111A"/>
    <w:rsid w:val="00BC3537"/>
    <w:rsid w:val="00BC4141"/>
    <w:rsid w:val="00BC454D"/>
    <w:rsid w:val="00BC4C7E"/>
    <w:rsid w:val="00BC6FF2"/>
    <w:rsid w:val="00BD3D1C"/>
    <w:rsid w:val="00BD433D"/>
    <w:rsid w:val="00BE0BE9"/>
    <w:rsid w:val="00BE36EA"/>
    <w:rsid w:val="00BE5F71"/>
    <w:rsid w:val="00BE74C1"/>
    <w:rsid w:val="00BE7664"/>
    <w:rsid w:val="00BE77F8"/>
    <w:rsid w:val="00BF08EA"/>
    <w:rsid w:val="00BF0D0A"/>
    <w:rsid w:val="00BF5D9C"/>
    <w:rsid w:val="00BF7269"/>
    <w:rsid w:val="00BF7B90"/>
    <w:rsid w:val="00C01E94"/>
    <w:rsid w:val="00C03EF0"/>
    <w:rsid w:val="00C05C05"/>
    <w:rsid w:val="00C07F22"/>
    <w:rsid w:val="00C10C33"/>
    <w:rsid w:val="00C155C2"/>
    <w:rsid w:val="00C20448"/>
    <w:rsid w:val="00C25DC6"/>
    <w:rsid w:val="00C30E05"/>
    <w:rsid w:val="00C3159F"/>
    <w:rsid w:val="00C336FA"/>
    <w:rsid w:val="00C36B5A"/>
    <w:rsid w:val="00C36C9D"/>
    <w:rsid w:val="00C428EA"/>
    <w:rsid w:val="00C4443F"/>
    <w:rsid w:val="00C4695C"/>
    <w:rsid w:val="00C471B5"/>
    <w:rsid w:val="00C54CC5"/>
    <w:rsid w:val="00C6075F"/>
    <w:rsid w:val="00C60D35"/>
    <w:rsid w:val="00C60DA3"/>
    <w:rsid w:val="00C61D60"/>
    <w:rsid w:val="00C62C93"/>
    <w:rsid w:val="00C6302D"/>
    <w:rsid w:val="00C63CB3"/>
    <w:rsid w:val="00C664BB"/>
    <w:rsid w:val="00C66C84"/>
    <w:rsid w:val="00C75F63"/>
    <w:rsid w:val="00C811C7"/>
    <w:rsid w:val="00C83D2F"/>
    <w:rsid w:val="00C84DB2"/>
    <w:rsid w:val="00C875C4"/>
    <w:rsid w:val="00C87CE8"/>
    <w:rsid w:val="00C915B8"/>
    <w:rsid w:val="00C918AE"/>
    <w:rsid w:val="00C934A7"/>
    <w:rsid w:val="00C9424E"/>
    <w:rsid w:val="00CA023D"/>
    <w:rsid w:val="00CA0BED"/>
    <w:rsid w:val="00CB0E70"/>
    <w:rsid w:val="00CB12CF"/>
    <w:rsid w:val="00CB1BF9"/>
    <w:rsid w:val="00CB1D53"/>
    <w:rsid w:val="00CB2C0B"/>
    <w:rsid w:val="00CB6F01"/>
    <w:rsid w:val="00CB7933"/>
    <w:rsid w:val="00CC073A"/>
    <w:rsid w:val="00CC1A38"/>
    <w:rsid w:val="00CC3E42"/>
    <w:rsid w:val="00CC6F99"/>
    <w:rsid w:val="00CD0C4B"/>
    <w:rsid w:val="00CD1B28"/>
    <w:rsid w:val="00CD36E0"/>
    <w:rsid w:val="00CD38D3"/>
    <w:rsid w:val="00CD56C5"/>
    <w:rsid w:val="00CD5D71"/>
    <w:rsid w:val="00CD64A3"/>
    <w:rsid w:val="00CE1DC0"/>
    <w:rsid w:val="00CE25B2"/>
    <w:rsid w:val="00CE337F"/>
    <w:rsid w:val="00CE7197"/>
    <w:rsid w:val="00CE7D1B"/>
    <w:rsid w:val="00CF0548"/>
    <w:rsid w:val="00CF0BF9"/>
    <w:rsid w:val="00CF2959"/>
    <w:rsid w:val="00CF2A0B"/>
    <w:rsid w:val="00D0036F"/>
    <w:rsid w:val="00D05356"/>
    <w:rsid w:val="00D0770A"/>
    <w:rsid w:val="00D13616"/>
    <w:rsid w:val="00D177AB"/>
    <w:rsid w:val="00D21248"/>
    <w:rsid w:val="00D21F5D"/>
    <w:rsid w:val="00D23ED8"/>
    <w:rsid w:val="00D307CC"/>
    <w:rsid w:val="00D30E9E"/>
    <w:rsid w:val="00D33E7F"/>
    <w:rsid w:val="00D360AB"/>
    <w:rsid w:val="00D362A1"/>
    <w:rsid w:val="00D40F2E"/>
    <w:rsid w:val="00D4299A"/>
    <w:rsid w:val="00D46BCA"/>
    <w:rsid w:val="00D50917"/>
    <w:rsid w:val="00D52D14"/>
    <w:rsid w:val="00D6002C"/>
    <w:rsid w:val="00D63487"/>
    <w:rsid w:val="00D64D0D"/>
    <w:rsid w:val="00D669C8"/>
    <w:rsid w:val="00D70AAD"/>
    <w:rsid w:val="00D74560"/>
    <w:rsid w:val="00D76DA5"/>
    <w:rsid w:val="00D80884"/>
    <w:rsid w:val="00D84FCD"/>
    <w:rsid w:val="00D8747C"/>
    <w:rsid w:val="00D9469A"/>
    <w:rsid w:val="00D949B3"/>
    <w:rsid w:val="00D96611"/>
    <w:rsid w:val="00DA0262"/>
    <w:rsid w:val="00DA480E"/>
    <w:rsid w:val="00DA5AAC"/>
    <w:rsid w:val="00DA7DFC"/>
    <w:rsid w:val="00DB11A1"/>
    <w:rsid w:val="00DB1232"/>
    <w:rsid w:val="00DB4067"/>
    <w:rsid w:val="00DB40B2"/>
    <w:rsid w:val="00DB427D"/>
    <w:rsid w:val="00DC0515"/>
    <w:rsid w:val="00DC1455"/>
    <w:rsid w:val="00DC32CB"/>
    <w:rsid w:val="00DD251D"/>
    <w:rsid w:val="00DD488E"/>
    <w:rsid w:val="00DD493E"/>
    <w:rsid w:val="00DD583B"/>
    <w:rsid w:val="00DD706B"/>
    <w:rsid w:val="00DE051F"/>
    <w:rsid w:val="00DE4CAC"/>
    <w:rsid w:val="00DE4E47"/>
    <w:rsid w:val="00DE5BA8"/>
    <w:rsid w:val="00DF103F"/>
    <w:rsid w:val="00DF1748"/>
    <w:rsid w:val="00DF27D0"/>
    <w:rsid w:val="00DF3660"/>
    <w:rsid w:val="00DF7023"/>
    <w:rsid w:val="00E00C70"/>
    <w:rsid w:val="00E048E9"/>
    <w:rsid w:val="00E1066F"/>
    <w:rsid w:val="00E11871"/>
    <w:rsid w:val="00E132A6"/>
    <w:rsid w:val="00E13409"/>
    <w:rsid w:val="00E15BF1"/>
    <w:rsid w:val="00E175BF"/>
    <w:rsid w:val="00E1775F"/>
    <w:rsid w:val="00E23095"/>
    <w:rsid w:val="00E258A6"/>
    <w:rsid w:val="00E32189"/>
    <w:rsid w:val="00E33ECF"/>
    <w:rsid w:val="00E341E3"/>
    <w:rsid w:val="00E3505A"/>
    <w:rsid w:val="00E40C7D"/>
    <w:rsid w:val="00E42676"/>
    <w:rsid w:val="00E42DC4"/>
    <w:rsid w:val="00E432D7"/>
    <w:rsid w:val="00E44AD9"/>
    <w:rsid w:val="00E4719C"/>
    <w:rsid w:val="00E51CFB"/>
    <w:rsid w:val="00E53255"/>
    <w:rsid w:val="00E55709"/>
    <w:rsid w:val="00E55F5B"/>
    <w:rsid w:val="00E63F49"/>
    <w:rsid w:val="00E65087"/>
    <w:rsid w:val="00E6799B"/>
    <w:rsid w:val="00E72C98"/>
    <w:rsid w:val="00E73601"/>
    <w:rsid w:val="00E74D40"/>
    <w:rsid w:val="00E779DB"/>
    <w:rsid w:val="00E806E5"/>
    <w:rsid w:val="00E8226E"/>
    <w:rsid w:val="00E833BB"/>
    <w:rsid w:val="00E86D91"/>
    <w:rsid w:val="00E87819"/>
    <w:rsid w:val="00E90BFC"/>
    <w:rsid w:val="00E90CF3"/>
    <w:rsid w:val="00E9367C"/>
    <w:rsid w:val="00E9433D"/>
    <w:rsid w:val="00E94443"/>
    <w:rsid w:val="00EA1C3B"/>
    <w:rsid w:val="00EA20C8"/>
    <w:rsid w:val="00EA2B86"/>
    <w:rsid w:val="00EA3DF9"/>
    <w:rsid w:val="00EA4E17"/>
    <w:rsid w:val="00EA4E59"/>
    <w:rsid w:val="00EB0CCC"/>
    <w:rsid w:val="00EB1382"/>
    <w:rsid w:val="00EB16DB"/>
    <w:rsid w:val="00EB2EC6"/>
    <w:rsid w:val="00EB4D1D"/>
    <w:rsid w:val="00EB6572"/>
    <w:rsid w:val="00EB6650"/>
    <w:rsid w:val="00EC0025"/>
    <w:rsid w:val="00EC0FC2"/>
    <w:rsid w:val="00EC233A"/>
    <w:rsid w:val="00EC3569"/>
    <w:rsid w:val="00EC5658"/>
    <w:rsid w:val="00ED15A8"/>
    <w:rsid w:val="00ED1B66"/>
    <w:rsid w:val="00ED2854"/>
    <w:rsid w:val="00ED2D10"/>
    <w:rsid w:val="00ED4A23"/>
    <w:rsid w:val="00EE091F"/>
    <w:rsid w:val="00EE11AD"/>
    <w:rsid w:val="00EE1DF7"/>
    <w:rsid w:val="00EE38EF"/>
    <w:rsid w:val="00EE5814"/>
    <w:rsid w:val="00EF08A8"/>
    <w:rsid w:val="00EF23BA"/>
    <w:rsid w:val="00EF56D9"/>
    <w:rsid w:val="00EF63E9"/>
    <w:rsid w:val="00EF65E1"/>
    <w:rsid w:val="00EF6976"/>
    <w:rsid w:val="00F00B97"/>
    <w:rsid w:val="00F067F5"/>
    <w:rsid w:val="00F06CF6"/>
    <w:rsid w:val="00F11495"/>
    <w:rsid w:val="00F13611"/>
    <w:rsid w:val="00F147F2"/>
    <w:rsid w:val="00F14F2F"/>
    <w:rsid w:val="00F16B48"/>
    <w:rsid w:val="00F20D76"/>
    <w:rsid w:val="00F21B39"/>
    <w:rsid w:val="00F2315C"/>
    <w:rsid w:val="00F27F77"/>
    <w:rsid w:val="00F33E14"/>
    <w:rsid w:val="00F36F28"/>
    <w:rsid w:val="00F40D3B"/>
    <w:rsid w:val="00F41D5D"/>
    <w:rsid w:val="00F41DEF"/>
    <w:rsid w:val="00F42DCF"/>
    <w:rsid w:val="00F4319E"/>
    <w:rsid w:val="00F43836"/>
    <w:rsid w:val="00F43C8B"/>
    <w:rsid w:val="00F51445"/>
    <w:rsid w:val="00F5763A"/>
    <w:rsid w:val="00F6561E"/>
    <w:rsid w:val="00F659C1"/>
    <w:rsid w:val="00F735B9"/>
    <w:rsid w:val="00F748A2"/>
    <w:rsid w:val="00F75280"/>
    <w:rsid w:val="00F75A5A"/>
    <w:rsid w:val="00F76554"/>
    <w:rsid w:val="00F76BE7"/>
    <w:rsid w:val="00F80F16"/>
    <w:rsid w:val="00F8211B"/>
    <w:rsid w:val="00F82CCC"/>
    <w:rsid w:val="00F83B18"/>
    <w:rsid w:val="00F83BB2"/>
    <w:rsid w:val="00F8454E"/>
    <w:rsid w:val="00F8535A"/>
    <w:rsid w:val="00F904A6"/>
    <w:rsid w:val="00F929E2"/>
    <w:rsid w:val="00F92EA6"/>
    <w:rsid w:val="00F934E3"/>
    <w:rsid w:val="00FA0694"/>
    <w:rsid w:val="00FA0A9A"/>
    <w:rsid w:val="00FA59C9"/>
    <w:rsid w:val="00FB07A8"/>
    <w:rsid w:val="00FB1778"/>
    <w:rsid w:val="00FB1DBD"/>
    <w:rsid w:val="00FB3FF3"/>
    <w:rsid w:val="00FB4A30"/>
    <w:rsid w:val="00FB6271"/>
    <w:rsid w:val="00FB6D9B"/>
    <w:rsid w:val="00FC16AD"/>
    <w:rsid w:val="00FC2A60"/>
    <w:rsid w:val="00FD18AB"/>
    <w:rsid w:val="00FD35A5"/>
    <w:rsid w:val="00FD598D"/>
    <w:rsid w:val="00FE1805"/>
    <w:rsid w:val="00FE351D"/>
    <w:rsid w:val="00FE44E0"/>
    <w:rsid w:val="00FE45C6"/>
    <w:rsid w:val="00FF0AF7"/>
    <w:rsid w:val="00FF0ED8"/>
    <w:rsid w:val="00FF240D"/>
    <w:rsid w:val="00FF474A"/>
    <w:rsid w:val="00FF7A65"/>
    <w:rsid w:val="00FF7FE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A5F360"/>
  <w15:docId w15:val="{92A8A27D-326E-45E8-81C5-98FEBFD36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28F6"/>
  </w:style>
  <w:style w:type="paragraph" w:styleId="Titre1">
    <w:name w:val="heading 1"/>
    <w:basedOn w:val="Normal"/>
    <w:next w:val="Normal"/>
    <w:link w:val="Titre1Car"/>
    <w:uiPriority w:val="99"/>
    <w:qFormat/>
    <w:rsid w:val="008339C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3A1F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77545E"/>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next w:val="Normal"/>
    <w:link w:val="Titre5Car"/>
    <w:uiPriority w:val="9"/>
    <w:semiHidden/>
    <w:unhideWhenUsed/>
    <w:qFormat/>
    <w:rsid w:val="007D501E"/>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D501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D501E"/>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8339CD"/>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semiHidden/>
    <w:rsid w:val="0077545E"/>
    <w:rPr>
      <w:rFonts w:asciiTheme="majorHAnsi" w:eastAsiaTheme="majorEastAsia" w:hAnsiTheme="majorHAnsi" w:cstheme="majorBidi"/>
      <w:b/>
      <w:bCs/>
      <w:color w:val="4F81BD" w:themeColor="accent1"/>
    </w:rPr>
  </w:style>
  <w:style w:type="character" w:customStyle="1" w:styleId="Titre5Car">
    <w:name w:val="Titre 5 Car"/>
    <w:basedOn w:val="Policepardfaut"/>
    <w:link w:val="Titre5"/>
    <w:uiPriority w:val="9"/>
    <w:semiHidden/>
    <w:rsid w:val="007D501E"/>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7D501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7D501E"/>
    <w:rPr>
      <w:rFonts w:asciiTheme="majorHAnsi" w:eastAsiaTheme="majorEastAsia" w:hAnsiTheme="majorHAnsi" w:cstheme="majorBidi"/>
      <w:i/>
      <w:iCs/>
      <w:color w:val="404040" w:themeColor="text1" w:themeTint="BF"/>
    </w:rPr>
  </w:style>
  <w:style w:type="paragraph" w:customStyle="1" w:styleId="Default">
    <w:name w:val="Default"/>
    <w:rsid w:val="007C6BB8"/>
    <w:pPr>
      <w:autoSpaceDE w:val="0"/>
      <w:autoSpaceDN w:val="0"/>
      <w:adjustRightInd w:val="0"/>
    </w:pPr>
    <w:rPr>
      <w:rFonts w:ascii="Times New Roman" w:hAnsi="Times New Roman" w:cs="Times New Roman"/>
      <w:color w:val="000000"/>
      <w:sz w:val="24"/>
      <w:szCs w:val="24"/>
    </w:rPr>
  </w:style>
  <w:style w:type="paragraph" w:styleId="Paragraphedeliste">
    <w:name w:val="List Paragraph"/>
    <w:aliases w:val="List Paragraph (numbered (a)),Lapis Bulleted List,Bullets,References,Liste 1,List Paragraph nowy,Numbered List Paragraph,Medium Grid 1 - Accent 21,Paragraphe de liste 1,RM1,Paragraphe,Paragraphe  revu,Paragraphe de liste8"/>
    <w:basedOn w:val="Normal"/>
    <w:link w:val="ParagraphedelisteCar"/>
    <w:uiPriority w:val="34"/>
    <w:qFormat/>
    <w:rsid w:val="007C6BB8"/>
    <w:pPr>
      <w:ind w:left="720"/>
      <w:contextualSpacing/>
    </w:pPr>
  </w:style>
  <w:style w:type="character" w:customStyle="1" w:styleId="ParagraphedelisteCar">
    <w:name w:val="Paragraphe de liste Car"/>
    <w:aliases w:val="List Paragraph (numbered (a)) Car,Lapis Bulleted List Car,Bullets Car,References Car,Liste 1 Car,List Paragraph nowy Car,Numbered List Paragraph Car,Medium Grid 1 - Accent 21 Car,Paragraphe de liste 1 Car,RM1 Car,Paragraphe Car"/>
    <w:basedOn w:val="Policepardfaut"/>
    <w:link w:val="Paragraphedeliste"/>
    <w:uiPriority w:val="34"/>
    <w:qFormat/>
    <w:locked/>
    <w:rsid w:val="0095238B"/>
  </w:style>
  <w:style w:type="paragraph" w:styleId="Textedebulles">
    <w:name w:val="Balloon Text"/>
    <w:basedOn w:val="Normal"/>
    <w:link w:val="TextedebullesCar"/>
    <w:uiPriority w:val="99"/>
    <w:semiHidden/>
    <w:unhideWhenUsed/>
    <w:rsid w:val="00817373"/>
    <w:rPr>
      <w:rFonts w:ascii="Tahoma" w:hAnsi="Tahoma" w:cs="Tahoma"/>
      <w:sz w:val="16"/>
      <w:szCs w:val="16"/>
    </w:rPr>
  </w:style>
  <w:style w:type="character" w:customStyle="1" w:styleId="TextedebullesCar">
    <w:name w:val="Texte de bulles Car"/>
    <w:basedOn w:val="Policepardfaut"/>
    <w:link w:val="Textedebulles"/>
    <w:uiPriority w:val="99"/>
    <w:semiHidden/>
    <w:rsid w:val="00817373"/>
    <w:rPr>
      <w:rFonts w:ascii="Tahoma" w:hAnsi="Tahoma" w:cs="Tahoma"/>
      <w:sz w:val="16"/>
      <w:szCs w:val="16"/>
    </w:rPr>
  </w:style>
  <w:style w:type="character" w:styleId="Appelnotedebasdep">
    <w:name w:val="footnote reference"/>
    <w:uiPriority w:val="99"/>
    <w:rsid w:val="00EB0CCC"/>
    <w:rPr>
      <w:vertAlign w:val="superscript"/>
    </w:rPr>
  </w:style>
  <w:style w:type="paragraph" w:styleId="Notedebasdepage">
    <w:name w:val="footnote text"/>
    <w:basedOn w:val="Normal"/>
    <w:link w:val="NotedebasdepageCar"/>
    <w:rsid w:val="00EB0CCC"/>
    <w:rPr>
      <w:rFonts w:ascii="Times New Roman" w:eastAsia="Times New Roman" w:hAnsi="Times New Roman" w:cs="Times New Roman"/>
      <w:sz w:val="20"/>
      <w:szCs w:val="20"/>
      <w:lang w:val="en-US" w:eastAsia="fr-FR"/>
    </w:rPr>
  </w:style>
  <w:style w:type="character" w:customStyle="1" w:styleId="NotedebasdepageCar">
    <w:name w:val="Note de bas de page Car"/>
    <w:basedOn w:val="Policepardfaut"/>
    <w:link w:val="Notedebasdepage"/>
    <w:rsid w:val="00EB0CCC"/>
    <w:rPr>
      <w:rFonts w:ascii="Times New Roman" w:eastAsia="Times New Roman" w:hAnsi="Times New Roman" w:cs="Times New Roman"/>
      <w:sz w:val="20"/>
      <w:szCs w:val="20"/>
      <w:lang w:val="en-US" w:eastAsia="fr-FR"/>
    </w:rPr>
  </w:style>
  <w:style w:type="table" w:styleId="Grilledutableau">
    <w:name w:val="Table Grid"/>
    <w:basedOn w:val="TableauNormal"/>
    <w:uiPriority w:val="39"/>
    <w:rsid w:val="00EB0CCC"/>
    <w:rPr>
      <w:rFonts w:ascii="Century Schoolbook" w:eastAsia="Century Schoolbook" w:hAnsi="Century Schoolbook" w:cs="Century Schoolbook"/>
      <w:sz w:val="20"/>
      <w:szCs w:val="20"/>
      <w:lang w:val="it-IT" w:eastAsia="it-IT"/>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rpsdetexte">
    <w:name w:val="Body Text"/>
    <w:basedOn w:val="Normal"/>
    <w:link w:val="CorpsdetexteCar"/>
    <w:uiPriority w:val="99"/>
    <w:rsid w:val="00EB0CCC"/>
    <w:pPr>
      <w:spacing w:line="360" w:lineRule="auto"/>
      <w:jc w:val="both"/>
    </w:pPr>
    <w:rPr>
      <w:rFonts w:ascii="Garamond" w:eastAsia="Times New Roman" w:hAnsi="Garamond" w:cs="Garamond"/>
      <w:sz w:val="24"/>
      <w:szCs w:val="24"/>
    </w:rPr>
  </w:style>
  <w:style w:type="character" w:customStyle="1" w:styleId="CorpsdetexteCar">
    <w:name w:val="Corps de texte Car"/>
    <w:basedOn w:val="Policepardfaut"/>
    <w:link w:val="Corpsdetexte"/>
    <w:uiPriority w:val="99"/>
    <w:rsid w:val="00EB0CCC"/>
    <w:rPr>
      <w:rFonts w:ascii="Garamond" w:eastAsia="Times New Roman" w:hAnsi="Garamond" w:cs="Garamond"/>
      <w:sz w:val="24"/>
      <w:szCs w:val="24"/>
    </w:rPr>
  </w:style>
  <w:style w:type="character" w:styleId="lev">
    <w:name w:val="Strong"/>
    <w:basedOn w:val="Policepardfaut"/>
    <w:qFormat/>
    <w:rsid w:val="00560416"/>
    <w:rPr>
      <w:b/>
      <w:bCs/>
    </w:rPr>
  </w:style>
  <w:style w:type="table" w:customStyle="1" w:styleId="Listeclaire-Accent11">
    <w:name w:val="Liste claire - Accent 11"/>
    <w:basedOn w:val="TableauNormal"/>
    <w:uiPriority w:val="61"/>
    <w:rsid w:val="00266251"/>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48618C"/>
    <w:pPr>
      <w:spacing w:before="100" w:beforeAutospacing="1" w:after="100" w:afterAutospacing="1"/>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D21F5D"/>
    <w:pPr>
      <w:tabs>
        <w:tab w:val="center" w:pos="4536"/>
        <w:tab w:val="right" w:pos="9072"/>
      </w:tabs>
    </w:pPr>
  </w:style>
  <w:style w:type="character" w:customStyle="1" w:styleId="En-tteCar">
    <w:name w:val="En-tête Car"/>
    <w:basedOn w:val="Policepardfaut"/>
    <w:link w:val="En-tte"/>
    <w:uiPriority w:val="99"/>
    <w:rsid w:val="00D21F5D"/>
  </w:style>
  <w:style w:type="paragraph" w:styleId="Pieddepage">
    <w:name w:val="footer"/>
    <w:basedOn w:val="Normal"/>
    <w:link w:val="PieddepageCar"/>
    <w:uiPriority w:val="99"/>
    <w:unhideWhenUsed/>
    <w:rsid w:val="00D21F5D"/>
    <w:pPr>
      <w:tabs>
        <w:tab w:val="center" w:pos="4536"/>
        <w:tab w:val="right" w:pos="9072"/>
      </w:tabs>
    </w:pPr>
  </w:style>
  <w:style w:type="character" w:customStyle="1" w:styleId="PieddepageCar">
    <w:name w:val="Pied de page Car"/>
    <w:basedOn w:val="Policepardfaut"/>
    <w:link w:val="Pieddepage"/>
    <w:uiPriority w:val="99"/>
    <w:rsid w:val="00D21F5D"/>
  </w:style>
  <w:style w:type="paragraph" w:styleId="Titre">
    <w:name w:val="Title"/>
    <w:basedOn w:val="Normal"/>
    <w:next w:val="Normal"/>
    <w:link w:val="TitreCar"/>
    <w:uiPriority w:val="10"/>
    <w:qFormat/>
    <w:rsid w:val="006704A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6704A0"/>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6704A0"/>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6704A0"/>
    <w:rPr>
      <w:rFonts w:asciiTheme="majorHAnsi" w:eastAsiaTheme="majorEastAsia" w:hAnsiTheme="majorHAnsi" w:cstheme="majorBidi"/>
      <w:i/>
      <w:iCs/>
      <w:color w:val="4F81BD" w:themeColor="accent1"/>
      <w:spacing w:val="15"/>
      <w:sz w:val="24"/>
      <w:szCs w:val="24"/>
      <w:lang w:eastAsia="fr-FR"/>
    </w:rPr>
  </w:style>
  <w:style w:type="paragraph" w:styleId="Sansinterligne">
    <w:name w:val="No Spacing"/>
    <w:basedOn w:val="Normal"/>
    <w:link w:val="SansinterligneCar"/>
    <w:uiPriority w:val="99"/>
    <w:qFormat/>
    <w:rsid w:val="006704A0"/>
    <w:rPr>
      <w:rFonts w:eastAsiaTheme="minorEastAsia"/>
      <w:color w:val="000000" w:themeColor="text1"/>
      <w:lang w:eastAsia="fr-FR"/>
    </w:rPr>
  </w:style>
  <w:style w:type="character" w:customStyle="1" w:styleId="SansinterligneCar">
    <w:name w:val="Sans interligne Car"/>
    <w:basedOn w:val="Policepardfaut"/>
    <w:link w:val="Sansinterligne"/>
    <w:uiPriority w:val="1"/>
    <w:rsid w:val="0096156E"/>
    <w:rPr>
      <w:rFonts w:eastAsiaTheme="minorEastAsia"/>
      <w:color w:val="000000" w:themeColor="text1"/>
      <w:lang w:eastAsia="fr-FR"/>
    </w:rPr>
  </w:style>
  <w:style w:type="paragraph" w:styleId="Citation">
    <w:name w:val="Quote"/>
    <w:basedOn w:val="Normal"/>
    <w:next w:val="Normal"/>
    <w:link w:val="CitationCar"/>
    <w:uiPriority w:val="29"/>
    <w:qFormat/>
    <w:rsid w:val="006704A0"/>
    <w:pPr>
      <w:spacing w:after="200" w:line="276" w:lineRule="auto"/>
    </w:pPr>
    <w:rPr>
      <w:rFonts w:eastAsiaTheme="minorEastAsia"/>
      <w:i/>
      <w:iCs/>
      <w:color w:val="000000" w:themeColor="text1"/>
      <w:lang w:eastAsia="fr-FR"/>
    </w:rPr>
  </w:style>
  <w:style w:type="character" w:customStyle="1" w:styleId="CitationCar">
    <w:name w:val="Citation Car"/>
    <w:basedOn w:val="Policepardfaut"/>
    <w:link w:val="Citation"/>
    <w:uiPriority w:val="29"/>
    <w:rsid w:val="006704A0"/>
    <w:rPr>
      <w:rFonts w:eastAsiaTheme="minorEastAsia"/>
      <w:i/>
      <w:iCs/>
      <w:color w:val="000000" w:themeColor="text1"/>
      <w:lang w:eastAsia="fr-FR"/>
    </w:rPr>
  </w:style>
  <w:style w:type="paragraph" w:styleId="Commentaire">
    <w:name w:val="annotation text"/>
    <w:basedOn w:val="Normal"/>
    <w:link w:val="CommentaireCar"/>
    <w:uiPriority w:val="99"/>
    <w:semiHidden/>
    <w:rsid w:val="0095238B"/>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semiHidden/>
    <w:rsid w:val="0095238B"/>
    <w:rPr>
      <w:rFonts w:ascii="Times New Roman" w:eastAsia="Times New Roman" w:hAnsi="Times New Roman" w:cs="Times New Roman"/>
      <w:sz w:val="20"/>
      <w:szCs w:val="20"/>
      <w:lang w:eastAsia="fr-FR"/>
    </w:rPr>
  </w:style>
  <w:style w:type="character" w:styleId="Marquedecommentaire">
    <w:name w:val="annotation reference"/>
    <w:basedOn w:val="Policepardfaut"/>
    <w:uiPriority w:val="99"/>
    <w:semiHidden/>
    <w:rsid w:val="0095238B"/>
    <w:rPr>
      <w:sz w:val="16"/>
      <w:szCs w:val="16"/>
    </w:rPr>
  </w:style>
  <w:style w:type="character" w:styleId="Accentuation">
    <w:name w:val="Emphasis"/>
    <w:basedOn w:val="Policepardfaut"/>
    <w:uiPriority w:val="20"/>
    <w:qFormat/>
    <w:rsid w:val="0095238B"/>
    <w:rPr>
      <w:i/>
      <w:iCs/>
    </w:rPr>
  </w:style>
  <w:style w:type="paragraph" w:styleId="Retraitcorpsdetexte3">
    <w:name w:val="Body Text Indent 3"/>
    <w:basedOn w:val="Normal"/>
    <w:link w:val="Retraitcorpsdetexte3Car"/>
    <w:uiPriority w:val="99"/>
    <w:semiHidden/>
    <w:unhideWhenUsed/>
    <w:rsid w:val="00F14F2F"/>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F14F2F"/>
    <w:rPr>
      <w:sz w:val="16"/>
      <w:szCs w:val="16"/>
    </w:rPr>
  </w:style>
  <w:style w:type="paragraph" w:styleId="En-ttedetabledesmatires">
    <w:name w:val="TOC Heading"/>
    <w:basedOn w:val="Titre1"/>
    <w:next w:val="Normal"/>
    <w:uiPriority w:val="39"/>
    <w:unhideWhenUsed/>
    <w:qFormat/>
    <w:rsid w:val="008339CD"/>
    <w:pPr>
      <w:spacing w:line="276" w:lineRule="auto"/>
      <w:outlineLvl w:val="9"/>
    </w:pPr>
    <w:rPr>
      <w:lang w:eastAsia="fr-FR"/>
    </w:rPr>
  </w:style>
  <w:style w:type="paragraph" w:styleId="TM2">
    <w:name w:val="toc 2"/>
    <w:basedOn w:val="Normal"/>
    <w:next w:val="Normal"/>
    <w:autoRedefine/>
    <w:uiPriority w:val="39"/>
    <w:unhideWhenUsed/>
    <w:qFormat/>
    <w:rsid w:val="008339CD"/>
    <w:pPr>
      <w:spacing w:after="100" w:line="276" w:lineRule="auto"/>
      <w:ind w:left="220"/>
    </w:pPr>
    <w:rPr>
      <w:rFonts w:eastAsiaTheme="minorEastAsia"/>
      <w:lang w:eastAsia="fr-FR"/>
    </w:rPr>
  </w:style>
  <w:style w:type="paragraph" w:styleId="TM1">
    <w:name w:val="toc 1"/>
    <w:basedOn w:val="Normal"/>
    <w:next w:val="Normal"/>
    <w:autoRedefine/>
    <w:uiPriority w:val="39"/>
    <w:unhideWhenUsed/>
    <w:qFormat/>
    <w:rsid w:val="008339CD"/>
    <w:pPr>
      <w:spacing w:after="100" w:line="276" w:lineRule="auto"/>
    </w:pPr>
    <w:rPr>
      <w:rFonts w:eastAsiaTheme="minorEastAsia"/>
      <w:lang w:eastAsia="fr-FR"/>
    </w:rPr>
  </w:style>
  <w:style w:type="paragraph" w:styleId="TM3">
    <w:name w:val="toc 3"/>
    <w:basedOn w:val="Normal"/>
    <w:next w:val="Normal"/>
    <w:autoRedefine/>
    <w:uiPriority w:val="39"/>
    <w:unhideWhenUsed/>
    <w:qFormat/>
    <w:rsid w:val="008339CD"/>
    <w:pPr>
      <w:spacing w:after="100" w:line="276" w:lineRule="auto"/>
      <w:ind w:left="440"/>
    </w:pPr>
    <w:rPr>
      <w:rFonts w:eastAsiaTheme="minorEastAsia"/>
      <w:lang w:eastAsia="fr-FR"/>
    </w:rPr>
  </w:style>
  <w:style w:type="character" w:customStyle="1" w:styleId="hps">
    <w:name w:val="hps"/>
    <w:basedOn w:val="Policepardfaut"/>
    <w:rsid w:val="0055219E"/>
  </w:style>
  <w:style w:type="table" w:customStyle="1" w:styleId="Trameclaire-Accent11">
    <w:name w:val="Trame claire - Accent 11"/>
    <w:basedOn w:val="TableauNormal"/>
    <w:uiPriority w:val="60"/>
    <w:rsid w:val="00260F6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umrodepage">
    <w:name w:val="page number"/>
    <w:basedOn w:val="Policepardfaut"/>
    <w:rsid w:val="00A22FC6"/>
  </w:style>
  <w:style w:type="table" w:customStyle="1" w:styleId="Grilledutableau1">
    <w:name w:val="Grille du tableau1"/>
    <w:basedOn w:val="TableauNormal"/>
    <w:next w:val="Grilledutableau"/>
    <w:uiPriority w:val="59"/>
    <w:rsid w:val="001753EC"/>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873E30"/>
    <w:rPr>
      <w:color w:val="auto"/>
      <w:u w:val="single"/>
    </w:rPr>
  </w:style>
  <w:style w:type="character" w:customStyle="1" w:styleId="TextebrutCar">
    <w:name w:val="Texte brut Car"/>
    <w:basedOn w:val="Policepardfaut"/>
    <w:link w:val="Textebrut"/>
    <w:uiPriority w:val="99"/>
    <w:semiHidden/>
    <w:rsid w:val="00873E30"/>
    <w:rPr>
      <w:rFonts w:ascii="Consolas" w:eastAsia="Century Schoolbook" w:hAnsi="Consolas" w:cs="Consolas"/>
      <w:sz w:val="21"/>
      <w:szCs w:val="21"/>
      <w:lang w:val="en-US"/>
    </w:rPr>
  </w:style>
  <w:style w:type="paragraph" w:styleId="Textebrut">
    <w:name w:val="Plain Text"/>
    <w:basedOn w:val="Normal"/>
    <w:link w:val="TextebrutCar"/>
    <w:uiPriority w:val="99"/>
    <w:semiHidden/>
    <w:rsid w:val="00873E30"/>
    <w:rPr>
      <w:rFonts w:ascii="Consolas" w:eastAsia="Century Schoolbook" w:hAnsi="Consolas" w:cs="Consolas"/>
      <w:sz w:val="21"/>
      <w:szCs w:val="21"/>
      <w:lang w:val="en-US"/>
    </w:rPr>
  </w:style>
  <w:style w:type="character" w:customStyle="1" w:styleId="ObjetducommentaireCar">
    <w:name w:val="Objet du commentaire Car"/>
    <w:basedOn w:val="CommentaireCar"/>
    <w:link w:val="Objetducommentaire"/>
    <w:uiPriority w:val="99"/>
    <w:semiHidden/>
    <w:rsid w:val="00873E30"/>
    <w:rPr>
      <w:rFonts w:ascii="Times New Roman" w:eastAsia="Times New Roman" w:hAnsi="Times New Roman" w:cs="Times New Roman"/>
      <w:b/>
      <w:bCs/>
      <w:sz w:val="20"/>
      <w:szCs w:val="20"/>
      <w:lang w:val="en-US" w:eastAsia="fr-FR"/>
    </w:rPr>
  </w:style>
  <w:style w:type="paragraph" w:styleId="Objetducommentaire">
    <w:name w:val="annotation subject"/>
    <w:basedOn w:val="Commentaire"/>
    <w:next w:val="Commentaire"/>
    <w:link w:val="ObjetducommentaireCar"/>
    <w:uiPriority w:val="99"/>
    <w:semiHidden/>
    <w:rsid w:val="00873E30"/>
    <w:rPr>
      <w:b/>
      <w:bCs/>
      <w:lang w:val="en-US"/>
    </w:rPr>
  </w:style>
  <w:style w:type="paragraph" w:customStyle="1" w:styleId="ListParagraph2">
    <w:name w:val="List Paragraph2"/>
    <w:basedOn w:val="Normal"/>
    <w:uiPriority w:val="99"/>
    <w:qFormat/>
    <w:rsid w:val="00873E30"/>
    <w:pPr>
      <w:ind w:left="708"/>
    </w:pPr>
    <w:rPr>
      <w:rFonts w:ascii="Century Schoolbook" w:eastAsia="Century Schoolbook" w:hAnsi="Century Schoolbook" w:cs="Century Schoolbook"/>
      <w:lang w:val="en-US"/>
    </w:rPr>
  </w:style>
  <w:style w:type="paragraph" w:customStyle="1" w:styleId="Style">
    <w:name w:val="Style"/>
    <w:rsid w:val="00873E30"/>
    <w:pPr>
      <w:widowControl w:val="0"/>
      <w:autoSpaceDE w:val="0"/>
      <w:autoSpaceDN w:val="0"/>
      <w:adjustRightInd w:val="0"/>
    </w:pPr>
    <w:rPr>
      <w:rFonts w:ascii="Arial" w:eastAsia="Times New Roman" w:hAnsi="Arial" w:cs="Arial"/>
      <w:sz w:val="24"/>
      <w:szCs w:val="24"/>
      <w:lang w:eastAsia="fr-FR"/>
    </w:rPr>
  </w:style>
  <w:style w:type="character" w:customStyle="1" w:styleId="longtext1">
    <w:name w:val="long_text1"/>
    <w:basedOn w:val="Policepardfaut"/>
    <w:uiPriority w:val="99"/>
    <w:rsid w:val="00873E30"/>
    <w:rPr>
      <w:sz w:val="20"/>
      <w:szCs w:val="20"/>
    </w:rPr>
  </w:style>
  <w:style w:type="paragraph" w:customStyle="1" w:styleId="Paragraphedeliste1">
    <w:name w:val="Paragraphe de liste1"/>
    <w:basedOn w:val="Normal"/>
    <w:uiPriority w:val="34"/>
    <w:qFormat/>
    <w:rsid w:val="00873E30"/>
    <w:pPr>
      <w:spacing w:line="276" w:lineRule="auto"/>
      <w:ind w:left="720"/>
    </w:pPr>
    <w:rPr>
      <w:rFonts w:ascii="Century Schoolbook" w:eastAsia="Times New Roman" w:hAnsi="Century Schoolbook" w:cs="Century Schoolbook"/>
      <w:lang w:val="en-US"/>
    </w:rPr>
  </w:style>
  <w:style w:type="paragraph" w:styleId="Rvision">
    <w:name w:val="Revision"/>
    <w:hidden/>
    <w:uiPriority w:val="99"/>
    <w:semiHidden/>
    <w:rsid w:val="00211701"/>
  </w:style>
  <w:style w:type="numbering" w:customStyle="1" w:styleId="Style31import">
    <w:name w:val="Style 31 importé"/>
    <w:rsid w:val="00B50E99"/>
    <w:pPr>
      <w:numPr>
        <w:numId w:val="37"/>
      </w:numPr>
    </w:pPr>
  </w:style>
  <w:style w:type="character" w:customStyle="1" w:styleId="Titre2Car">
    <w:name w:val="Titre 2 Car"/>
    <w:basedOn w:val="Policepardfaut"/>
    <w:link w:val="Titre2"/>
    <w:uiPriority w:val="9"/>
    <w:rsid w:val="003A1F13"/>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83321">
      <w:bodyDiv w:val="1"/>
      <w:marLeft w:val="0"/>
      <w:marRight w:val="0"/>
      <w:marTop w:val="0"/>
      <w:marBottom w:val="0"/>
      <w:divBdr>
        <w:top w:val="none" w:sz="0" w:space="0" w:color="auto"/>
        <w:left w:val="none" w:sz="0" w:space="0" w:color="auto"/>
        <w:bottom w:val="none" w:sz="0" w:space="0" w:color="auto"/>
        <w:right w:val="none" w:sz="0" w:space="0" w:color="auto"/>
      </w:divBdr>
    </w:div>
    <w:div w:id="186913532">
      <w:bodyDiv w:val="1"/>
      <w:marLeft w:val="0"/>
      <w:marRight w:val="0"/>
      <w:marTop w:val="0"/>
      <w:marBottom w:val="0"/>
      <w:divBdr>
        <w:top w:val="none" w:sz="0" w:space="0" w:color="auto"/>
        <w:left w:val="none" w:sz="0" w:space="0" w:color="auto"/>
        <w:bottom w:val="none" w:sz="0" w:space="0" w:color="auto"/>
        <w:right w:val="none" w:sz="0" w:space="0" w:color="auto"/>
      </w:divBdr>
    </w:div>
    <w:div w:id="206600575">
      <w:bodyDiv w:val="1"/>
      <w:marLeft w:val="0"/>
      <w:marRight w:val="0"/>
      <w:marTop w:val="0"/>
      <w:marBottom w:val="0"/>
      <w:divBdr>
        <w:top w:val="none" w:sz="0" w:space="0" w:color="auto"/>
        <w:left w:val="none" w:sz="0" w:space="0" w:color="auto"/>
        <w:bottom w:val="none" w:sz="0" w:space="0" w:color="auto"/>
        <w:right w:val="none" w:sz="0" w:space="0" w:color="auto"/>
      </w:divBdr>
    </w:div>
    <w:div w:id="346295143">
      <w:bodyDiv w:val="1"/>
      <w:marLeft w:val="0"/>
      <w:marRight w:val="0"/>
      <w:marTop w:val="0"/>
      <w:marBottom w:val="0"/>
      <w:divBdr>
        <w:top w:val="none" w:sz="0" w:space="0" w:color="auto"/>
        <w:left w:val="none" w:sz="0" w:space="0" w:color="auto"/>
        <w:bottom w:val="none" w:sz="0" w:space="0" w:color="auto"/>
        <w:right w:val="none" w:sz="0" w:space="0" w:color="auto"/>
      </w:divBdr>
    </w:div>
    <w:div w:id="355235818">
      <w:bodyDiv w:val="1"/>
      <w:marLeft w:val="0"/>
      <w:marRight w:val="0"/>
      <w:marTop w:val="0"/>
      <w:marBottom w:val="0"/>
      <w:divBdr>
        <w:top w:val="none" w:sz="0" w:space="0" w:color="auto"/>
        <w:left w:val="none" w:sz="0" w:space="0" w:color="auto"/>
        <w:bottom w:val="none" w:sz="0" w:space="0" w:color="auto"/>
        <w:right w:val="none" w:sz="0" w:space="0" w:color="auto"/>
      </w:divBdr>
    </w:div>
    <w:div w:id="625965127">
      <w:bodyDiv w:val="1"/>
      <w:marLeft w:val="0"/>
      <w:marRight w:val="0"/>
      <w:marTop w:val="0"/>
      <w:marBottom w:val="0"/>
      <w:divBdr>
        <w:top w:val="none" w:sz="0" w:space="0" w:color="auto"/>
        <w:left w:val="none" w:sz="0" w:space="0" w:color="auto"/>
        <w:bottom w:val="none" w:sz="0" w:space="0" w:color="auto"/>
        <w:right w:val="none" w:sz="0" w:space="0" w:color="auto"/>
      </w:divBdr>
    </w:div>
    <w:div w:id="635141565">
      <w:bodyDiv w:val="1"/>
      <w:marLeft w:val="0"/>
      <w:marRight w:val="0"/>
      <w:marTop w:val="0"/>
      <w:marBottom w:val="0"/>
      <w:divBdr>
        <w:top w:val="none" w:sz="0" w:space="0" w:color="auto"/>
        <w:left w:val="none" w:sz="0" w:space="0" w:color="auto"/>
        <w:bottom w:val="none" w:sz="0" w:space="0" w:color="auto"/>
        <w:right w:val="none" w:sz="0" w:space="0" w:color="auto"/>
      </w:divBdr>
    </w:div>
    <w:div w:id="797649454">
      <w:bodyDiv w:val="1"/>
      <w:marLeft w:val="0"/>
      <w:marRight w:val="0"/>
      <w:marTop w:val="0"/>
      <w:marBottom w:val="0"/>
      <w:divBdr>
        <w:top w:val="none" w:sz="0" w:space="0" w:color="auto"/>
        <w:left w:val="none" w:sz="0" w:space="0" w:color="auto"/>
        <w:bottom w:val="none" w:sz="0" w:space="0" w:color="auto"/>
        <w:right w:val="none" w:sz="0" w:space="0" w:color="auto"/>
      </w:divBdr>
    </w:div>
    <w:div w:id="953557471">
      <w:bodyDiv w:val="1"/>
      <w:marLeft w:val="0"/>
      <w:marRight w:val="0"/>
      <w:marTop w:val="0"/>
      <w:marBottom w:val="0"/>
      <w:divBdr>
        <w:top w:val="none" w:sz="0" w:space="0" w:color="auto"/>
        <w:left w:val="none" w:sz="0" w:space="0" w:color="auto"/>
        <w:bottom w:val="none" w:sz="0" w:space="0" w:color="auto"/>
        <w:right w:val="none" w:sz="0" w:space="0" w:color="auto"/>
      </w:divBdr>
    </w:div>
    <w:div w:id="1051074353">
      <w:bodyDiv w:val="1"/>
      <w:marLeft w:val="0"/>
      <w:marRight w:val="0"/>
      <w:marTop w:val="0"/>
      <w:marBottom w:val="0"/>
      <w:divBdr>
        <w:top w:val="none" w:sz="0" w:space="0" w:color="auto"/>
        <w:left w:val="none" w:sz="0" w:space="0" w:color="auto"/>
        <w:bottom w:val="none" w:sz="0" w:space="0" w:color="auto"/>
        <w:right w:val="none" w:sz="0" w:space="0" w:color="auto"/>
      </w:divBdr>
    </w:div>
    <w:div w:id="1202473384">
      <w:bodyDiv w:val="1"/>
      <w:marLeft w:val="0"/>
      <w:marRight w:val="0"/>
      <w:marTop w:val="0"/>
      <w:marBottom w:val="0"/>
      <w:divBdr>
        <w:top w:val="none" w:sz="0" w:space="0" w:color="auto"/>
        <w:left w:val="none" w:sz="0" w:space="0" w:color="auto"/>
        <w:bottom w:val="none" w:sz="0" w:space="0" w:color="auto"/>
        <w:right w:val="none" w:sz="0" w:space="0" w:color="auto"/>
      </w:divBdr>
    </w:div>
    <w:div w:id="1323781279">
      <w:bodyDiv w:val="1"/>
      <w:marLeft w:val="0"/>
      <w:marRight w:val="0"/>
      <w:marTop w:val="0"/>
      <w:marBottom w:val="0"/>
      <w:divBdr>
        <w:top w:val="none" w:sz="0" w:space="0" w:color="auto"/>
        <w:left w:val="none" w:sz="0" w:space="0" w:color="auto"/>
        <w:bottom w:val="none" w:sz="0" w:space="0" w:color="auto"/>
        <w:right w:val="none" w:sz="0" w:space="0" w:color="auto"/>
      </w:divBdr>
    </w:div>
    <w:div w:id="1327587714">
      <w:bodyDiv w:val="1"/>
      <w:marLeft w:val="0"/>
      <w:marRight w:val="0"/>
      <w:marTop w:val="0"/>
      <w:marBottom w:val="0"/>
      <w:divBdr>
        <w:top w:val="none" w:sz="0" w:space="0" w:color="auto"/>
        <w:left w:val="none" w:sz="0" w:space="0" w:color="auto"/>
        <w:bottom w:val="none" w:sz="0" w:space="0" w:color="auto"/>
        <w:right w:val="none" w:sz="0" w:space="0" w:color="auto"/>
      </w:divBdr>
    </w:div>
    <w:div w:id="1410614022">
      <w:bodyDiv w:val="1"/>
      <w:marLeft w:val="0"/>
      <w:marRight w:val="0"/>
      <w:marTop w:val="0"/>
      <w:marBottom w:val="0"/>
      <w:divBdr>
        <w:top w:val="none" w:sz="0" w:space="0" w:color="auto"/>
        <w:left w:val="none" w:sz="0" w:space="0" w:color="auto"/>
        <w:bottom w:val="none" w:sz="0" w:space="0" w:color="auto"/>
        <w:right w:val="none" w:sz="0" w:space="0" w:color="auto"/>
      </w:divBdr>
    </w:div>
    <w:div w:id="1414353657">
      <w:bodyDiv w:val="1"/>
      <w:marLeft w:val="0"/>
      <w:marRight w:val="0"/>
      <w:marTop w:val="0"/>
      <w:marBottom w:val="0"/>
      <w:divBdr>
        <w:top w:val="none" w:sz="0" w:space="0" w:color="auto"/>
        <w:left w:val="none" w:sz="0" w:space="0" w:color="auto"/>
        <w:bottom w:val="none" w:sz="0" w:space="0" w:color="auto"/>
        <w:right w:val="none" w:sz="0" w:space="0" w:color="auto"/>
      </w:divBdr>
    </w:div>
    <w:div w:id="1482893768">
      <w:bodyDiv w:val="1"/>
      <w:marLeft w:val="0"/>
      <w:marRight w:val="0"/>
      <w:marTop w:val="0"/>
      <w:marBottom w:val="0"/>
      <w:divBdr>
        <w:top w:val="none" w:sz="0" w:space="0" w:color="auto"/>
        <w:left w:val="none" w:sz="0" w:space="0" w:color="auto"/>
        <w:bottom w:val="none" w:sz="0" w:space="0" w:color="auto"/>
        <w:right w:val="none" w:sz="0" w:space="0" w:color="auto"/>
      </w:divBdr>
    </w:div>
    <w:div w:id="1582064755">
      <w:bodyDiv w:val="1"/>
      <w:marLeft w:val="0"/>
      <w:marRight w:val="0"/>
      <w:marTop w:val="0"/>
      <w:marBottom w:val="0"/>
      <w:divBdr>
        <w:top w:val="none" w:sz="0" w:space="0" w:color="auto"/>
        <w:left w:val="none" w:sz="0" w:space="0" w:color="auto"/>
        <w:bottom w:val="none" w:sz="0" w:space="0" w:color="auto"/>
        <w:right w:val="none" w:sz="0" w:space="0" w:color="auto"/>
      </w:divBdr>
    </w:div>
    <w:div w:id="1631979497">
      <w:bodyDiv w:val="1"/>
      <w:marLeft w:val="0"/>
      <w:marRight w:val="0"/>
      <w:marTop w:val="0"/>
      <w:marBottom w:val="0"/>
      <w:divBdr>
        <w:top w:val="none" w:sz="0" w:space="0" w:color="auto"/>
        <w:left w:val="none" w:sz="0" w:space="0" w:color="auto"/>
        <w:bottom w:val="none" w:sz="0" w:space="0" w:color="auto"/>
        <w:right w:val="none" w:sz="0" w:space="0" w:color="auto"/>
      </w:divBdr>
    </w:div>
    <w:div w:id="1668166123">
      <w:bodyDiv w:val="1"/>
      <w:marLeft w:val="0"/>
      <w:marRight w:val="0"/>
      <w:marTop w:val="0"/>
      <w:marBottom w:val="0"/>
      <w:divBdr>
        <w:top w:val="none" w:sz="0" w:space="0" w:color="auto"/>
        <w:left w:val="none" w:sz="0" w:space="0" w:color="auto"/>
        <w:bottom w:val="none" w:sz="0" w:space="0" w:color="auto"/>
        <w:right w:val="none" w:sz="0" w:space="0" w:color="auto"/>
      </w:divBdr>
    </w:div>
    <w:div w:id="1952932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oingbusiness.org/~/media/WBG/DoingBusiness/Documents/Annual-Reports/English/DB2018-Full-Report.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ransparency.org/news/feature/corruption_perceptions_index_2016"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0021C-4F21-41BD-8529-8E52040F6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33965</Words>
  <Characters>186809</Characters>
  <Application>Microsoft Office Word</Application>
  <DocSecurity>0</DocSecurity>
  <Lines>1556</Lines>
  <Paragraphs>440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220334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c:creator>
  <cp:lastModifiedBy>Francis Kouami Negue</cp:lastModifiedBy>
  <cp:revision>2</cp:revision>
  <cp:lastPrinted>2018-03-22T17:40:00Z</cp:lastPrinted>
  <dcterms:created xsi:type="dcterms:W3CDTF">2018-12-19T17:32:00Z</dcterms:created>
  <dcterms:modified xsi:type="dcterms:W3CDTF">2018-12-19T17:32:00Z</dcterms:modified>
</cp:coreProperties>
</file>