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0E" w:rsidRPr="00CF0A2C" w:rsidRDefault="00796A69" w:rsidP="00221C0E">
      <w:pPr>
        <w:rPr>
          <w:bCs/>
        </w:rPr>
      </w:pPr>
      <w:r w:rsidRPr="00CF0A2C">
        <w:rPr>
          <w:bCs/>
          <w:i/>
          <w:iCs/>
          <w:noProof/>
          <w:lang w:eastAsia="fr-FR"/>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133350</wp:posOffset>
            </wp:positionV>
            <wp:extent cx="881380" cy="579120"/>
            <wp:effectExtent l="19050" t="19050" r="13970" b="11430"/>
            <wp:wrapNone/>
            <wp:docPr id="9"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380" cy="579120"/>
                    </a:xfrm>
                    <a:prstGeom prst="rect">
                      <a:avLst/>
                    </a:prstGeom>
                    <a:noFill/>
                    <a:ln w="9525">
                      <a:solidFill>
                        <a:srgbClr val="000000"/>
                      </a:solidFill>
                      <a:miter lim="800000"/>
                      <a:headEnd/>
                      <a:tailEnd/>
                    </a:ln>
                  </pic:spPr>
                </pic:pic>
              </a:graphicData>
            </a:graphic>
          </wp:anchor>
        </w:drawing>
      </w:r>
      <w:r w:rsidRPr="00CF0A2C">
        <w:rPr>
          <w:b/>
          <w:i/>
          <w:noProof/>
          <w:lang w:eastAsia="fr-FR"/>
        </w:rPr>
        <w:drawing>
          <wp:inline distT="0" distB="0" distL="0" distR="0">
            <wp:extent cx="609600" cy="1133475"/>
            <wp:effectExtent l="0" t="0" r="0" b="9525"/>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133475"/>
                    </a:xfrm>
                    <a:prstGeom prst="rect">
                      <a:avLst/>
                    </a:prstGeom>
                    <a:noFill/>
                    <a:ln>
                      <a:noFill/>
                    </a:ln>
                  </pic:spPr>
                </pic:pic>
              </a:graphicData>
            </a:graphic>
          </wp:inline>
        </w:drawing>
      </w:r>
    </w:p>
    <w:p w:rsidR="00221C0E" w:rsidRPr="00CF0A2C" w:rsidRDefault="00221C0E" w:rsidP="00221C0E">
      <w:pPr>
        <w:spacing w:after="0" w:line="240" w:lineRule="auto"/>
        <w:jc w:val="center"/>
        <w:rPr>
          <w:rFonts w:cs="Times New Roman"/>
          <w:b/>
          <w:bCs/>
          <w:color w:val="1F4E79"/>
          <w:sz w:val="28"/>
          <w:szCs w:val="28"/>
          <w:u w:val="single"/>
        </w:rPr>
      </w:pPr>
      <w:r w:rsidRPr="00CF0A2C">
        <w:rPr>
          <w:rFonts w:cs="Times New Roman"/>
          <w:b/>
          <w:bCs/>
          <w:color w:val="1F4E79"/>
          <w:sz w:val="28"/>
          <w:szCs w:val="28"/>
          <w:u w:val="single"/>
        </w:rPr>
        <w:t>Atelier de Formation sur la Mise en Œuvre National</w:t>
      </w:r>
      <w:r w:rsidR="00BD5D7A">
        <w:rPr>
          <w:rFonts w:cs="Times New Roman"/>
          <w:b/>
          <w:bCs/>
          <w:color w:val="1F4E79"/>
          <w:sz w:val="28"/>
          <w:szCs w:val="28"/>
          <w:u w:val="single"/>
        </w:rPr>
        <w:t xml:space="preserve">e </w:t>
      </w:r>
      <w:r w:rsidRPr="00CF0A2C">
        <w:rPr>
          <w:rFonts w:cs="Times New Roman"/>
          <w:b/>
          <w:bCs/>
          <w:color w:val="1F4E79"/>
          <w:sz w:val="28"/>
          <w:szCs w:val="28"/>
          <w:u w:val="single"/>
        </w:rPr>
        <w:t>des projets</w:t>
      </w:r>
      <w:r w:rsidR="00BD5D7A">
        <w:rPr>
          <w:rFonts w:cs="Times New Roman"/>
          <w:b/>
          <w:bCs/>
          <w:color w:val="1F4E79"/>
          <w:sz w:val="28"/>
          <w:szCs w:val="28"/>
          <w:u w:val="single"/>
        </w:rPr>
        <w:t xml:space="preserve"> </w:t>
      </w:r>
      <w:r w:rsidRPr="00CF0A2C">
        <w:rPr>
          <w:rFonts w:cs="Times New Roman"/>
          <w:b/>
          <w:bCs/>
          <w:color w:val="1F4E79"/>
          <w:sz w:val="28"/>
          <w:szCs w:val="28"/>
          <w:u w:val="single"/>
        </w:rPr>
        <w:t>de coopération avec le PNUD</w:t>
      </w:r>
    </w:p>
    <w:p w:rsidR="00221C0E" w:rsidRPr="00CF0A2C" w:rsidRDefault="00221C0E" w:rsidP="00221C0E">
      <w:pPr>
        <w:tabs>
          <w:tab w:val="left" w:pos="3825"/>
        </w:tabs>
        <w:spacing w:after="0" w:line="240" w:lineRule="auto"/>
        <w:jc w:val="center"/>
        <w:rPr>
          <w:rFonts w:cs="Times New Roman"/>
          <w:b/>
          <w:bCs/>
          <w:color w:val="1F4E79"/>
          <w:sz w:val="24"/>
          <w:szCs w:val="24"/>
        </w:rPr>
      </w:pPr>
      <w:r w:rsidRPr="00CF0A2C">
        <w:rPr>
          <w:rFonts w:cs="Times New Roman"/>
          <w:b/>
          <w:bCs/>
          <w:color w:val="1F4E79"/>
          <w:sz w:val="24"/>
          <w:szCs w:val="24"/>
        </w:rPr>
        <w:t>Ministère des Affaires Etrangères</w:t>
      </w:r>
    </w:p>
    <w:p w:rsidR="00221C0E" w:rsidRPr="00CF0A2C" w:rsidRDefault="00221C0E" w:rsidP="00221C0E">
      <w:pPr>
        <w:tabs>
          <w:tab w:val="left" w:pos="3825"/>
        </w:tabs>
        <w:spacing w:after="0" w:line="240" w:lineRule="auto"/>
        <w:jc w:val="center"/>
        <w:rPr>
          <w:rFonts w:cs="Times New Roman"/>
          <w:bCs/>
          <w:color w:val="1F4E79"/>
          <w:sz w:val="24"/>
          <w:szCs w:val="24"/>
        </w:rPr>
      </w:pPr>
      <w:r w:rsidRPr="00CF0A2C">
        <w:rPr>
          <w:rFonts w:cs="Times New Roman"/>
          <w:bCs/>
          <w:color w:val="1F4E79"/>
          <w:sz w:val="24"/>
          <w:szCs w:val="24"/>
        </w:rPr>
        <w:t>1-2  Décembre 2014</w:t>
      </w:r>
    </w:p>
    <w:p w:rsidR="00221C0E" w:rsidRPr="00CF0A2C" w:rsidRDefault="00221C0E" w:rsidP="00221C0E">
      <w:pPr>
        <w:tabs>
          <w:tab w:val="left" w:pos="3825"/>
        </w:tabs>
        <w:spacing w:after="0" w:line="240" w:lineRule="auto"/>
        <w:jc w:val="center"/>
        <w:rPr>
          <w:rFonts w:cs="Times New Roman"/>
          <w:bCs/>
          <w:color w:val="1F4E79"/>
          <w:sz w:val="24"/>
          <w:szCs w:val="24"/>
        </w:rPr>
      </w:pPr>
    </w:p>
    <w:p w:rsidR="00221C0E" w:rsidRPr="00CF0A2C" w:rsidRDefault="00221C0E" w:rsidP="00221C0E">
      <w:pPr>
        <w:spacing w:after="0" w:line="240" w:lineRule="auto"/>
        <w:jc w:val="both"/>
      </w:pPr>
      <w:r w:rsidRPr="00CF0A2C">
        <w:t xml:space="preserve">La Gouvernement </w:t>
      </w:r>
      <w:r w:rsidR="00DF64C7">
        <w:t>A</w:t>
      </w:r>
      <w:r w:rsidRPr="00CF0A2C">
        <w:t>lgérien et le Programme des Nations Unies pour le Développement (PNUD) sont engagés dans une dynamique de coopération active visant à appuyer les efforts nationaux en matière de développement économique et social</w:t>
      </w:r>
      <w:r w:rsidRPr="00CF0A2C">
        <w:rPr>
          <w:rStyle w:val="Appelnotedebasdep"/>
        </w:rPr>
        <w:footnoteReference w:id="1"/>
      </w:r>
      <w:r w:rsidRPr="00CF0A2C">
        <w:t xml:space="preserve">. </w:t>
      </w:r>
    </w:p>
    <w:p w:rsidR="00221C0E" w:rsidRPr="00CF0A2C" w:rsidRDefault="00221C0E" w:rsidP="00221C0E">
      <w:pPr>
        <w:spacing w:after="0" w:line="240" w:lineRule="auto"/>
        <w:jc w:val="both"/>
        <w:rPr>
          <w:sz w:val="16"/>
          <w:szCs w:val="16"/>
        </w:rPr>
      </w:pPr>
    </w:p>
    <w:p w:rsidR="00221C0E" w:rsidRPr="00CF0A2C" w:rsidRDefault="00221C0E" w:rsidP="00221C0E">
      <w:pPr>
        <w:spacing w:after="0" w:line="240" w:lineRule="auto"/>
        <w:jc w:val="both"/>
      </w:pPr>
      <w:r w:rsidRPr="00CF0A2C">
        <w:rPr>
          <w:bCs/>
        </w:rPr>
        <w:t>Les différentes évaluations de programmes et de projets qui ont été menées, dans le cadre de cette coopération, ont mis en relief la valeur ajoutée apportée par  cette coopération. Mais elles ont</w:t>
      </w:r>
      <w:r w:rsidR="00DF64C7" w:rsidRPr="00DF64C7">
        <w:t xml:space="preserve"> </w:t>
      </w:r>
      <w:r w:rsidR="00DF64C7" w:rsidRPr="00DF64C7">
        <w:rPr>
          <w:bCs/>
        </w:rPr>
        <w:t>aussi</w:t>
      </w:r>
      <w:r w:rsidRPr="00CF0A2C">
        <w:rPr>
          <w:bCs/>
        </w:rPr>
        <w:t xml:space="preserve"> révélé la nécessité d’en améliorer encore plus la qualité en termes d’efficacité et d’efficience. Cette exigence est d’autant plus pressante qu’au cours de ces dernières années, la coopération avec le SNU a enregistré une amplification des projets en nombre et en volume. C’est dans ce contexte que le Ministère des Affaires Etrangères(MAE) et le PNUD ont décidé de lancer un projet de coopération destiné à répondre à cette exigence</w:t>
      </w:r>
      <w:r w:rsidRPr="00CF0A2C">
        <w:rPr>
          <w:rStyle w:val="Appelnotedebasdep"/>
          <w:bCs/>
        </w:rPr>
        <w:footnoteReference w:id="2"/>
      </w:r>
      <w:r w:rsidRPr="00CF0A2C">
        <w:rPr>
          <w:bCs/>
        </w:rPr>
        <w:t xml:space="preserve">. </w:t>
      </w:r>
    </w:p>
    <w:p w:rsidR="00221C0E" w:rsidRPr="00CF0A2C" w:rsidRDefault="00221C0E" w:rsidP="00221C0E">
      <w:pPr>
        <w:tabs>
          <w:tab w:val="left" w:pos="3825"/>
        </w:tabs>
        <w:spacing w:after="0"/>
        <w:jc w:val="both"/>
        <w:rPr>
          <w:rFonts w:cs="Times New Roman"/>
          <w:bCs/>
          <w:sz w:val="16"/>
          <w:szCs w:val="16"/>
        </w:rPr>
      </w:pPr>
    </w:p>
    <w:p w:rsidR="00221C0E" w:rsidRPr="00CF0A2C" w:rsidRDefault="00221C0E" w:rsidP="00221C0E">
      <w:pPr>
        <w:tabs>
          <w:tab w:val="left" w:pos="3825"/>
        </w:tabs>
        <w:spacing w:after="0"/>
        <w:jc w:val="both"/>
        <w:rPr>
          <w:rFonts w:cs="Times New Roman"/>
          <w:bCs/>
        </w:rPr>
      </w:pPr>
      <w:r w:rsidRPr="00CF0A2C">
        <w:rPr>
          <w:rFonts w:cs="Times New Roman"/>
          <w:bCs/>
        </w:rPr>
        <w:t xml:space="preserve">La formation des parties prenantes nationales à la coopération avec le </w:t>
      </w:r>
      <w:r w:rsidR="00BD5D7A">
        <w:rPr>
          <w:rFonts w:cs="Times New Roman"/>
          <w:bCs/>
        </w:rPr>
        <w:t xml:space="preserve">PNUD </w:t>
      </w:r>
      <w:r w:rsidRPr="00CF0A2C">
        <w:rPr>
          <w:rFonts w:cs="Times New Roman"/>
          <w:bCs/>
        </w:rPr>
        <w:t xml:space="preserve">figure parmi les axes majeurs de ce projet et l’atelier programmé pour </w:t>
      </w:r>
      <w:proofErr w:type="gramStart"/>
      <w:r w:rsidRPr="00CF0A2C">
        <w:rPr>
          <w:rFonts w:cs="Times New Roman"/>
          <w:bCs/>
        </w:rPr>
        <w:t>les</w:t>
      </w:r>
      <w:r w:rsidR="00DF64C7">
        <w:rPr>
          <w:rFonts w:cs="Times New Roman"/>
          <w:bCs/>
        </w:rPr>
        <w:t xml:space="preserve"> </w:t>
      </w:r>
      <w:r w:rsidRPr="00CF0A2C">
        <w:rPr>
          <w:rFonts w:cs="Times New Roman"/>
          <w:bCs/>
        </w:rPr>
        <w:t xml:space="preserve"> 1</w:t>
      </w:r>
      <w:r w:rsidRPr="00CF0A2C">
        <w:rPr>
          <w:rFonts w:cs="Times New Roman"/>
          <w:bCs/>
          <w:vertAlign w:val="superscript"/>
        </w:rPr>
        <w:t>er</w:t>
      </w:r>
      <w:proofErr w:type="gramEnd"/>
      <w:r w:rsidRPr="00CF0A2C">
        <w:rPr>
          <w:rFonts w:cs="Times New Roman"/>
          <w:bCs/>
        </w:rPr>
        <w:t xml:space="preserve"> et 2 décembre 2014 constitue, dans ce cadre, une activité qui </w:t>
      </w:r>
      <w:r w:rsidRPr="00CF0A2C">
        <w:t>tombe à point nommé. En effet, celle-ci intervient en plein processus d’élaboration du nouveau cadre de coopération stratégique entre le Gouvernement Algérien et le SNU pour la période 2016-2019 et à quelques mois de  l’adoption par le Comité Exécutif du PNUD de son nouveau Plan stratégique 2014-2017.</w:t>
      </w:r>
    </w:p>
    <w:p w:rsidR="00221C0E" w:rsidRPr="00CF0A2C" w:rsidRDefault="00221C0E" w:rsidP="00221C0E">
      <w:pPr>
        <w:tabs>
          <w:tab w:val="left" w:pos="3825"/>
        </w:tabs>
        <w:spacing w:after="0"/>
        <w:jc w:val="both"/>
        <w:rPr>
          <w:rFonts w:cs="Times New Roman"/>
          <w:bCs/>
          <w:sz w:val="16"/>
          <w:szCs w:val="16"/>
        </w:rPr>
      </w:pPr>
    </w:p>
    <w:p w:rsidR="00221C0E" w:rsidRPr="00CF0A2C" w:rsidRDefault="00221C0E" w:rsidP="00221C0E">
      <w:pPr>
        <w:tabs>
          <w:tab w:val="left" w:pos="3825"/>
        </w:tabs>
        <w:spacing w:after="0"/>
        <w:jc w:val="both"/>
        <w:rPr>
          <w:rFonts w:cs="Times New Roman"/>
          <w:bCs/>
        </w:rPr>
      </w:pPr>
      <w:r w:rsidRPr="00CF0A2C">
        <w:rPr>
          <w:rFonts w:cs="Times New Roman"/>
          <w:bCs/>
        </w:rPr>
        <w:t xml:space="preserve">Cet atelier de formation cible les </w:t>
      </w:r>
      <w:r w:rsidR="00DF64C7">
        <w:rPr>
          <w:rFonts w:cs="Times New Roman"/>
          <w:bCs/>
        </w:rPr>
        <w:t>D</w:t>
      </w:r>
      <w:r w:rsidRPr="00CF0A2C">
        <w:rPr>
          <w:rFonts w:cs="Times New Roman"/>
          <w:bCs/>
        </w:rPr>
        <w:t xml:space="preserve">irecteurs </w:t>
      </w:r>
      <w:r w:rsidR="00DF64C7">
        <w:rPr>
          <w:rFonts w:cs="Times New Roman"/>
          <w:bCs/>
        </w:rPr>
        <w:t>N</w:t>
      </w:r>
      <w:r w:rsidRPr="00CF0A2C">
        <w:rPr>
          <w:rFonts w:cs="Times New Roman"/>
          <w:bCs/>
        </w:rPr>
        <w:t>ationaux de Projets (DNP</w:t>
      </w:r>
      <w:r w:rsidRPr="00CF0A2C">
        <w:rPr>
          <w:rStyle w:val="Appelnotedebasdep"/>
          <w:rFonts w:cs="Times New Roman"/>
          <w:bCs/>
        </w:rPr>
        <w:footnoteReference w:id="3"/>
      </w:r>
      <w:r w:rsidRPr="00CF0A2C">
        <w:rPr>
          <w:rFonts w:cs="Times New Roman"/>
          <w:bCs/>
        </w:rPr>
        <w:t xml:space="preserve">), les chargés de coopération au niveau des </w:t>
      </w:r>
      <w:r w:rsidR="00DF64C7">
        <w:rPr>
          <w:rFonts w:cs="Times New Roman"/>
          <w:bCs/>
        </w:rPr>
        <w:t>M</w:t>
      </w:r>
      <w:r w:rsidRPr="00CF0A2C">
        <w:rPr>
          <w:rFonts w:cs="Times New Roman"/>
          <w:bCs/>
        </w:rPr>
        <w:t xml:space="preserve">inistères et les </w:t>
      </w:r>
      <w:r w:rsidR="00DF64C7">
        <w:rPr>
          <w:rFonts w:cs="Times New Roman"/>
          <w:bCs/>
        </w:rPr>
        <w:t>P</w:t>
      </w:r>
      <w:r w:rsidRPr="00CF0A2C">
        <w:rPr>
          <w:rFonts w:cs="Times New Roman"/>
          <w:bCs/>
        </w:rPr>
        <w:t xml:space="preserve">oints </w:t>
      </w:r>
      <w:r w:rsidR="00DF64C7">
        <w:rPr>
          <w:rFonts w:cs="Times New Roman"/>
          <w:bCs/>
        </w:rPr>
        <w:t>F</w:t>
      </w:r>
      <w:r w:rsidRPr="00CF0A2C">
        <w:rPr>
          <w:rFonts w:cs="Times New Roman"/>
          <w:bCs/>
        </w:rPr>
        <w:t xml:space="preserve">ocaux désignés au sein des institutions publiques impliquées dans le processus de programmation en cours. Son objectif général est d’une part de familiariser davantage ces parties prenantes avec les principes et les règles de la coopération avec le SNU, et d’autre part de les initier, tout particulièrement les DNP, aux procédures qui régissent la mise en œuvre </w:t>
      </w:r>
      <w:r w:rsidR="00BD5D7A">
        <w:rPr>
          <w:rFonts w:cs="Times New Roman"/>
          <w:bCs/>
        </w:rPr>
        <w:t xml:space="preserve">nationale </w:t>
      </w:r>
      <w:r w:rsidRPr="00CF0A2C">
        <w:rPr>
          <w:rFonts w:cs="Times New Roman"/>
          <w:bCs/>
        </w:rPr>
        <w:t>des projets</w:t>
      </w:r>
      <w:r w:rsidR="00BD5D7A">
        <w:rPr>
          <w:rFonts w:cs="Times New Roman"/>
          <w:bCs/>
        </w:rPr>
        <w:t xml:space="preserve"> appuyés par le PNUD</w:t>
      </w:r>
      <w:r w:rsidRPr="00CF0A2C">
        <w:rPr>
          <w:rFonts w:cs="Times New Roman"/>
          <w:bCs/>
        </w:rPr>
        <w:t>. Quatre thématiques découlant de ces objectifs seront au centre des contenus développés lors de l’Atelier:</w:t>
      </w:r>
    </w:p>
    <w:p w:rsidR="00221C0E" w:rsidRPr="00CF0A2C" w:rsidRDefault="00221C0E" w:rsidP="00221C0E">
      <w:pPr>
        <w:pStyle w:val="Paragraphedeliste"/>
        <w:numPr>
          <w:ilvl w:val="0"/>
          <w:numId w:val="3"/>
        </w:numPr>
        <w:spacing w:after="0" w:line="240" w:lineRule="auto"/>
        <w:jc w:val="both"/>
        <w:rPr>
          <w:rFonts w:asciiTheme="minorHAnsi" w:hAnsiTheme="minorHAnsi"/>
          <w:bCs/>
        </w:rPr>
      </w:pPr>
      <w:r w:rsidRPr="00CF0A2C">
        <w:rPr>
          <w:rFonts w:asciiTheme="minorHAnsi" w:hAnsiTheme="minorHAnsi"/>
          <w:bCs/>
        </w:rPr>
        <w:t>le cadre juridique de la coopération entre le Gouvernement Algérien et le PNUD ;</w:t>
      </w:r>
    </w:p>
    <w:p w:rsidR="00221C0E" w:rsidRPr="00CF0A2C" w:rsidRDefault="00221C0E" w:rsidP="00221C0E">
      <w:pPr>
        <w:pStyle w:val="Paragraphedeliste"/>
        <w:numPr>
          <w:ilvl w:val="0"/>
          <w:numId w:val="3"/>
        </w:numPr>
        <w:spacing w:after="0" w:line="240" w:lineRule="auto"/>
        <w:jc w:val="both"/>
        <w:rPr>
          <w:rFonts w:asciiTheme="minorHAnsi" w:hAnsiTheme="minorHAnsi"/>
          <w:bCs/>
        </w:rPr>
      </w:pPr>
      <w:r w:rsidRPr="00CF0A2C">
        <w:rPr>
          <w:rFonts w:asciiTheme="minorHAnsi" w:hAnsiTheme="minorHAnsi"/>
          <w:bCs/>
        </w:rPr>
        <w:t>les rôles et responsabilités  des parties prenantes du Gouvernement et du PNUD ;</w:t>
      </w:r>
    </w:p>
    <w:p w:rsidR="00221C0E" w:rsidRPr="00CF0A2C" w:rsidRDefault="00221C0E" w:rsidP="00221C0E">
      <w:pPr>
        <w:pStyle w:val="Paragraphedeliste"/>
        <w:numPr>
          <w:ilvl w:val="0"/>
          <w:numId w:val="3"/>
        </w:numPr>
        <w:spacing w:after="0" w:line="240" w:lineRule="auto"/>
        <w:jc w:val="both"/>
        <w:rPr>
          <w:rFonts w:asciiTheme="minorHAnsi" w:hAnsiTheme="minorHAnsi"/>
          <w:bCs/>
        </w:rPr>
      </w:pPr>
      <w:r w:rsidRPr="00CF0A2C">
        <w:rPr>
          <w:rFonts w:asciiTheme="minorHAnsi" w:hAnsiTheme="minorHAnsi"/>
          <w:bCs/>
        </w:rPr>
        <w:t>le processus de programmation du PNUD et les principes de gestion des projets ;</w:t>
      </w:r>
    </w:p>
    <w:p w:rsidR="00796A69" w:rsidRPr="00CF0A2C" w:rsidRDefault="00221C0E" w:rsidP="00796A69">
      <w:pPr>
        <w:pStyle w:val="Paragraphedeliste"/>
        <w:numPr>
          <w:ilvl w:val="0"/>
          <w:numId w:val="3"/>
        </w:numPr>
        <w:spacing w:after="0" w:line="240" w:lineRule="auto"/>
        <w:jc w:val="both"/>
        <w:rPr>
          <w:rFonts w:asciiTheme="minorHAnsi" w:hAnsiTheme="minorHAnsi"/>
          <w:bCs/>
        </w:rPr>
      </w:pPr>
      <w:r w:rsidRPr="00CF0A2C">
        <w:rPr>
          <w:rFonts w:asciiTheme="minorHAnsi" w:hAnsiTheme="minorHAnsi"/>
          <w:bCs/>
        </w:rPr>
        <w:t>les modalités opérationnelles de mise en œuvre nationale des projets </w:t>
      </w:r>
    </w:p>
    <w:p w:rsidR="00796A69" w:rsidRPr="00CF0A2C" w:rsidRDefault="00796A69" w:rsidP="00221C0E">
      <w:pPr>
        <w:jc w:val="center"/>
      </w:pPr>
      <w:r w:rsidRPr="00CF0A2C">
        <w:rPr>
          <w:b/>
          <w:bCs/>
          <w:u w:val="single"/>
        </w:rPr>
        <w:lastRenderedPageBreak/>
        <w:t>AGENDA PROVISOIRE</w:t>
      </w:r>
    </w:p>
    <w:p w:rsidR="00796A69" w:rsidRPr="00CF0A2C" w:rsidRDefault="00796A69" w:rsidP="00796A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5662"/>
        <w:gridCol w:w="2263"/>
      </w:tblGrid>
      <w:tr w:rsidR="00796A69" w:rsidRPr="00CF0A2C" w:rsidTr="00B00FEC">
        <w:trPr>
          <w:trHeight w:val="390"/>
        </w:trPr>
        <w:tc>
          <w:tcPr>
            <w:tcW w:w="9062" w:type="dxa"/>
            <w:gridSpan w:val="3"/>
            <w:shd w:val="clear" w:color="auto" w:fill="5B9BD5"/>
          </w:tcPr>
          <w:p w:rsidR="00796A69" w:rsidRPr="00CF0A2C" w:rsidRDefault="00221C0E" w:rsidP="00221C0E">
            <w:pPr>
              <w:jc w:val="center"/>
              <w:rPr>
                <w:b/>
              </w:rPr>
            </w:pPr>
            <w:r w:rsidRPr="00CF0A2C">
              <w:rPr>
                <w:b/>
              </w:rPr>
              <w:t>Première</w:t>
            </w:r>
            <w:r w:rsidR="00796A69" w:rsidRPr="00CF0A2C">
              <w:rPr>
                <w:b/>
              </w:rPr>
              <w:t xml:space="preserve"> journée</w:t>
            </w:r>
          </w:p>
        </w:tc>
      </w:tr>
      <w:tr w:rsidR="00796A69" w:rsidRPr="00CF0A2C" w:rsidTr="00B00FEC">
        <w:trPr>
          <w:trHeight w:val="330"/>
        </w:trPr>
        <w:tc>
          <w:tcPr>
            <w:tcW w:w="9062" w:type="dxa"/>
            <w:gridSpan w:val="3"/>
            <w:shd w:val="clear" w:color="auto" w:fill="9CC2E5"/>
          </w:tcPr>
          <w:p w:rsidR="00796A69" w:rsidRPr="00CF0A2C" w:rsidRDefault="00796A69" w:rsidP="00221C0E">
            <w:pPr>
              <w:jc w:val="center"/>
              <w:rPr>
                <w:b/>
              </w:rPr>
            </w:pPr>
            <w:r w:rsidRPr="00CF0A2C">
              <w:rPr>
                <w:b/>
              </w:rPr>
              <w:t>Matinée</w:t>
            </w:r>
          </w:p>
        </w:tc>
      </w:tr>
      <w:tr w:rsidR="00796A69" w:rsidRPr="00CF0A2C" w:rsidTr="00B00FEC">
        <w:trPr>
          <w:trHeight w:val="358"/>
        </w:trPr>
        <w:tc>
          <w:tcPr>
            <w:tcW w:w="1137" w:type="dxa"/>
            <w:shd w:val="clear" w:color="auto" w:fill="5B9BD5"/>
            <w:vAlign w:val="center"/>
          </w:tcPr>
          <w:p w:rsidR="00796A69" w:rsidRPr="00CF0A2C" w:rsidRDefault="002D529A" w:rsidP="002D529A">
            <w:pPr>
              <w:rPr>
                <w:b/>
              </w:rPr>
            </w:pPr>
            <w:r>
              <w:rPr>
                <w:b/>
              </w:rPr>
              <w:t>08.30-09.00</w:t>
            </w:r>
            <w:r w:rsidR="00221C0E" w:rsidRPr="00CF0A2C">
              <w:rPr>
                <w:b/>
              </w:rPr>
              <w:t xml:space="preserve">- </w:t>
            </w:r>
          </w:p>
        </w:tc>
        <w:tc>
          <w:tcPr>
            <w:tcW w:w="5662" w:type="dxa"/>
            <w:shd w:val="clear" w:color="auto" w:fill="DEEAF6"/>
            <w:vAlign w:val="center"/>
          </w:tcPr>
          <w:p w:rsidR="00796A69" w:rsidRPr="00CF0A2C" w:rsidRDefault="00796A69" w:rsidP="00796A69">
            <w:pPr>
              <w:rPr>
                <w:b/>
              </w:rPr>
            </w:pPr>
            <w:r w:rsidRPr="00CF0A2C">
              <w:rPr>
                <w:b/>
              </w:rPr>
              <w:t>Accueil et installation des participants</w:t>
            </w:r>
          </w:p>
        </w:tc>
        <w:tc>
          <w:tcPr>
            <w:tcW w:w="2263" w:type="dxa"/>
            <w:shd w:val="clear" w:color="auto" w:fill="DEEAF6"/>
          </w:tcPr>
          <w:p w:rsidR="00796A69" w:rsidRPr="00CF0A2C" w:rsidRDefault="00796A69" w:rsidP="00796A69"/>
        </w:tc>
      </w:tr>
      <w:tr w:rsidR="00796A69" w:rsidRPr="00CF0A2C" w:rsidTr="00B00FEC">
        <w:trPr>
          <w:trHeight w:val="987"/>
        </w:trPr>
        <w:tc>
          <w:tcPr>
            <w:tcW w:w="1137" w:type="dxa"/>
            <w:shd w:val="clear" w:color="auto" w:fill="5B9BD5"/>
            <w:vAlign w:val="center"/>
          </w:tcPr>
          <w:p w:rsidR="00796A69" w:rsidRPr="00CF0A2C" w:rsidRDefault="00BD5D7A" w:rsidP="00796A69">
            <w:pPr>
              <w:rPr>
                <w:b/>
              </w:rPr>
            </w:pPr>
            <w:r>
              <w:rPr>
                <w:b/>
              </w:rPr>
              <w:t>9.00-9.30</w:t>
            </w:r>
          </w:p>
        </w:tc>
        <w:tc>
          <w:tcPr>
            <w:tcW w:w="5662" w:type="dxa"/>
            <w:shd w:val="clear" w:color="auto" w:fill="DEEAF6"/>
            <w:vAlign w:val="center"/>
          </w:tcPr>
          <w:p w:rsidR="00796A69" w:rsidRPr="00CF0A2C" w:rsidRDefault="00796A69" w:rsidP="00796A69">
            <w:r w:rsidRPr="00CF0A2C">
              <w:rPr>
                <w:b/>
              </w:rPr>
              <w:t>Allocutions d’ouverture par</w:t>
            </w:r>
            <w:r w:rsidRPr="00CF0A2C">
              <w:t xml:space="preserve"> :</w:t>
            </w:r>
          </w:p>
          <w:p w:rsidR="00796A69" w:rsidRPr="00CF0A2C" w:rsidRDefault="00796A69" w:rsidP="00796A69">
            <w:pPr>
              <w:numPr>
                <w:ilvl w:val="0"/>
                <w:numId w:val="1"/>
              </w:numPr>
            </w:pPr>
            <w:r w:rsidRPr="00CF0A2C">
              <w:t xml:space="preserve">MAE </w:t>
            </w:r>
          </w:p>
          <w:p w:rsidR="00796A69" w:rsidRPr="00CF0A2C" w:rsidRDefault="00796A69" w:rsidP="00796A69">
            <w:pPr>
              <w:numPr>
                <w:ilvl w:val="0"/>
                <w:numId w:val="1"/>
              </w:numPr>
            </w:pPr>
            <w:r w:rsidRPr="00CF0A2C">
              <w:t xml:space="preserve">PNUD </w:t>
            </w:r>
          </w:p>
        </w:tc>
        <w:tc>
          <w:tcPr>
            <w:tcW w:w="2263" w:type="dxa"/>
            <w:shd w:val="clear" w:color="auto" w:fill="DEEAF6"/>
          </w:tcPr>
          <w:p w:rsidR="00796A69" w:rsidRPr="00CF0A2C" w:rsidRDefault="00796A69" w:rsidP="00796A69"/>
        </w:tc>
      </w:tr>
      <w:tr w:rsidR="00796A69" w:rsidRPr="00CF0A2C" w:rsidTr="00B00FEC">
        <w:trPr>
          <w:trHeight w:val="805"/>
        </w:trPr>
        <w:tc>
          <w:tcPr>
            <w:tcW w:w="6799" w:type="dxa"/>
            <w:gridSpan w:val="2"/>
            <w:shd w:val="clear" w:color="auto" w:fill="95B3D7" w:themeFill="accent1" w:themeFillTint="99"/>
            <w:vAlign w:val="center"/>
          </w:tcPr>
          <w:p w:rsidR="00796A69" w:rsidRPr="00CF0A2C" w:rsidRDefault="00796A69" w:rsidP="00221C0E">
            <w:pPr>
              <w:jc w:val="center"/>
              <w:rPr>
                <w:b/>
                <w:bCs/>
              </w:rPr>
            </w:pPr>
            <w:r w:rsidRPr="00CF0A2C">
              <w:rPr>
                <w:b/>
                <w:bCs/>
              </w:rPr>
              <w:t>Session introductive</w:t>
            </w:r>
          </w:p>
        </w:tc>
        <w:tc>
          <w:tcPr>
            <w:tcW w:w="2263" w:type="dxa"/>
            <w:shd w:val="clear" w:color="auto" w:fill="95B3D7" w:themeFill="accent1" w:themeFillTint="99"/>
          </w:tcPr>
          <w:p w:rsidR="00796A69" w:rsidRPr="00CF0A2C" w:rsidRDefault="00796A69" w:rsidP="00796A69">
            <w:pPr>
              <w:rPr>
                <w:b/>
                <w:bCs/>
              </w:rPr>
            </w:pPr>
            <w:r w:rsidRPr="00CF0A2C">
              <w:rPr>
                <w:b/>
                <w:bCs/>
              </w:rPr>
              <w:t xml:space="preserve">Facilitateur </w:t>
            </w:r>
          </w:p>
        </w:tc>
      </w:tr>
      <w:tr w:rsidR="00796A69" w:rsidRPr="00CF0A2C" w:rsidTr="00B00FEC">
        <w:trPr>
          <w:trHeight w:val="823"/>
        </w:trPr>
        <w:tc>
          <w:tcPr>
            <w:tcW w:w="1137" w:type="dxa"/>
            <w:shd w:val="clear" w:color="auto" w:fill="5B9BD5"/>
          </w:tcPr>
          <w:p w:rsidR="00796A69" w:rsidRPr="00CF0A2C" w:rsidRDefault="00B11DC2" w:rsidP="00B11DC2">
            <w:pPr>
              <w:rPr>
                <w:b/>
              </w:rPr>
            </w:pPr>
            <w:r>
              <w:rPr>
                <w:b/>
              </w:rPr>
              <w:t>9.30-9.45</w:t>
            </w:r>
          </w:p>
        </w:tc>
        <w:tc>
          <w:tcPr>
            <w:tcW w:w="5662" w:type="dxa"/>
            <w:shd w:val="clear" w:color="auto" w:fill="DEEAF6"/>
          </w:tcPr>
          <w:p w:rsidR="00796A69" w:rsidRPr="00CF0A2C" w:rsidRDefault="00796A69" w:rsidP="00BA07B3">
            <w:pPr>
              <w:spacing w:after="0" w:line="240" w:lineRule="auto"/>
              <w:rPr>
                <w:b/>
              </w:rPr>
            </w:pPr>
            <w:r w:rsidRPr="00CF0A2C">
              <w:rPr>
                <w:b/>
              </w:rPr>
              <w:t xml:space="preserve">Présentation du programme de l’atelier </w:t>
            </w:r>
          </w:p>
          <w:p w:rsidR="00796A69" w:rsidRPr="00CF0A2C" w:rsidRDefault="00796A69" w:rsidP="00BA07B3">
            <w:pPr>
              <w:numPr>
                <w:ilvl w:val="0"/>
                <w:numId w:val="2"/>
              </w:numPr>
              <w:spacing w:after="0" w:line="240" w:lineRule="auto"/>
            </w:pPr>
            <w:r w:rsidRPr="00CF0A2C">
              <w:t>Bref rappel des objectifs de l’atelier et présentation des DNP</w:t>
            </w:r>
          </w:p>
          <w:p w:rsidR="00796A69" w:rsidRPr="00CF0A2C" w:rsidRDefault="00796A69" w:rsidP="00BA07B3">
            <w:pPr>
              <w:numPr>
                <w:ilvl w:val="0"/>
                <w:numId w:val="2"/>
              </w:numPr>
              <w:spacing w:after="0" w:line="240" w:lineRule="auto"/>
            </w:pPr>
            <w:r w:rsidRPr="00CF0A2C">
              <w:t>Présentation des conclusions de l’enquête menée auprès des  DNP</w:t>
            </w:r>
          </w:p>
          <w:p w:rsidR="00796A69" w:rsidRPr="00CF0A2C" w:rsidRDefault="00796A69" w:rsidP="00796A69"/>
        </w:tc>
        <w:tc>
          <w:tcPr>
            <w:tcW w:w="2263" w:type="dxa"/>
            <w:shd w:val="clear" w:color="auto" w:fill="DEEAF6"/>
          </w:tcPr>
          <w:p w:rsidR="00796A69" w:rsidRPr="00CF0A2C" w:rsidRDefault="00796A69" w:rsidP="00796A69">
            <w:pPr>
              <w:rPr>
                <w:i/>
                <w:iCs/>
              </w:rPr>
            </w:pPr>
            <w:r w:rsidRPr="00CF0A2C">
              <w:t xml:space="preserve">M. </w:t>
            </w:r>
            <w:proofErr w:type="spellStart"/>
            <w:r w:rsidRPr="00CF0A2C">
              <w:t>Bouchakour</w:t>
            </w:r>
            <w:proofErr w:type="spellEnd"/>
            <w:r w:rsidRPr="00CF0A2C">
              <w:t xml:space="preserve">, Conseiller technique dans le cadre du projet </w:t>
            </w:r>
            <w:r w:rsidRPr="00CF0A2C">
              <w:rPr>
                <w:i/>
                <w:iCs/>
              </w:rPr>
              <w:t>Appui à l’amélioration de l’exécution nationale des projets de la coopération multilatérale inscrits au titre du PNUD en particulier et du Système des Nations Unies en général »</w:t>
            </w:r>
          </w:p>
          <w:p w:rsidR="00796A69" w:rsidRPr="00CF0A2C" w:rsidRDefault="00796A69" w:rsidP="00796A69"/>
        </w:tc>
      </w:tr>
      <w:tr w:rsidR="00796A69" w:rsidRPr="00CF0A2C" w:rsidTr="00B00FEC">
        <w:trPr>
          <w:trHeight w:val="452"/>
        </w:trPr>
        <w:tc>
          <w:tcPr>
            <w:tcW w:w="6799" w:type="dxa"/>
            <w:gridSpan w:val="2"/>
            <w:shd w:val="clear" w:color="auto" w:fill="9CC2E5"/>
          </w:tcPr>
          <w:p w:rsidR="00796A69" w:rsidRPr="00CF0A2C" w:rsidRDefault="00796A69" w:rsidP="00AE161B">
            <w:pPr>
              <w:jc w:val="center"/>
              <w:rPr>
                <w:b/>
                <w:bCs/>
              </w:rPr>
            </w:pPr>
            <w:r w:rsidRPr="00CF0A2C">
              <w:rPr>
                <w:b/>
                <w:bCs/>
              </w:rPr>
              <w:t xml:space="preserve">Session 1 : La coopération entre le gouvernement algérien et le </w:t>
            </w:r>
            <w:r w:rsidR="00AE161B">
              <w:rPr>
                <w:b/>
                <w:bCs/>
              </w:rPr>
              <w:t>PNUD</w:t>
            </w:r>
            <w:r w:rsidR="00AE161B" w:rsidRPr="00CF0A2C">
              <w:rPr>
                <w:b/>
                <w:bCs/>
              </w:rPr>
              <w:t> </w:t>
            </w:r>
            <w:r w:rsidRPr="00CF0A2C">
              <w:rPr>
                <w:b/>
                <w:bCs/>
              </w:rPr>
              <w:t>: éléments de cadrage</w:t>
            </w:r>
          </w:p>
        </w:tc>
        <w:tc>
          <w:tcPr>
            <w:tcW w:w="2263" w:type="dxa"/>
            <w:shd w:val="clear" w:color="auto" w:fill="9CC2E5"/>
          </w:tcPr>
          <w:p w:rsidR="00796A69" w:rsidRPr="00CF0A2C" w:rsidRDefault="00796A69" w:rsidP="00796A69">
            <w:pPr>
              <w:rPr>
                <w:b/>
                <w:bCs/>
              </w:rPr>
            </w:pPr>
          </w:p>
        </w:tc>
      </w:tr>
      <w:tr w:rsidR="0084329E" w:rsidRPr="00CF0A2C" w:rsidTr="00B239E8">
        <w:trPr>
          <w:trHeight w:val="2463"/>
        </w:trPr>
        <w:tc>
          <w:tcPr>
            <w:tcW w:w="1137" w:type="dxa"/>
            <w:vMerge w:val="restart"/>
            <w:shd w:val="clear" w:color="auto" w:fill="5B9BD5"/>
          </w:tcPr>
          <w:p w:rsidR="0084329E" w:rsidRPr="00CF0A2C" w:rsidRDefault="00B11DC2" w:rsidP="0084329E">
            <w:pPr>
              <w:rPr>
                <w:b/>
              </w:rPr>
            </w:pPr>
            <w:r>
              <w:rPr>
                <w:b/>
              </w:rPr>
              <w:t>9.45-10.45</w:t>
            </w:r>
          </w:p>
        </w:tc>
        <w:tc>
          <w:tcPr>
            <w:tcW w:w="5662" w:type="dxa"/>
            <w:vMerge w:val="restart"/>
            <w:shd w:val="clear" w:color="auto" w:fill="DEEAF6"/>
          </w:tcPr>
          <w:p w:rsidR="0084329E" w:rsidRPr="00256535" w:rsidRDefault="0084329E" w:rsidP="0084329E">
            <w:pPr>
              <w:spacing w:after="0" w:line="240" w:lineRule="auto"/>
              <w:rPr>
                <w:b/>
              </w:rPr>
            </w:pPr>
            <w:r>
              <w:rPr>
                <w:b/>
              </w:rPr>
              <w:t>I</w:t>
            </w:r>
            <w:r w:rsidRPr="00256535">
              <w:rPr>
                <w:b/>
              </w:rPr>
              <w:t xml:space="preserve">. Le PNUD en Algérie </w:t>
            </w:r>
          </w:p>
          <w:p w:rsidR="0084329E" w:rsidRPr="00CF0A2C" w:rsidRDefault="0084329E" w:rsidP="00221C0E">
            <w:pPr>
              <w:numPr>
                <w:ilvl w:val="1"/>
                <w:numId w:val="5"/>
              </w:numPr>
              <w:spacing w:after="0" w:line="240" w:lineRule="auto"/>
            </w:pPr>
            <w:r w:rsidRPr="00CF0A2C">
              <w:t>Le mandat</w:t>
            </w:r>
            <w:r>
              <w:t xml:space="preserve"> </w:t>
            </w:r>
            <w:r w:rsidRPr="00CF0A2C">
              <w:t>du PNUD</w:t>
            </w:r>
          </w:p>
          <w:p w:rsidR="0084329E" w:rsidRPr="00CF0A2C" w:rsidRDefault="0084329E" w:rsidP="00221C0E">
            <w:pPr>
              <w:numPr>
                <w:ilvl w:val="1"/>
                <w:numId w:val="5"/>
              </w:numPr>
              <w:spacing w:after="0" w:line="240" w:lineRule="auto"/>
            </w:pPr>
            <w:r w:rsidRPr="00CF0A2C">
              <w:t>Les points clés du Plan Stratégique du PNUD 2014-2017</w:t>
            </w:r>
          </w:p>
          <w:p w:rsidR="0084329E" w:rsidRDefault="0084329E" w:rsidP="00221C0E">
            <w:pPr>
              <w:numPr>
                <w:ilvl w:val="1"/>
                <w:numId w:val="5"/>
              </w:numPr>
              <w:spacing w:after="0" w:line="240" w:lineRule="auto"/>
            </w:pPr>
            <w:r w:rsidRPr="00CF0A2C">
              <w:t>Le Programme de Pays  du PNUD avec l’Algérie</w:t>
            </w:r>
          </w:p>
          <w:p w:rsidR="0084329E" w:rsidRPr="00CF0A2C" w:rsidRDefault="0084329E" w:rsidP="00221C0E">
            <w:pPr>
              <w:numPr>
                <w:ilvl w:val="1"/>
                <w:numId w:val="5"/>
              </w:numPr>
              <w:spacing w:after="0" w:line="240" w:lineRule="auto"/>
            </w:pPr>
            <w:r>
              <w:t>Etat de la coopération </w:t>
            </w:r>
          </w:p>
          <w:p w:rsidR="0084329E" w:rsidRDefault="0084329E" w:rsidP="00221C0E">
            <w:pPr>
              <w:numPr>
                <w:ilvl w:val="1"/>
                <w:numId w:val="5"/>
              </w:numPr>
              <w:spacing w:after="0" w:line="240" w:lineRule="auto"/>
            </w:pPr>
            <w:r w:rsidRPr="00CF0A2C">
              <w:t>Les Principales conclusions  des évaluations du Programme et des audits des projets</w:t>
            </w:r>
          </w:p>
          <w:p w:rsidR="0084329E" w:rsidRPr="0084329E" w:rsidRDefault="0084329E" w:rsidP="0084329E">
            <w:pPr>
              <w:spacing w:after="0" w:line="240" w:lineRule="auto"/>
              <w:ind w:left="643"/>
            </w:pPr>
          </w:p>
          <w:p w:rsidR="0084329E" w:rsidRPr="0084329E" w:rsidRDefault="0084329E" w:rsidP="00256535">
            <w:pPr>
              <w:spacing w:after="0" w:line="240" w:lineRule="auto"/>
              <w:jc w:val="both"/>
              <w:rPr>
                <w:b/>
              </w:rPr>
            </w:pPr>
            <w:r>
              <w:rPr>
                <w:b/>
              </w:rPr>
              <w:t xml:space="preserve">II. </w:t>
            </w:r>
            <w:r w:rsidRPr="00256535">
              <w:rPr>
                <w:b/>
              </w:rPr>
              <w:t xml:space="preserve">La vision du Gouvernement Algérien en matière de </w:t>
            </w:r>
            <w:r w:rsidRPr="00256535">
              <w:rPr>
                <w:b/>
              </w:rPr>
              <w:lastRenderedPageBreak/>
              <w:t>coopération avec le Système des Nations Unies (SNU)  en générale et du PNUD en particulier : attentes et perspectives</w:t>
            </w:r>
            <w:r w:rsidRPr="00CF0A2C">
              <w:t xml:space="preserve"> </w:t>
            </w:r>
          </w:p>
          <w:p w:rsidR="0084329E" w:rsidRPr="00CF0A2C" w:rsidRDefault="0084329E" w:rsidP="0084329E">
            <w:pPr>
              <w:spacing w:after="0" w:line="240" w:lineRule="auto"/>
              <w:ind w:left="643"/>
            </w:pPr>
            <w:r w:rsidRPr="00CF0A2C">
              <w:t xml:space="preserve"> </w:t>
            </w:r>
          </w:p>
        </w:tc>
        <w:tc>
          <w:tcPr>
            <w:tcW w:w="2263" w:type="dxa"/>
            <w:shd w:val="clear" w:color="auto" w:fill="DEEAF6"/>
          </w:tcPr>
          <w:p w:rsidR="0084329E" w:rsidRDefault="0084329E" w:rsidP="00796A69">
            <w:r w:rsidRPr="00CF0A2C">
              <w:lastRenderedPageBreak/>
              <w:t>Mme. Randa Aboul</w:t>
            </w:r>
            <w:r>
              <w:t>-</w:t>
            </w:r>
            <w:r w:rsidRPr="00CF0A2C">
              <w:t xml:space="preserve">Hosn, Représentante Résidente Adjointe  du PNUD </w:t>
            </w:r>
          </w:p>
          <w:p w:rsidR="00256535" w:rsidRDefault="00256535" w:rsidP="00796A69"/>
          <w:p w:rsidR="00256535" w:rsidRDefault="00256535" w:rsidP="00796A69"/>
          <w:p w:rsidR="00256535" w:rsidRPr="0084329E" w:rsidRDefault="00256535" w:rsidP="00796A69"/>
        </w:tc>
      </w:tr>
      <w:tr w:rsidR="0084329E" w:rsidRPr="00CF0A2C" w:rsidTr="00B00FEC">
        <w:trPr>
          <w:trHeight w:val="338"/>
        </w:trPr>
        <w:tc>
          <w:tcPr>
            <w:tcW w:w="1137" w:type="dxa"/>
            <w:vMerge/>
            <w:shd w:val="clear" w:color="auto" w:fill="5B9BD5"/>
          </w:tcPr>
          <w:p w:rsidR="0084329E" w:rsidRPr="00CF0A2C" w:rsidRDefault="0084329E" w:rsidP="00796A69">
            <w:pPr>
              <w:rPr>
                <w:b/>
              </w:rPr>
            </w:pPr>
          </w:p>
        </w:tc>
        <w:tc>
          <w:tcPr>
            <w:tcW w:w="5662" w:type="dxa"/>
            <w:vMerge/>
            <w:shd w:val="clear" w:color="auto" w:fill="DEEAF6"/>
          </w:tcPr>
          <w:p w:rsidR="0084329E" w:rsidRPr="00CF0A2C" w:rsidRDefault="0084329E" w:rsidP="00221C0E">
            <w:pPr>
              <w:numPr>
                <w:ilvl w:val="1"/>
                <w:numId w:val="4"/>
              </w:numPr>
              <w:spacing w:after="0" w:line="240" w:lineRule="auto"/>
            </w:pPr>
          </w:p>
        </w:tc>
        <w:tc>
          <w:tcPr>
            <w:tcW w:w="2263" w:type="dxa"/>
            <w:shd w:val="clear" w:color="auto" w:fill="DEEAF6"/>
          </w:tcPr>
          <w:p w:rsidR="0084329E" w:rsidRPr="00CF0A2C" w:rsidRDefault="0084329E" w:rsidP="00796A69">
            <w:r w:rsidRPr="00CF0A2C">
              <w:t xml:space="preserve">MAE </w:t>
            </w:r>
          </w:p>
        </w:tc>
      </w:tr>
      <w:tr w:rsidR="00B11DC2" w:rsidRPr="00CF0A2C" w:rsidTr="00B00FEC">
        <w:trPr>
          <w:trHeight w:val="276"/>
        </w:trPr>
        <w:tc>
          <w:tcPr>
            <w:tcW w:w="1137" w:type="dxa"/>
            <w:shd w:val="clear" w:color="auto" w:fill="5B9BD5"/>
          </w:tcPr>
          <w:p w:rsidR="00B11DC2" w:rsidRPr="00CF0A2C" w:rsidRDefault="00B11DC2" w:rsidP="00B11DC2">
            <w:pPr>
              <w:rPr>
                <w:b/>
              </w:rPr>
            </w:pPr>
            <w:r>
              <w:rPr>
                <w:b/>
              </w:rPr>
              <w:lastRenderedPageBreak/>
              <w:t>10</w:t>
            </w:r>
            <w:r w:rsidRPr="00CF0A2C">
              <w:rPr>
                <w:b/>
              </w:rPr>
              <w:t>.</w:t>
            </w:r>
            <w:r>
              <w:rPr>
                <w:b/>
              </w:rPr>
              <w:t>45 -11.15</w:t>
            </w:r>
          </w:p>
        </w:tc>
        <w:tc>
          <w:tcPr>
            <w:tcW w:w="5662" w:type="dxa"/>
            <w:shd w:val="clear" w:color="auto" w:fill="DEEAF6"/>
          </w:tcPr>
          <w:p w:rsidR="00B11DC2" w:rsidRPr="00CF0A2C" w:rsidRDefault="00B11DC2" w:rsidP="00B11DC2">
            <w:pPr>
              <w:rPr>
                <w:b/>
              </w:rPr>
            </w:pPr>
            <w:r w:rsidRPr="00CF0A2C">
              <w:rPr>
                <w:b/>
              </w:rPr>
              <w:t>Débats et discussions</w:t>
            </w:r>
          </w:p>
        </w:tc>
        <w:tc>
          <w:tcPr>
            <w:tcW w:w="2263" w:type="dxa"/>
            <w:shd w:val="clear" w:color="auto" w:fill="DEEAF6"/>
          </w:tcPr>
          <w:p w:rsidR="00B11DC2" w:rsidRPr="00CF0A2C" w:rsidRDefault="00B11DC2" w:rsidP="00B11DC2"/>
        </w:tc>
      </w:tr>
      <w:tr w:rsidR="00B11DC2" w:rsidRPr="00CF0A2C" w:rsidTr="00B00FEC">
        <w:trPr>
          <w:trHeight w:val="276"/>
        </w:trPr>
        <w:tc>
          <w:tcPr>
            <w:tcW w:w="1137" w:type="dxa"/>
            <w:shd w:val="clear" w:color="auto" w:fill="5B9BD5"/>
          </w:tcPr>
          <w:p w:rsidR="00B11DC2" w:rsidRPr="00CF0A2C" w:rsidRDefault="00B11DC2" w:rsidP="00B11DC2">
            <w:pPr>
              <w:rPr>
                <w:b/>
              </w:rPr>
            </w:pPr>
            <w:r>
              <w:rPr>
                <w:b/>
              </w:rPr>
              <w:t>11.15-11.30</w:t>
            </w:r>
          </w:p>
        </w:tc>
        <w:tc>
          <w:tcPr>
            <w:tcW w:w="5662" w:type="dxa"/>
            <w:shd w:val="clear" w:color="auto" w:fill="DEEAF6"/>
          </w:tcPr>
          <w:p w:rsidR="00B11DC2" w:rsidRPr="00CF0A2C" w:rsidRDefault="00B11DC2" w:rsidP="00B11DC2">
            <w:pPr>
              <w:rPr>
                <w:b/>
              </w:rPr>
            </w:pPr>
            <w:r>
              <w:rPr>
                <w:b/>
              </w:rPr>
              <w:t>Pause-café</w:t>
            </w:r>
          </w:p>
        </w:tc>
        <w:tc>
          <w:tcPr>
            <w:tcW w:w="2263" w:type="dxa"/>
            <w:shd w:val="clear" w:color="auto" w:fill="DEEAF6"/>
          </w:tcPr>
          <w:p w:rsidR="00B11DC2" w:rsidRPr="00CF0A2C" w:rsidRDefault="00B11DC2" w:rsidP="00B11DC2"/>
        </w:tc>
      </w:tr>
      <w:tr w:rsidR="00B11DC2" w:rsidRPr="00CF0A2C" w:rsidTr="00B11DC2">
        <w:trPr>
          <w:trHeight w:val="276"/>
        </w:trPr>
        <w:tc>
          <w:tcPr>
            <w:tcW w:w="9062" w:type="dxa"/>
            <w:gridSpan w:val="3"/>
            <w:shd w:val="clear" w:color="auto" w:fill="8DB3E2" w:themeFill="text2" w:themeFillTint="66"/>
          </w:tcPr>
          <w:p w:rsidR="00B11DC2" w:rsidRPr="00CF0A2C" w:rsidRDefault="00B11DC2" w:rsidP="00B11DC2">
            <w:pPr>
              <w:jc w:val="center"/>
            </w:pPr>
            <w:r w:rsidRPr="00CF0A2C">
              <w:rPr>
                <w:b/>
                <w:bCs/>
              </w:rPr>
              <w:t>Session 2 : Le processus de programmation du PNUD et le cycle de projet</w:t>
            </w:r>
          </w:p>
        </w:tc>
      </w:tr>
      <w:tr w:rsidR="00B11DC2" w:rsidRPr="00CF0A2C" w:rsidTr="00B00FEC">
        <w:trPr>
          <w:trHeight w:val="276"/>
        </w:trPr>
        <w:tc>
          <w:tcPr>
            <w:tcW w:w="1137" w:type="dxa"/>
            <w:shd w:val="clear" w:color="auto" w:fill="5B9BD5"/>
          </w:tcPr>
          <w:p w:rsidR="00B11DC2" w:rsidRPr="00CF0A2C" w:rsidRDefault="00B11DC2" w:rsidP="00A91F28">
            <w:pPr>
              <w:rPr>
                <w:b/>
              </w:rPr>
            </w:pPr>
            <w:r>
              <w:rPr>
                <w:b/>
              </w:rPr>
              <w:t>11.30-1</w:t>
            </w:r>
            <w:r w:rsidR="00A91F28">
              <w:rPr>
                <w:b/>
              </w:rPr>
              <w:t>3</w:t>
            </w:r>
            <w:r>
              <w:rPr>
                <w:b/>
              </w:rPr>
              <w:t>.</w:t>
            </w:r>
            <w:r w:rsidR="00A91F28">
              <w:rPr>
                <w:b/>
              </w:rPr>
              <w:t>00</w:t>
            </w:r>
          </w:p>
        </w:tc>
        <w:tc>
          <w:tcPr>
            <w:tcW w:w="5662" w:type="dxa"/>
            <w:shd w:val="clear" w:color="auto" w:fill="DEEAF6"/>
          </w:tcPr>
          <w:p w:rsidR="00014709" w:rsidRDefault="00B11DC2" w:rsidP="00014709">
            <w:pPr>
              <w:jc w:val="both"/>
              <w:rPr>
                <w:b/>
                <w:bCs/>
                <w:iCs/>
              </w:rPr>
            </w:pPr>
            <w:r w:rsidRPr="00CF0A2C">
              <w:rPr>
                <w:b/>
                <w:bCs/>
                <w:iCs/>
              </w:rPr>
              <w:t xml:space="preserve">III. Présentation </w:t>
            </w:r>
            <w:r w:rsidR="00A91F28">
              <w:rPr>
                <w:b/>
                <w:bCs/>
                <w:iCs/>
              </w:rPr>
              <w:t xml:space="preserve">d’un des principes programmatiques des Nations Unies/PNUD </w:t>
            </w:r>
          </w:p>
          <w:p w:rsidR="00014709" w:rsidRPr="00014709" w:rsidRDefault="00B11DC2" w:rsidP="00014709">
            <w:pPr>
              <w:pStyle w:val="Paragraphedeliste"/>
              <w:numPr>
                <w:ilvl w:val="1"/>
                <w:numId w:val="4"/>
              </w:numPr>
              <w:jc w:val="both"/>
              <w:rPr>
                <w:bCs/>
                <w:iCs/>
              </w:rPr>
            </w:pPr>
            <w:r w:rsidRPr="00CF0A2C">
              <w:t xml:space="preserve">La gestion axée sur les résultats  l’un des principes clés de la programmation du PNUD </w:t>
            </w:r>
          </w:p>
          <w:p w:rsidR="00A91F28" w:rsidRPr="00014709" w:rsidRDefault="00A91F28" w:rsidP="00014709">
            <w:pPr>
              <w:pStyle w:val="Paragraphedeliste"/>
              <w:numPr>
                <w:ilvl w:val="1"/>
                <w:numId w:val="4"/>
              </w:numPr>
              <w:jc w:val="both"/>
              <w:rPr>
                <w:bCs/>
                <w:iCs/>
              </w:rPr>
            </w:pPr>
            <w:r>
              <w:t>La chaine des résultats</w:t>
            </w:r>
          </w:p>
          <w:p w:rsidR="00B11DC2" w:rsidRPr="00CF0A2C" w:rsidRDefault="00B11DC2" w:rsidP="00B11DC2">
            <w:pPr>
              <w:rPr>
                <w:b/>
                <w:i/>
              </w:rPr>
            </w:pPr>
          </w:p>
        </w:tc>
        <w:tc>
          <w:tcPr>
            <w:tcW w:w="2263" w:type="dxa"/>
            <w:shd w:val="clear" w:color="auto" w:fill="DEEAF6"/>
          </w:tcPr>
          <w:p w:rsidR="00B11DC2" w:rsidRPr="00CF0A2C" w:rsidRDefault="00F3307F" w:rsidP="00B11DC2">
            <w:pPr>
              <w:rPr>
                <w:b/>
              </w:rPr>
            </w:pPr>
            <w:r w:rsidRPr="00CF0A2C">
              <w:rPr>
                <w:bCs/>
                <w:iCs/>
                <w:lang w:val="en-US"/>
              </w:rPr>
              <w:t>Dr. Francois-Corneille Kedowide</w:t>
            </w:r>
          </w:p>
        </w:tc>
      </w:tr>
      <w:tr w:rsidR="00B11DC2" w:rsidRPr="00CF0A2C" w:rsidTr="00B00FEC">
        <w:trPr>
          <w:trHeight w:val="276"/>
        </w:trPr>
        <w:tc>
          <w:tcPr>
            <w:tcW w:w="1137" w:type="dxa"/>
            <w:shd w:val="clear" w:color="auto" w:fill="5B9BD5"/>
          </w:tcPr>
          <w:p w:rsidR="00B11DC2" w:rsidRPr="00CF0A2C" w:rsidRDefault="00B11DC2">
            <w:pPr>
              <w:rPr>
                <w:b/>
              </w:rPr>
            </w:pPr>
            <w:r>
              <w:rPr>
                <w:b/>
              </w:rPr>
              <w:t>1</w:t>
            </w:r>
            <w:r w:rsidR="00A91F28">
              <w:rPr>
                <w:b/>
              </w:rPr>
              <w:t>3</w:t>
            </w:r>
            <w:r>
              <w:rPr>
                <w:b/>
              </w:rPr>
              <w:t>.</w:t>
            </w:r>
            <w:r w:rsidR="00A91F28">
              <w:rPr>
                <w:b/>
              </w:rPr>
              <w:t>0</w:t>
            </w:r>
            <w:r>
              <w:rPr>
                <w:b/>
              </w:rPr>
              <w:t>0-1</w:t>
            </w:r>
            <w:r w:rsidR="00A91F28">
              <w:rPr>
                <w:b/>
              </w:rPr>
              <w:t>4</w:t>
            </w:r>
            <w:r>
              <w:rPr>
                <w:b/>
              </w:rPr>
              <w:t>.</w:t>
            </w:r>
            <w:r w:rsidR="00A91F28">
              <w:rPr>
                <w:b/>
              </w:rPr>
              <w:t>0</w:t>
            </w:r>
            <w:r>
              <w:rPr>
                <w:b/>
              </w:rPr>
              <w:t>0</w:t>
            </w:r>
          </w:p>
        </w:tc>
        <w:tc>
          <w:tcPr>
            <w:tcW w:w="5662" w:type="dxa"/>
            <w:shd w:val="clear" w:color="auto" w:fill="DEEAF6"/>
          </w:tcPr>
          <w:p w:rsidR="00B11DC2" w:rsidRPr="00CF0A2C" w:rsidRDefault="00B11DC2" w:rsidP="00B11DC2">
            <w:pPr>
              <w:rPr>
                <w:b/>
                <w:i/>
              </w:rPr>
            </w:pPr>
            <w:r w:rsidRPr="00CF0A2C">
              <w:rPr>
                <w:b/>
                <w:i/>
              </w:rPr>
              <w:t>Pause Déjeuner</w:t>
            </w:r>
          </w:p>
        </w:tc>
        <w:tc>
          <w:tcPr>
            <w:tcW w:w="2263" w:type="dxa"/>
            <w:shd w:val="clear" w:color="auto" w:fill="DEEAF6"/>
          </w:tcPr>
          <w:p w:rsidR="00B11DC2" w:rsidRPr="00CF0A2C" w:rsidRDefault="00B11DC2" w:rsidP="00B11DC2">
            <w:pPr>
              <w:rPr>
                <w:b/>
              </w:rPr>
            </w:pPr>
          </w:p>
        </w:tc>
      </w:tr>
      <w:tr w:rsidR="00B11DC2" w:rsidRPr="00CF0A2C" w:rsidTr="00B00FEC">
        <w:trPr>
          <w:trHeight w:val="276"/>
        </w:trPr>
        <w:tc>
          <w:tcPr>
            <w:tcW w:w="9062" w:type="dxa"/>
            <w:gridSpan w:val="3"/>
            <w:shd w:val="clear" w:color="auto" w:fill="5B9BD5"/>
          </w:tcPr>
          <w:p w:rsidR="00B11DC2" w:rsidRPr="00CF0A2C" w:rsidRDefault="00B11DC2" w:rsidP="00B11DC2">
            <w:pPr>
              <w:jc w:val="center"/>
              <w:rPr>
                <w:b/>
              </w:rPr>
            </w:pPr>
            <w:r w:rsidRPr="00CF0A2C">
              <w:rPr>
                <w:b/>
              </w:rPr>
              <w:t>Après-midi</w:t>
            </w:r>
          </w:p>
        </w:tc>
      </w:tr>
      <w:tr w:rsidR="00B11DC2" w:rsidRPr="00CF0A2C" w:rsidTr="00221C0E">
        <w:trPr>
          <w:trHeight w:val="911"/>
        </w:trPr>
        <w:tc>
          <w:tcPr>
            <w:tcW w:w="9062" w:type="dxa"/>
            <w:gridSpan w:val="3"/>
            <w:shd w:val="clear" w:color="auto" w:fill="95B3D7" w:themeFill="accent1" w:themeFillTint="99"/>
          </w:tcPr>
          <w:p w:rsidR="00B11DC2" w:rsidRPr="00CF0A2C" w:rsidRDefault="00B11DC2" w:rsidP="00B11DC2">
            <w:pPr>
              <w:jc w:val="center"/>
              <w:rPr>
                <w:b/>
                <w:bCs/>
              </w:rPr>
            </w:pPr>
            <w:bookmarkStart w:id="0" w:name="_Toc297762246"/>
          </w:p>
          <w:p w:rsidR="00B11DC2" w:rsidRPr="00CF0A2C" w:rsidRDefault="00B11DC2" w:rsidP="00B11DC2">
            <w:pPr>
              <w:jc w:val="center"/>
              <w:rPr>
                <w:b/>
                <w:bCs/>
              </w:rPr>
            </w:pPr>
            <w:r w:rsidRPr="00CF0A2C">
              <w:rPr>
                <w:b/>
                <w:bCs/>
              </w:rPr>
              <w:t xml:space="preserve">Session 2 : </w:t>
            </w:r>
            <w:bookmarkEnd w:id="0"/>
            <w:r w:rsidRPr="00CF0A2C">
              <w:rPr>
                <w:b/>
                <w:bCs/>
              </w:rPr>
              <w:t>Le processus de programmation du PNUD et le cycle de projet</w:t>
            </w:r>
            <w:r>
              <w:rPr>
                <w:b/>
                <w:bCs/>
              </w:rPr>
              <w:t xml:space="preserve"> (suite)</w:t>
            </w:r>
          </w:p>
        </w:tc>
      </w:tr>
      <w:tr w:rsidR="00B11DC2" w:rsidRPr="00CF0A2C" w:rsidTr="00B00FEC">
        <w:trPr>
          <w:trHeight w:val="70"/>
        </w:trPr>
        <w:tc>
          <w:tcPr>
            <w:tcW w:w="1137" w:type="dxa"/>
            <w:shd w:val="clear" w:color="auto" w:fill="5B9BD5"/>
          </w:tcPr>
          <w:p w:rsidR="00B11DC2" w:rsidRPr="00CF0A2C" w:rsidRDefault="00A91F28">
            <w:pPr>
              <w:rPr>
                <w:b/>
              </w:rPr>
            </w:pPr>
            <w:r>
              <w:rPr>
                <w:b/>
              </w:rPr>
              <w:t>14</w:t>
            </w:r>
            <w:r w:rsidR="00F3307F">
              <w:rPr>
                <w:b/>
              </w:rPr>
              <w:t>.</w:t>
            </w:r>
            <w:r>
              <w:rPr>
                <w:b/>
              </w:rPr>
              <w:t>0</w:t>
            </w:r>
            <w:r w:rsidR="00F3307F">
              <w:rPr>
                <w:b/>
              </w:rPr>
              <w:t>0-1</w:t>
            </w:r>
            <w:r>
              <w:rPr>
                <w:b/>
              </w:rPr>
              <w:t>5</w:t>
            </w:r>
            <w:r w:rsidR="00F3307F">
              <w:rPr>
                <w:b/>
              </w:rPr>
              <w:t>.</w:t>
            </w:r>
            <w:r>
              <w:rPr>
                <w:b/>
              </w:rPr>
              <w:t>0</w:t>
            </w:r>
            <w:r w:rsidR="00F3307F">
              <w:rPr>
                <w:b/>
              </w:rPr>
              <w:t>0</w:t>
            </w:r>
          </w:p>
        </w:tc>
        <w:tc>
          <w:tcPr>
            <w:tcW w:w="5662" w:type="dxa"/>
            <w:shd w:val="clear" w:color="auto" w:fill="DEEAF6"/>
          </w:tcPr>
          <w:p w:rsidR="00B11DC2" w:rsidRPr="00014709" w:rsidRDefault="00B11DC2" w:rsidP="00014709">
            <w:pPr>
              <w:spacing w:after="0" w:line="240" w:lineRule="auto"/>
              <w:jc w:val="both"/>
              <w:rPr>
                <w:b/>
                <w:bCs/>
                <w:iCs/>
              </w:rPr>
            </w:pPr>
            <w:r w:rsidRPr="00CF0A2C">
              <w:rPr>
                <w:b/>
                <w:bCs/>
                <w:iCs/>
              </w:rPr>
              <w:t>IV. Présentation du cycle du projet</w:t>
            </w:r>
          </w:p>
          <w:p w:rsidR="00014709" w:rsidRPr="00014709" w:rsidRDefault="00B11DC2" w:rsidP="00014709">
            <w:pPr>
              <w:numPr>
                <w:ilvl w:val="0"/>
                <w:numId w:val="10"/>
              </w:numPr>
              <w:spacing w:after="0" w:line="240" w:lineRule="auto"/>
              <w:jc w:val="both"/>
              <w:rPr>
                <w:bCs/>
                <w:iCs/>
                <w:u w:val="single"/>
              </w:rPr>
            </w:pPr>
            <w:r w:rsidRPr="00CF0A2C">
              <w:rPr>
                <w:bCs/>
                <w:iCs/>
              </w:rPr>
              <w:t>Les phases successives du cycle du projet</w:t>
            </w:r>
            <w:r>
              <w:rPr>
                <w:bCs/>
                <w:iCs/>
              </w:rPr>
              <w:t xml:space="preserve"> </w:t>
            </w:r>
          </w:p>
          <w:p w:rsidR="00B11DC2" w:rsidRPr="00CF0A2C" w:rsidRDefault="00B11DC2" w:rsidP="00014709">
            <w:pPr>
              <w:numPr>
                <w:ilvl w:val="0"/>
                <w:numId w:val="10"/>
              </w:numPr>
              <w:spacing w:after="0" w:line="240" w:lineRule="auto"/>
              <w:jc w:val="both"/>
              <w:rPr>
                <w:bCs/>
                <w:iCs/>
                <w:u w:val="single"/>
              </w:rPr>
            </w:pPr>
            <w:r w:rsidRPr="00CF0A2C">
              <w:rPr>
                <w:bCs/>
                <w:iCs/>
              </w:rPr>
              <w:t>Rôles et responsabilités des parties prenantes</w:t>
            </w:r>
          </w:p>
        </w:tc>
        <w:tc>
          <w:tcPr>
            <w:tcW w:w="2263" w:type="dxa"/>
            <w:shd w:val="clear" w:color="auto" w:fill="DEEAF6"/>
          </w:tcPr>
          <w:p w:rsidR="00B11DC2" w:rsidRPr="00CF0A2C" w:rsidRDefault="00B11DC2" w:rsidP="00B11DC2">
            <w:pPr>
              <w:rPr>
                <w:bCs/>
                <w:iCs/>
              </w:rPr>
            </w:pPr>
            <w:r w:rsidRPr="00CF0A2C">
              <w:rPr>
                <w:bCs/>
                <w:iCs/>
                <w:lang w:val="en-US"/>
              </w:rPr>
              <w:t>Dr. Francois-Corneille Kedowide</w:t>
            </w:r>
          </w:p>
        </w:tc>
      </w:tr>
      <w:tr w:rsidR="00B11DC2" w:rsidRPr="00CF0A2C" w:rsidTr="00B00FEC">
        <w:trPr>
          <w:trHeight w:val="70"/>
        </w:trPr>
        <w:tc>
          <w:tcPr>
            <w:tcW w:w="1137" w:type="dxa"/>
            <w:shd w:val="clear" w:color="auto" w:fill="5B9BD5"/>
          </w:tcPr>
          <w:p w:rsidR="00B11DC2" w:rsidRPr="00CF0A2C" w:rsidRDefault="00F3307F">
            <w:pPr>
              <w:rPr>
                <w:b/>
              </w:rPr>
            </w:pPr>
            <w:r>
              <w:rPr>
                <w:b/>
              </w:rPr>
              <w:t>1</w:t>
            </w:r>
            <w:r w:rsidR="00A91F28">
              <w:rPr>
                <w:b/>
              </w:rPr>
              <w:t>5</w:t>
            </w:r>
            <w:r>
              <w:rPr>
                <w:b/>
              </w:rPr>
              <w:t>.</w:t>
            </w:r>
            <w:r w:rsidR="00A91F28">
              <w:rPr>
                <w:b/>
              </w:rPr>
              <w:t>0</w:t>
            </w:r>
            <w:r>
              <w:rPr>
                <w:b/>
              </w:rPr>
              <w:t>0-1</w:t>
            </w:r>
            <w:r w:rsidR="00A91F28">
              <w:rPr>
                <w:b/>
              </w:rPr>
              <w:t>5</w:t>
            </w:r>
            <w:r>
              <w:rPr>
                <w:b/>
              </w:rPr>
              <w:t>.</w:t>
            </w:r>
            <w:r w:rsidR="00A91F28">
              <w:rPr>
                <w:b/>
              </w:rPr>
              <w:t>30</w:t>
            </w:r>
          </w:p>
        </w:tc>
        <w:tc>
          <w:tcPr>
            <w:tcW w:w="5662" w:type="dxa"/>
            <w:shd w:val="clear" w:color="auto" w:fill="DEEAF6"/>
          </w:tcPr>
          <w:p w:rsidR="00B11DC2" w:rsidRPr="00CF0A2C" w:rsidRDefault="00B11DC2" w:rsidP="00B11DC2">
            <w:pPr>
              <w:rPr>
                <w:b/>
                <w:i/>
              </w:rPr>
            </w:pPr>
            <w:r w:rsidRPr="00CF0A2C">
              <w:rPr>
                <w:b/>
              </w:rPr>
              <w:t>Débats et discussions</w:t>
            </w:r>
          </w:p>
        </w:tc>
        <w:tc>
          <w:tcPr>
            <w:tcW w:w="2263" w:type="dxa"/>
            <w:shd w:val="clear" w:color="auto" w:fill="DEEAF6"/>
          </w:tcPr>
          <w:p w:rsidR="00B11DC2" w:rsidRPr="00CF0A2C" w:rsidRDefault="00B11DC2" w:rsidP="00B11DC2"/>
        </w:tc>
      </w:tr>
      <w:tr w:rsidR="00B11DC2" w:rsidRPr="00CF0A2C" w:rsidTr="00B00FEC">
        <w:trPr>
          <w:trHeight w:val="70"/>
        </w:trPr>
        <w:tc>
          <w:tcPr>
            <w:tcW w:w="1137" w:type="dxa"/>
            <w:shd w:val="clear" w:color="auto" w:fill="5B9BD5"/>
          </w:tcPr>
          <w:p w:rsidR="00B11DC2" w:rsidRPr="00CF0A2C" w:rsidRDefault="00F3307F">
            <w:pPr>
              <w:rPr>
                <w:b/>
              </w:rPr>
            </w:pPr>
            <w:r>
              <w:rPr>
                <w:b/>
              </w:rPr>
              <w:t>1</w:t>
            </w:r>
            <w:r w:rsidR="00A91F28">
              <w:rPr>
                <w:b/>
              </w:rPr>
              <w:t>5</w:t>
            </w:r>
            <w:r>
              <w:rPr>
                <w:b/>
              </w:rPr>
              <w:t>.</w:t>
            </w:r>
            <w:r w:rsidR="00A91F28">
              <w:rPr>
                <w:b/>
              </w:rPr>
              <w:t>30</w:t>
            </w:r>
            <w:r>
              <w:rPr>
                <w:b/>
              </w:rPr>
              <w:t>-15.</w:t>
            </w:r>
            <w:r w:rsidR="00A91F28">
              <w:rPr>
                <w:b/>
              </w:rPr>
              <w:t>45</w:t>
            </w:r>
          </w:p>
        </w:tc>
        <w:tc>
          <w:tcPr>
            <w:tcW w:w="5662" w:type="dxa"/>
            <w:shd w:val="clear" w:color="auto" w:fill="DEEAF6"/>
          </w:tcPr>
          <w:p w:rsidR="00B11DC2" w:rsidRPr="00CF0A2C" w:rsidRDefault="00B11DC2" w:rsidP="00B11DC2">
            <w:r w:rsidRPr="00CF0A2C">
              <w:rPr>
                <w:b/>
                <w:bCs/>
              </w:rPr>
              <w:t>Pause-Café</w:t>
            </w:r>
          </w:p>
        </w:tc>
        <w:tc>
          <w:tcPr>
            <w:tcW w:w="2263" w:type="dxa"/>
            <w:shd w:val="clear" w:color="auto" w:fill="DEEAF6"/>
          </w:tcPr>
          <w:p w:rsidR="00B11DC2" w:rsidRPr="00CF0A2C" w:rsidRDefault="00B11DC2" w:rsidP="00B11DC2">
            <w:pPr>
              <w:rPr>
                <w:b/>
                <w:bCs/>
              </w:rPr>
            </w:pPr>
          </w:p>
        </w:tc>
      </w:tr>
      <w:tr w:rsidR="00B11DC2" w:rsidRPr="00CF0A2C" w:rsidTr="00FF04F2">
        <w:trPr>
          <w:trHeight w:val="346"/>
        </w:trPr>
        <w:tc>
          <w:tcPr>
            <w:tcW w:w="9062" w:type="dxa"/>
            <w:gridSpan w:val="3"/>
            <w:shd w:val="clear" w:color="auto" w:fill="9CC2E5"/>
          </w:tcPr>
          <w:p w:rsidR="00B11DC2" w:rsidRPr="00CF0A2C" w:rsidRDefault="00B11DC2" w:rsidP="00B11DC2">
            <w:pPr>
              <w:jc w:val="center"/>
              <w:rPr>
                <w:b/>
              </w:rPr>
            </w:pPr>
            <w:r w:rsidRPr="00CF0A2C">
              <w:rPr>
                <w:b/>
              </w:rPr>
              <w:t>Session 3 : Les outils et mécanismes de suivi et évaluation</w:t>
            </w:r>
          </w:p>
        </w:tc>
      </w:tr>
      <w:tr w:rsidR="00B11DC2" w:rsidRPr="00CF0A2C" w:rsidTr="00B00FEC">
        <w:tc>
          <w:tcPr>
            <w:tcW w:w="1137" w:type="dxa"/>
            <w:shd w:val="clear" w:color="auto" w:fill="5B9BD5"/>
          </w:tcPr>
          <w:p w:rsidR="00B11DC2" w:rsidRPr="00CF0A2C" w:rsidRDefault="00F3307F" w:rsidP="00F3307F">
            <w:pPr>
              <w:rPr>
                <w:b/>
              </w:rPr>
            </w:pPr>
            <w:r>
              <w:rPr>
                <w:b/>
              </w:rPr>
              <w:t>15.</w:t>
            </w:r>
            <w:r w:rsidR="00A91F28">
              <w:rPr>
                <w:b/>
              </w:rPr>
              <w:t>45</w:t>
            </w:r>
            <w:r>
              <w:rPr>
                <w:b/>
              </w:rPr>
              <w:t>-</w:t>
            </w:r>
            <w:r w:rsidR="00B11DC2" w:rsidRPr="00CF0A2C">
              <w:rPr>
                <w:b/>
              </w:rPr>
              <w:t>16.</w:t>
            </w:r>
            <w:r w:rsidR="00A91F28">
              <w:rPr>
                <w:b/>
              </w:rPr>
              <w:t>3</w:t>
            </w:r>
            <w:r>
              <w:rPr>
                <w:b/>
              </w:rPr>
              <w:t>0</w:t>
            </w:r>
          </w:p>
        </w:tc>
        <w:tc>
          <w:tcPr>
            <w:tcW w:w="5662" w:type="dxa"/>
            <w:shd w:val="clear" w:color="auto" w:fill="DEEAF6"/>
          </w:tcPr>
          <w:p w:rsidR="00B11DC2" w:rsidRPr="00CF0A2C" w:rsidRDefault="00B11DC2" w:rsidP="00B11DC2">
            <w:pPr>
              <w:spacing w:after="0" w:line="240" w:lineRule="auto"/>
              <w:jc w:val="both"/>
              <w:rPr>
                <w:b/>
                <w:bCs/>
                <w:iCs/>
              </w:rPr>
            </w:pPr>
            <w:r w:rsidRPr="00CF0A2C">
              <w:rPr>
                <w:b/>
                <w:bCs/>
                <w:iCs/>
              </w:rPr>
              <w:t>V. Le suivi et l’évaluation des projets et programmes</w:t>
            </w:r>
          </w:p>
          <w:p w:rsidR="00B11DC2" w:rsidRPr="00CF0A2C" w:rsidRDefault="00B11DC2" w:rsidP="00B11DC2">
            <w:pPr>
              <w:numPr>
                <w:ilvl w:val="0"/>
                <w:numId w:val="9"/>
              </w:numPr>
              <w:spacing w:after="0" w:line="240" w:lineRule="auto"/>
              <w:jc w:val="both"/>
            </w:pPr>
            <w:r w:rsidRPr="00CF0A2C">
              <w:t>Définition du suivi et de l’évaluation</w:t>
            </w:r>
          </w:p>
          <w:p w:rsidR="00B11DC2" w:rsidRPr="00CF0A2C" w:rsidRDefault="00B11DC2" w:rsidP="00B11DC2">
            <w:pPr>
              <w:numPr>
                <w:ilvl w:val="0"/>
                <w:numId w:val="9"/>
              </w:numPr>
              <w:spacing w:after="0" w:line="240" w:lineRule="auto"/>
              <w:jc w:val="both"/>
            </w:pPr>
            <w:r w:rsidRPr="00CF0A2C">
              <w:t>Le suivi, l’évaluation et le cycle du projet</w:t>
            </w:r>
          </w:p>
          <w:p w:rsidR="00B11DC2" w:rsidRPr="00CF0A2C" w:rsidRDefault="00B11DC2" w:rsidP="00B11DC2">
            <w:pPr>
              <w:numPr>
                <w:ilvl w:val="0"/>
                <w:numId w:val="9"/>
              </w:numPr>
              <w:spacing w:after="0" w:line="240" w:lineRule="auto"/>
              <w:jc w:val="both"/>
            </w:pPr>
            <w:r w:rsidRPr="00CF0A2C">
              <w:t>Outils et mécanisme</w:t>
            </w:r>
            <w:r>
              <w:t>s</w:t>
            </w:r>
            <w:r w:rsidRPr="00CF0A2C">
              <w:t xml:space="preserve"> de suivi et types d’évaluation </w:t>
            </w:r>
          </w:p>
          <w:p w:rsidR="00B11DC2" w:rsidRPr="00CF0A2C" w:rsidRDefault="00B11DC2" w:rsidP="00B11DC2">
            <w:pPr>
              <w:numPr>
                <w:ilvl w:val="0"/>
                <w:numId w:val="9"/>
              </w:numPr>
              <w:spacing w:after="0" w:line="240" w:lineRule="auto"/>
              <w:jc w:val="both"/>
            </w:pPr>
            <w:r w:rsidRPr="00CF0A2C">
              <w:t>Les responsabilités en matière de suivi/évaluation</w:t>
            </w:r>
          </w:p>
          <w:p w:rsidR="00B11DC2" w:rsidRPr="00CF0A2C" w:rsidRDefault="00014709" w:rsidP="00B11DC2">
            <w:pPr>
              <w:numPr>
                <w:ilvl w:val="0"/>
                <w:numId w:val="9"/>
              </w:numPr>
              <w:spacing w:after="0" w:line="240" w:lineRule="auto"/>
              <w:jc w:val="both"/>
            </w:pPr>
            <w:r>
              <w:t xml:space="preserve">Planification </w:t>
            </w:r>
            <w:r w:rsidR="00B11DC2" w:rsidRPr="00CF0A2C">
              <w:t>et financement des activités de suivi/évaluation</w:t>
            </w:r>
          </w:p>
          <w:p w:rsidR="00B11DC2" w:rsidRPr="00CF0A2C" w:rsidRDefault="00B11DC2">
            <w:pPr>
              <w:numPr>
                <w:ilvl w:val="0"/>
                <w:numId w:val="9"/>
              </w:numPr>
              <w:jc w:val="both"/>
            </w:pPr>
            <w:r w:rsidRPr="00CF0A2C">
              <w:t xml:space="preserve">Le </w:t>
            </w:r>
            <w:proofErr w:type="spellStart"/>
            <w:r w:rsidRPr="00CF0A2C">
              <w:t>r</w:t>
            </w:r>
            <w:r w:rsidR="00A91F28">
              <w:t>eporting</w:t>
            </w:r>
            <w:proofErr w:type="spellEnd"/>
            <w:r w:rsidR="00A91F28">
              <w:t xml:space="preserve"> axé sur les résultats</w:t>
            </w:r>
          </w:p>
        </w:tc>
        <w:tc>
          <w:tcPr>
            <w:tcW w:w="2263" w:type="dxa"/>
            <w:shd w:val="clear" w:color="auto" w:fill="DEEAF6"/>
          </w:tcPr>
          <w:p w:rsidR="00B11DC2" w:rsidRPr="00CF0A2C" w:rsidRDefault="00B11DC2" w:rsidP="00B11DC2">
            <w:r w:rsidRPr="00CF0A2C">
              <w:rPr>
                <w:bCs/>
                <w:lang w:val="en-US"/>
              </w:rPr>
              <w:t>Dr. Francois-Corneille Kedowide</w:t>
            </w:r>
          </w:p>
        </w:tc>
      </w:tr>
      <w:tr w:rsidR="00B11DC2" w:rsidRPr="00CF0A2C" w:rsidTr="00BA07B3">
        <w:trPr>
          <w:trHeight w:val="531"/>
        </w:trPr>
        <w:tc>
          <w:tcPr>
            <w:tcW w:w="1137" w:type="dxa"/>
            <w:shd w:val="clear" w:color="auto" w:fill="5B9BD5"/>
          </w:tcPr>
          <w:p w:rsidR="00B11DC2" w:rsidRPr="00CF0A2C" w:rsidRDefault="00F3307F">
            <w:pPr>
              <w:rPr>
                <w:b/>
              </w:rPr>
            </w:pPr>
            <w:r>
              <w:rPr>
                <w:b/>
              </w:rPr>
              <w:lastRenderedPageBreak/>
              <w:t>16.</w:t>
            </w:r>
            <w:r w:rsidR="00A91F28">
              <w:rPr>
                <w:b/>
              </w:rPr>
              <w:t>3</w:t>
            </w:r>
            <w:r>
              <w:rPr>
                <w:b/>
              </w:rPr>
              <w:t>0-16.</w:t>
            </w:r>
            <w:r w:rsidR="00A91F28">
              <w:rPr>
                <w:b/>
              </w:rPr>
              <w:t>45</w:t>
            </w:r>
          </w:p>
        </w:tc>
        <w:tc>
          <w:tcPr>
            <w:tcW w:w="5662" w:type="dxa"/>
            <w:shd w:val="clear" w:color="auto" w:fill="DEEAF6"/>
          </w:tcPr>
          <w:p w:rsidR="00B11DC2" w:rsidRPr="00CF0A2C" w:rsidRDefault="00B11DC2" w:rsidP="00B11DC2">
            <w:pPr>
              <w:rPr>
                <w:b/>
              </w:rPr>
            </w:pPr>
            <w:r w:rsidRPr="00CF0A2C">
              <w:rPr>
                <w:b/>
              </w:rPr>
              <w:t>Débats et discussions</w:t>
            </w:r>
          </w:p>
        </w:tc>
        <w:tc>
          <w:tcPr>
            <w:tcW w:w="2263" w:type="dxa"/>
            <w:shd w:val="clear" w:color="auto" w:fill="DEEAF6"/>
          </w:tcPr>
          <w:p w:rsidR="00B11DC2" w:rsidRPr="00CF0A2C" w:rsidRDefault="00B11DC2" w:rsidP="00B11DC2"/>
        </w:tc>
      </w:tr>
      <w:tr w:rsidR="00B11DC2" w:rsidRPr="00CF0A2C" w:rsidTr="00B00FEC">
        <w:tc>
          <w:tcPr>
            <w:tcW w:w="1137" w:type="dxa"/>
            <w:shd w:val="clear" w:color="auto" w:fill="5B9BD5"/>
          </w:tcPr>
          <w:p w:rsidR="00B11DC2" w:rsidRPr="00CF0A2C" w:rsidRDefault="00F3307F">
            <w:pPr>
              <w:rPr>
                <w:b/>
              </w:rPr>
            </w:pPr>
            <w:r>
              <w:rPr>
                <w:b/>
              </w:rPr>
              <w:t>16.</w:t>
            </w:r>
            <w:r w:rsidR="00A91F28">
              <w:rPr>
                <w:b/>
              </w:rPr>
              <w:t>45</w:t>
            </w:r>
            <w:r>
              <w:rPr>
                <w:b/>
              </w:rPr>
              <w:t>-1</w:t>
            </w:r>
            <w:r w:rsidR="00A91F28">
              <w:rPr>
                <w:b/>
              </w:rPr>
              <w:t>7</w:t>
            </w:r>
            <w:r>
              <w:rPr>
                <w:b/>
              </w:rPr>
              <w:t>.</w:t>
            </w:r>
            <w:r w:rsidR="00A91F28">
              <w:rPr>
                <w:b/>
              </w:rPr>
              <w:t>00</w:t>
            </w:r>
          </w:p>
        </w:tc>
        <w:tc>
          <w:tcPr>
            <w:tcW w:w="5662" w:type="dxa"/>
            <w:shd w:val="clear" w:color="auto" w:fill="DEEAF6"/>
          </w:tcPr>
          <w:p w:rsidR="00B11DC2" w:rsidRPr="00CF0A2C" w:rsidRDefault="00B11DC2" w:rsidP="00B11DC2">
            <w:pPr>
              <w:rPr>
                <w:b/>
              </w:rPr>
            </w:pPr>
            <w:r w:rsidRPr="00CF0A2C">
              <w:rPr>
                <w:b/>
              </w:rPr>
              <w:t xml:space="preserve">Résumé et conclusions de la Première journée </w:t>
            </w:r>
          </w:p>
        </w:tc>
        <w:tc>
          <w:tcPr>
            <w:tcW w:w="2263" w:type="dxa"/>
            <w:shd w:val="clear" w:color="auto" w:fill="DEEAF6"/>
          </w:tcPr>
          <w:p w:rsidR="00B11DC2" w:rsidRPr="00CF0A2C" w:rsidRDefault="00B11DC2" w:rsidP="00B11DC2"/>
        </w:tc>
      </w:tr>
      <w:tr w:rsidR="00B11DC2" w:rsidRPr="00CF0A2C" w:rsidTr="001D4C6A">
        <w:trPr>
          <w:trHeight w:val="476"/>
        </w:trPr>
        <w:tc>
          <w:tcPr>
            <w:tcW w:w="9062" w:type="dxa"/>
            <w:gridSpan w:val="3"/>
            <w:shd w:val="clear" w:color="auto" w:fill="9CC2E5"/>
          </w:tcPr>
          <w:p w:rsidR="00B11DC2" w:rsidRPr="00CF0A2C" w:rsidRDefault="00B11DC2" w:rsidP="00B11DC2">
            <w:pPr>
              <w:jc w:val="center"/>
              <w:rPr>
                <w:b/>
              </w:rPr>
            </w:pPr>
            <w:r w:rsidRPr="00CF0A2C">
              <w:rPr>
                <w:b/>
              </w:rPr>
              <w:t>Fin de la 1</w:t>
            </w:r>
            <w:r w:rsidRPr="00CF0A2C">
              <w:rPr>
                <w:b/>
                <w:vertAlign w:val="superscript"/>
              </w:rPr>
              <w:t>ère</w:t>
            </w:r>
            <w:r w:rsidRPr="00CF0A2C">
              <w:rPr>
                <w:b/>
              </w:rPr>
              <w:t xml:space="preserve"> Journée</w:t>
            </w:r>
          </w:p>
        </w:tc>
      </w:tr>
    </w:tbl>
    <w:p w:rsidR="00796A69" w:rsidRPr="00CF0A2C" w:rsidRDefault="00796A69" w:rsidP="00796A69"/>
    <w:p w:rsidR="00796A69" w:rsidRPr="00CF0A2C" w:rsidRDefault="00796A69" w:rsidP="00796A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5668"/>
        <w:gridCol w:w="2517"/>
      </w:tblGrid>
      <w:tr w:rsidR="00796A69" w:rsidRPr="00CF0A2C" w:rsidTr="00CF0A2C">
        <w:trPr>
          <w:trHeight w:val="390"/>
        </w:trPr>
        <w:tc>
          <w:tcPr>
            <w:tcW w:w="9288" w:type="dxa"/>
            <w:gridSpan w:val="3"/>
            <w:shd w:val="clear" w:color="auto" w:fill="5B9BD5"/>
          </w:tcPr>
          <w:p w:rsidR="00796A69" w:rsidRPr="00CF0A2C" w:rsidRDefault="00796A69" w:rsidP="00221C0E">
            <w:pPr>
              <w:jc w:val="center"/>
              <w:rPr>
                <w:b/>
              </w:rPr>
            </w:pPr>
            <w:r w:rsidRPr="00CF0A2C">
              <w:rPr>
                <w:b/>
              </w:rPr>
              <w:t>Deuxième journée</w:t>
            </w:r>
          </w:p>
        </w:tc>
      </w:tr>
      <w:tr w:rsidR="00796A69" w:rsidRPr="00CF0A2C" w:rsidTr="00CF0A2C">
        <w:trPr>
          <w:trHeight w:val="330"/>
        </w:trPr>
        <w:tc>
          <w:tcPr>
            <w:tcW w:w="9288" w:type="dxa"/>
            <w:gridSpan w:val="3"/>
            <w:shd w:val="clear" w:color="auto" w:fill="9CC2E5"/>
          </w:tcPr>
          <w:p w:rsidR="00796A69" w:rsidRPr="00CF0A2C" w:rsidRDefault="00796A69" w:rsidP="00221C0E">
            <w:pPr>
              <w:jc w:val="center"/>
              <w:rPr>
                <w:b/>
              </w:rPr>
            </w:pPr>
            <w:r w:rsidRPr="00CF0A2C">
              <w:rPr>
                <w:b/>
              </w:rPr>
              <w:t>Matinée</w:t>
            </w:r>
          </w:p>
        </w:tc>
      </w:tr>
      <w:tr w:rsidR="00796A69" w:rsidRPr="00CF0A2C" w:rsidTr="00CF0A2C">
        <w:trPr>
          <w:trHeight w:val="285"/>
        </w:trPr>
        <w:tc>
          <w:tcPr>
            <w:tcW w:w="6771" w:type="dxa"/>
            <w:gridSpan w:val="2"/>
            <w:shd w:val="clear" w:color="auto" w:fill="5B9BD5"/>
            <w:vAlign w:val="center"/>
          </w:tcPr>
          <w:p w:rsidR="00796A69" w:rsidRPr="00CF0A2C" w:rsidRDefault="00BA07B3" w:rsidP="00BA07B3">
            <w:pPr>
              <w:jc w:val="center"/>
              <w:rPr>
                <w:b/>
                <w:bCs/>
              </w:rPr>
            </w:pPr>
            <w:r w:rsidRPr="00CF0A2C">
              <w:rPr>
                <w:b/>
                <w:bCs/>
              </w:rPr>
              <w:t xml:space="preserve">Session 3 : Les </w:t>
            </w:r>
            <w:r w:rsidR="00796A69" w:rsidRPr="00CF0A2C">
              <w:rPr>
                <w:b/>
                <w:bCs/>
              </w:rPr>
              <w:t>modalités de mise en œuvre et de financement des programmes et  projets appuyés par le PNUD</w:t>
            </w:r>
          </w:p>
        </w:tc>
        <w:tc>
          <w:tcPr>
            <w:tcW w:w="2517" w:type="dxa"/>
            <w:shd w:val="clear" w:color="auto" w:fill="5B9BD5"/>
          </w:tcPr>
          <w:p w:rsidR="00796A69" w:rsidRPr="00CF0A2C" w:rsidRDefault="00796A69" w:rsidP="00796A69">
            <w:pPr>
              <w:rPr>
                <w:b/>
                <w:bCs/>
              </w:rPr>
            </w:pPr>
            <w:r w:rsidRPr="00CF0A2C">
              <w:rPr>
                <w:b/>
                <w:bCs/>
              </w:rPr>
              <w:t xml:space="preserve">Facilitateur </w:t>
            </w:r>
          </w:p>
        </w:tc>
      </w:tr>
      <w:tr w:rsidR="00796A69" w:rsidRPr="00CF0A2C" w:rsidTr="00CF0A2C">
        <w:trPr>
          <w:trHeight w:val="567"/>
        </w:trPr>
        <w:tc>
          <w:tcPr>
            <w:tcW w:w="1103" w:type="dxa"/>
            <w:shd w:val="clear" w:color="auto" w:fill="5B9BD5"/>
          </w:tcPr>
          <w:p w:rsidR="00796A69" w:rsidRPr="00CF0A2C" w:rsidRDefault="00BA07B3" w:rsidP="00796A69">
            <w:pPr>
              <w:rPr>
                <w:b/>
              </w:rPr>
            </w:pPr>
            <w:r w:rsidRPr="00CF0A2C">
              <w:rPr>
                <w:b/>
              </w:rPr>
              <w:t>9.00-10.</w:t>
            </w:r>
            <w:r w:rsidR="00796A69" w:rsidRPr="00CF0A2C">
              <w:rPr>
                <w:b/>
              </w:rPr>
              <w:t>00</w:t>
            </w:r>
          </w:p>
        </w:tc>
        <w:tc>
          <w:tcPr>
            <w:tcW w:w="5668" w:type="dxa"/>
            <w:shd w:val="clear" w:color="auto" w:fill="DEEAF6"/>
          </w:tcPr>
          <w:p w:rsidR="00796A69" w:rsidRPr="00CF0A2C" w:rsidRDefault="00796A69" w:rsidP="00BA07B3">
            <w:pPr>
              <w:spacing w:after="0" w:line="240" w:lineRule="auto"/>
              <w:rPr>
                <w:b/>
              </w:rPr>
            </w:pPr>
            <w:r w:rsidRPr="00CF0A2C">
              <w:rPr>
                <w:b/>
              </w:rPr>
              <w:t>I. Introduction</w:t>
            </w:r>
          </w:p>
          <w:p w:rsidR="00796A69" w:rsidRPr="00CF0A2C" w:rsidRDefault="00796A69" w:rsidP="00BA07B3">
            <w:pPr>
              <w:numPr>
                <w:ilvl w:val="0"/>
                <w:numId w:val="12"/>
              </w:numPr>
              <w:spacing w:after="0" w:line="240" w:lineRule="auto"/>
            </w:pPr>
            <w:r w:rsidRPr="00CF0A2C">
              <w:t>Les différentes modalités d’exécution des projets appuyés par le PNUD</w:t>
            </w:r>
          </w:p>
          <w:p w:rsidR="00796A69" w:rsidRPr="00CF0A2C" w:rsidRDefault="00796A69" w:rsidP="00BA07B3">
            <w:pPr>
              <w:numPr>
                <w:ilvl w:val="0"/>
                <w:numId w:val="12"/>
              </w:numPr>
              <w:spacing w:after="0" w:line="240" w:lineRule="auto"/>
            </w:pPr>
            <w:r w:rsidRPr="00CF0A2C">
              <w:t>Le choix de la modalité</w:t>
            </w:r>
          </w:p>
          <w:p w:rsidR="00796A69" w:rsidRPr="00CF0A2C" w:rsidRDefault="00796A69" w:rsidP="00BA07B3">
            <w:pPr>
              <w:pStyle w:val="Paragraphedeliste"/>
              <w:numPr>
                <w:ilvl w:val="0"/>
                <w:numId w:val="17"/>
              </w:numPr>
              <w:tabs>
                <w:tab w:val="left" w:pos="315"/>
              </w:tabs>
              <w:spacing w:after="0" w:line="240" w:lineRule="auto"/>
              <w:ind w:left="173" w:hanging="142"/>
              <w:rPr>
                <w:rFonts w:asciiTheme="minorHAnsi" w:hAnsiTheme="minorHAnsi"/>
                <w:b/>
              </w:rPr>
            </w:pPr>
            <w:r w:rsidRPr="00CF0A2C">
              <w:rPr>
                <w:rFonts w:asciiTheme="minorHAnsi" w:hAnsiTheme="minorHAnsi"/>
                <w:b/>
              </w:rPr>
              <w:t>Vue d’ensemble du NEX/NIM</w:t>
            </w:r>
          </w:p>
          <w:p w:rsidR="00BA07B3" w:rsidRPr="00CF0A2C" w:rsidRDefault="00796A69" w:rsidP="00BA07B3">
            <w:pPr>
              <w:numPr>
                <w:ilvl w:val="0"/>
                <w:numId w:val="14"/>
              </w:numPr>
              <w:spacing w:after="0" w:line="240" w:lineRule="auto"/>
            </w:pPr>
            <w:r w:rsidRPr="00CF0A2C">
              <w:t xml:space="preserve">Définition </w:t>
            </w:r>
            <w:r w:rsidR="0084329E">
              <w:t xml:space="preserve">et Fondements juridiques du </w:t>
            </w:r>
            <w:r w:rsidRPr="00CF0A2C">
              <w:t>NIM</w:t>
            </w:r>
          </w:p>
          <w:p w:rsidR="00796A69" w:rsidRPr="00CF0A2C" w:rsidRDefault="0084329E" w:rsidP="00BA07B3">
            <w:pPr>
              <w:numPr>
                <w:ilvl w:val="0"/>
                <w:numId w:val="14"/>
              </w:numPr>
              <w:spacing w:after="0" w:line="240" w:lineRule="auto"/>
            </w:pPr>
            <w:r>
              <w:t xml:space="preserve"> Les acteurs du </w:t>
            </w:r>
            <w:r w:rsidR="00796A69" w:rsidRPr="00CF0A2C">
              <w:t>NIM: rôles et responsabilités et ligne de  redevabilité</w:t>
            </w:r>
          </w:p>
        </w:tc>
        <w:tc>
          <w:tcPr>
            <w:tcW w:w="2517" w:type="dxa"/>
            <w:shd w:val="clear" w:color="auto" w:fill="DEEAF6"/>
          </w:tcPr>
          <w:p w:rsidR="00796A69" w:rsidRPr="00CF0A2C" w:rsidRDefault="00796A69" w:rsidP="00796A69">
            <w:r w:rsidRPr="00CF0A2C">
              <w:t xml:space="preserve">Mme. Alizatta Tamboula </w:t>
            </w:r>
          </w:p>
        </w:tc>
      </w:tr>
      <w:tr w:rsidR="00796A69" w:rsidRPr="00CF0A2C" w:rsidTr="00CF0A2C">
        <w:trPr>
          <w:trHeight w:val="567"/>
        </w:trPr>
        <w:tc>
          <w:tcPr>
            <w:tcW w:w="1103" w:type="dxa"/>
            <w:shd w:val="clear" w:color="auto" w:fill="5B9BD5"/>
          </w:tcPr>
          <w:p w:rsidR="00796A69" w:rsidRPr="00CF0A2C" w:rsidRDefault="00BA07B3" w:rsidP="00BA07B3">
            <w:pPr>
              <w:rPr>
                <w:b/>
              </w:rPr>
            </w:pPr>
            <w:r w:rsidRPr="00CF0A2C">
              <w:rPr>
                <w:b/>
              </w:rPr>
              <w:t>10.00 -10.</w:t>
            </w:r>
            <w:r w:rsidR="00796A69" w:rsidRPr="00CF0A2C">
              <w:rPr>
                <w:b/>
              </w:rPr>
              <w:t>15</w:t>
            </w:r>
            <w:r w:rsidR="00796A69" w:rsidRPr="00CF0A2C">
              <w:rPr>
                <w:b/>
              </w:rPr>
              <w:tab/>
            </w:r>
          </w:p>
        </w:tc>
        <w:tc>
          <w:tcPr>
            <w:tcW w:w="5668" w:type="dxa"/>
            <w:shd w:val="clear" w:color="auto" w:fill="DEEAF6"/>
          </w:tcPr>
          <w:p w:rsidR="00796A69" w:rsidRPr="00CF0A2C" w:rsidRDefault="0084329E" w:rsidP="00796A69">
            <w:pPr>
              <w:rPr>
                <w:b/>
                <w:u w:val="single"/>
              </w:rPr>
            </w:pPr>
            <w:r w:rsidRPr="00CF0A2C">
              <w:rPr>
                <w:b/>
                <w:u w:val="single"/>
              </w:rPr>
              <w:t>Pause-Café</w:t>
            </w:r>
          </w:p>
        </w:tc>
        <w:tc>
          <w:tcPr>
            <w:tcW w:w="2517" w:type="dxa"/>
            <w:shd w:val="clear" w:color="auto" w:fill="DEEAF6"/>
          </w:tcPr>
          <w:p w:rsidR="00796A69" w:rsidRPr="00CF0A2C" w:rsidRDefault="00796A69" w:rsidP="00796A69"/>
        </w:tc>
      </w:tr>
      <w:tr w:rsidR="00796A69" w:rsidRPr="00CF0A2C" w:rsidTr="00CF0A2C">
        <w:trPr>
          <w:trHeight w:val="567"/>
        </w:trPr>
        <w:tc>
          <w:tcPr>
            <w:tcW w:w="1103" w:type="dxa"/>
            <w:shd w:val="clear" w:color="auto" w:fill="5B9BD5"/>
          </w:tcPr>
          <w:p w:rsidR="00796A69" w:rsidRPr="00CF0A2C" w:rsidRDefault="00796A69" w:rsidP="00796A69">
            <w:pPr>
              <w:rPr>
                <w:b/>
              </w:rPr>
            </w:pPr>
            <w:r w:rsidRPr="00CF0A2C">
              <w:rPr>
                <w:b/>
              </w:rPr>
              <w:t>10.15-11.45</w:t>
            </w:r>
          </w:p>
        </w:tc>
        <w:tc>
          <w:tcPr>
            <w:tcW w:w="5668" w:type="dxa"/>
            <w:shd w:val="clear" w:color="auto" w:fill="DEEAF6"/>
          </w:tcPr>
          <w:p w:rsidR="00796A69" w:rsidRPr="00CF0A2C" w:rsidRDefault="00796A69" w:rsidP="00BA07B3">
            <w:pPr>
              <w:spacing w:after="0" w:line="240" w:lineRule="auto"/>
              <w:rPr>
                <w:b/>
              </w:rPr>
            </w:pPr>
            <w:r w:rsidRPr="00CF0A2C">
              <w:rPr>
                <w:b/>
              </w:rPr>
              <w:t xml:space="preserve">III. Focus sur la mise en œuvre des projets NIM </w:t>
            </w:r>
          </w:p>
          <w:p w:rsidR="00796A69" w:rsidRPr="00CF0A2C" w:rsidRDefault="00796A69" w:rsidP="00BA07B3">
            <w:pPr>
              <w:numPr>
                <w:ilvl w:val="0"/>
                <w:numId w:val="11"/>
              </w:numPr>
              <w:spacing w:after="0" w:line="240" w:lineRule="auto"/>
            </w:pPr>
            <w:r w:rsidRPr="00CF0A2C">
              <w:t>Le rôle et les responsabilités du DNP dans l</w:t>
            </w:r>
            <w:r w:rsidR="00BA07B3" w:rsidRPr="00CF0A2C">
              <w:t>a</w:t>
            </w:r>
            <w:r w:rsidRPr="00CF0A2C">
              <w:t xml:space="preserve"> planification et la mise en </w:t>
            </w:r>
            <w:r w:rsidR="00BA07B3" w:rsidRPr="00CF0A2C">
              <w:t>œuvre</w:t>
            </w:r>
            <w:r w:rsidRPr="00CF0A2C">
              <w:t xml:space="preserve"> des activités du projet (plan de travail annuel  </w:t>
            </w:r>
            <w:r w:rsidR="00BA07B3" w:rsidRPr="00CF0A2C">
              <w:t xml:space="preserve">déclinaison en plan </w:t>
            </w:r>
            <w:r w:rsidRPr="00CF0A2C">
              <w:t xml:space="preserve">d’achat et en plans de travail trimestriels, Rapports d’activités annuel et trimestriel) </w:t>
            </w:r>
          </w:p>
          <w:p w:rsidR="00796A69" w:rsidRPr="00CF0A2C" w:rsidRDefault="00796A69" w:rsidP="00BA07B3">
            <w:pPr>
              <w:numPr>
                <w:ilvl w:val="0"/>
                <w:numId w:val="11"/>
              </w:numPr>
              <w:spacing w:after="0" w:line="240" w:lineRule="auto"/>
            </w:pPr>
            <w:r w:rsidRPr="00CF0A2C">
              <w:t>Présentation sur les  révisions budgétaires</w:t>
            </w:r>
          </w:p>
          <w:p w:rsidR="00796A69" w:rsidRPr="00CF0A2C" w:rsidRDefault="00796A69" w:rsidP="00796A69"/>
        </w:tc>
        <w:tc>
          <w:tcPr>
            <w:tcW w:w="2517" w:type="dxa"/>
            <w:shd w:val="clear" w:color="auto" w:fill="DEEAF6"/>
          </w:tcPr>
          <w:p w:rsidR="00796A69" w:rsidRPr="00CF0A2C" w:rsidRDefault="00796A69" w:rsidP="00796A69">
            <w:r w:rsidRPr="00CF0A2C">
              <w:t>Mme. Alizatta Tamboula</w:t>
            </w:r>
          </w:p>
        </w:tc>
      </w:tr>
      <w:tr w:rsidR="00796A69" w:rsidRPr="00CF0A2C" w:rsidTr="00CF0A2C">
        <w:trPr>
          <w:trHeight w:val="396"/>
        </w:trPr>
        <w:tc>
          <w:tcPr>
            <w:tcW w:w="1103" w:type="dxa"/>
            <w:shd w:val="clear" w:color="auto" w:fill="5B9BD5"/>
          </w:tcPr>
          <w:p w:rsidR="00796A69" w:rsidRPr="00CF0A2C" w:rsidRDefault="00BA07B3" w:rsidP="00796A69">
            <w:pPr>
              <w:rPr>
                <w:b/>
              </w:rPr>
            </w:pPr>
            <w:r w:rsidRPr="00CF0A2C">
              <w:rPr>
                <w:b/>
              </w:rPr>
              <w:t>11.45- 12.</w:t>
            </w:r>
            <w:r w:rsidR="00796A69" w:rsidRPr="00CF0A2C">
              <w:rPr>
                <w:b/>
              </w:rPr>
              <w:t>00</w:t>
            </w:r>
          </w:p>
        </w:tc>
        <w:tc>
          <w:tcPr>
            <w:tcW w:w="5668" w:type="dxa"/>
            <w:shd w:val="clear" w:color="auto" w:fill="DEEAF6"/>
          </w:tcPr>
          <w:p w:rsidR="00796A69" w:rsidRPr="00CF0A2C" w:rsidRDefault="00796A69" w:rsidP="00796A69">
            <w:pPr>
              <w:rPr>
                <w:b/>
              </w:rPr>
            </w:pPr>
            <w:r w:rsidRPr="00CF0A2C">
              <w:rPr>
                <w:b/>
              </w:rPr>
              <w:t xml:space="preserve">Débat et discussion </w:t>
            </w:r>
          </w:p>
        </w:tc>
        <w:tc>
          <w:tcPr>
            <w:tcW w:w="2517" w:type="dxa"/>
            <w:shd w:val="clear" w:color="auto" w:fill="DEEAF6"/>
          </w:tcPr>
          <w:p w:rsidR="00796A69" w:rsidRPr="00CF0A2C" w:rsidRDefault="00796A69" w:rsidP="00796A69"/>
        </w:tc>
      </w:tr>
      <w:tr w:rsidR="00796A69" w:rsidRPr="00CF0A2C" w:rsidTr="00CF0A2C">
        <w:trPr>
          <w:trHeight w:val="1074"/>
        </w:trPr>
        <w:tc>
          <w:tcPr>
            <w:tcW w:w="1103" w:type="dxa"/>
            <w:shd w:val="clear" w:color="auto" w:fill="5B9BD5"/>
          </w:tcPr>
          <w:p w:rsidR="00796A69" w:rsidRPr="00CF0A2C" w:rsidRDefault="00BA07B3" w:rsidP="00796A69">
            <w:pPr>
              <w:rPr>
                <w:b/>
              </w:rPr>
            </w:pPr>
            <w:r w:rsidRPr="00CF0A2C">
              <w:rPr>
                <w:b/>
              </w:rPr>
              <w:t>12.</w:t>
            </w:r>
            <w:r w:rsidR="00796A69" w:rsidRPr="00CF0A2C">
              <w:rPr>
                <w:b/>
              </w:rPr>
              <w:t>00 -12</w:t>
            </w:r>
            <w:r w:rsidRPr="00CF0A2C">
              <w:rPr>
                <w:b/>
              </w:rPr>
              <w:t>.</w:t>
            </w:r>
            <w:r w:rsidR="00796A69" w:rsidRPr="00CF0A2C">
              <w:rPr>
                <w:b/>
              </w:rPr>
              <w:t>45</w:t>
            </w:r>
          </w:p>
        </w:tc>
        <w:tc>
          <w:tcPr>
            <w:tcW w:w="5668" w:type="dxa"/>
            <w:shd w:val="clear" w:color="auto" w:fill="DEEAF6"/>
          </w:tcPr>
          <w:p w:rsidR="00796A69" w:rsidRPr="00CF0A2C" w:rsidRDefault="00796A69" w:rsidP="00BA07B3">
            <w:pPr>
              <w:spacing w:after="0" w:line="240" w:lineRule="auto"/>
            </w:pPr>
            <w:r w:rsidRPr="00CF0A2C">
              <w:rPr>
                <w:b/>
              </w:rPr>
              <w:t>IV. Focus sur la mise en œuvre des projets NIM : les modalités de transferts d’espèce</w:t>
            </w:r>
            <w:r w:rsidR="00BA07B3" w:rsidRPr="00CF0A2C">
              <w:rPr>
                <w:b/>
              </w:rPr>
              <w:t>s</w:t>
            </w:r>
            <w:r w:rsidRPr="00CF0A2C">
              <w:rPr>
                <w:b/>
              </w:rPr>
              <w:t xml:space="preserve"> par le PNUD aux </w:t>
            </w:r>
            <w:r w:rsidR="00BA07B3" w:rsidRPr="00CF0A2C">
              <w:rPr>
                <w:b/>
              </w:rPr>
              <w:t>projets</w:t>
            </w:r>
            <w:r w:rsidRPr="00CF0A2C">
              <w:rPr>
                <w:b/>
              </w:rPr>
              <w:t xml:space="preserve"> NIM</w:t>
            </w:r>
            <w:r w:rsidR="00BA07B3" w:rsidRPr="00CF0A2C">
              <w:rPr>
                <w:b/>
              </w:rPr>
              <w:t xml:space="preserve"> et contrôle de leur utilisation</w:t>
            </w:r>
          </w:p>
          <w:p w:rsidR="00796A69" w:rsidRPr="00CF0A2C" w:rsidRDefault="00796A69" w:rsidP="00BA07B3">
            <w:pPr>
              <w:spacing w:after="0" w:line="240" w:lineRule="auto"/>
              <w:rPr>
                <w:bCs/>
              </w:rPr>
            </w:pPr>
          </w:p>
          <w:p w:rsidR="00796A69" w:rsidRPr="00CF0A2C" w:rsidRDefault="00BA07B3" w:rsidP="00BA07B3">
            <w:pPr>
              <w:numPr>
                <w:ilvl w:val="0"/>
                <w:numId w:val="16"/>
              </w:numPr>
              <w:spacing w:after="0" w:line="240" w:lineRule="auto"/>
              <w:rPr>
                <w:bCs/>
              </w:rPr>
            </w:pPr>
            <w:r w:rsidRPr="00CF0A2C">
              <w:rPr>
                <w:bCs/>
              </w:rPr>
              <w:t xml:space="preserve">Le </w:t>
            </w:r>
            <w:r w:rsidR="00DF64C7">
              <w:rPr>
                <w:bCs/>
              </w:rPr>
              <w:t>p</w:t>
            </w:r>
            <w:r w:rsidRPr="00CF0A2C">
              <w:rPr>
                <w:bCs/>
              </w:rPr>
              <w:t>aiement direct</w:t>
            </w:r>
          </w:p>
          <w:p w:rsidR="00796A69" w:rsidRPr="00CF0A2C" w:rsidRDefault="00BA07B3" w:rsidP="00BA07B3">
            <w:pPr>
              <w:numPr>
                <w:ilvl w:val="0"/>
                <w:numId w:val="15"/>
              </w:numPr>
              <w:spacing w:after="0" w:line="240" w:lineRule="auto"/>
              <w:rPr>
                <w:bCs/>
              </w:rPr>
            </w:pPr>
            <w:r w:rsidRPr="00CF0A2C">
              <w:rPr>
                <w:bCs/>
              </w:rPr>
              <w:t xml:space="preserve"> L’appui du PNUD  au NIM</w:t>
            </w:r>
          </w:p>
          <w:p w:rsidR="00796A69" w:rsidRPr="00CF0A2C" w:rsidRDefault="0084329E" w:rsidP="00BA07B3">
            <w:pPr>
              <w:numPr>
                <w:ilvl w:val="0"/>
                <w:numId w:val="15"/>
              </w:numPr>
              <w:spacing w:after="0" w:line="240" w:lineRule="auto"/>
              <w:rPr>
                <w:bCs/>
              </w:rPr>
            </w:pPr>
            <w:r>
              <w:rPr>
                <w:bCs/>
              </w:rPr>
              <w:t xml:space="preserve"> Rapports financiers (Face</w:t>
            </w:r>
            <w:r w:rsidR="00796A69" w:rsidRPr="00CF0A2C">
              <w:rPr>
                <w:bCs/>
              </w:rPr>
              <w:t>,</w:t>
            </w:r>
            <w:r>
              <w:rPr>
                <w:bCs/>
              </w:rPr>
              <w:t xml:space="preserve"> </w:t>
            </w:r>
            <w:r w:rsidR="00014709">
              <w:rPr>
                <w:bCs/>
              </w:rPr>
              <w:t>CDR-PDR</w:t>
            </w:r>
            <w:r>
              <w:rPr>
                <w:bCs/>
              </w:rPr>
              <w:t>)</w:t>
            </w:r>
          </w:p>
          <w:p w:rsidR="00796A69" w:rsidRPr="00CF0A2C" w:rsidRDefault="00BA07B3" w:rsidP="00BA07B3">
            <w:pPr>
              <w:numPr>
                <w:ilvl w:val="0"/>
                <w:numId w:val="15"/>
              </w:numPr>
              <w:spacing w:after="0" w:line="240" w:lineRule="auto"/>
              <w:rPr>
                <w:bCs/>
              </w:rPr>
            </w:pPr>
            <w:r w:rsidRPr="00CF0A2C">
              <w:rPr>
                <w:bCs/>
              </w:rPr>
              <w:t>L</w:t>
            </w:r>
            <w:r w:rsidR="0084329E">
              <w:rPr>
                <w:bCs/>
              </w:rPr>
              <w:t xml:space="preserve">es audits </w:t>
            </w:r>
            <w:r w:rsidR="00796A69" w:rsidRPr="00CF0A2C">
              <w:rPr>
                <w:bCs/>
              </w:rPr>
              <w:t>NIM</w:t>
            </w:r>
          </w:p>
        </w:tc>
        <w:tc>
          <w:tcPr>
            <w:tcW w:w="2517" w:type="dxa"/>
            <w:shd w:val="clear" w:color="auto" w:fill="DEEAF6"/>
          </w:tcPr>
          <w:p w:rsidR="00796A69" w:rsidRPr="00CF0A2C" w:rsidRDefault="00796A69" w:rsidP="00796A69">
            <w:r w:rsidRPr="00CF0A2C">
              <w:t>Mme. Alizatta Tamboula</w:t>
            </w:r>
          </w:p>
        </w:tc>
      </w:tr>
      <w:tr w:rsidR="00796A69" w:rsidRPr="00CF0A2C" w:rsidTr="00CF0A2C">
        <w:trPr>
          <w:trHeight w:val="653"/>
        </w:trPr>
        <w:tc>
          <w:tcPr>
            <w:tcW w:w="1103" w:type="dxa"/>
            <w:shd w:val="clear" w:color="auto" w:fill="5B9BD5"/>
          </w:tcPr>
          <w:p w:rsidR="00796A69" w:rsidRPr="00CF0A2C" w:rsidRDefault="00BA07B3" w:rsidP="00796A69">
            <w:pPr>
              <w:rPr>
                <w:b/>
              </w:rPr>
            </w:pPr>
            <w:r w:rsidRPr="00CF0A2C">
              <w:rPr>
                <w:b/>
              </w:rPr>
              <w:lastRenderedPageBreak/>
              <w:t>12.45-13.</w:t>
            </w:r>
            <w:r w:rsidR="00796A69" w:rsidRPr="00CF0A2C">
              <w:rPr>
                <w:b/>
              </w:rPr>
              <w:t>00</w:t>
            </w:r>
          </w:p>
        </w:tc>
        <w:tc>
          <w:tcPr>
            <w:tcW w:w="5668" w:type="dxa"/>
            <w:shd w:val="clear" w:color="auto" w:fill="DEEAF6"/>
          </w:tcPr>
          <w:p w:rsidR="00796A69" w:rsidRPr="00CF0A2C" w:rsidRDefault="00796A69" w:rsidP="00796A69">
            <w:pPr>
              <w:rPr>
                <w:b/>
              </w:rPr>
            </w:pPr>
            <w:r w:rsidRPr="00CF0A2C">
              <w:rPr>
                <w:b/>
              </w:rPr>
              <w:t>Débat</w:t>
            </w:r>
            <w:r w:rsidR="00CF0A2C" w:rsidRPr="00CF0A2C">
              <w:rPr>
                <w:b/>
              </w:rPr>
              <w:t>s</w:t>
            </w:r>
            <w:r w:rsidRPr="00CF0A2C">
              <w:rPr>
                <w:b/>
              </w:rPr>
              <w:t xml:space="preserve"> et discussions</w:t>
            </w:r>
          </w:p>
        </w:tc>
        <w:tc>
          <w:tcPr>
            <w:tcW w:w="2517" w:type="dxa"/>
            <w:shd w:val="clear" w:color="auto" w:fill="DEEAF6"/>
          </w:tcPr>
          <w:p w:rsidR="00796A69" w:rsidRPr="00CF0A2C" w:rsidRDefault="00796A69" w:rsidP="00796A69"/>
        </w:tc>
      </w:tr>
      <w:tr w:rsidR="00796A69" w:rsidRPr="00CF0A2C" w:rsidTr="00CF0A2C">
        <w:trPr>
          <w:trHeight w:val="70"/>
        </w:trPr>
        <w:tc>
          <w:tcPr>
            <w:tcW w:w="1103" w:type="dxa"/>
            <w:shd w:val="clear" w:color="auto" w:fill="5B9BD5"/>
          </w:tcPr>
          <w:p w:rsidR="00796A69" w:rsidRPr="00CF0A2C" w:rsidRDefault="00BA07B3" w:rsidP="00BA07B3">
            <w:pPr>
              <w:rPr>
                <w:b/>
              </w:rPr>
            </w:pPr>
            <w:r w:rsidRPr="00CF0A2C">
              <w:rPr>
                <w:b/>
              </w:rPr>
              <w:t>13.</w:t>
            </w:r>
            <w:r w:rsidR="00796A69" w:rsidRPr="00CF0A2C">
              <w:rPr>
                <w:b/>
              </w:rPr>
              <w:t>00 -14.00</w:t>
            </w:r>
          </w:p>
        </w:tc>
        <w:tc>
          <w:tcPr>
            <w:tcW w:w="5668" w:type="dxa"/>
            <w:shd w:val="clear" w:color="auto" w:fill="DEEAF6"/>
          </w:tcPr>
          <w:p w:rsidR="00796A69" w:rsidRPr="00CF0A2C" w:rsidRDefault="00796A69" w:rsidP="00796A69">
            <w:pPr>
              <w:rPr>
                <w:b/>
                <w:i/>
              </w:rPr>
            </w:pPr>
            <w:r w:rsidRPr="00CF0A2C">
              <w:rPr>
                <w:b/>
                <w:i/>
              </w:rPr>
              <w:t>Pause Déjeuner</w:t>
            </w:r>
          </w:p>
        </w:tc>
        <w:tc>
          <w:tcPr>
            <w:tcW w:w="2517" w:type="dxa"/>
            <w:shd w:val="clear" w:color="auto" w:fill="DEEAF6"/>
          </w:tcPr>
          <w:p w:rsidR="00796A69" w:rsidRPr="00CF0A2C" w:rsidRDefault="00796A69" w:rsidP="00796A69">
            <w:pPr>
              <w:rPr>
                <w:b/>
                <w:i/>
              </w:rPr>
            </w:pPr>
          </w:p>
        </w:tc>
      </w:tr>
      <w:tr w:rsidR="00CF0A2C" w:rsidRPr="00CF0A2C" w:rsidTr="00CF0A2C">
        <w:trPr>
          <w:trHeight w:val="70"/>
        </w:trPr>
        <w:tc>
          <w:tcPr>
            <w:tcW w:w="1103" w:type="dxa"/>
            <w:shd w:val="clear" w:color="auto" w:fill="5B9BD5"/>
          </w:tcPr>
          <w:p w:rsidR="00CF0A2C" w:rsidRPr="00CF0A2C" w:rsidRDefault="00CF0A2C" w:rsidP="00CF0A2C">
            <w:pPr>
              <w:rPr>
                <w:b/>
              </w:rPr>
            </w:pPr>
            <w:r w:rsidRPr="00CF0A2C">
              <w:rPr>
                <w:b/>
              </w:rPr>
              <w:t>14.30 -15.00</w:t>
            </w:r>
          </w:p>
        </w:tc>
        <w:tc>
          <w:tcPr>
            <w:tcW w:w="5668" w:type="dxa"/>
            <w:shd w:val="clear" w:color="auto" w:fill="DEEAF6"/>
          </w:tcPr>
          <w:p w:rsidR="00CF0A2C" w:rsidRPr="00CF0A2C" w:rsidRDefault="00CF0A2C" w:rsidP="00CF0A2C">
            <w:pPr>
              <w:spacing w:after="0" w:line="240" w:lineRule="auto"/>
              <w:rPr>
                <w:b/>
              </w:rPr>
            </w:pPr>
            <w:r w:rsidRPr="00CF0A2C">
              <w:rPr>
                <w:b/>
              </w:rPr>
              <w:t xml:space="preserve">V. Présentation sur Atlas : vue d’ensemble </w:t>
            </w:r>
          </w:p>
          <w:p w:rsidR="00CF0A2C" w:rsidRPr="00CF0A2C" w:rsidRDefault="00CF0A2C" w:rsidP="00CF0A2C">
            <w:pPr>
              <w:pStyle w:val="Paragraphedeliste"/>
              <w:numPr>
                <w:ilvl w:val="0"/>
                <w:numId w:val="18"/>
              </w:numPr>
              <w:spacing w:after="0" w:line="240" w:lineRule="auto"/>
              <w:rPr>
                <w:rFonts w:asciiTheme="minorHAnsi" w:hAnsiTheme="minorHAnsi"/>
              </w:rPr>
            </w:pPr>
            <w:bookmarkStart w:id="1" w:name="_GoBack"/>
            <w:r w:rsidRPr="00CF0A2C">
              <w:rPr>
                <w:rFonts w:asciiTheme="minorHAnsi" w:hAnsiTheme="minorHAnsi"/>
              </w:rPr>
              <w:t>Introduction : qu’est-ce qu’Atlas et  pourquoi Atlas?</w:t>
            </w:r>
          </w:p>
          <w:p w:rsidR="00CF0A2C" w:rsidRPr="00CF0A2C" w:rsidRDefault="00CF0A2C" w:rsidP="00CF0A2C">
            <w:pPr>
              <w:pStyle w:val="Paragraphedeliste"/>
              <w:numPr>
                <w:ilvl w:val="0"/>
                <w:numId w:val="18"/>
              </w:numPr>
              <w:spacing w:after="0" w:line="240" w:lineRule="auto"/>
              <w:rPr>
                <w:rFonts w:asciiTheme="minorHAnsi" w:hAnsiTheme="minorHAnsi"/>
              </w:rPr>
            </w:pPr>
            <w:r w:rsidRPr="00CF0A2C">
              <w:rPr>
                <w:rFonts w:asciiTheme="minorHAnsi" w:hAnsiTheme="minorHAnsi"/>
              </w:rPr>
              <w:t>Modules Atlas</w:t>
            </w:r>
          </w:p>
          <w:p w:rsidR="00CF0A2C" w:rsidRPr="00CF0A2C" w:rsidRDefault="00CF0A2C" w:rsidP="00CF0A2C">
            <w:pPr>
              <w:pStyle w:val="Paragraphedeliste"/>
              <w:numPr>
                <w:ilvl w:val="0"/>
                <w:numId w:val="18"/>
              </w:numPr>
              <w:spacing w:after="0" w:line="240" w:lineRule="auto"/>
              <w:rPr>
                <w:rFonts w:asciiTheme="minorHAnsi" w:hAnsiTheme="minorHAnsi"/>
              </w:rPr>
            </w:pPr>
            <w:r w:rsidRPr="00CF0A2C">
              <w:rPr>
                <w:rFonts w:asciiTheme="minorHAnsi" w:hAnsiTheme="minorHAnsi"/>
              </w:rPr>
              <w:t>Modules et flux transactionnel</w:t>
            </w:r>
          </w:p>
          <w:p w:rsidR="00CF0A2C" w:rsidRPr="00CF0A2C" w:rsidRDefault="00CF0A2C" w:rsidP="00CF0A2C">
            <w:pPr>
              <w:pStyle w:val="Paragraphedeliste"/>
              <w:numPr>
                <w:ilvl w:val="0"/>
                <w:numId w:val="18"/>
              </w:numPr>
              <w:spacing w:after="0" w:line="240" w:lineRule="auto"/>
              <w:rPr>
                <w:rFonts w:asciiTheme="minorHAnsi" w:hAnsiTheme="minorHAnsi"/>
                <w:lang w:val="en-US"/>
              </w:rPr>
            </w:pPr>
            <w:proofErr w:type="spellStart"/>
            <w:r w:rsidRPr="00AE161B">
              <w:rPr>
                <w:rFonts w:asciiTheme="minorHAnsi" w:hAnsiTheme="minorHAnsi"/>
                <w:lang w:val="en-US"/>
              </w:rPr>
              <w:t>Processus</w:t>
            </w:r>
            <w:proofErr w:type="spellEnd"/>
            <w:r w:rsidRPr="00AE161B">
              <w:rPr>
                <w:rFonts w:asciiTheme="minorHAnsi" w:hAnsiTheme="minorHAnsi"/>
                <w:lang w:val="en-US"/>
              </w:rPr>
              <w:t xml:space="preserve"> </w:t>
            </w:r>
            <w:proofErr w:type="spellStart"/>
            <w:r w:rsidRPr="00AE161B">
              <w:rPr>
                <w:rFonts w:asciiTheme="minorHAnsi" w:hAnsiTheme="minorHAnsi"/>
                <w:lang w:val="en-US"/>
              </w:rPr>
              <w:t>transaction</w:t>
            </w:r>
            <w:r w:rsidR="00DF64C7">
              <w:rPr>
                <w:rFonts w:asciiTheme="minorHAnsi" w:hAnsiTheme="minorHAnsi"/>
                <w:lang w:val="en-US"/>
              </w:rPr>
              <w:t>e</w:t>
            </w:r>
            <w:r w:rsidRPr="00AE161B">
              <w:rPr>
                <w:rFonts w:asciiTheme="minorHAnsi" w:hAnsiTheme="minorHAnsi"/>
                <w:lang w:val="en-US"/>
              </w:rPr>
              <w:t>l</w:t>
            </w:r>
            <w:proofErr w:type="spellEnd"/>
            <w:r w:rsidRPr="00AE161B">
              <w:rPr>
                <w:rFonts w:asciiTheme="minorHAnsi" w:hAnsiTheme="minorHAnsi"/>
                <w:lang w:val="en-US"/>
              </w:rPr>
              <w:t xml:space="preserve"> </w:t>
            </w:r>
            <w:bookmarkEnd w:id="1"/>
            <w:r w:rsidRPr="00AE161B">
              <w:rPr>
                <w:rFonts w:asciiTheme="minorHAnsi" w:hAnsiTheme="minorHAnsi"/>
                <w:lang w:val="en-US"/>
              </w:rPr>
              <w:t>(acc</w:t>
            </w:r>
            <w:r w:rsidRPr="00CF0A2C">
              <w:rPr>
                <w:rFonts w:asciiTheme="minorHAnsi" w:hAnsiTheme="minorHAnsi"/>
                <w:lang w:val="en-US"/>
              </w:rPr>
              <w:t>ount payable overview)</w:t>
            </w:r>
          </w:p>
        </w:tc>
        <w:tc>
          <w:tcPr>
            <w:tcW w:w="2517" w:type="dxa"/>
            <w:shd w:val="clear" w:color="auto" w:fill="DEEAF6"/>
          </w:tcPr>
          <w:p w:rsidR="00CF0A2C" w:rsidRPr="00CF0A2C" w:rsidRDefault="00CF0A2C" w:rsidP="00CF0A2C">
            <w:r w:rsidRPr="00CF0A2C">
              <w:t>Mme. Alizatta Tamboula</w:t>
            </w:r>
          </w:p>
        </w:tc>
      </w:tr>
      <w:tr w:rsidR="00CF0A2C" w:rsidRPr="00CF0A2C" w:rsidTr="00CF0A2C">
        <w:trPr>
          <w:trHeight w:val="70"/>
        </w:trPr>
        <w:tc>
          <w:tcPr>
            <w:tcW w:w="1103" w:type="dxa"/>
            <w:shd w:val="clear" w:color="auto" w:fill="5B9BD5"/>
          </w:tcPr>
          <w:p w:rsidR="00CF0A2C" w:rsidRPr="00CF0A2C" w:rsidRDefault="00CF0A2C" w:rsidP="00CF0A2C">
            <w:pPr>
              <w:rPr>
                <w:b/>
              </w:rPr>
            </w:pPr>
            <w:r w:rsidRPr="00CF0A2C">
              <w:rPr>
                <w:b/>
              </w:rPr>
              <w:t>15.00 -15.30</w:t>
            </w:r>
          </w:p>
        </w:tc>
        <w:tc>
          <w:tcPr>
            <w:tcW w:w="5668" w:type="dxa"/>
            <w:shd w:val="clear" w:color="auto" w:fill="DEEAF6"/>
          </w:tcPr>
          <w:p w:rsidR="00CF0A2C" w:rsidRPr="00CF0A2C" w:rsidRDefault="00CF0A2C" w:rsidP="00CF0A2C">
            <w:pPr>
              <w:rPr>
                <w:b/>
              </w:rPr>
            </w:pPr>
            <w:r w:rsidRPr="00CF0A2C">
              <w:rPr>
                <w:b/>
              </w:rPr>
              <w:t>Débats et discussions</w:t>
            </w:r>
          </w:p>
        </w:tc>
        <w:tc>
          <w:tcPr>
            <w:tcW w:w="2517" w:type="dxa"/>
            <w:shd w:val="clear" w:color="auto" w:fill="DEEAF6"/>
          </w:tcPr>
          <w:p w:rsidR="00CF0A2C" w:rsidRPr="00CF0A2C" w:rsidRDefault="00CF0A2C" w:rsidP="00CF0A2C"/>
        </w:tc>
      </w:tr>
      <w:tr w:rsidR="00CF0A2C" w:rsidRPr="00CF0A2C" w:rsidTr="00CF0A2C">
        <w:tc>
          <w:tcPr>
            <w:tcW w:w="1103" w:type="dxa"/>
            <w:shd w:val="clear" w:color="auto" w:fill="5B9BD5"/>
          </w:tcPr>
          <w:p w:rsidR="00CF0A2C" w:rsidRPr="00CF0A2C" w:rsidRDefault="00CF0A2C" w:rsidP="00CF0A2C">
            <w:pPr>
              <w:rPr>
                <w:b/>
              </w:rPr>
            </w:pPr>
            <w:r w:rsidRPr="00CF0A2C">
              <w:rPr>
                <w:b/>
              </w:rPr>
              <w:t>15.30-16.00</w:t>
            </w:r>
          </w:p>
        </w:tc>
        <w:tc>
          <w:tcPr>
            <w:tcW w:w="5668" w:type="dxa"/>
            <w:shd w:val="clear" w:color="auto" w:fill="DEEAF6"/>
          </w:tcPr>
          <w:p w:rsidR="00CF0A2C" w:rsidRPr="00CF0A2C" w:rsidRDefault="00CF0A2C" w:rsidP="00CF0A2C">
            <w:pPr>
              <w:rPr>
                <w:b/>
              </w:rPr>
            </w:pPr>
            <w:r w:rsidRPr="00CF0A2C">
              <w:rPr>
                <w:b/>
              </w:rPr>
              <w:t xml:space="preserve">Synthèse,  clôture de l’Atelier  et remise des attestations de participation </w:t>
            </w:r>
          </w:p>
        </w:tc>
        <w:tc>
          <w:tcPr>
            <w:tcW w:w="2517" w:type="dxa"/>
            <w:shd w:val="clear" w:color="auto" w:fill="DEEAF6"/>
          </w:tcPr>
          <w:p w:rsidR="00CF0A2C" w:rsidRPr="00CF0A2C" w:rsidRDefault="00CF0A2C" w:rsidP="00CF0A2C">
            <w:r>
              <w:t xml:space="preserve">MAE/ PNUD </w:t>
            </w:r>
          </w:p>
        </w:tc>
      </w:tr>
      <w:tr w:rsidR="00CF0A2C" w:rsidRPr="00CF0A2C" w:rsidTr="00CF0A2C">
        <w:trPr>
          <w:trHeight w:val="476"/>
        </w:trPr>
        <w:tc>
          <w:tcPr>
            <w:tcW w:w="9288" w:type="dxa"/>
            <w:gridSpan w:val="3"/>
            <w:shd w:val="clear" w:color="auto" w:fill="9CC2E5"/>
          </w:tcPr>
          <w:p w:rsidR="00CF0A2C" w:rsidRPr="00CF0A2C" w:rsidRDefault="00CF0A2C" w:rsidP="00CF0A2C">
            <w:pPr>
              <w:jc w:val="center"/>
              <w:rPr>
                <w:b/>
                <w:sz w:val="24"/>
              </w:rPr>
            </w:pPr>
            <w:r w:rsidRPr="00CF0A2C">
              <w:rPr>
                <w:b/>
                <w:sz w:val="24"/>
              </w:rPr>
              <w:t>Fin de l’atelier</w:t>
            </w:r>
          </w:p>
        </w:tc>
      </w:tr>
    </w:tbl>
    <w:p w:rsidR="00796A69" w:rsidRPr="00CF0A2C" w:rsidRDefault="00796A69" w:rsidP="00796A69"/>
    <w:p w:rsidR="00796A69" w:rsidRPr="00CF0A2C" w:rsidRDefault="00796A69" w:rsidP="00796A69"/>
    <w:p w:rsidR="00796A69" w:rsidRPr="00CF0A2C" w:rsidRDefault="00796A69" w:rsidP="00796A69"/>
    <w:p w:rsidR="00796A69" w:rsidRPr="00CF0A2C" w:rsidRDefault="00796A69" w:rsidP="00796A69"/>
    <w:p w:rsidR="00796A69" w:rsidRPr="00CF0A2C" w:rsidRDefault="00796A69" w:rsidP="00796A69"/>
    <w:p w:rsidR="00796A69" w:rsidRPr="00CF0A2C" w:rsidRDefault="00796A69" w:rsidP="00796A69"/>
    <w:p w:rsidR="00CF346D" w:rsidRPr="00CF0A2C" w:rsidRDefault="00CF346D"/>
    <w:sectPr w:rsidR="00CF346D" w:rsidRPr="00CF0A2C" w:rsidSect="001A77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DCD" w:rsidRDefault="00255DCD" w:rsidP="00796A69">
      <w:pPr>
        <w:spacing w:after="0" w:line="240" w:lineRule="auto"/>
      </w:pPr>
      <w:r>
        <w:separator/>
      </w:r>
    </w:p>
  </w:endnote>
  <w:endnote w:type="continuationSeparator" w:id="0">
    <w:p w:rsidR="00255DCD" w:rsidRDefault="00255DCD" w:rsidP="00796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DCD" w:rsidRDefault="00255DCD" w:rsidP="00796A69">
      <w:pPr>
        <w:spacing w:after="0" w:line="240" w:lineRule="auto"/>
      </w:pPr>
      <w:r>
        <w:separator/>
      </w:r>
    </w:p>
  </w:footnote>
  <w:footnote w:type="continuationSeparator" w:id="0">
    <w:p w:rsidR="00255DCD" w:rsidRDefault="00255DCD" w:rsidP="00796A69">
      <w:pPr>
        <w:spacing w:after="0" w:line="240" w:lineRule="auto"/>
      </w:pPr>
      <w:r>
        <w:continuationSeparator/>
      </w:r>
    </w:p>
  </w:footnote>
  <w:footnote w:id="1">
    <w:p w:rsidR="00221C0E" w:rsidRPr="00822360" w:rsidRDefault="00221C0E" w:rsidP="00221C0E">
      <w:pPr>
        <w:pStyle w:val="Notedebasdepage"/>
      </w:pPr>
      <w:r w:rsidRPr="00822360">
        <w:rPr>
          <w:rStyle w:val="Appelnotedebasdep"/>
        </w:rPr>
        <w:footnoteRef/>
      </w:r>
      <w:r w:rsidRPr="00822360">
        <w:t xml:space="preserve">Cette dynamique est inscrite dans le Cadre de Coopération Stratégique adopté en juillet 2011, </w:t>
      </w:r>
      <w:r>
        <w:t>P</w:t>
      </w:r>
      <w:r w:rsidRPr="00822360">
        <w:t xml:space="preserve">rogramme de </w:t>
      </w:r>
      <w:r>
        <w:t>P</w:t>
      </w:r>
      <w:r w:rsidRPr="00822360">
        <w:t xml:space="preserve">ays </w:t>
      </w:r>
      <w:r>
        <w:t xml:space="preserve">du </w:t>
      </w:r>
      <w:r w:rsidRPr="00822360">
        <w:t>PNUD pour l’Algérie appro</w:t>
      </w:r>
      <w:r>
        <w:t>uvé en 2011</w:t>
      </w:r>
      <w:r w:rsidRPr="00822360">
        <w:t xml:space="preserve"> et le Country Program Action Plan (CPAP) signé en mars 2013.</w:t>
      </w:r>
    </w:p>
  </w:footnote>
  <w:footnote w:id="2">
    <w:p w:rsidR="00221C0E" w:rsidRPr="00822360" w:rsidRDefault="00221C0E" w:rsidP="00221C0E">
      <w:pPr>
        <w:pStyle w:val="Notedebasdepage"/>
        <w:jc w:val="both"/>
      </w:pPr>
      <w:r w:rsidRPr="00822360">
        <w:rPr>
          <w:rStyle w:val="Appelnotedebasdep"/>
        </w:rPr>
        <w:footnoteRef/>
      </w:r>
      <w:r w:rsidRPr="00822360">
        <w:t xml:space="preserve"> Ce Projet porte l’intitulé « Appui à l’amélioration de l’exécution nationale des projets de la coopération multilatérale inscrits au titre du PNUD en particulier et du Système des Nations Unies en général ».</w:t>
      </w:r>
    </w:p>
  </w:footnote>
  <w:footnote w:id="3">
    <w:p w:rsidR="00221C0E" w:rsidRDefault="00221C0E" w:rsidP="00221C0E">
      <w:pPr>
        <w:tabs>
          <w:tab w:val="left" w:pos="3825"/>
        </w:tabs>
        <w:spacing w:after="0"/>
        <w:jc w:val="both"/>
      </w:pPr>
      <w:r w:rsidRPr="00822360">
        <w:rPr>
          <w:rStyle w:val="Appelnotedebasdep"/>
          <w:sz w:val="20"/>
          <w:szCs w:val="20"/>
        </w:rPr>
        <w:footnoteRef/>
      </w:r>
      <w:r w:rsidRPr="00822360">
        <w:rPr>
          <w:rFonts w:cs="Times New Roman"/>
          <w:bCs/>
          <w:sz w:val="20"/>
          <w:szCs w:val="20"/>
        </w:rPr>
        <w:t>En ce qui concerne très précisément les DNP, cet Atelier vient répondre à des besoins exprimés à travers le passage d’un questionnaire auprès d’un panel de DNP.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21DC"/>
    <w:multiLevelType w:val="hybridMultilevel"/>
    <w:tmpl w:val="766A518A"/>
    <w:lvl w:ilvl="0" w:tplc="040C0001">
      <w:start w:val="1"/>
      <w:numFmt w:val="bullet"/>
      <w:lvlText w:val=""/>
      <w:lvlJc w:val="left"/>
      <w:pPr>
        <w:ind w:left="918" w:hanging="360"/>
      </w:pPr>
      <w:rPr>
        <w:rFonts w:ascii="Symbol" w:hAnsi="Symbol" w:hint="default"/>
      </w:rPr>
    </w:lvl>
    <w:lvl w:ilvl="1" w:tplc="040C0003">
      <w:start w:val="1"/>
      <w:numFmt w:val="bullet"/>
      <w:lvlText w:val="o"/>
      <w:lvlJc w:val="left"/>
      <w:pPr>
        <w:ind w:left="984" w:hanging="360"/>
      </w:pPr>
      <w:rPr>
        <w:rFonts w:ascii="Courier New" w:hAnsi="Courier New" w:cs="Courier New" w:hint="default"/>
      </w:rPr>
    </w:lvl>
    <w:lvl w:ilvl="2" w:tplc="040C0005" w:tentative="1">
      <w:start w:val="1"/>
      <w:numFmt w:val="bullet"/>
      <w:lvlText w:val=""/>
      <w:lvlJc w:val="left"/>
      <w:pPr>
        <w:ind w:left="2358" w:hanging="360"/>
      </w:pPr>
      <w:rPr>
        <w:rFonts w:ascii="Wingdings" w:hAnsi="Wingdings" w:hint="default"/>
      </w:rPr>
    </w:lvl>
    <w:lvl w:ilvl="3" w:tplc="040C0001" w:tentative="1">
      <w:start w:val="1"/>
      <w:numFmt w:val="bullet"/>
      <w:lvlText w:val=""/>
      <w:lvlJc w:val="left"/>
      <w:pPr>
        <w:ind w:left="3078" w:hanging="360"/>
      </w:pPr>
      <w:rPr>
        <w:rFonts w:ascii="Symbol" w:hAnsi="Symbol" w:hint="default"/>
      </w:rPr>
    </w:lvl>
    <w:lvl w:ilvl="4" w:tplc="040C0003" w:tentative="1">
      <w:start w:val="1"/>
      <w:numFmt w:val="bullet"/>
      <w:lvlText w:val="o"/>
      <w:lvlJc w:val="left"/>
      <w:pPr>
        <w:ind w:left="3798" w:hanging="360"/>
      </w:pPr>
      <w:rPr>
        <w:rFonts w:ascii="Courier New" w:hAnsi="Courier New" w:cs="Courier New" w:hint="default"/>
      </w:rPr>
    </w:lvl>
    <w:lvl w:ilvl="5" w:tplc="040C0005" w:tentative="1">
      <w:start w:val="1"/>
      <w:numFmt w:val="bullet"/>
      <w:lvlText w:val=""/>
      <w:lvlJc w:val="left"/>
      <w:pPr>
        <w:ind w:left="4518" w:hanging="360"/>
      </w:pPr>
      <w:rPr>
        <w:rFonts w:ascii="Wingdings" w:hAnsi="Wingdings" w:hint="default"/>
      </w:rPr>
    </w:lvl>
    <w:lvl w:ilvl="6" w:tplc="040C0001" w:tentative="1">
      <w:start w:val="1"/>
      <w:numFmt w:val="bullet"/>
      <w:lvlText w:val=""/>
      <w:lvlJc w:val="left"/>
      <w:pPr>
        <w:ind w:left="5238" w:hanging="360"/>
      </w:pPr>
      <w:rPr>
        <w:rFonts w:ascii="Symbol" w:hAnsi="Symbol" w:hint="default"/>
      </w:rPr>
    </w:lvl>
    <w:lvl w:ilvl="7" w:tplc="040C0003" w:tentative="1">
      <w:start w:val="1"/>
      <w:numFmt w:val="bullet"/>
      <w:lvlText w:val="o"/>
      <w:lvlJc w:val="left"/>
      <w:pPr>
        <w:ind w:left="5958" w:hanging="360"/>
      </w:pPr>
      <w:rPr>
        <w:rFonts w:ascii="Courier New" w:hAnsi="Courier New" w:cs="Courier New" w:hint="default"/>
      </w:rPr>
    </w:lvl>
    <w:lvl w:ilvl="8" w:tplc="040C0005" w:tentative="1">
      <w:start w:val="1"/>
      <w:numFmt w:val="bullet"/>
      <w:lvlText w:val=""/>
      <w:lvlJc w:val="left"/>
      <w:pPr>
        <w:ind w:left="6678" w:hanging="360"/>
      </w:pPr>
      <w:rPr>
        <w:rFonts w:ascii="Wingdings" w:hAnsi="Wingdings" w:hint="default"/>
      </w:rPr>
    </w:lvl>
  </w:abstractNum>
  <w:abstractNum w:abstractNumId="1">
    <w:nsid w:val="0E9D40E4"/>
    <w:multiLevelType w:val="hybridMultilevel"/>
    <w:tmpl w:val="6C76677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7F7131"/>
    <w:multiLevelType w:val="hybridMultilevel"/>
    <w:tmpl w:val="9F5E5F6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E7DD9"/>
    <w:multiLevelType w:val="hybridMultilevel"/>
    <w:tmpl w:val="0FDA7C5A"/>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4">
    <w:nsid w:val="1F721409"/>
    <w:multiLevelType w:val="hybridMultilevel"/>
    <w:tmpl w:val="A89E3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694ECB"/>
    <w:multiLevelType w:val="hybridMultilevel"/>
    <w:tmpl w:val="2F32D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8F5FCE"/>
    <w:multiLevelType w:val="hybridMultilevel"/>
    <w:tmpl w:val="B978CB50"/>
    <w:lvl w:ilvl="0" w:tplc="F6525960">
      <w:start w:val="30"/>
      <w:numFmt w:val="bullet"/>
      <w:lvlText w:val="-"/>
      <w:lvlJc w:val="left"/>
      <w:pPr>
        <w:ind w:left="360" w:hanging="360"/>
      </w:pPr>
      <w:rPr>
        <w:rFonts w:ascii="Arial" w:eastAsia="Calibri" w:hAnsi="Arial" w:cs="Arial" w:hint="default"/>
      </w:rPr>
    </w:lvl>
    <w:lvl w:ilvl="1" w:tplc="040C0001">
      <w:start w:val="1"/>
      <w:numFmt w:val="bullet"/>
      <w:lvlText w:val=""/>
      <w:lvlJc w:val="left"/>
      <w:pPr>
        <w:ind w:left="643"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8C62F1"/>
    <w:multiLevelType w:val="hybridMultilevel"/>
    <w:tmpl w:val="60E2460C"/>
    <w:lvl w:ilvl="0" w:tplc="9E7ECBA8">
      <w:start w:val="13"/>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5002AD"/>
    <w:multiLevelType w:val="hybridMultilevel"/>
    <w:tmpl w:val="46080066"/>
    <w:lvl w:ilvl="0" w:tplc="040C0001">
      <w:start w:val="1"/>
      <w:numFmt w:val="bullet"/>
      <w:lvlText w:val=""/>
      <w:lvlJc w:val="left"/>
      <w:pPr>
        <w:ind w:left="643" w:hanging="360"/>
      </w:pPr>
      <w:rPr>
        <w:rFonts w:ascii="Symbol" w:hAnsi="Symbol" w:hint="default"/>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nsid w:val="33F033F3"/>
    <w:multiLevelType w:val="hybridMultilevel"/>
    <w:tmpl w:val="9DEAAEC6"/>
    <w:lvl w:ilvl="0" w:tplc="4C5E0246">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3ED11BE"/>
    <w:multiLevelType w:val="hybridMultilevel"/>
    <w:tmpl w:val="C668FEA4"/>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47D7382E"/>
    <w:multiLevelType w:val="hybridMultilevel"/>
    <w:tmpl w:val="F19C9F4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4B292740"/>
    <w:multiLevelType w:val="hybridMultilevel"/>
    <w:tmpl w:val="1BB6538E"/>
    <w:lvl w:ilvl="0" w:tplc="040C0001">
      <w:start w:val="1"/>
      <w:numFmt w:val="bullet"/>
      <w:lvlText w:val=""/>
      <w:lvlJc w:val="left"/>
      <w:pPr>
        <w:ind w:left="1070" w:hanging="360"/>
      </w:pPr>
      <w:rPr>
        <w:rFonts w:ascii="Symbol" w:hAnsi="Symbol"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3">
    <w:nsid w:val="4C4125B5"/>
    <w:multiLevelType w:val="hybridMultilevel"/>
    <w:tmpl w:val="ABEA9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BE43F9"/>
    <w:multiLevelType w:val="hybridMultilevel"/>
    <w:tmpl w:val="C31A3E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70EF5FE7"/>
    <w:multiLevelType w:val="hybridMultilevel"/>
    <w:tmpl w:val="9E42EF84"/>
    <w:lvl w:ilvl="0" w:tplc="0409000D">
      <w:start w:val="1"/>
      <w:numFmt w:val="bullet"/>
      <w:lvlText w:val=""/>
      <w:lvlJc w:val="left"/>
      <w:pPr>
        <w:ind w:left="360" w:hanging="360"/>
      </w:pPr>
      <w:rPr>
        <w:rFonts w:ascii="Wingdings" w:hAnsi="Wingdings" w:hint="default"/>
      </w:rPr>
    </w:lvl>
    <w:lvl w:ilvl="1" w:tplc="040C0001">
      <w:start w:val="1"/>
      <w:numFmt w:val="bullet"/>
      <w:lvlText w:val=""/>
      <w:lvlJc w:val="left"/>
      <w:pPr>
        <w:ind w:left="643"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79F86FF0"/>
    <w:multiLevelType w:val="hybridMultilevel"/>
    <w:tmpl w:val="531A6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D074427"/>
    <w:multiLevelType w:val="hybridMultilevel"/>
    <w:tmpl w:val="08E45D1E"/>
    <w:lvl w:ilvl="0" w:tplc="2348E9D4">
      <w:start w:val="2"/>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2"/>
  </w:num>
  <w:num w:numId="3">
    <w:abstractNumId w:val="12"/>
  </w:num>
  <w:num w:numId="4">
    <w:abstractNumId w:val="15"/>
  </w:num>
  <w:num w:numId="5">
    <w:abstractNumId w:val="6"/>
  </w:num>
  <w:num w:numId="6">
    <w:abstractNumId w:val="8"/>
  </w:num>
  <w:num w:numId="7">
    <w:abstractNumId w:val="1"/>
  </w:num>
  <w:num w:numId="8">
    <w:abstractNumId w:val="10"/>
  </w:num>
  <w:num w:numId="9">
    <w:abstractNumId w:val="3"/>
  </w:num>
  <w:num w:numId="10">
    <w:abstractNumId w:val="16"/>
  </w:num>
  <w:num w:numId="11">
    <w:abstractNumId w:val="0"/>
  </w:num>
  <w:num w:numId="12">
    <w:abstractNumId w:val="11"/>
  </w:num>
  <w:num w:numId="13">
    <w:abstractNumId w:val="9"/>
  </w:num>
  <w:num w:numId="14">
    <w:abstractNumId w:val="14"/>
  </w:num>
  <w:num w:numId="15">
    <w:abstractNumId w:val="13"/>
  </w:num>
  <w:num w:numId="16">
    <w:abstractNumId w:val="5"/>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69"/>
    <w:rsid w:val="00014709"/>
    <w:rsid w:val="0012281B"/>
    <w:rsid w:val="001863D1"/>
    <w:rsid w:val="00221C0E"/>
    <w:rsid w:val="00255DCD"/>
    <w:rsid w:val="00256535"/>
    <w:rsid w:val="00262F24"/>
    <w:rsid w:val="002D529A"/>
    <w:rsid w:val="002E1B76"/>
    <w:rsid w:val="00360FB4"/>
    <w:rsid w:val="003822AD"/>
    <w:rsid w:val="00747C45"/>
    <w:rsid w:val="00796A69"/>
    <w:rsid w:val="0084329E"/>
    <w:rsid w:val="00A91F28"/>
    <w:rsid w:val="00AD6918"/>
    <w:rsid w:val="00AE161B"/>
    <w:rsid w:val="00B11DC2"/>
    <w:rsid w:val="00BA07B3"/>
    <w:rsid w:val="00BD5D7A"/>
    <w:rsid w:val="00C81B97"/>
    <w:rsid w:val="00C828F5"/>
    <w:rsid w:val="00CA21CB"/>
    <w:rsid w:val="00CF0A2C"/>
    <w:rsid w:val="00CF346D"/>
    <w:rsid w:val="00DF64C7"/>
    <w:rsid w:val="00F30E20"/>
    <w:rsid w:val="00F3307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C3B60-BEBB-465C-AEDB-55CEAF32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96A69"/>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semiHidden/>
    <w:rsid w:val="00796A69"/>
    <w:rPr>
      <w:rFonts w:ascii="Calibri" w:eastAsia="Calibri" w:hAnsi="Calibri" w:cs="Arial"/>
      <w:sz w:val="20"/>
      <w:szCs w:val="20"/>
    </w:rPr>
  </w:style>
  <w:style w:type="character" w:styleId="Appelnotedebasdep">
    <w:name w:val="footnote reference"/>
    <w:basedOn w:val="Policepardfaut"/>
    <w:uiPriority w:val="99"/>
    <w:semiHidden/>
    <w:unhideWhenUsed/>
    <w:rsid w:val="00796A69"/>
    <w:rPr>
      <w:vertAlign w:val="superscript"/>
    </w:rPr>
  </w:style>
  <w:style w:type="paragraph" w:styleId="Textedebulles">
    <w:name w:val="Balloon Text"/>
    <w:basedOn w:val="Normal"/>
    <w:link w:val="TextedebullesCar"/>
    <w:uiPriority w:val="99"/>
    <w:semiHidden/>
    <w:unhideWhenUsed/>
    <w:rsid w:val="00796A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6A69"/>
    <w:rPr>
      <w:rFonts w:ascii="Tahoma" w:hAnsi="Tahoma" w:cs="Tahoma"/>
      <w:sz w:val="16"/>
      <w:szCs w:val="16"/>
    </w:rPr>
  </w:style>
  <w:style w:type="paragraph" w:styleId="Paragraphedeliste">
    <w:name w:val="List Paragraph"/>
    <w:basedOn w:val="Normal"/>
    <w:uiPriority w:val="34"/>
    <w:qFormat/>
    <w:rsid w:val="00221C0E"/>
    <w:pPr>
      <w:spacing w:after="160" w:line="259"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5610</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Sana Al-Attar</cp:lastModifiedBy>
  <cp:revision>2</cp:revision>
  <dcterms:created xsi:type="dcterms:W3CDTF">2014-11-29T20:10:00Z</dcterms:created>
  <dcterms:modified xsi:type="dcterms:W3CDTF">2014-11-29T20:10:00Z</dcterms:modified>
</cp:coreProperties>
</file>