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C" w:rsidRPr="00705DED" w:rsidRDefault="00C832ED" w:rsidP="00052528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Capital Gain</w:t>
      </w:r>
      <w:r w:rsidR="009542C1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(CG) 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Tax?</w:t>
      </w:r>
    </w:p>
    <w:p w:rsidR="00C832ED" w:rsidRPr="00705DED" w:rsidRDefault="00C832ED" w:rsidP="0051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Capital Gains Tax is a tax imposed on the disposal of a capital asset. </w:t>
      </w:r>
      <w:r w:rsidR="009542C1"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="00FE1AC5" w:rsidRPr="00705DED">
        <w:rPr>
          <w:rFonts w:ascii="Arial" w:hAnsi="Arial" w:cs="Arial"/>
          <w:kern w:val="24"/>
          <w:sz w:val="24"/>
          <w:szCs w:val="24"/>
        </w:rPr>
        <w:t>Capital assets include land, machinery, share</w:t>
      </w:r>
      <w:r w:rsidR="00CE7DAC" w:rsidRPr="00705DED">
        <w:rPr>
          <w:rFonts w:ascii="Arial" w:hAnsi="Arial" w:cs="Arial"/>
          <w:kern w:val="24"/>
          <w:sz w:val="24"/>
          <w:szCs w:val="24"/>
        </w:rPr>
        <w:t xml:space="preserve">s, interest in partnership, and any right, title or interest in the assets listed above, </w:t>
      </w:r>
      <w:r w:rsidR="00FE1AC5" w:rsidRPr="00705DED">
        <w:rPr>
          <w:rFonts w:ascii="Arial" w:hAnsi="Arial" w:cs="Arial"/>
          <w:kern w:val="24"/>
          <w:sz w:val="24"/>
          <w:szCs w:val="24"/>
        </w:rPr>
        <w:t>but exclud</w:t>
      </w:r>
      <w:r w:rsidR="00CE7DAC" w:rsidRPr="00705DED">
        <w:rPr>
          <w:rFonts w:ascii="Arial" w:hAnsi="Arial" w:cs="Arial"/>
          <w:kern w:val="24"/>
          <w:sz w:val="24"/>
          <w:szCs w:val="24"/>
        </w:rPr>
        <w:t>ing</w:t>
      </w:r>
      <w:r w:rsidR="00FE1AC5" w:rsidRPr="00705DED">
        <w:rPr>
          <w:rFonts w:ascii="Arial" w:hAnsi="Arial" w:cs="Arial"/>
          <w:kern w:val="24"/>
          <w:sz w:val="24"/>
          <w:szCs w:val="24"/>
        </w:rPr>
        <w:t xml:space="preserve"> depreciable assets and stock-in-trade. </w:t>
      </w:r>
      <w:r w:rsidR="007E1D39"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Pr="00705DED">
        <w:rPr>
          <w:rFonts w:ascii="Arial" w:hAnsi="Arial" w:cs="Arial"/>
          <w:kern w:val="24"/>
          <w:sz w:val="24"/>
          <w:szCs w:val="24"/>
        </w:rPr>
        <w:t xml:space="preserve">In simple terms, this means the tax imposed on the income derived from the </w:t>
      </w:r>
      <w:r w:rsidR="00FE1AC5" w:rsidRPr="00705DED">
        <w:rPr>
          <w:rFonts w:ascii="Arial" w:hAnsi="Arial" w:cs="Arial"/>
          <w:kern w:val="24"/>
          <w:sz w:val="24"/>
          <w:szCs w:val="24"/>
        </w:rPr>
        <w:t>disposal</w:t>
      </w:r>
      <w:r w:rsidRPr="00705DED">
        <w:rPr>
          <w:rFonts w:ascii="Arial" w:hAnsi="Arial" w:cs="Arial"/>
          <w:kern w:val="24"/>
          <w:sz w:val="24"/>
          <w:szCs w:val="24"/>
        </w:rPr>
        <w:t xml:space="preserve"> of one’s capital asset</w:t>
      </w:r>
      <w:r w:rsidR="00647CF1" w:rsidRPr="00705DED">
        <w:rPr>
          <w:rFonts w:ascii="Arial" w:hAnsi="Arial" w:cs="Arial"/>
          <w:kern w:val="24"/>
          <w:sz w:val="24"/>
          <w:szCs w:val="24"/>
        </w:rPr>
        <w:t xml:space="preserve">.  </w:t>
      </w:r>
      <w:r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="00CE7DAC"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="008A04C4" w:rsidRPr="00705DED">
        <w:rPr>
          <w:rFonts w:ascii="Arial" w:hAnsi="Arial" w:cs="Arial"/>
          <w:kern w:val="24"/>
          <w:sz w:val="24"/>
          <w:szCs w:val="24"/>
        </w:rPr>
        <w:t xml:space="preserve">  </w:t>
      </w:r>
    </w:p>
    <w:p w:rsidR="00A779FC" w:rsidRPr="00705DED" w:rsidRDefault="00A779FC" w:rsidP="007F17A2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779FC" w:rsidRPr="00705DED" w:rsidRDefault="006775D2" w:rsidP="00514EB6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Who </w:t>
      </w:r>
      <w:r w:rsidR="00546F54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Liable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</w:t>
      </w:r>
      <w:r w:rsidR="00546F54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Capital Gains Tax?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46F54" w:rsidRPr="00705DED" w:rsidRDefault="00546F54" w:rsidP="0051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Any person who </w:t>
      </w:r>
      <w:r w:rsidR="00FE1AC5" w:rsidRPr="00705DED">
        <w:rPr>
          <w:rFonts w:ascii="Arial" w:hAnsi="Arial" w:cs="Arial"/>
          <w:kern w:val="24"/>
          <w:sz w:val="24"/>
          <w:szCs w:val="24"/>
        </w:rPr>
        <w:t>dispose</w:t>
      </w:r>
      <w:r w:rsidR="0018736A" w:rsidRPr="00705DED">
        <w:rPr>
          <w:rFonts w:ascii="Arial" w:hAnsi="Arial" w:cs="Arial"/>
          <w:kern w:val="24"/>
          <w:sz w:val="24"/>
          <w:szCs w:val="24"/>
        </w:rPr>
        <w:t>s</w:t>
      </w:r>
      <w:r w:rsidRPr="00705DED">
        <w:rPr>
          <w:rFonts w:ascii="Arial" w:hAnsi="Arial" w:cs="Arial"/>
          <w:kern w:val="24"/>
          <w:sz w:val="24"/>
          <w:szCs w:val="24"/>
        </w:rPr>
        <w:t xml:space="preserve"> a capital asset in The Gambia is liable to pay</w:t>
      </w:r>
      <w:r w:rsidR="0018736A" w:rsidRPr="00705DED">
        <w:rPr>
          <w:rFonts w:ascii="Arial" w:hAnsi="Arial" w:cs="Arial"/>
          <w:kern w:val="24"/>
          <w:sz w:val="24"/>
          <w:szCs w:val="24"/>
        </w:rPr>
        <w:t xml:space="preserve"> the tax</w:t>
      </w:r>
      <w:r w:rsidRPr="00705DED">
        <w:rPr>
          <w:rFonts w:ascii="Arial" w:hAnsi="Arial" w:cs="Arial"/>
          <w:kern w:val="24"/>
          <w:sz w:val="24"/>
          <w:szCs w:val="24"/>
        </w:rPr>
        <w:t xml:space="preserve">.  </w:t>
      </w:r>
      <w:r w:rsidR="007E1D39" w:rsidRPr="00705DED">
        <w:rPr>
          <w:rFonts w:ascii="Arial" w:hAnsi="Arial" w:cs="Arial"/>
          <w:kern w:val="24"/>
          <w:sz w:val="24"/>
          <w:szCs w:val="24"/>
        </w:rPr>
        <w:t xml:space="preserve">In addition, any Gambian resident who sells a capital asset outside The Gambia is liable to pay capital gains tax. </w:t>
      </w:r>
    </w:p>
    <w:p w:rsidR="00A779FC" w:rsidRPr="00705DED" w:rsidRDefault="00A779FC" w:rsidP="007F17A2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779FC" w:rsidRPr="00705DED" w:rsidRDefault="00792022" w:rsidP="00514EB6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is the </w:t>
      </w:r>
      <w:r w:rsidR="0018736A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Capital Gains 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Tax Rate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943BA7" w:rsidRPr="00705DED" w:rsidRDefault="00792022" w:rsidP="00514EB6">
      <w:pPr>
        <w:spacing w:after="0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>The rate charged depends on whether the disposal is made by an individual</w:t>
      </w:r>
      <w:r w:rsidR="00943BA7"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Pr="00705DED">
        <w:rPr>
          <w:rFonts w:ascii="Arial" w:hAnsi="Arial" w:cs="Arial"/>
          <w:kern w:val="24"/>
          <w:sz w:val="24"/>
          <w:szCs w:val="24"/>
        </w:rPr>
        <w:t xml:space="preserve">or a </w:t>
      </w:r>
      <w:r w:rsidR="00943BA7" w:rsidRPr="00705DED">
        <w:rPr>
          <w:rFonts w:ascii="Arial" w:hAnsi="Arial" w:cs="Arial"/>
          <w:kern w:val="24"/>
          <w:sz w:val="24"/>
          <w:szCs w:val="24"/>
        </w:rPr>
        <w:t>company</w:t>
      </w:r>
      <w:r w:rsidR="007F17A2" w:rsidRPr="00705DED">
        <w:rPr>
          <w:rFonts w:ascii="Arial" w:hAnsi="Arial" w:cs="Arial"/>
          <w:kern w:val="24"/>
          <w:sz w:val="24"/>
          <w:szCs w:val="24"/>
        </w:rPr>
        <w:t xml:space="preserve">, </w:t>
      </w:r>
      <w:r w:rsidR="0018736A" w:rsidRPr="00705DED">
        <w:rPr>
          <w:rFonts w:ascii="Arial" w:hAnsi="Arial" w:cs="Arial"/>
          <w:kern w:val="24"/>
          <w:sz w:val="24"/>
          <w:szCs w:val="24"/>
        </w:rPr>
        <w:t>partnership</w:t>
      </w:r>
      <w:r w:rsidR="007F17A2" w:rsidRPr="00705DED">
        <w:rPr>
          <w:rFonts w:ascii="Arial" w:hAnsi="Arial" w:cs="Arial"/>
          <w:kern w:val="24"/>
          <w:sz w:val="24"/>
          <w:szCs w:val="24"/>
        </w:rPr>
        <w:t xml:space="preserve">, </w:t>
      </w:r>
      <w:r w:rsidR="0018736A" w:rsidRPr="00705DED">
        <w:rPr>
          <w:rFonts w:ascii="Arial" w:hAnsi="Arial" w:cs="Arial"/>
          <w:kern w:val="24"/>
          <w:sz w:val="24"/>
          <w:szCs w:val="24"/>
        </w:rPr>
        <w:t>trustee</w:t>
      </w:r>
      <w:r w:rsidR="007F17A2" w:rsidRPr="00705DED">
        <w:rPr>
          <w:rFonts w:ascii="Arial" w:hAnsi="Arial" w:cs="Arial"/>
          <w:kern w:val="24"/>
          <w:sz w:val="24"/>
          <w:szCs w:val="24"/>
        </w:rPr>
        <w:t xml:space="preserve"> etc</w:t>
      </w:r>
      <w:r w:rsidRPr="00705DED">
        <w:rPr>
          <w:rFonts w:ascii="Arial" w:hAnsi="Arial" w:cs="Arial"/>
          <w:kern w:val="24"/>
          <w:sz w:val="24"/>
          <w:szCs w:val="24"/>
        </w:rPr>
        <w:t>.</w:t>
      </w:r>
      <w:r w:rsidR="00943BA7" w:rsidRPr="00705DED">
        <w:rPr>
          <w:rFonts w:ascii="Arial" w:hAnsi="Arial" w:cs="Arial"/>
          <w:kern w:val="24"/>
          <w:sz w:val="24"/>
          <w:szCs w:val="24"/>
        </w:rPr>
        <w:t xml:space="preserve">  </w:t>
      </w:r>
    </w:p>
    <w:p w:rsidR="00943BA7" w:rsidRPr="00705DED" w:rsidRDefault="00943BA7" w:rsidP="00514EB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For individuals, the </w:t>
      </w:r>
      <w:r w:rsidR="007E1D39" w:rsidRPr="00705DED">
        <w:rPr>
          <w:rFonts w:ascii="Arial" w:hAnsi="Arial" w:cs="Arial"/>
          <w:kern w:val="24"/>
          <w:sz w:val="24"/>
          <w:szCs w:val="24"/>
        </w:rPr>
        <w:t xml:space="preserve">capital gains </w:t>
      </w:r>
      <w:r w:rsidRPr="00705DED">
        <w:rPr>
          <w:rFonts w:ascii="Arial" w:hAnsi="Arial" w:cs="Arial"/>
          <w:kern w:val="24"/>
          <w:sz w:val="24"/>
          <w:szCs w:val="24"/>
        </w:rPr>
        <w:t xml:space="preserve">tax </w:t>
      </w:r>
      <w:r w:rsidR="007E1D39" w:rsidRPr="00705DED">
        <w:rPr>
          <w:rFonts w:ascii="Arial" w:hAnsi="Arial" w:cs="Arial"/>
          <w:kern w:val="24"/>
          <w:sz w:val="24"/>
          <w:szCs w:val="24"/>
        </w:rPr>
        <w:t xml:space="preserve">rate </w:t>
      </w:r>
      <w:r w:rsidRPr="00705DED">
        <w:rPr>
          <w:rFonts w:ascii="Arial" w:hAnsi="Arial" w:cs="Arial"/>
          <w:kern w:val="24"/>
          <w:sz w:val="24"/>
          <w:szCs w:val="24"/>
        </w:rPr>
        <w:t>is 15% of the gains or 5% of the consideration, whichever is higher</w:t>
      </w:r>
    </w:p>
    <w:p w:rsidR="00943BA7" w:rsidRPr="00705DED" w:rsidRDefault="00943BA7" w:rsidP="00514EB6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For companies, partnerships, trustees, </w:t>
      </w:r>
      <w:proofErr w:type="spellStart"/>
      <w:r w:rsidR="0018736A" w:rsidRPr="00705DED">
        <w:rPr>
          <w:rFonts w:ascii="Arial" w:hAnsi="Arial" w:cs="Arial"/>
          <w:kern w:val="24"/>
          <w:sz w:val="24"/>
          <w:szCs w:val="24"/>
        </w:rPr>
        <w:t>etc</w:t>
      </w:r>
      <w:proofErr w:type="spellEnd"/>
      <w:r w:rsidR="0018736A" w:rsidRPr="00705DED">
        <w:rPr>
          <w:rFonts w:ascii="Arial" w:hAnsi="Arial" w:cs="Arial"/>
          <w:kern w:val="24"/>
          <w:sz w:val="24"/>
          <w:szCs w:val="24"/>
        </w:rPr>
        <w:t xml:space="preserve"> </w:t>
      </w:r>
      <w:r w:rsidRPr="00705DED">
        <w:rPr>
          <w:rFonts w:ascii="Arial" w:hAnsi="Arial" w:cs="Arial"/>
          <w:kern w:val="24"/>
          <w:sz w:val="24"/>
          <w:szCs w:val="24"/>
        </w:rPr>
        <w:t xml:space="preserve">the rate is 25% of the gains or 10% of the consideration, whichever is higher.  </w:t>
      </w:r>
    </w:p>
    <w:p w:rsidR="00792022" w:rsidRPr="00705DED" w:rsidRDefault="00792022" w:rsidP="00792022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 </w:t>
      </w:r>
    </w:p>
    <w:p w:rsidR="00A779FC" w:rsidRPr="00705DED" w:rsidRDefault="0018736A" w:rsidP="00514EB6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is Capital Gains </w:t>
      </w:r>
      <w:r w:rsidR="007F17A2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Tax 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Calculated?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7170F" w:rsidRPr="00705DED" w:rsidRDefault="0018736A" w:rsidP="00514EB6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applicable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capital gains rate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is applied on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consideration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gains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he consideration is the full selling price of the asset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 whilst the gain is the consideration less the purchase price</w:t>
      </w:r>
      <w:r w:rsidR="00006FFD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improvement </w:t>
      </w:r>
      <w:r w:rsidR="00006FFD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cost 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of the asset</w:t>
      </w:r>
      <w:r w:rsidR="00006FFD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cost of disposal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F05E1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The capital gains cannot be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reduced by any capital losses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</w:t>
      </w:r>
      <w:r w:rsidR="00006FFD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another asset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="00081AB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addition, no carry forward of capital losses for setoff against future gains is allowed. 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Foreign capital gains tax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paid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country of origin can however</w:t>
      </w:r>
      <w:r w:rsidR="007E6516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 granted 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a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tax </w:t>
      </w:r>
      <w:r w:rsidR="002023BE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relief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the exten</w:t>
      </w:r>
      <w:r w:rsidR="007E6516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provided in a treaty</w:t>
      </w:r>
      <w:r w:rsidR="00081AB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The amount of foreign tax credit allowed is the lesser of the foreign tax paid or the Gambian capital gains tax payable.</w:t>
      </w:r>
    </w:p>
    <w:p w:rsidR="007E1D39" w:rsidRPr="00705DED" w:rsidRDefault="007E1D39" w:rsidP="00514EB6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43BA7" w:rsidRPr="00705DED" w:rsidRDefault="00AF05E1" w:rsidP="00514EB6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For example, Mr</w:t>
      </w:r>
      <w:r w:rsidR="007F17A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53F2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X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sells a land for D2 million and incurred D20</w:t>
      </w:r>
      <w:proofErr w:type="gramStart"/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,000</w:t>
      </w:r>
      <w:proofErr w:type="gramEnd"/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selling expenses.  The land had cost him D1.5 million two years ago and he spend D100</w:t>
      </w:r>
      <w:proofErr w:type="gramStart"/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,000</w:t>
      </w:r>
      <w:proofErr w:type="gramEnd"/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 it as improvement. 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The Consideration = D2</w:t>
      </w:r>
      <w:proofErr w:type="gramStart"/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,000,000</w:t>
      </w:r>
      <w:proofErr w:type="gramEnd"/>
      <w:r w:rsidR="0077170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the 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Capital Gains = D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38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0,000 (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i.e. 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D2,000,000 – D1,500,000 – D100,000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D20,000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).  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Tax due is the higher of 15% of D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380</w:t>
      </w:r>
      <w:proofErr w:type="gramStart"/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,000</w:t>
      </w:r>
      <w:proofErr w:type="gramEnd"/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=  D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57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,000 </w:t>
      </w:r>
      <w:r w:rsidR="007F17A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or</w:t>
      </w:r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5% of D2,000,000 = D100,000.  Therefore, the capital gains tax liability is </w:t>
      </w:r>
      <w:r w:rsidR="00521F78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D100</w:t>
      </w:r>
      <w:proofErr w:type="gramStart"/>
      <w:r w:rsidR="00521F78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,000</w:t>
      </w:r>
      <w:proofErr w:type="gramEnd"/>
      <w:r w:rsidR="00521F7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</w:p>
    <w:p w:rsidR="00A779FC" w:rsidRPr="00705DED" w:rsidRDefault="00A779FC" w:rsidP="00943BA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779FC" w:rsidRPr="00705DED" w:rsidRDefault="00053F22" w:rsidP="00514EB6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When Shall a Taxpayer 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Fil</w:t>
      </w:r>
      <w:r w:rsidR="009E504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Capital Gains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Tax</w:t>
      </w:r>
      <w:r w:rsidR="009E504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779FC" w:rsidRPr="00705DED" w:rsidRDefault="00677981" w:rsidP="008413A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A capital gains taxpayer shou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ld fill the prescribed Capital G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ains Tax Return and make payments of the tax due within 15 days after the disposal of a capital asset. </w:t>
      </w:r>
      <w:r w:rsidR="00495ADC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Documents providing evidence of cost and selling prices should be attached to the return.</w:t>
      </w:r>
    </w:p>
    <w:p w:rsidR="008413AF" w:rsidRPr="00705DED" w:rsidRDefault="008413AF" w:rsidP="008413AF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775D2" w:rsidRPr="00705DED" w:rsidRDefault="006775D2" w:rsidP="00514EB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and </w:t>
      </w:r>
      <w:r w:rsidR="009E504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here to </w:t>
      </w:r>
      <w:r w:rsidR="009E504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ile </w:t>
      </w:r>
      <w:r w:rsidR="00C8773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Returns 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ay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87D6F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053F22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Capital Gains </w:t>
      </w:r>
      <w:r w:rsidR="007E1D39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Tax</w:t>
      </w:r>
      <w:r w:rsidR="009E504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6775D2" w:rsidRPr="00705DED" w:rsidRDefault="00677981" w:rsidP="008346D9">
      <w:pPr>
        <w:pStyle w:val="ListParagraph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Capital gains tax returns </w:t>
      </w:r>
      <w:r w:rsidR="007F17A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are submitted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payments </w:t>
      </w:r>
      <w:r w:rsidR="007F17A2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made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at </w:t>
      </w:r>
      <w:r w:rsidR="008346D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nearest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GRA tax office</w:t>
      </w:r>
      <w:r w:rsidR="008346D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Region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where the taxpayer or the capital asset is resident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7E1D39" w:rsidRPr="00705DED" w:rsidRDefault="007E1D39" w:rsidP="008346D9">
      <w:pPr>
        <w:pStyle w:val="ListParagraph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1D39" w:rsidRPr="00705DED" w:rsidRDefault="007E1D39" w:rsidP="007E1D3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Objection &amp; Appeal</w:t>
      </w:r>
      <w:r w:rsidR="00124947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Tax Decisions</w:t>
      </w:r>
    </w:p>
    <w:p w:rsidR="007E1D39" w:rsidRPr="00705DED" w:rsidRDefault="00124947" w:rsidP="007E1D39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Taxpayers </w:t>
      </w:r>
      <w:r w:rsidR="0089396E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not satisfied with 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any tax decision can, within 30 days, 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object to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such </w:t>
      </w:r>
      <w:r w:rsidR="0089396E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decision through the Objection and Appeal process.  The process starts at the 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GRA (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Domestic Taxes Department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7E1D3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through to the Tax Tribunal and then to the Court of Appeal. </w:t>
      </w:r>
    </w:p>
    <w:p w:rsidR="00630843" w:rsidRPr="00705DED" w:rsidRDefault="00630843" w:rsidP="006308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9FC" w:rsidRPr="00705DED" w:rsidRDefault="009708F2" w:rsidP="00514EB6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Who is </w:t>
      </w:r>
      <w:proofErr w:type="gramStart"/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Exempted</w:t>
      </w:r>
      <w:proofErr w:type="gramEnd"/>
      <w:r w:rsidR="0089396E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fro</w:t>
      </w:r>
      <w:r w:rsidR="00C87733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m Capital Gains Tax Filing and P</w:t>
      </w:r>
      <w:r w:rsidR="0089396E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ayment</w:t>
      </w: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6775D2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346D9" w:rsidRPr="00705DED" w:rsidRDefault="00A5080E" w:rsidP="00514EB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495ADC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ny person who disposes a capital asset is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required to </w:t>
      </w:r>
      <w:r w:rsidR="008346D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fil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 </w:t>
      </w:r>
      <w:r w:rsidR="00495ADC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capital gains tax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return</w:t>
      </w:r>
      <w:r w:rsidR="008346D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.  However, the following taxpayers are exempted from capital gains tax</w:t>
      </w:r>
      <w:r w:rsidR="00D46E9D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payment</w:t>
      </w:r>
      <w:r w:rsidR="008346D9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8346D9" w:rsidRPr="00705DED" w:rsidRDefault="008346D9" w:rsidP="00514E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proofErr w:type="gramStart"/>
      <w:r w:rsidRPr="00705DED">
        <w:rPr>
          <w:rFonts w:ascii="Arial" w:hAnsi="Arial" w:cs="Arial"/>
          <w:kern w:val="24"/>
          <w:sz w:val="24"/>
          <w:szCs w:val="24"/>
        </w:rPr>
        <w:t>a</w:t>
      </w:r>
      <w:proofErr w:type="gramEnd"/>
      <w:r w:rsidRPr="00705DED">
        <w:rPr>
          <w:rFonts w:ascii="Arial" w:hAnsi="Arial" w:cs="Arial"/>
          <w:kern w:val="24"/>
          <w:sz w:val="24"/>
          <w:szCs w:val="24"/>
        </w:rPr>
        <w:t xml:space="preserve"> capital gain on disposal of a capital asset by any person, if the gain does not exceed D</w:t>
      </w:r>
      <w:r w:rsidR="00D46E9D" w:rsidRPr="00705DED">
        <w:rPr>
          <w:rFonts w:ascii="Arial" w:hAnsi="Arial" w:cs="Arial"/>
          <w:kern w:val="24"/>
          <w:sz w:val="24"/>
          <w:szCs w:val="24"/>
        </w:rPr>
        <w:t>18,0</w:t>
      </w:r>
      <w:r w:rsidRPr="00705DED">
        <w:rPr>
          <w:rFonts w:ascii="Arial" w:hAnsi="Arial" w:cs="Arial"/>
          <w:kern w:val="24"/>
          <w:sz w:val="24"/>
          <w:szCs w:val="24"/>
        </w:rPr>
        <w:t>00</w:t>
      </w:r>
      <w:r w:rsidR="00A5080E" w:rsidRPr="00705DED">
        <w:rPr>
          <w:rFonts w:ascii="Arial" w:hAnsi="Arial" w:cs="Arial"/>
          <w:kern w:val="24"/>
          <w:sz w:val="24"/>
          <w:szCs w:val="24"/>
        </w:rPr>
        <w:t xml:space="preserve"> in a year.</w:t>
      </w:r>
    </w:p>
    <w:p w:rsidR="008346D9" w:rsidRPr="00705DED" w:rsidRDefault="008346D9" w:rsidP="00514E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>a capital gain derived by a local authority, district authority, Government institution, or charitable organisation;</w:t>
      </w:r>
    </w:p>
    <w:p w:rsidR="00157F94" w:rsidRPr="00705DED" w:rsidRDefault="008346D9" w:rsidP="00514E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r w:rsidRPr="00705DED">
        <w:rPr>
          <w:rFonts w:ascii="Arial" w:hAnsi="Arial" w:cs="Arial"/>
          <w:kern w:val="24"/>
          <w:sz w:val="24"/>
          <w:szCs w:val="24"/>
        </w:rPr>
        <w:t xml:space="preserve">a capital gain on disposal of a private residence </w:t>
      </w:r>
      <w:r w:rsidR="00157F94" w:rsidRPr="00705DED">
        <w:rPr>
          <w:rFonts w:ascii="Arial" w:hAnsi="Arial" w:cs="Arial"/>
          <w:kern w:val="24"/>
          <w:sz w:val="24"/>
          <w:szCs w:val="24"/>
        </w:rPr>
        <w:t xml:space="preserve">that was occupied by the taxpayer or their parents in the two years preceding the sale and </w:t>
      </w:r>
      <w:r w:rsidR="00D46E9D" w:rsidRPr="00705DED">
        <w:rPr>
          <w:rFonts w:ascii="Arial" w:hAnsi="Arial" w:cs="Arial"/>
          <w:kern w:val="24"/>
          <w:sz w:val="24"/>
          <w:szCs w:val="24"/>
        </w:rPr>
        <w:t>where</w:t>
      </w:r>
      <w:r w:rsidR="00157F94" w:rsidRPr="00705DED">
        <w:rPr>
          <w:rFonts w:ascii="Arial" w:hAnsi="Arial" w:cs="Arial"/>
          <w:kern w:val="24"/>
          <w:sz w:val="24"/>
          <w:szCs w:val="24"/>
        </w:rPr>
        <w:t xml:space="preserve"> the full consideration is re-invested in another residential property within one year. </w:t>
      </w:r>
    </w:p>
    <w:p w:rsidR="008346D9" w:rsidRPr="00705DED" w:rsidRDefault="008346D9" w:rsidP="00514E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kern w:val="24"/>
          <w:sz w:val="24"/>
          <w:szCs w:val="24"/>
        </w:rPr>
      </w:pPr>
      <w:proofErr w:type="gramStart"/>
      <w:r w:rsidRPr="00705DED">
        <w:rPr>
          <w:rFonts w:ascii="Arial" w:hAnsi="Arial" w:cs="Arial"/>
          <w:kern w:val="24"/>
          <w:sz w:val="24"/>
          <w:szCs w:val="24"/>
        </w:rPr>
        <w:t>a</w:t>
      </w:r>
      <w:proofErr w:type="gramEnd"/>
      <w:r w:rsidRPr="00705DED">
        <w:rPr>
          <w:rFonts w:ascii="Arial" w:hAnsi="Arial" w:cs="Arial"/>
          <w:kern w:val="24"/>
          <w:sz w:val="24"/>
          <w:szCs w:val="24"/>
        </w:rPr>
        <w:t xml:space="preserve"> capital gain on disposal of agricultural land </w:t>
      </w:r>
      <w:r w:rsidR="00157F94" w:rsidRPr="00705DED">
        <w:rPr>
          <w:rFonts w:ascii="Arial" w:hAnsi="Arial" w:cs="Arial"/>
          <w:kern w:val="24"/>
          <w:sz w:val="24"/>
          <w:szCs w:val="24"/>
        </w:rPr>
        <w:t xml:space="preserve">that was utilised by the taxpayer or their parents in the two years preceding the sale and that the full consideration is re-invested in another agricultural land within </w:t>
      </w:r>
      <w:r w:rsidR="00D46E9D" w:rsidRPr="00705DED">
        <w:rPr>
          <w:rFonts w:ascii="Arial" w:hAnsi="Arial" w:cs="Arial"/>
          <w:kern w:val="24"/>
          <w:sz w:val="24"/>
          <w:szCs w:val="24"/>
        </w:rPr>
        <w:t>two</w:t>
      </w:r>
      <w:r w:rsidR="00157F94" w:rsidRPr="00705DED">
        <w:rPr>
          <w:rFonts w:ascii="Arial" w:hAnsi="Arial" w:cs="Arial"/>
          <w:kern w:val="24"/>
          <w:sz w:val="24"/>
          <w:szCs w:val="24"/>
        </w:rPr>
        <w:t xml:space="preserve"> year.</w:t>
      </w:r>
    </w:p>
    <w:p w:rsidR="00081AB2" w:rsidRPr="00705DED" w:rsidRDefault="00081AB2" w:rsidP="00534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34AB1" w:rsidRPr="00705DED" w:rsidRDefault="00534AB1" w:rsidP="00534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addition, a taxpayer can apply to the Commissioner General for extension of 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time to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fil</w:t>
      </w:r>
      <w:r w:rsidR="00A87D6F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e a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capital gains tax return if they have paid at least 90% of their </w:t>
      </w:r>
      <w:r w:rsidR="00350286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capital gains </w:t>
      </w: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tax liability due.  The application should be made before the due date for filing.  Extensions cannot exceed 30 days and can only be granted once a year.</w:t>
      </w:r>
    </w:p>
    <w:p w:rsidR="00534AB1" w:rsidRPr="00705DED" w:rsidRDefault="00534AB1" w:rsidP="00534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:rsidR="00A779FC" w:rsidRPr="00705DED" w:rsidRDefault="009E5043" w:rsidP="00514EB6">
      <w:pPr>
        <w:pStyle w:val="ListParagraph"/>
        <w:numPr>
          <w:ilvl w:val="0"/>
          <w:numId w:val="1"/>
        </w:numPr>
        <w:spacing w:after="0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the Payments Made a </w:t>
      </w:r>
      <w:r w:rsidR="00A779FC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Final Tax?  </w:t>
      </w:r>
    </w:p>
    <w:p w:rsidR="009708F2" w:rsidRPr="00705DED" w:rsidRDefault="00124947" w:rsidP="005C48FB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YES</w:t>
      </w:r>
      <w:r w:rsidR="009708F2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9C7608"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9C7608"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The capital gains tax is a final tax.  Neither the gains nor the consideration received will be subjected to further taxation.</w:t>
      </w:r>
    </w:p>
    <w:p w:rsidR="00630843" w:rsidRPr="00705DED" w:rsidRDefault="00630843" w:rsidP="005C48FB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779FC" w:rsidRPr="00705DED" w:rsidRDefault="00A779FC" w:rsidP="00514EB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Offences </w:t>
      </w:r>
    </w:p>
    <w:p w:rsidR="00E86AA6" w:rsidRPr="00705DED" w:rsidRDefault="00E86AA6" w:rsidP="00E86AA6">
      <w:pPr>
        <w:pStyle w:val="ListParagraph"/>
        <w:spacing w:after="0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The following are offences punishable under the Income and Value Added Tax Act 2012.</w:t>
      </w:r>
    </w:p>
    <w:p w:rsidR="00E86AA6" w:rsidRPr="00705DED" w:rsidRDefault="00E86AA6" w:rsidP="00E86AA6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Failure to lodge a capital gains return and supporting documents </w:t>
      </w:r>
    </w:p>
    <w:p w:rsidR="00E86AA6" w:rsidRPr="00705DED" w:rsidRDefault="00E86AA6" w:rsidP="00E86AA6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Giving misleading information on capital gains tax </w:t>
      </w:r>
    </w:p>
    <w:p w:rsidR="00E86AA6" w:rsidRPr="00705DED" w:rsidRDefault="00E86AA6" w:rsidP="00E86AA6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Improper use of TIN</w:t>
      </w:r>
    </w:p>
    <w:p w:rsidR="00E86AA6" w:rsidRPr="00705DED" w:rsidRDefault="00E86AA6" w:rsidP="00E86AA6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05DED">
        <w:rPr>
          <w:rFonts w:ascii="Arial" w:eastAsia="Times New Roman" w:hAnsi="Arial" w:cs="Arial"/>
          <w:bCs/>
          <w:color w:val="000000"/>
          <w:sz w:val="24"/>
          <w:szCs w:val="24"/>
        </w:rPr>
        <w:t>Obstructing revenue officers in the performance of their duty.</w:t>
      </w:r>
    </w:p>
    <w:p w:rsidR="00E86AA6" w:rsidRPr="00705DED" w:rsidRDefault="00E86AA6" w:rsidP="00E86AA6">
      <w:pPr>
        <w:pStyle w:val="ListParagraph"/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86AA6" w:rsidRPr="00705DED" w:rsidRDefault="00E86AA6" w:rsidP="00E86AA6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7170F" w:rsidRPr="00705DED" w:rsidRDefault="0077170F" w:rsidP="00E86AA6">
      <w:pPr>
        <w:rPr>
          <w:rFonts w:ascii="Arial" w:hAnsi="Arial" w:cs="Arial"/>
          <w:b/>
          <w:sz w:val="24"/>
          <w:szCs w:val="24"/>
        </w:rPr>
      </w:pPr>
    </w:p>
    <w:p w:rsidR="0019439C" w:rsidRPr="00705DED" w:rsidRDefault="0019439C" w:rsidP="00E86AA6">
      <w:pPr>
        <w:rPr>
          <w:rFonts w:ascii="Arial" w:hAnsi="Arial" w:cs="Arial"/>
          <w:b/>
          <w:sz w:val="24"/>
          <w:szCs w:val="24"/>
        </w:rPr>
      </w:pPr>
    </w:p>
    <w:p w:rsidR="0019439C" w:rsidRPr="00705DED" w:rsidRDefault="0019439C" w:rsidP="00E86AA6">
      <w:pPr>
        <w:rPr>
          <w:rFonts w:ascii="Arial" w:hAnsi="Arial" w:cs="Arial"/>
          <w:b/>
          <w:sz w:val="24"/>
          <w:szCs w:val="24"/>
        </w:rPr>
      </w:pPr>
    </w:p>
    <w:p w:rsidR="0019439C" w:rsidRPr="00705DED" w:rsidRDefault="0019439C" w:rsidP="00E86AA6">
      <w:pPr>
        <w:rPr>
          <w:rFonts w:ascii="Arial" w:hAnsi="Arial" w:cs="Arial"/>
          <w:b/>
          <w:sz w:val="24"/>
          <w:szCs w:val="24"/>
        </w:rPr>
      </w:pPr>
    </w:p>
    <w:p w:rsidR="0019439C" w:rsidRPr="00705DED" w:rsidRDefault="0019439C" w:rsidP="00E86AA6">
      <w:pPr>
        <w:rPr>
          <w:rFonts w:ascii="Arial" w:hAnsi="Arial" w:cs="Arial"/>
          <w:b/>
          <w:sz w:val="24"/>
          <w:szCs w:val="24"/>
        </w:rPr>
      </w:pPr>
    </w:p>
    <w:p w:rsidR="0019439C" w:rsidRPr="00705DED" w:rsidRDefault="0019439C" w:rsidP="00E86AA6">
      <w:pPr>
        <w:rPr>
          <w:rFonts w:ascii="Arial" w:hAnsi="Arial" w:cs="Arial"/>
          <w:b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B1227" w:rsidRPr="00705DED" w:rsidRDefault="007B1227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77170F" w:rsidRPr="00705DED" w:rsidRDefault="0077170F" w:rsidP="0077170F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705DED">
        <w:rPr>
          <w:rFonts w:ascii="Arial" w:hAnsi="Arial" w:cs="Arial"/>
          <w:b/>
          <w:i/>
          <w:sz w:val="24"/>
          <w:szCs w:val="24"/>
        </w:rPr>
        <w:t xml:space="preserve">This </w:t>
      </w:r>
      <w:r w:rsidR="0019439C" w:rsidRPr="00705DED">
        <w:rPr>
          <w:rFonts w:ascii="Arial" w:hAnsi="Arial" w:cs="Arial"/>
          <w:b/>
          <w:i/>
          <w:sz w:val="24"/>
          <w:szCs w:val="24"/>
        </w:rPr>
        <w:t>B</w:t>
      </w:r>
      <w:r w:rsidRPr="00705DED">
        <w:rPr>
          <w:rFonts w:ascii="Arial" w:hAnsi="Arial" w:cs="Arial"/>
          <w:b/>
          <w:i/>
          <w:sz w:val="24"/>
          <w:szCs w:val="24"/>
        </w:rPr>
        <w:t xml:space="preserve">rochure is not intended as an exhaustive explanation </w:t>
      </w:r>
      <w:r w:rsidR="00A87D6F" w:rsidRPr="00705DED">
        <w:rPr>
          <w:rFonts w:ascii="Arial" w:hAnsi="Arial" w:cs="Arial"/>
          <w:b/>
          <w:i/>
          <w:sz w:val="24"/>
          <w:szCs w:val="24"/>
        </w:rPr>
        <w:t xml:space="preserve">or replacement of the </w:t>
      </w:r>
      <w:r w:rsidRPr="00705DED">
        <w:rPr>
          <w:rFonts w:ascii="Arial" w:hAnsi="Arial" w:cs="Arial"/>
          <w:b/>
          <w:i/>
          <w:sz w:val="24"/>
          <w:szCs w:val="24"/>
        </w:rPr>
        <w:t>capital gains tax</w:t>
      </w:r>
      <w:r w:rsidR="00A87D6F" w:rsidRPr="00705DED">
        <w:rPr>
          <w:rFonts w:ascii="Arial" w:hAnsi="Arial" w:cs="Arial"/>
          <w:b/>
          <w:i/>
          <w:sz w:val="24"/>
          <w:szCs w:val="24"/>
        </w:rPr>
        <w:t xml:space="preserve"> laws</w:t>
      </w:r>
      <w:r w:rsidRPr="00705DED">
        <w:rPr>
          <w:rFonts w:ascii="Arial" w:hAnsi="Arial" w:cs="Arial"/>
          <w:b/>
          <w:i/>
          <w:sz w:val="24"/>
          <w:szCs w:val="24"/>
        </w:rPr>
        <w:t>.  If you require detail information about your capital gains tax obligations, you should contact GRA.</w:t>
      </w:r>
    </w:p>
    <w:p w:rsidR="0077170F" w:rsidRDefault="0077170F" w:rsidP="0077170F">
      <w:pPr>
        <w:pStyle w:val="ListParagraph"/>
        <w:ind w:left="340"/>
        <w:rPr>
          <w:rFonts w:ascii="Arial" w:hAnsi="Arial" w:cs="Arial"/>
        </w:rPr>
      </w:pPr>
    </w:p>
    <w:p w:rsidR="00D671FC" w:rsidRDefault="00D671FC" w:rsidP="0077170F">
      <w:pPr>
        <w:pStyle w:val="ListParagraph"/>
        <w:ind w:left="340"/>
        <w:rPr>
          <w:rFonts w:ascii="Arial" w:hAnsi="Arial" w:cs="Arial"/>
        </w:rPr>
      </w:pPr>
    </w:p>
    <w:p w:rsidR="00630843" w:rsidRDefault="00630843" w:rsidP="0077170F">
      <w:pPr>
        <w:pStyle w:val="ListParagraph"/>
        <w:ind w:left="340"/>
        <w:rPr>
          <w:rFonts w:ascii="Arial" w:hAnsi="Arial" w:cs="Arial"/>
        </w:rPr>
      </w:pPr>
    </w:p>
    <w:p w:rsidR="00630843" w:rsidRDefault="00630843" w:rsidP="0077170F">
      <w:pPr>
        <w:pStyle w:val="ListParagraph"/>
        <w:ind w:left="340"/>
        <w:rPr>
          <w:rFonts w:ascii="Arial" w:hAnsi="Arial" w:cs="Arial"/>
        </w:rPr>
      </w:pPr>
    </w:p>
    <w:p w:rsidR="00630843" w:rsidRDefault="00630843" w:rsidP="0077170F">
      <w:pPr>
        <w:pStyle w:val="ListParagraph"/>
        <w:ind w:left="340"/>
        <w:rPr>
          <w:rFonts w:ascii="Arial" w:hAnsi="Arial" w:cs="Arial"/>
        </w:rPr>
      </w:pPr>
    </w:p>
    <w:p w:rsidR="00630843" w:rsidRDefault="00630843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607B7D" w:rsidRDefault="00607B7D" w:rsidP="0077170F">
      <w:pPr>
        <w:pStyle w:val="ListParagraph"/>
        <w:ind w:left="340"/>
        <w:rPr>
          <w:rFonts w:ascii="Arial" w:hAnsi="Arial" w:cs="Arial"/>
        </w:rPr>
      </w:pPr>
    </w:p>
    <w:p w:rsidR="00607B7D" w:rsidRDefault="00607B7D" w:rsidP="0077170F">
      <w:pPr>
        <w:pStyle w:val="ListParagraph"/>
        <w:ind w:left="340"/>
        <w:rPr>
          <w:rFonts w:ascii="Arial" w:hAnsi="Arial" w:cs="Arial"/>
        </w:rPr>
      </w:pPr>
    </w:p>
    <w:p w:rsidR="00607B7D" w:rsidRDefault="00607B7D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19439C" w:rsidRDefault="0019439C" w:rsidP="0077170F">
      <w:pPr>
        <w:pStyle w:val="ListParagraph"/>
        <w:ind w:left="340"/>
        <w:rPr>
          <w:rFonts w:ascii="Arial" w:hAnsi="Arial" w:cs="Arial"/>
        </w:rPr>
      </w:pPr>
    </w:p>
    <w:p w:rsidR="008413AF" w:rsidRDefault="007B1227" w:rsidP="0077170F">
      <w:pPr>
        <w:pStyle w:val="ListParagraph"/>
        <w:ind w:left="340"/>
        <w:rPr>
          <w:rFonts w:ascii="Arial" w:hAnsi="Arial" w:cs="Arial"/>
        </w:rPr>
      </w:pPr>
      <w:r w:rsidRPr="00D671FC">
        <w:rPr>
          <w:rFonts w:ascii="Arial" w:eastAsia="Times New Roman" w:hAnsi="Arial" w:cs="Arial"/>
          <w:b/>
          <w:bCs/>
          <w:noProof/>
          <w:color w:val="000000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971800" cy="1819275"/>
            <wp:effectExtent l="0" t="0" r="0" b="0"/>
            <wp:wrapNone/>
            <wp:docPr id="1" name="Picture 1" descr="GRA 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 Logo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92" r="-7903" b="12109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971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227" w:rsidRPr="00D671FC" w:rsidRDefault="007B1227" w:rsidP="0077170F">
      <w:pPr>
        <w:pStyle w:val="ListParagraph"/>
        <w:ind w:left="340"/>
        <w:rPr>
          <w:rFonts w:ascii="Arial" w:hAnsi="Arial" w:cs="Arial"/>
        </w:rPr>
      </w:pPr>
    </w:p>
    <w:p w:rsidR="00D46E9D" w:rsidRPr="00D671FC" w:rsidRDefault="00D46E9D" w:rsidP="0077170F">
      <w:pPr>
        <w:pStyle w:val="ListParagraph"/>
        <w:ind w:left="340"/>
        <w:rPr>
          <w:rFonts w:ascii="Arial" w:hAnsi="Arial" w:cs="Arial"/>
        </w:rPr>
      </w:pPr>
    </w:p>
    <w:p w:rsidR="00D46E9D" w:rsidRPr="00D671FC" w:rsidRDefault="00D46E9D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77170F">
      <w:pPr>
        <w:pStyle w:val="ListParagraph"/>
        <w:ind w:left="340"/>
        <w:rPr>
          <w:rFonts w:ascii="Arial" w:hAnsi="Arial" w:cs="Arial"/>
        </w:rPr>
      </w:pP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D671FC" w:rsidRDefault="00D671FC" w:rsidP="008413AF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413AF" w:rsidRPr="00D671FC" w:rsidRDefault="008413AF" w:rsidP="00D671FC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D671FC">
        <w:rPr>
          <w:rFonts w:ascii="Arial" w:hAnsi="Arial" w:cs="Arial"/>
          <w:b/>
          <w:sz w:val="36"/>
          <w:szCs w:val="36"/>
        </w:rPr>
        <w:t>Gambia Revenue Authority</w:t>
      </w:r>
    </w:p>
    <w:p w:rsidR="0019439C" w:rsidRDefault="0019439C" w:rsidP="0019439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413AF" w:rsidRPr="00754D32" w:rsidRDefault="008413AF" w:rsidP="0019439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54D32">
        <w:rPr>
          <w:rFonts w:ascii="Arial" w:eastAsia="Times New Roman" w:hAnsi="Arial" w:cs="Arial"/>
          <w:b/>
          <w:bCs/>
          <w:color w:val="000000"/>
          <w:sz w:val="36"/>
          <w:szCs w:val="36"/>
        </w:rPr>
        <w:t>C</w:t>
      </w:r>
      <w:r w:rsidR="00754D32" w:rsidRPr="00754D3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apital Gains Tax </w:t>
      </w:r>
      <w:r w:rsidR="009F4D51" w:rsidRPr="00754D3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Brochure </w:t>
      </w:r>
    </w:p>
    <w:p w:rsidR="0019439C" w:rsidRDefault="0019439C" w:rsidP="008413AF">
      <w:pPr>
        <w:spacing w:after="0"/>
        <w:rPr>
          <w:rFonts w:ascii="Arial" w:hAnsi="Arial" w:cs="Arial"/>
          <w:b/>
        </w:rPr>
      </w:pPr>
    </w:p>
    <w:p w:rsidR="008413AF" w:rsidRPr="00D671FC" w:rsidRDefault="008413AF" w:rsidP="008413AF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D671FC">
        <w:rPr>
          <w:rFonts w:ascii="Arial" w:hAnsi="Arial" w:cs="Arial"/>
          <w:b/>
        </w:rPr>
        <w:t>HEAD OFFICE: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Revenue House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78/79 Liberation Avenue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 xml:space="preserve">Banjul, </w:t>
      </w:r>
      <w:proofErr w:type="gramStart"/>
      <w:r w:rsidRPr="00D671FC">
        <w:rPr>
          <w:rFonts w:ascii="Arial" w:hAnsi="Arial" w:cs="Arial"/>
        </w:rPr>
        <w:t>The</w:t>
      </w:r>
      <w:proofErr w:type="gramEnd"/>
      <w:r w:rsidRPr="00D671FC">
        <w:rPr>
          <w:rFonts w:ascii="Arial" w:hAnsi="Arial" w:cs="Arial"/>
        </w:rPr>
        <w:t xml:space="preserve"> Gambia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 xml:space="preserve">Tel: 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Fax: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  <w:b/>
        </w:rPr>
      </w:pPr>
      <w:r w:rsidRPr="00D671FC">
        <w:rPr>
          <w:rFonts w:ascii="Arial" w:hAnsi="Arial" w:cs="Arial"/>
          <w:b/>
        </w:rPr>
        <w:t xml:space="preserve">BRANCHES:                    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Barra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Basse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 xml:space="preserve">Brikama 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D671FC">
        <w:rPr>
          <w:rFonts w:ascii="Arial" w:hAnsi="Arial" w:cs="Arial"/>
        </w:rPr>
        <w:t>Brikamaba</w:t>
      </w:r>
      <w:proofErr w:type="spellEnd"/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Brusubi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Farafenni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>Kanifing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r w:rsidRPr="00D671FC">
        <w:rPr>
          <w:rFonts w:ascii="Arial" w:hAnsi="Arial" w:cs="Arial"/>
        </w:rPr>
        <w:t xml:space="preserve">Soma </w:t>
      </w:r>
    </w:p>
    <w:p w:rsidR="008413AF" w:rsidRPr="00D671FC" w:rsidRDefault="008413AF" w:rsidP="008413AF">
      <w:pPr>
        <w:pStyle w:val="ListParagraph"/>
        <w:spacing w:after="0"/>
        <w:ind w:left="0"/>
        <w:rPr>
          <w:rFonts w:ascii="Arial" w:hAnsi="Arial" w:cs="Arial"/>
        </w:rPr>
      </w:pPr>
      <w:proofErr w:type="spellStart"/>
      <w:r w:rsidRPr="00D671FC">
        <w:rPr>
          <w:rFonts w:ascii="Arial" w:hAnsi="Arial" w:cs="Arial"/>
        </w:rPr>
        <w:t>Talinding</w:t>
      </w:r>
      <w:proofErr w:type="spellEnd"/>
    </w:p>
    <w:p w:rsidR="008413AF" w:rsidRPr="00D671FC" w:rsidRDefault="008413AF" w:rsidP="007D2827">
      <w:pPr>
        <w:spacing w:after="0"/>
        <w:rPr>
          <w:rFonts w:ascii="Arial" w:hAnsi="Arial" w:cs="Arial"/>
          <w:b/>
        </w:rPr>
      </w:pPr>
    </w:p>
    <w:p w:rsidR="008413AF" w:rsidRPr="00D671FC" w:rsidRDefault="008413AF" w:rsidP="008413AF">
      <w:pPr>
        <w:rPr>
          <w:rFonts w:ascii="Arial" w:hAnsi="Arial" w:cs="Arial"/>
        </w:rPr>
      </w:pPr>
      <w:r w:rsidRPr="00D671FC">
        <w:rPr>
          <w:rFonts w:ascii="Arial" w:hAnsi="Arial" w:cs="Arial"/>
          <w:b/>
        </w:rPr>
        <w:t xml:space="preserve">E-mail: Webpage: </w:t>
      </w:r>
      <w:hyperlink r:id="rId8" w:history="1">
        <w:r w:rsidRPr="00D671FC">
          <w:rPr>
            <w:rStyle w:val="Hyperlink"/>
            <w:rFonts w:ascii="Arial" w:hAnsi="Arial" w:cs="Arial"/>
            <w:b/>
          </w:rPr>
          <w:t>www.gra.gm</w:t>
        </w:r>
      </w:hyperlink>
    </w:p>
    <w:sectPr w:rsidR="008413AF" w:rsidRPr="00D671FC" w:rsidSect="008413AF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10"/>
    <w:multiLevelType w:val="hybridMultilevel"/>
    <w:tmpl w:val="59D23D2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7304457"/>
    <w:multiLevelType w:val="hybridMultilevel"/>
    <w:tmpl w:val="AD30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3A47"/>
    <w:multiLevelType w:val="hybridMultilevel"/>
    <w:tmpl w:val="E38C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7CDD"/>
    <w:multiLevelType w:val="hybridMultilevel"/>
    <w:tmpl w:val="33D492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6033"/>
    <w:multiLevelType w:val="hybridMultilevel"/>
    <w:tmpl w:val="C9D2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11A"/>
    <w:multiLevelType w:val="hybridMultilevel"/>
    <w:tmpl w:val="DDD4BA6C"/>
    <w:lvl w:ilvl="0" w:tplc="5314AD16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041" w:hanging="360"/>
      </w:pPr>
    </w:lvl>
    <w:lvl w:ilvl="2" w:tplc="0809001B" w:tentative="1">
      <w:start w:val="1"/>
      <w:numFmt w:val="lowerRoman"/>
      <w:lvlText w:val="%3."/>
      <w:lvlJc w:val="right"/>
      <w:pPr>
        <w:ind w:left="6761" w:hanging="180"/>
      </w:pPr>
    </w:lvl>
    <w:lvl w:ilvl="3" w:tplc="0809000F" w:tentative="1">
      <w:start w:val="1"/>
      <w:numFmt w:val="decimal"/>
      <w:lvlText w:val="%4."/>
      <w:lvlJc w:val="left"/>
      <w:pPr>
        <w:ind w:left="7481" w:hanging="360"/>
      </w:pPr>
    </w:lvl>
    <w:lvl w:ilvl="4" w:tplc="08090019" w:tentative="1">
      <w:start w:val="1"/>
      <w:numFmt w:val="lowerLetter"/>
      <w:lvlText w:val="%5."/>
      <w:lvlJc w:val="left"/>
      <w:pPr>
        <w:ind w:left="8201" w:hanging="360"/>
      </w:pPr>
    </w:lvl>
    <w:lvl w:ilvl="5" w:tplc="0809001B" w:tentative="1">
      <w:start w:val="1"/>
      <w:numFmt w:val="lowerRoman"/>
      <w:lvlText w:val="%6."/>
      <w:lvlJc w:val="right"/>
      <w:pPr>
        <w:ind w:left="8921" w:hanging="180"/>
      </w:pPr>
    </w:lvl>
    <w:lvl w:ilvl="6" w:tplc="0809000F" w:tentative="1">
      <w:start w:val="1"/>
      <w:numFmt w:val="decimal"/>
      <w:lvlText w:val="%7."/>
      <w:lvlJc w:val="left"/>
      <w:pPr>
        <w:ind w:left="9641" w:hanging="360"/>
      </w:pPr>
    </w:lvl>
    <w:lvl w:ilvl="7" w:tplc="08090019" w:tentative="1">
      <w:start w:val="1"/>
      <w:numFmt w:val="lowerLetter"/>
      <w:lvlText w:val="%8."/>
      <w:lvlJc w:val="left"/>
      <w:pPr>
        <w:ind w:left="10361" w:hanging="360"/>
      </w:pPr>
    </w:lvl>
    <w:lvl w:ilvl="8" w:tplc="08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6">
    <w:nsid w:val="6A6324BF"/>
    <w:multiLevelType w:val="hybridMultilevel"/>
    <w:tmpl w:val="B6B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C"/>
    <w:rsid w:val="00006FFD"/>
    <w:rsid w:val="00052528"/>
    <w:rsid w:val="00053F22"/>
    <w:rsid w:val="00070D26"/>
    <w:rsid w:val="00081AB2"/>
    <w:rsid w:val="000A7E16"/>
    <w:rsid w:val="00124947"/>
    <w:rsid w:val="00157F94"/>
    <w:rsid w:val="0018736A"/>
    <w:rsid w:val="0019439C"/>
    <w:rsid w:val="001A0011"/>
    <w:rsid w:val="001A7112"/>
    <w:rsid w:val="002023BE"/>
    <w:rsid w:val="00227505"/>
    <w:rsid w:val="00350286"/>
    <w:rsid w:val="0039510A"/>
    <w:rsid w:val="003A0056"/>
    <w:rsid w:val="004555D3"/>
    <w:rsid w:val="00495ADC"/>
    <w:rsid w:val="0050099A"/>
    <w:rsid w:val="00514EB6"/>
    <w:rsid w:val="00521F78"/>
    <w:rsid w:val="00534AB1"/>
    <w:rsid w:val="00546F54"/>
    <w:rsid w:val="00572B63"/>
    <w:rsid w:val="005770C3"/>
    <w:rsid w:val="00596EDC"/>
    <w:rsid w:val="005C48FB"/>
    <w:rsid w:val="00607B7D"/>
    <w:rsid w:val="00630843"/>
    <w:rsid w:val="00647CF1"/>
    <w:rsid w:val="006775D2"/>
    <w:rsid w:val="00677981"/>
    <w:rsid w:val="00705DED"/>
    <w:rsid w:val="00754D32"/>
    <w:rsid w:val="0077170F"/>
    <w:rsid w:val="00792022"/>
    <w:rsid w:val="007B1227"/>
    <w:rsid w:val="007D2827"/>
    <w:rsid w:val="007E1D39"/>
    <w:rsid w:val="007E6516"/>
    <w:rsid w:val="007F17A2"/>
    <w:rsid w:val="008346D9"/>
    <w:rsid w:val="008413AF"/>
    <w:rsid w:val="00856E5E"/>
    <w:rsid w:val="0089396E"/>
    <w:rsid w:val="008A04C4"/>
    <w:rsid w:val="00943BA7"/>
    <w:rsid w:val="009542C1"/>
    <w:rsid w:val="009708F2"/>
    <w:rsid w:val="0099533C"/>
    <w:rsid w:val="009C7608"/>
    <w:rsid w:val="009E5043"/>
    <w:rsid w:val="009F4D51"/>
    <w:rsid w:val="009F74C9"/>
    <w:rsid w:val="00A44000"/>
    <w:rsid w:val="00A5080E"/>
    <w:rsid w:val="00A779FC"/>
    <w:rsid w:val="00A83BD4"/>
    <w:rsid w:val="00A87D6F"/>
    <w:rsid w:val="00A926E7"/>
    <w:rsid w:val="00AF05E1"/>
    <w:rsid w:val="00BB3299"/>
    <w:rsid w:val="00C832ED"/>
    <w:rsid w:val="00C87733"/>
    <w:rsid w:val="00CA44A1"/>
    <w:rsid w:val="00CE7DAC"/>
    <w:rsid w:val="00D46E9D"/>
    <w:rsid w:val="00D671FC"/>
    <w:rsid w:val="00DF6159"/>
    <w:rsid w:val="00E32CAE"/>
    <w:rsid w:val="00E86AA6"/>
    <w:rsid w:val="00F704A9"/>
    <w:rsid w:val="00FE1AC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.g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662B-2CF6-4E59-ACF0-CF95B102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M_Njie</dc:creator>
  <cp:lastModifiedBy>Adama Njie</cp:lastModifiedBy>
  <cp:revision>2</cp:revision>
  <dcterms:created xsi:type="dcterms:W3CDTF">2014-07-02T08:49:00Z</dcterms:created>
  <dcterms:modified xsi:type="dcterms:W3CDTF">2014-07-02T08:49:00Z</dcterms:modified>
</cp:coreProperties>
</file>