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913C" w14:textId="7F0C912D" w:rsidR="003D4708" w:rsidRPr="00C76338" w:rsidRDefault="003D4708" w:rsidP="003D4708">
      <w:pPr>
        <w:rPr>
          <w:lang w:val="fr-CA"/>
        </w:rPr>
      </w:pPr>
      <w:r w:rsidRPr="00C76338">
        <w:rPr>
          <w:b/>
          <w:lang w:val="fr-CA"/>
        </w:rPr>
        <w:t xml:space="preserve">Intitulé du </w:t>
      </w:r>
      <w:proofErr w:type="gramStart"/>
      <w:r w:rsidRPr="00C76338">
        <w:rPr>
          <w:b/>
          <w:lang w:val="fr-CA"/>
        </w:rPr>
        <w:t>projet</w:t>
      </w:r>
      <w:r w:rsidRPr="00C76338">
        <w:rPr>
          <w:lang w:val="fr-CA"/>
        </w:rPr>
        <w:t>:</w:t>
      </w:r>
      <w:proofErr w:type="gramEnd"/>
      <w:r w:rsidR="00236F6D" w:rsidRPr="00C76338">
        <w:rPr>
          <w:lang w:val="fr-CA"/>
        </w:rPr>
        <w:t xml:space="preserve"> Mise à l’échelle du projet REMECC-GKM</w:t>
      </w:r>
    </w:p>
    <w:p w14:paraId="013B88FC" w14:textId="77777777" w:rsidR="003D4708" w:rsidRPr="00C76338" w:rsidRDefault="003D4708" w:rsidP="003D4708">
      <w:pPr>
        <w:rPr>
          <w:b/>
          <w:lang w:val="fr-CA"/>
        </w:rPr>
      </w:pPr>
      <w:r w:rsidRPr="00C76338">
        <w:rPr>
          <w:b/>
          <w:lang w:val="fr-CA"/>
        </w:rPr>
        <w:t xml:space="preserve">Numéro du </w:t>
      </w:r>
      <w:proofErr w:type="gramStart"/>
      <w:r w:rsidRPr="00C76338">
        <w:rPr>
          <w:b/>
          <w:lang w:val="fr-CA"/>
        </w:rPr>
        <w:t>projet:</w:t>
      </w:r>
      <w:proofErr w:type="gramEnd"/>
    </w:p>
    <w:p w14:paraId="6402EB62" w14:textId="21DE78BC" w:rsidR="003D4708" w:rsidRPr="00C76338" w:rsidRDefault="003D4708" w:rsidP="003D4708">
      <w:pPr>
        <w:rPr>
          <w:b/>
          <w:lang w:val="fr-CA"/>
        </w:rPr>
      </w:pPr>
      <w:r w:rsidRPr="00C76338">
        <w:rPr>
          <w:b/>
          <w:lang w:val="fr-CA"/>
        </w:rPr>
        <w:t>Partenaire de réalisation</w:t>
      </w:r>
      <w:r w:rsidRPr="00C76338">
        <w:rPr>
          <w:rStyle w:val="Appelnotedebasdep"/>
          <w:b/>
          <w:lang w:val="fr-CA"/>
        </w:rPr>
        <w:footnoteReference w:id="1"/>
      </w:r>
      <w:r w:rsidRPr="00C76338">
        <w:rPr>
          <w:b/>
          <w:lang w:val="fr-CA"/>
        </w:rPr>
        <w:t>:</w:t>
      </w:r>
      <w:r w:rsidR="00236F6D" w:rsidRPr="00C76338">
        <w:rPr>
          <w:b/>
          <w:lang w:val="fr-CA"/>
        </w:rPr>
        <w:t xml:space="preserve"> </w:t>
      </w:r>
    </w:p>
    <w:p w14:paraId="5F0D0583" w14:textId="2D283185" w:rsidR="003D4708" w:rsidRPr="00C76338" w:rsidRDefault="003D4708" w:rsidP="003D4708">
      <w:pPr>
        <w:rPr>
          <w:lang w:val="fr-CA"/>
        </w:rPr>
      </w:pPr>
      <w:r w:rsidRPr="00C76338">
        <w:rPr>
          <w:b/>
          <w:lang w:val="fr-CA"/>
        </w:rPr>
        <w:t xml:space="preserve">Date de </w:t>
      </w:r>
      <w:r w:rsidR="00B06846" w:rsidRPr="00C76338">
        <w:rPr>
          <w:b/>
          <w:lang w:val="fr-CA"/>
        </w:rPr>
        <w:t>démarrage :</w:t>
      </w:r>
      <w:r w:rsidRPr="00C76338">
        <w:rPr>
          <w:lang w:val="fr-CA"/>
        </w:rPr>
        <w:tab/>
      </w:r>
      <w:r w:rsidRPr="00C76338">
        <w:rPr>
          <w:lang w:val="fr-CA"/>
        </w:rPr>
        <w:tab/>
      </w:r>
      <w:r w:rsidRPr="00C76338">
        <w:rPr>
          <w:b/>
          <w:lang w:val="fr-CA"/>
        </w:rPr>
        <w:t xml:space="preserve">Date </w:t>
      </w:r>
      <w:proofErr w:type="gramStart"/>
      <w:r w:rsidRPr="00C76338">
        <w:rPr>
          <w:b/>
          <w:lang w:val="fr-CA"/>
        </w:rPr>
        <w:t>d’achèvement:</w:t>
      </w:r>
      <w:proofErr w:type="gramEnd"/>
      <w:r w:rsidRPr="00C76338">
        <w:rPr>
          <w:lang w:val="fr-CA"/>
        </w:rPr>
        <w:t xml:space="preserve"> </w:t>
      </w:r>
      <w:r w:rsidRPr="00C76338">
        <w:rPr>
          <w:lang w:val="fr-CA"/>
        </w:rPr>
        <w:tab/>
      </w:r>
      <w:r w:rsidRPr="00C76338">
        <w:rPr>
          <w:lang w:val="fr-CA"/>
        </w:rPr>
        <w:tab/>
      </w:r>
      <w:r w:rsidRPr="00C76338">
        <w:rPr>
          <w:b/>
          <w:lang w:val="fr-CA"/>
        </w:rPr>
        <w:t xml:space="preserve">Date de réunion du CAP: </w:t>
      </w:r>
      <w:r w:rsidRPr="00C76338">
        <w:rPr>
          <w:b/>
          <w:lang w:val="fr-CA"/>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C76338" w14:paraId="4451C463" w14:textId="77777777" w:rsidTr="00236F6D">
        <w:trPr>
          <w:trHeight w:val="361"/>
        </w:trPr>
        <w:tc>
          <w:tcPr>
            <w:tcW w:w="9740" w:type="dxa"/>
            <w:shd w:val="clear" w:color="auto" w:fill="auto"/>
            <w:vAlign w:val="center"/>
          </w:tcPr>
          <w:p w14:paraId="11996203" w14:textId="77777777" w:rsidR="003D4708" w:rsidRPr="00C76338" w:rsidRDefault="003D4708" w:rsidP="00236F6D">
            <w:pPr>
              <w:spacing w:after="0"/>
              <w:jc w:val="center"/>
              <w:rPr>
                <w:b/>
                <w:lang w:val="fr-CA"/>
              </w:rPr>
            </w:pPr>
            <w:r w:rsidRPr="00C76338">
              <w:rPr>
                <w:b/>
                <w:lang w:val="fr-CA"/>
              </w:rPr>
              <w:t>Description succincte</w:t>
            </w:r>
          </w:p>
        </w:tc>
      </w:tr>
      <w:tr w:rsidR="003D4708" w:rsidRPr="00B06846" w14:paraId="1037C3E6" w14:textId="77777777" w:rsidTr="00236F6D">
        <w:trPr>
          <w:trHeight w:val="3887"/>
        </w:trPr>
        <w:tc>
          <w:tcPr>
            <w:tcW w:w="9740" w:type="dxa"/>
            <w:shd w:val="clear" w:color="auto" w:fill="auto"/>
          </w:tcPr>
          <w:p w14:paraId="4C9471E3" w14:textId="7D54C1D6" w:rsidR="00236F6D" w:rsidRPr="00B06846" w:rsidRDefault="00236F6D" w:rsidP="00236F6D">
            <w:pPr>
              <w:spacing w:before="60" w:after="0"/>
              <w:rPr>
                <w:lang w:val="fr-CA"/>
              </w:rPr>
            </w:pPr>
            <w:r w:rsidRPr="00B06846">
              <w:rPr>
                <w:lang w:val="fr-CA"/>
              </w:rPr>
              <w:t>Le Projet « Renforcement de la résilience des moyens d’existence des communautés agricoles face au changement climatique des préfectures de Gaoual, Koundara et Mali (REMECC – GKM) » a été mis en œuvre de 2014 à 2018. Il a atteint des résultats appréciés par les bénéficiaires, les autorités locales, préfectorales, régionales et nationales. Le projet comptait tro</w:t>
            </w:r>
            <w:r w:rsidR="00A8353E" w:rsidRPr="00B06846">
              <w:rPr>
                <w:lang w:val="fr-CA"/>
              </w:rPr>
              <w:t>is composantes, 12 produits et 3</w:t>
            </w:r>
            <w:r w:rsidRPr="00B06846">
              <w:rPr>
                <w:lang w:val="fr-CA"/>
              </w:rPr>
              <w:t xml:space="preserve">9 activités programmées qui ont été pleinement exécutées. </w:t>
            </w:r>
          </w:p>
          <w:p w14:paraId="75E1F9D6" w14:textId="77777777" w:rsidR="00236F6D" w:rsidRPr="00B06846" w:rsidRDefault="00236F6D" w:rsidP="00236F6D">
            <w:pPr>
              <w:spacing w:before="60" w:after="0"/>
              <w:rPr>
                <w:lang w:val="fr-CA"/>
              </w:rPr>
            </w:pPr>
          </w:p>
          <w:p w14:paraId="793A87EA" w14:textId="08E3CC4D" w:rsidR="00236F6D" w:rsidRPr="00B06846" w:rsidRDefault="00236F6D" w:rsidP="00236F6D">
            <w:pPr>
              <w:spacing w:before="60" w:after="0"/>
              <w:rPr>
                <w:lang w:val="fr-CA"/>
              </w:rPr>
            </w:pPr>
            <w:r w:rsidRPr="00B06846">
              <w:rPr>
                <w:lang w:val="fr-CA"/>
              </w:rPr>
              <w:t>Le projet REMECC-GKM concrétise le slogan du FEM – « penser globalement et agir localement ». En effet, conçu avec la participation de tous, le projet REMECC-GKM est bien aligné dans les priorités nationales et celles des partenaires techniques et financiers. Il a été conçu dans la phase de mise en œuvre du DSRP II et répond parfaitement aux préoccupations des politiques nationales en matière d’environnement de production agricole. Il demeure actuel avec le PNDES (en particulier le pilier IV) et les objectifs de développement durable. Il concourt à l’atteinte des ODD 2 (</w:t>
            </w:r>
            <w:r w:rsidR="00A8353E" w:rsidRPr="00B06846">
              <w:rPr>
                <w:lang w:val="fr-CA"/>
              </w:rPr>
              <w:t>Éliminer</w:t>
            </w:r>
            <w:r w:rsidRPr="00B06846">
              <w:rPr>
                <w:lang w:val="fr-CA"/>
              </w:rPr>
              <w:t xml:space="preserve"> la faim, assurer la sécurité alimentaire, améliorer la nutrition et promouvoir l’agriculture durable), ODD5 (Réaliser l’égalité des sexes et autonomiser toutes les femmes et les filles), ODD6 (Garantir l’accès de tous à des services d’approvisionnement en eau et d’assainissement et assurer une gestion durable des services en eau), ODD12(Instaurer des modes de consommation et de production soutenables), ODD13 (Prendre d’urgence des mesures pour lutter contre les changements climatiques et leurs répercussions) et ODD15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p w14:paraId="557D21E7" w14:textId="77777777" w:rsidR="00236F6D" w:rsidRPr="00B06846" w:rsidRDefault="00236F6D" w:rsidP="00236F6D">
            <w:pPr>
              <w:spacing w:before="60" w:after="0"/>
              <w:rPr>
                <w:lang w:val="fr-CA"/>
              </w:rPr>
            </w:pPr>
          </w:p>
          <w:p w14:paraId="2A17E0D6" w14:textId="53321209" w:rsidR="00236F6D" w:rsidRPr="00B06846" w:rsidRDefault="00236F6D" w:rsidP="00236F6D">
            <w:pPr>
              <w:spacing w:before="60" w:after="0"/>
              <w:rPr>
                <w:lang w:val="fr-CA"/>
              </w:rPr>
            </w:pPr>
            <w:r w:rsidRPr="00B06846">
              <w:rPr>
                <w:lang w:val="fr-CA"/>
              </w:rPr>
              <w:t>En quelques années de mise en œuvre, le projet a atteint des résultats appréciables notamment dans sa composante 3 - Les options de subsistance communautaires sont rendues plus résilientes face au climat.</w:t>
            </w:r>
            <w:r w:rsidR="00A8353E" w:rsidRPr="00B06846">
              <w:rPr>
                <w:lang w:val="fr-CA"/>
              </w:rPr>
              <w:t xml:space="preserve"> </w:t>
            </w:r>
            <w:r w:rsidRPr="00B06846">
              <w:rPr>
                <w:lang w:val="fr-CA"/>
              </w:rPr>
              <w:t>La mise en œuvre de cette composante a connu des succès mais aussi des contrai</w:t>
            </w:r>
            <w:r w:rsidR="00A8353E" w:rsidRPr="00B06846">
              <w:rPr>
                <w:lang w:val="fr-CA"/>
              </w:rPr>
              <w:t>ntes. Il a permis, entre autres :</w:t>
            </w:r>
            <w:r w:rsidRPr="00B06846">
              <w:rPr>
                <w:lang w:val="fr-CA"/>
              </w:rPr>
              <w:t xml:space="preserve">   </w:t>
            </w:r>
          </w:p>
          <w:p w14:paraId="5B60CCFE" w14:textId="72F290E9" w:rsidR="00C275AE" w:rsidRPr="00B06846" w:rsidRDefault="00236F6D" w:rsidP="007C2CE2">
            <w:pPr>
              <w:pStyle w:val="Paragraphedeliste"/>
              <w:numPr>
                <w:ilvl w:val="0"/>
                <w:numId w:val="6"/>
              </w:numPr>
              <w:spacing w:before="60" w:after="0"/>
              <w:rPr>
                <w:lang w:val="fr-CA"/>
              </w:rPr>
            </w:pPr>
            <w:r w:rsidRPr="00B06846">
              <w:rPr>
                <w:lang w:val="fr-CA"/>
              </w:rPr>
              <w:t>La diminution de la pression sur le couvert végétal, l’atténuation des conflits entre agriculteurs et éleveurs, la protection durable de l’environnement, l’allégement des tâches ménagères, l’amélioration des revenus de 1997 exploitants dont 1086 femmes, une dizaine de handicapés. Cependant la couverture de ces actions est très faible et varie d’une préfecture à une autre</w:t>
            </w:r>
            <w:r w:rsidR="00C275AE" w:rsidRPr="00B06846">
              <w:rPr>
                <w:lang w:val="fr-CA"/>
              </w:rPr>
              <w:t xml:space="preserve"> (réf. Tableau 1</w:t>
            </w:r>
            <w:r w:rsidR="004A6C1B" w:rsidRPr="00B06846">
              <w:rPr>
                <w:lang w:val="fr-CA"/>
              </w:rPr>
              <w:t xml:space="preserve">). Moins de la moitié de la population est concernée dans les trois préfectures, deux régions sur 8, 3 Préfectures sur 33, 16 communes sur 305. </w:t>
            </w:r>
            <w:r w:rsidR="003249EA" w:rsidRPr="00B06846">
              <w:rPr>
                <w:lang w:val="fr-CA"/>
              </w:rPr>
              <w:t xml:space="preserve">Sur un total de 614 770 personnes que compte les 3 Préfectures seules 305 763 (populations totale des 16 CR couvertes) sont plus ou moins intéressées. Les actions du REMECC GKM n’ont couvert que 710 ha dont plus de 60% les villages de la Préfecture de Mali. Sur les 204 exploitations agroforestières seules 80 ont bénéficié d’un point d’eau. Près de 60 000 plants ont été mis à terre dans les différentes localités, cependant, le manque d’eau, les termites et d’autres facteurs de dégradation ont fait que le taux de réussite avoisine à peine 60%.  </w:t>
            </w:r>
          </w:p>
          <w:p w14:paraId="711931F4" w14:textId="5D77E388" w:rsidR="00236F6D" w:rsidRPr="00B06846" w:rsidRDefault="00236F6D" w:rsidP="00C275AE">
            <w:pPr>
              <w:spacing w:before="60" w:after="0"/>
              <w:rPr>
                <w:lang w:val="fr-CA"/>
              </w:rPr>
            </w:pPr>
            <w:r w:rsidRPr="00B06846">
              <w:rPr>
                <w:lang w:val="fr-CA"/>
              </w:rPr>
              <w:t xml:space="preserve">. </w:t>
            </w:r>
          </w:p>
          <w:p w14:paraId="6317B312" w14:textId="0A3456C0" w:rsidR="00236F6D" w:rsidRPr="00B06846" w:rsidRDefault="00236F6D" w:rsidP="00C21EE2">
            <w:pPr>
              <w:pStyle w:val="Paragraphedeliste"/>
              <w:numPr>
                <w:ilvl w:val="0"/>
                <w:numId w:val="6"/>
              </w:numPr>
              <w:spacing w:before="60" w:after="0"/>
              <w:rPr>
                <w:lang w:val="fr-CA"/>
              </w:rPr>
            </w:pPr>
            <w:r w:rsidRPr="00B06846">
              <w:rPr>
                <w:lang w:val="fr-CA"/>
              </w:rPr>
              <w:t>La valorisation de 204 exploitations agroforestières (62 tapades ou jardins de case,142 champs externes), couvrant 710,23 ha, clôturées par 136,09 km de grillage par :</w:t>
            </w:r>
            <w:r w:rsidR="00662E83" w:rsidRPr="00B06846">
              <w:rPr>
                <w:lang w:val="fr-CA"/>
              </w:rPr>
              <w:t>L</w:t>
            </w:r>
            <w:r w:rsidRPr="00B06846">
              <w:rPr>
                <w:lang w:val="fr-CA"/>
              </w:rPr>
              <w:t xml:space="preserve">a </w:t>
            </w:r>
            <w:r w:rsidRPr="00B06846">
              <w:rPr>
                <w:lang w:val="fr-CA"/>
              </w:rPr>
              <w:lastRenderedPageBreak/>
              <w:t>four</w:t>
            </w:r>
            <w:r w:rsidR="00662E83" w:rsidRPr="00B06846">
              <w:rPr>
                <w:lang w:val="fr-CA"/>
              </w:rPr>
              <w:t xml:space="preserve">niture de semences améliorées, de </w:t>
            </w:r>
            <w:r w:rsidRPr="00B06846">
              <w:rPr>
                <w:lang w:val="fr-CA"/>
              </w:rPr>
              <w:t xml:space="preserve"> noyaux d’élevage (pondeuses et caprins), </w:t>
            </w:r>
            <w:r w:rsidR="00662E83" w:rsidRPr="00B06846">
              <w:rPr>
                <w:lang w:val="fr-CA"/>
              </w:rPr>
              <w:t>l</w:t>
            </w:r>
            <w:r w:rsidRPr="00B06846">
              <w:rPr>
                <w:lang w:val="fr-CA"/>
              </w:rPr>
              <w:t>a plantation de 56269 a</w:t>
            </w:r>
            <w:r w:rsidR="00662E83" w:rsidRPr="00B06846">
              <w:rPr>
                <w:lang w:val="fr-CA"/>
              </w:rPr>
              <w:t>rbres forestiers et fruitiers, l</w:t>
            </w:r>
            <w:r w:rsidRPr="00B06846">
              <w:rPr>
                <w:lang w:val="fr-CA"/>
              </w:rPr>
              <w:t>a fabrication et l’installation de 135</w:t>
            </w:r>
            <w:r w:rsidR="00662E83" w:rsidRPr="00B06846">
              <w:rPr>
                <w:lang w:val="fr-CA"/>
              </w:rPr>
              <w:t xml:space="preserve"> ruches kényanes, l</w:t>
            </w:r>
            <w:r w:rsidRPr="00B06846">
              <w:rPr>
                <w:lang w:val="fr-CA"/>
              </w:rPr>
              <w:t>a co</w:t>
            </w:r>
            <w:r w:rsidR="00662E83" w:rsidRPr="00B06846">
              <w:rPr>
                <w:lang w:val="fr-CA"/>
              </w:rPr>
              <w:t>nstruction de 169 compostières, l</w:t>
            </w:r>
            <w:r w:rsidRPr="00B06846">
              <w:rPr>
                <w:lang w:val="fr-CA"/>
              </w:rPr>
              <w:t>a r</w:t>
            </w:r>
            <w:r w:rsidR="00662E83" w:rsidRPr="00B06846">
              <w:rPr>
                <w:lang w:val="fr-CA"/>
              </w:rPr>
              <w:t>éalisation de 80 points d’eau et l</w:t>
            </w:r>
            <w:r w:rsidRPr="00B06846">
              <w:rPr>
                <w:lang w:val="fr-CA"/>
              </w:rPr>
              <w:t>a fourniture d’équipements de transformation (décortiqueuses de riz, de fonio et d’arachide, moulins de maïs, fabrique d’aliments de volaille, …) pour alléger les tâches ménagères et améliorer la chaine de valeur des produits.</w:t>
            </w:r>
          </w:p>
          <w:p w14:paraId="77376D85" w14:textId="414F7D39" w:rsidR="003D4708" w:rsidRPr="00B06846" w:rsidRDefault="00662E83" w:rsidP="00190B62">
            <w:pPr>
              <w:ind w:left="720"/>
              <w:rPr>
                <w:lang w:val="fr-CA"/>
              </w:rPr>
            </w:pPr>
            <w:r w:rsidRPr="00B06846">
              <w:rPr>
                <w:lang w:val="fr-CA"/>
              </w:rPr>
              <w:t xml:space="preserve">Au regard des connaissances accumulées et des bonnes pratiques identifiées, codifiées et partagées avec les différentes parties prenantes à travers les régions de Boké, Labé et Mamou, cette idée de mise à l’échelle a germé et a été soutenue par toutes les instances du projet, les </w:t>
            </w:r>
            <w:r w:rsidR="003249EA" w:rsidRPr="00B06846">
              <w:rPr>
                <w:lang w:val="fr-CA"/>
              </w:rPr>
              <w:t>communautés, les</w:t>
            </w:r>
            <w:r w:rsidRPr="00B06846">
              <w:rPr>
                <w:lang w:val="fr-CA"/>
              </w:rPr>
              <w:t xml:space="preserve"> autorités </w:t>
            </w:r>
            <w:r w:rsidR="003249EA" w:rsidRPr="00B06846">
              <w:rPr>
                <w:lang w:val="fr-CA"/>
              </w:rPr>
              <w:t>administratives, les</w:t>
            </w:r>
            <w:r w:rsidRPr="00B06846">
              <w:rPr>
                <w:lang w:val="fr-CA"/>
              </w:rPr>
              <w:t xml:space="preserve"> services techniques du développement rural</w:t>
            </w:r>
            <w:r w:rsidR="00190B62" w:rsidRPr="00B06846">
              <w:rPr>
                <w:lang w:val="fr-CA"/>
              </w:rPr>
              <w:t xml:space="preserve">, les revues indépendantes (mi-parcours et finale), le rapport de capitalisation, </w:t>
            </w:r>
            <w:r w:rsidR="003249EA" w:rsidRPr="00B06846">
              <w:rPr>
                <w:lang w:val="fr-CA"/>
              </w:rPr>
              <w:t>etc.</w:t>
            </w:r>
          </w:p>
          <w:p w14:paraId="3AC8B8F0" w14:textId="77777777" w:rsidR="003249EA" w:rsidRPr="00B06846" w:rsidRDefault="003249EA" w:rsidP="003249EA">
            <w:pPr>
              <w:ind w:left="720"/>
              <w:rPr>
                <w:lang w:val="fr-CA"/>
              </w:rPr>
            </w:pPr>
            <w:r w:rsidRPr="00B06846">
              <w:rPr>
                <w:lang w:val="fr-CA"/>
              </w:rPr>
              <w:t xml:space="preserve">Par ailleurs, le projet a connu un important retard dans sa mise en œuvre suite à la maladie à virus </w:t>
            </w:r>
            <w:proofErr w:type="spellStart"/>
            <w:r w:rsidRPr="00B06846">
              <w:rPr>
                <w:lang w:val="fr-CA"/>
              </w:rPr>
              <w:t>Ebola</w:t>
            </w:r>
            <w:proofErr w:type="spellEnd"/>
            <w:r w:rsidRPr="00B06846">
              <w:rPr>
                <w:lang w:val="fr-CA"/>
              </w:rPr>
              <w:t xml:space="preserve"> enregistrée dans le pays. Cette situation qui a empêché de débuter les actions de plantations plus tôt n’ont pas permis de suivre l’évolution des plants jusqu’à la production.</w:t>
            </w:r>
          </w:p>
          <w:p w14:paraId="35EE40C6" w14:textId="6324EEA5" w:rsidR="003249EA" w:rsidRPr="00B06846" w:rsidRDefault="003249EA" w:rsidP="003249EA">
            <w:pPr>
              <w:ind w:left="720"/>
              <w:rPr>
                <w:lang w:val="fr-CA"/>
              </w:rPr>
            </w:pPr>
            <w:r w:rsidRPr="00B06846">
              <w:rPr>
                <w:lang w:val="fr-CA"/>
              </w:rPr>
              <w:t>Face à tous ces problèmes et aussi à l’engouement que les actions ont suscité et les résultats non négligeables enregistrés que cette nouvelle initiative a été initiée.</w:t>
            </w:r>
          </w:p>
        </w:tc>
      </w:tr>
    </w:tbl>
    <w:p w14:paraId="46630B79" w14:textId="40E41B90" w:rsidR="003D4708" w:rsidRPr="00C76338" w:rsidRDefault="003D4708" w:rsidP="003D4708">
      <w:pPr>
        <w:rPr>
          <w:b/>
          <w:lang w:val="fr-CA"/>
        </w:rPr>
      </w:pPr>
      <w:r w:rsidRPr="00C76338">
        <w:rPr>
          <w:lang w:val="fr-CA"/>
        </w:rPr>
        <w:lastRenderedPageBreak/>
        <w:tab/>
      </w:r>
      <w:r w:rsidRPr="00C76338">
        <w:rPr>
          <w:b/>
          <w:lang w:val="fr-CA"/>
        </w:rPr>
        <w:tab/>
      </w:r>
    </w:p>
    <w:p w14:paraId="5C049233" w14:textId="0A0248B2" w:rsidR="00190B62" w:rsidRPr="00C76338" w:rsidRDefault="00190B62" w:rsidP="003D4708">
      <w:pPr>
        <w:rPr>
          <w:lang w:val="fr-CA"/>
        </w:rPr>
      </w:pPr>
      <w:r w:rsidRPr="00C76338">
        <w:rPr>
          <w:noProof/>
          <w:lang w:val="fr-FR" w:eastAsia="fr-FR"/>
        </w:rPr>
        <mc:AlternateContent>
          <mc:Choice Requires="wps">
            <w:drawing>
              <wp:anchor distT="0" distB="0" distL="114300" distR="114300" simplePos="0" relativeHeight="251675648" behindDoc="0" locked="0" layoutInCell="1" allowOverlap="1" wp14:anchorId="0197C3FA" wp14:editId="09031C67">
                <wp:simplePos x="0" y="0"/>
                <wp:positionH relativeFrom="margin">
                  <wp:align>left</wp:align>
                </wp:positionH>
                <wp:positionV relativeFrom="paragraph">
                  <wp:posOffset>219481</wp:posOffset>
                </wp:positionV>
                <wp:extent cx="3142513" cy="1844040"/>
                <wp:effectExtent l="0" t="0" r="20320" b="2286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513" cy="1844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EED5C" w14:textId="4AAE866C" w:rsidR="005F5E3D" w:rsidRDefault="005F5E3D" w:rsidP="003D4708">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14:paraId="2467AD8F" w14:textId="1A8CA5B0" w:rsidR="005F5E3D" w:rsidRPr="00A8353E" w:rsidRDefault="005F5E3D" w:rsidP="00A8353E">
                            <w:pPr>
                              <w:jc w:val="left"/>
                              <w:rPr>
                                <w:sz w:val="20"/>
                                <w:szCs w:val="20"/>
                                <w:lang w:val="fr-CA"/>
                              </w:rPr>
                            </w:pPr>
                            <w:r w:rsidRPr="00A8353E">
                              <w:rPr>
                                <w:sz w:val="20"/>
                                <w:szCs w:val="20"/>
                                <w:lang w:val="fr-CA"/>
                              </w:rPr>
                              <w:t>Les groupes les plus vulnérables de la partie Nord-Ouest et la Zone côtière de la Guinée possèdent de meilleures capacités de résilience et d’adaptation au changement climatique</w:t>
                            </w:r>
                          </w:p>
                          <w:p w14:paraId="6454C015" w14:textId="77777777" w:rsidR="005F5E3D" w:rsidRPr="005E211E" w:rsidRDefault="005F5E3D" w:rsidP="003D4708">
                            <w:pPr>
                              <w:rPr>
                                <w:sz w:val="20"/>
                                <w:szCs w:val="20"/>
                                <w:lang w:val="fr-CA"/>
                              </w:rPr>
                            </w:pPr>
                          </w:p>
                          <w:p w14:paraId="2259C16B" w14:textId="77777777" w:rsidR="005F5E3D" w:rsidRPr="005E211E" w:rsidRDefault="005F5E3D" w:rsidP="003D4708">
                            <w:pPr>
                              <w:rPr>
                                <w:sz w:val="20"/>
                                <w:szCs w:val="20"/>
                                <w:lang w:val="fr-CA"/>
                              </w:rPr>
                            </w:pPr>
                          </w:p>
                          <w:p w14:paraId="685DECE7" w14:textId="5F65D6D3" w:rsidR="005F5E3D" w:rsidRPr="005E211E" w:rsidRDefault="005F5E3D" w:rsidP="003D4708">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r w:rsidR="00B06846">
                              <w:rPr>
                                <w:sz w:val="20"/>
                                <w:szCs w:val="20"/>
                                <w:lang w:val="fr-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C3FA" id="_x0000_t202" coordsize="21600,21600" o:spt="202" path="m,l,21600r21600,l21600,xe">
                <v:stroke joinstyle="miter"/>
                <v:path gradientshapeok="t" o:connecttype="rect"/>
              </v:shapetype>
              <v:shape id="Text Box 107" o:spid="_x0000_s1026" type="#_x0000_t202" style="position:absolute;left:0;text-align:left;margin-left:0;margin-top:17.3pt;width:247.45pt;height:145.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">
                <v:textbox>
                  <w:txbxContent>
                    <w:p w14:paraId="352EED5C" w14:textId="4AAE866C" w:rsidR="005F5E3D" w:rsidRDefault="005F5E3D" w:rsidP="003D4708">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14:paraId="2467AD8F" w14:textId="1A8CA5B0" w:rsidR="005F5E3D" w:rsidRPr="00A8353E" w:rsidRDefault="005F5E3D" w:rsidP="00A8353E">
                      <w:pPr>
                        <w:jc w:val="left"/>
                        <w:rPr>
                          <w:sz w:val="20"/>
                          <w:szCs w:val="20"/>
                          <w:lang w:val="fr-CA"/>
                        </w:rPr>
                      </w:pPr>
                      <w:r w:rsidRPr="00A8353E">
                        <w:rPr>
                          <w:sz w:val="20"/>
                          <w:szCs w:val="20"/>
                          <w:lang w:val="fr-CA"/>
                        </w:rPr>
                        <w:t>Les groupes les plus vulnérables de la partie Nord-Ouest et la Zone côtière de la Guinée possèdent de meilleures capacités de résilience et d’adaptation au changement climatique</w:t>
                      </w:r>
                    </w:p>
                    <w:p w14:paraId="6454C015" w14:textId="77777777" w:rsidR="005F5E3D" w:rsidRPr="005E211E" w:rsidRDefault="005F5E3D" w:rsidP="003D4708">
                      <w:pPr>
                        <w:rPr>
                          <w:sz w:val="20"/>
                          <w:szCs w:val="20"/>
                          <w:lang w:val="fr-CA"/>
                        </w:rPr>
                      </w:pPr>
                    </w:p>
                    <w:p w14:paraId="2259C16B" w14:textId="77777777" w:rsidR="005F5E3D" w:rsidRPr="005E211E" w:rsidRDefault="005F5E3D" w:rsidP="003D4708">
                      <w:pPr>
                        <w:rPr>
                          <w:sz w:val="20"/>
                          <w:szCs w:val="20"/>
                          <w:lang w:val="fr-CA"/>
                        </w:rPr>
                      </w:pPr>
                    </w:p>
                    <w:p w14:paraId="685DECE7" w14:textId="5F65D6D3" w:rsidR="005F5E3D" w:rsidRPr="005E211E" w:rsidRDefault="005F5E3D" w:rsidP="003D4708">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r w:rsidR="00B06846">
                        <w:rPr>
                          <w:sz w:val="20"/>
                          <w:szCs w:val="20"/>
                          <w:lang w:val="fr-CA"/>
                        </w:rPr>
                        <w:t>2</w:t>
                      </w:r>
                    </w:p>
                  </w:txbxContent>
                </v:textbox>
                <w10:wrap anchorx="margin"/>
              </v:shape>
            </w:pict>
          </mc:Fallback>
        </mc:AlternateContent>
      </w:r>
    </w:p>
    <w:tbl>
      <w:tblPr>
        <w:tblW w:w="4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794"/>
        <w:gridCol w:w="1381"/>
      </w:tblGrid>
      <w:tr w:rsidR="003D4708" w:rsidRPr="00C76338" w14:paraId="3BD9FF4E" w14:textId="77777777" w:rsidTr="00662E83">
        <w:trPr>
          <w:trHeight w:val="471"/>
          <w:jc w:val="right"/>
        </w:trPr>
        <w:tc>
          <w:tcPr>
            <w:tcW w:w="1522" w:type="dxa"/>
            <w:shd w:val="clear" w:color="auto" w:fill="auto"/>
          </w:tcPr>
          <w:p w14:paraId="60BBEE48" w14:textId="77777777" w:rsidR="003D4708" w:rsidRPr="00C76338" w:rsidRDefault="003D4708" w:rsidP="00236F6D">
            <w:pPr>
              <w:spacing w:before="60"/>
              <w:jc w:val="left"/>
              <w:rPr>
                <w:b/>
                <w:sz w:val="20"/>
                <w:szCs w:val="20"/>
                <w:lang w:val="fr-CA"/>
              </w:rPr>
            </w:pPr>
            <w:r w:rsidRPr="00C76338">
              <w:rPr>
                <w:b/>
                <w:sz w:val="20"/>
                <w:szCs w:val="20"/>
                <w:lang w:val="fr-CA"/>
              </w:rPr>
              <w:t>Total des ressources nécessaires :</w:t>
            </w:r>
          </w:p>
        </w:tc>
        <w:tc>
          <w:tcPr>
            <w:tcW w:w="3175" w:type="dxa"/>
            <w:gridSpan w:val="2"/>
            <w:shd w:val="clear" w:color="auto" w:fill="auto"/>
            <w:vAlign w:val="center"/>
          </w:tcPr>
          <w:p w14:paraId="24B12B61" w14:textId="77777777" w:rsidR="003D4708" w:rsidRPr="00C76338" w:rsidRDefault="003D4708" w:rsidP="00236F6D">
            <w:pPr>
              <w:jc w:val="right"/>
              <w:rPr>
                <w:sz w:val="24"/>
                <w:lang w:val="fr-CA"/>
              </w:rPr>
            </w:pPr>
          </w:p>
        </w:tc>
      </w:tr>
      <w:tr w:rsidR="003D4708" w:rsidRPr="00C76338" w14:paraId="7F834E7C" w14:textId="77777777" w:rsidTr="00662E83">
        <w:trPr>
          <w:trHeight w:val="144"/>
          <w:jc w:val="right"/>
        </w:trPr>
        <w:tc>
          <w:tcPr>
            <w:tcW w:w="1522" w:type="dxa"/>
            <w:vMerge w:val="restart"/>
            <w:shd w:val="clear" w:color="auto" w:fill="auto"/>
          </w:tcPr>
          <w:p w14:paraId="35242FB9" w14:textId="77777777" w:rsidR="003D4708" w:rsidRPr="00C76338" w:rsidRDefault="003D4708" w:rsidP="00236F6D">
            <w:pPr>
              <w:spacing w:before="60"/>
              <w:jc w:val="left"/>
              <w:rPr>
                <w:b/>
                <w:sz w:val="20"/>
                <w:szCs w:val="20"/>
                <w:lang w:val="fr-CA"/>
              </w:rPr>
            </w:pPr>
            <w:r w:rsidRPr="00C76338">
              <w:rPr>
                <w:b/>
                <w:sz w:val="20"/>
                <w:szCs w:val="20"/>
                <w:lang w:val="fr-CA"/>
              </w:rPr>
              <w:t>Total des ressources allouées :</w:t>
            </w:r>
          </w:p>
        </w:tc>
        <w:tc>
          <w:tcPr>
            <w:tcW w:w="3175" w:type="dxa"/>
            <w:gridSpan w:val="2"/>
            <w:shd w:val="clear" w:color="auto" w:fill="auto"/>
            <w:vAlign w:val="center"/>
          </w:tcPr>
          <w:p w14:paraId="4847A49F" w14:textId="77777777" w:rsidR="003D4708" w:rsidRPr="00C76338" w:rsidRDefault="003D4708" w:rsidP="00236F6D">
            <w:pPr>
              <w:jc w:val="right"/>
              <w:rPr>
                <w:lang w:val="fr-CA"/>
              </w:rPr>
            </w:pPr>
          </w:p>
        </w:tc>
      </w:tr>
      <w:tr w:rsidR="003D4708" w:rsidRPr="00C76338" w14:paraId="4AC23A8B" w14:textId="77777777" w:rsidTr="00662E83">
        <w:trPr>
          <w:trHeight w:val="144"/>
          <w:jc w:val="right"/>
        </w:trPr>
        <w:tc>
          <w:tcPr>
            <w:tcW w:w="1522" w:type="dxa"/>
            <w:vMerge/>
            <w:shd w:val="clear" w:color="auto" w:fill="auto"/>
          </w:tcPr>
          <w:p w14:paraId="6B66EC5F" w14:textId="77777777" w:rsidR="003D4708" w:rsidRPr="00C76338" w:rsidRDefault="003D4708" w:rsidP="00236F6D">
            <w:pPr>
              <w:rPr>
                <w:sz w:val="20"/>
                <w:szCs w:val="20"/>
                <w:lang w:val="fr-CA"/>
              </w:rPr>
            </w:pPr>
          </w:p>
        </w:tc>
        <w:tc>
          <w:tcPr>
            <w:tcW w:w="1794" w:type="dxa"/>
            <w:shd w:val="clear" w:color="auto" w:fill="auto"/>
            <w:vAlign w:val="center"/>
          </w:tcPr>
          <w:p w14:paraId="6686E621" w14:textId="77777777" w:rsidR="003D4708" w:rsidRPr="00C76338" w:rsidRDefault="003D4708" w:rsidP="00236F6D">
            <w:pPr>
              <w:spacing w:after="0"/>
              <w:jc w:val="right"/>
              <w:rPr>
                <w:b/>
                <w:sz w:val="20"/>
                <w:szCs w:val="20"/>
                <w:lang w:val="fr-CA"/>
              </w:rPr>
            </w:pPr>
            <w:r w:rsidRPr="00C76338">
              <w:rPr>
                <w:b/>
                <w:sz w:val="20"/>
                <w:szCs w:val="20"/>
                <w:lang w:val="fr-CA"/>
              </w:rPr>
              <w:t>TRAC du PNUD :</w:t>
            </w:r>
          </w:p>
        </w:tc>
        <w:tc>
          <w:tcPr>
            <w:tcW w:w="1380" w:type="dxa"/>
            <w:shd w:val="clear" w:color="auto" w:fill="auto"/>
            <w:vAlign w:val="center"/>
          </w:tcPr>
          <w:p w14:paraId="6037764C" w14:textId="77777777" w:rsidR="003D4708" w:rsidRPr="00C76338" w:rsidRDefault="003D4708" w:rsidP="00236F6D">
            <w:pPr>
              <w:spacing w:after="0"/>
              <w:jc w:val="center"/>
              <w:rPr>
                <w:lang w:val="fr-CA"/>
              </w:rPr>
            </w:pPr>
          </w:p>
        </w:tc>
      </w:tr>
      <w:tr w:rsidR="003D4708" w:rsidRPr="00C76338" w14:paraId="70751EB7" w14:textId="77777777" w:rsidTr="00662E83">
        <w:trPr>
          <w:trHeight w:val="144"/>
          <w:jc w:val="right"/>
        </w:trPr>
        <w:tc>
          <w:tcPr>
            <w:tcW w:w="1522" w:type="dxa"/>
            <w:vMerge/>
            <w:shd w:val="clear" w:color="auto" w:fill="auto"/>
          </w:tcPr>
          <w:p w14:paraId="184CC6C8" w14:textId="77777777" w:rsidR="003D4708" w:rsidRPr="00C76338" w:rsidRDefault="003D4708" w:rsidP="00236F6D">
            <w:pPr>
              <w:rPr>
                <w:sz w:val="20"/>
                <w:szCs w:val="20"/>
                <w:lang w:val="fr-CA"/>
              </w:rPr>
            </w:pPr>
          </w:p>
        </w:tc>
        <w:tc>
          <w:tcPr>
            <w:tcW w:w="1794" w:type="dxa"/>
            <w:shd w:val="clear" w:color="auto" w:fill="auto"/>
            <w:vAlign w:val="center"/>
          </w:tcPr>
          <w:p w14:paraId="5472A9CB" w14:textId="77777777" w:rsidR="003D4708" w:rsidRPr="00C76338" w:rsidRDefault="003D4708" w:rsidP="00236F6D">
            <w:pPr>
              <w:spacing w:after="0"/>
              <w:jc w:val="right"/>
              <w:rPr>
                <w:b/>
                <w:sz w:val="20"/>
                <w:szCs w:val="20"/>
                <w:lang w:val="fr-CA"/>
              </w:rPr>
            </w:pPr>
            <w:r w:rsidRPr="00C76338">
              <w:rPr>
                <w:b/>
                <w:sz w:val="20"/>
                <w:szCs w:val="20"/>
                <w:lang w:val="fr-CA"/>
              </w:rPr>
              <w:t>Donateur :</w:t>
            </w:r>
          </w:p>
        </w:tc>
        <w:tc>
          <w:tcPr>
            <w:tcW w:w="1380" w:type="dxa"/>
            <w:shd w:val="clear" w:color="auto" w:fill="auto"/>
            <w:vAlign w:val="center"/>
          </w:tcPr>
          <w:p w14:paraId="4DE8A0FE" w14:textId="77777777" w:rsidR="003D4708" w:rsidRPr="00C76338" w:rsidRDefault="003D4708" w:rsidP="00236F6D">
            <w:pPr>
              <w:spacing w:after="0"/>
              <w:jc w:val="center"/>
              <w:rPr>
                <w:lang w:val="fr-CA"/>
              </w:rPr>
            </w:pPr>
          </w:p>
        </w:tc>
      </w:tr>
      <w:tr w:rsidR="003D4708" w:rsidRPr="00C76338" w14:paraId="1E20FFBE" w14:textId="77777777" w:rsidTr="00662E83">
        <w:trPr>
          <w:trHeight w:val="157"/>
          <w:jc w:val="right"/>
        </w:trPr>
        <w:tc>
          <w:tcPr>
            <w:tcW w:w="1522" w:type="dxa"/>
            <w:vMerge/>
            <w:shd w:val="clear" w:color="auto" w:fill="auto"/>
          </w:tcPr>
          <w:p w14:paraId="582848A4" w14:textId="77777777" w:rsidR="003D4708" w:rsidRPr="00C76338" w:rsidRDefault="003D4708" w:rsidP="00236F6D">
            <w:pPr>
              <w:rPr>
                <w:sz w:val="20"/>
                <w:szCs w:val="20"/>
                <w:lang w:val="fr-CA"/>
              </w:rPr>
            </w:pPr>
          </w:p>
        </w:tc>
        <w:tc>
          <w:tcPr>
            <w:tcW w:w="1794" w:type="dxa"/>
            <w:shd w:val="clear" w:color="auto" w:fill="auto"/>
            <w:vAlign w:val="center"/>
          </w:tcPr>
          <w:p w14:paraId="1C77A6A7" w14:textId="77777777" w:rsidR="003D4708" w:rsidRPr="00C76338" w:rsidRDefault="003D4708" w:rsidP="00236F6D">
            <w:pPr>
              <w:spacing w:after="0"/>
              <w:jc w:val="right"/>
              <w:rPr>
                <w:b/>
                <w:sz w:val="20"/>
                <w:szCs w:val="20"/>
                <w:lang w:val="fr-CA"/>
              </w:rPr>
            </w:pPr>
            <w:r w:rsidRPr="00C76338">
              <w:rPr>
                <w:b/>
                <w:sz w:val="20"/>
                <w:szCs w:val="20"/>
                <w:lang w:val="fr-CA"/>
              </w:rPr>
              <w:t>Gouvernement :</w:t>
            </w:r>
          </w:p>
        </w:tc>
        <w:tc>
          <w:tcPr>
            <w:tcW w:w="1380" w:type="dxa"/>
            <w:shd w:val="clear" w:color="auto" w:fill="auto"/>
            <w:vAlign w:val="center"/>
          </w:tcPr>
          <w:p w14:paraId="35411DCD" w14:textId="77777777" w:rsidR="003D4708" w:rsidRPr="00C76338" w:rsidRDefault="003D4708" w:rsidP="00236F6D">
            <w:pPr>
              <w:spacing w:after="0"/>
              <w:jc w:val="center"/>
              <w:rPr>
                <w:lang w:val="fr-CA"/>
              </w:rPr>
            </w:pPr>
          </w:p>
        </w:tc>
      </w:tr>
      <w:tr w:rsidR="003D4708" w:rsidRPr="00C76338" w14:paraId="16261318" w14:textId="77777777" w:rsidTr="00662E83">
        <w:trPr>
          <w:trHeight w:val="183"/>
          <w:jc w:val="right"/>
        </w:trPr>
        <w:tc>
          <w:tcPr>
            <w:tcW w:w="1522" w:type="dxa"/>
            <w:vMerge/>
            <w:shd w:val="clear" w:color="auto" w:fill="auto"/>
          </w:tcPr>
          <w:p w14:paraId="72FFCD53" w14:textId="77777777" w:rsidR="003D4708" w:rsidRPr="00C76338" w:rsidRDefault="003D4708" w:rsidP="00236F6D">
            <w:pPr>
              <w:rPr>
                <w:sz w:val="20"/>
                <w:szCs w:val="20"/>
                <w:lang w:val="fr-CA"/>
              </w:rPr>
            </w:pPr>
          </w:p>
        </w:tc>
        <w:tc>
          <w:tcPr>
            <w:tcW w:w="1794" w:type="dxa"/>
            <w:shd w:val="clear" w:color="auto" w:fill="auto"/>
            <w:vAlign w:val="center"/>
          </w:tcPr>
          <w:p w14:paraId="5A74D6EC" w14:textId="77777777" w:rsidR="003D4708" w:rsidRPr="00C76338" w:rsidRDefault="003D4708" w:rsidP="00236F6D">
            <w:pPr>
              <w:spacing w:after="0"/>
              <w:jc w:val="right"/>
              <w:rPr>
                <w:b/>
                <w:sz w:val="20"/>
                <w:szCs w:val="20"/>
                <w:lang w:val="fr-CA"/>
              </w:rPr>
            </w:pPr>
            <w:r w:rsidRPr="00C76338">
              <w:rPr>
                <w:b/>
                <w:sz w:val="20"/>
                <w:szCs w:val="20"/>
                <w:lang w:val="fr-CA"/>
              </w:rPr>
              <w:t>Apports en nature :</w:t>
            </w:r>
          </w:p>
        </w:tc>
        <w:tc>
          <w:tcPr>
            <w:tcW w:w="1380" w:type="dxa"/>
            <w:shd w:val="clear" w:color="auto" w:fill="auto"/>
            <w:vAlign w:val="center"/>
          </w:tcPr>
          <w:p w14:paraId="4F65F99E" w14:textId="77777777" w:rsidR="003D4708" w:rsidRPr="00C76338" w:rsidRDefault="003D4708" w:rsidP="00236F6D">
            <w:pPr>
              <w:spacing w:after="0"/>
              <w:jc w:val="center"/>
              <w:rPr>
                <w:lang w:val="fr-CA"/>
              </w:rPr>
            </w:pPr>
          </w:p>
        </w:tc>
      </w:tr>
      <w:tr w:rsidR="003D4708" w:rsidRPr="00C76338" w14:paraId="222D5EA3" w14:textId="77777777" w:rsidTr="00662E83">
        <w:trPr>
          <w:trHeight w:val="183"/>
          <w:jc w:val="right"/>
        </w:trPr>
        <w:tc>
          <w:tcPr>
            <w:tcW w:w="1522" w:type="dxa"/>
            <w:shd w:val="clear" w:color="auto" w:fill="auto"/>
            <w:vAlign w:val="center"/>
          </w:tcPr>
          <w:p w14:paraId="4DB73A63" w14:textId="77777777" w:rsidR="003D4708" w:rsidRPr="00C76338" w:rsidRDefault="003D4708" w:rsidP="00236F6D">
            <w:pPr>
              <w:spacing w:after="0"/>
              <w:jc w:val="left"/>
              <w:rPr>
                <w:sz w:val="20"/>
                <w:szCs w:val="20"/>
                <w:lang w:val="fr-CA"/>
              </w:rPr>
            </w:pPr>
            <w:r w:rsidRPr="00C76338">
              <w:rPr>
                <w:b/>
                <w:sz w:val="20"/>
                <w:szCs w:val="20"/>
                <w:lang w:val="fr-CA"/>
              </w:rPr>
              <w:t>À financer :</w:t>
            </w:r>
          </w:p>
        </w:tc>
        <w:tc>
          <w:tcPr>
            <w:tcW w:w="3175" w:type="dxa"/>
            <w:gridSpan w:val="2"/>
            <w:shd w:val="clear" w:color="auto" w:fill="auto"/>
            <w:vAlign w:val="center"/>
          </w:tcPr>
          <w:p w14:paraId="0947CA6D" w14:textId="77777777" w:rsidR="003D4708" w:rsidRPr="00C76338" w:rsidRDefault="003D4708" w:rsidP="00236F6D">
            <w:pPr>
              <w:spacing w:after="0"/>
              <w:jc w:val="right"/>
              <w:rPr>
                <w:sz w:val="20"/>
                <w:szCs w:val="20"/>
                <w:lang w:val="fr-CA"/>
              </w:rPr>
            </w:pPr>
          </w:p>
        </w:tc>
      </w:tr>
    </w:tbl>
    <w:p w14:paraId="41945F0B" w14:textId="77777777" w:rsidR="003D4708" w:rsidRPr="00C76338" w:rsidRDefault="003D4708" w:rsidP="003D4708">
      <w:pPr>
        <w:tabs>
          <w:tab w:val="left" w:pos="960"/>
        </w:tabs>
        <w:spacing w:before="120" w:after="0"/>
        <w:rPr>
          <w:lang w:val="fr-CA"/>
        </w:rPr>
      </w:pPr>
      <w:r w:rsidRPr="00C76338">
        <w:rPr>
          <w:lang w:val="fr-CA"/>
        </w:rPr>
        <w:t>Approuvé par (signatures)</w:t>
      </w:r>
      <w:r w:rsidRPr="00C76338">
        <w:rPr>
          <w:rStyle w:val="Appelnotedebasdep"/>
          <w:lang w:val="fr-CA"/>
        </w:rPr>
        <w:footnoteReference w:id="2"/>
      </w:r>
      <w:r w:rsidRPr="00C76338">
        <w:rPr>
          <w:lang w:val="fr-C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89"/>
        <w:gridCol w:w="3193"/>
      </w:tblGrid>
      <w:tr w:rsidR="003D4708" w:rsidRPr="00C76338" w14:paraId="03AA66F2" w14:textId="77777777" w:rsidTr="00236F6D">
        <w:tc>
          <w:tcPr>
            <w:tcW w:w="3272" w:type="dxa"/>
            <w:shd w:val="clear" w:color="auto" w:fill="auto"/>
          </w:tcPr>
          <w:p w14:paraId="740EFBF0" w14:textId="77777777" w:rsidR="003D4708" w:rsidRPr="00C76338" w:rsidRDefault="003D4708" w:rsidP="00236F6D">
            <w:pPr>
              <w:spacing w:after="0"/>
              <w:jc w:val="center"/>
              <w:rPr>
                <w:lang w:val="fr-CA"/>
              </w:rPr>
            </w:pPr>
            <w:r w:rsidRPr="00C76338">
              <w:rPr>
                <w:lang w:val="fr-CA"/>
              </w:rPr>
              <w:t>Gouvernement</w:t>
            </w:r>
          </w:p>
        </w:tc>
        <w:tc>
          <w:tcPr>
            <w:tcW w:w="3273" w:type="dxa"/>
            <w:shd w:val="clear" w:color="auto" w:fill="auto"/>
          </w:tcPr>
          <w:p w14:paraId="7DE4294F" w14:textId="77777777" w:rsidR="003D4708" w:rsidRPr="00C76338" w:rsidRDefault="003D4708" w:rsidP="00236F6D">
            <w:pPr>
              <w:spacing w:after="0"/>
              <w:jc w:val="center"/>
              <w:rPr>
                <w:lang w:val="fr-CA"/>
              </w:rPr>
            </w:pPr>
            <w:r w:rsidRPr="00C76338">
              <w:rPr>
                <w:lang w:val="fr-CA"/>
              </w:rPr>
              <w:t>PNUD</w:t>
            </w:r>
          </w:p>
        </w:tc>
        <w:tc>
          <w:tcPr>
            <w:tcW w:w="3273" w:type="dxa"/>
            <w:shd w:val="clear" w:color="auto" w:fill="auto"/>
          </w:tcPr>
          <w:p w14:paraId="3511B71B" w14:textId="77777777" w:rsidR="003D4708" w:rsidRPr="00C76338" w:rsidRDefault="003D4708" w:rsidP="00236F6D">
            <w:pPr>
              <w:spacing w:after="0"/>
              <w:jc w:val="center"/>
              <w:rPr>
                <w:lang w:val="fr-CA"/>
              </w:rPr>
            </w:pPr>
            <w:r w:rsidRPr="00C76338">
              <w:rPr>
                <w:lang w:val="fr-CA"/>
              </w:rPr>
              <w:t xml:space="preserve">Partenaire de réalisation </w:t>
            </w:r>
          </w:p>
        </w:tc>
      </w:tr>
      <w:tr w:rsidR="003D4708" w:rsidRPr="00C76338" w14:paraId="2ECF8198" w14:textId="77777777" w:rsidTr="00236F6D">
        <w:trPr>
          <w:trHeight w:val="1214"/>
        </w:trPr>
        <w:tc>
          <w:tcPr>
            <w:tcW w:w="3272" w:type="dxa"/>
            <w:shd w:val="clear" w:color="auto" w:fill="auto"/>
          </w:tcPr>
          <w:p w14:paraId="3B3C071D" w14:textId="77777777" w:rsidR="003D4708" w:rsidRPr="00C76338" w:rsidRDefault="003D4708" w:rsidP="00236F6D">
            <w:pPr>
              <w:spacing w:after="0"/>
              <w:jc w:val="left"/>
              <w:rPr>
                <w:sz w:val="20"/>
                <w:szCs w:val="20"/>
                <w:lang w:val="fr-CA"/>
              </w:rPr>
            </w:pPr>
          </w:p>
          <w:p w14:paraId="08E9BC07" w14:textId="77777777" w:rsidR="003D4708" w:rsidRPr="00C76338" w:rsidRDefault="003D4708" w:rsidP="00236F6D">
            <w:pPr>
              <w:spacing w:after="0"/>
              <w:jc w:val="left"/>
              <w:rPr>
                <w:sz w:val="20"/>
                <w:szCs w:val="20"/>
                <w:lang w:val="fr-CA"/>
              </w:rPr>
            </w:pPr>
          </w:p>
          <w:p w14:paraId="09DF1FE1" w14:textId="77777777" w:rsidR="003D4708" w:rsidRPr="00C76338" w:rsidRDefault="003D4708" w:rsidP="00236F6D">
            <w:pPr>
              <w:spacing w:after="0"/>
              <w:jc w:val="left"/>
              <w:rPr>
                <w:sz w:val="20"/>
                <w:szCs w:val="20"/>
                <w:lang w:val="fr-CA"/>
              </w:rPr>
            </w:pPr>
          </w:p>
          <w:p w14:paraId="4FD6AB37" w14:textId="77777777" w:rsidR="003D4708" w:rsidRPr="00C76338" w:rsidRDefault="003D4708" w:rsidP="00236F6D">
            <w:pPr>
              <w:spacing w:after="0"/>
              <w:jc w:val="left"/>
              <w:rPr>
                <w:sz w:val="20"/>
                <w:szCs w:val="20"/>
                <w:lang w:val="fr-CA"/>
              </w:rPr>
            </w:pPr>
          </w:p>
          <w:p w14:paraId="79734AD2" w14:textId="77777777" w:rsidR="003D4708" w:rsidRPr="00C76338" w:rsidRDefault="003D4708" w:rsidP="00236F6D">
            <w:pPr>
              <w:spacing w:after="0"/>
              <w:jc w:val="left"/>
              <w:rPr>
                <w:sz w:val="20"/>
                <w:szCs w:val="20"/>
                <w:lang w:val="fr-CA"/>
              </w:rPr>
            </w:pPr>
            <w:r w:rsidRPr="00C76338">
              <w:rPr>
                <w:sz w:val="20"/>
                <w:szCs w:val="20"/>
                <w:lang w:val="fr-CA"/>
              </w:rPr>
              <w:t>Nom en capitales :</w:t>
            </w:r>
          </w:p>
        </w:tc>
        <w:tc>
          <w:tcPr>
            <w:tcW w:w="3273" w:type="dxa"/>
            <w:shd w:val="clear" w:color="auto" w:fill="auto"/>
          </w:tcPr>
          <w:p w14:paraId="570A656E" w14:textId="77777777" w:rsidR="003D4708" w:rsidRPr="00C76338" w:rsidRDefault="003D4708" w:rsidP="00236F6D">
            <w:pPr>
              <w:spacing w:after="0"/>
              <w:jc w:val="left"/>
              <w:rPr>
                <w:sz w:val="20"/>
                <w:szCs w:val="20"/>
                <w:lang w:val="fr-CA"/>
              </w:rPr>
            </w:pPr>
          </w:p>
          <w:p w14:paraId="44E212A3" w14:textId="77777777" w:rsidR="003D4708" w:rsidRPr="00C76338" w:rsidRDefault="003D4708" w:rsidP="00236F6D">
            <w:pPr>
              <w:spacing w:after="0"/>
              <w:jc w:val="left"/>
              <w:rPr>
                <w:sz w:val="20"/>
                <w:szCs w:val="20"/>
                <w:lang w:val="fr-CA"/>
              </w:rPr>
            </w:pPr>
          </w:p>
          <w:p w14:paraId="2FF1E3B6" w14:textId="77777777" w:rsidR="003D4708" w:rsidRPr="00C76338" w:rsidRDefault="003D4708" w:rsidP="00236F6D">
            <w:pPr>
              <w:spacing w:after="0"/>
              <w:jc w:val="left"/>
              <w:rPr>
                <w:sz w:val="20"/>
                <w:szCs w:val="20"/>
                <w:lang w:val="fr-CA"/>
              </w:rPr>
            </w:pPr>
          </w:p>
          <w:p w14:paraId="6DB9978E" w14:textId="77777777" w:rsidR="003D4708" w:rsidRPr="00C76338" w:rsidRDefault="003D4708" w:rsidP="00236F6D">
            <w:pPr>
              <w:spacing w:after="0"/>
              <w:jc w:val="left"/>
              <w:rPr>
                <w:sz w:val="20"/>
                <w:szCs w:val="20"/>
                <w:lang w:val="fr-CA"/>
              </w:rPr>
            </w:pPr>
          </w:p>
          <w:p w14:paraId="03F805A5" w14:textId="77777777" w:rsidR="003D4708" w:rsidRPr="00C76338" w:rsidRDefault="003D4708" w:rsidP="00236F6D">
            <w:pPr>
              <w:spacing w:after="0"/>
              <w:jc w:val="left"/>
              <w:rPr>
                <w:sz w:val="20"/>
                <w:szCs w:val="20"/>
                <w:lang w:val="fr-CA"/>
              </w:rPr>
            </w:pPr>
            <w:r w:rsidRPr="00C76338">
              <w:rPr>
                <w:sz w:val="20"/>
                <w:szCs w:val="20"/>
                <w:lang w:val="fr-CA"/>
              </w:rPr>
              <w:t>Nom en capitales :</w:t>
            </w:r>
          </w:p>
        </w:tc>
        <w:tc>
          <w:tcPr>
            <w:tcW w:w="3273" w:type="dxa"/>
            <w:shd w:val="clear" w:color="auto" w:fill="auto"/>
          </w:tcPr>
          <w:p w14:paraId="5CFD4383" w14:textId="77777777" w:rsidR="003D4708" w:rsidRPr="00C76338" w:rsidRDefault="003D4708" w:rsidP="00236F6D">
            <w:pPr>
              <w:spacing w:after="0"/>
              <w:jc w:val="left"/>
              <w:rPr>
                <w:sz w:val="20"/>
                <w:szCs w:val="20"/>
                <w:lang w:val="fr-CA"/>
              </w:rPr>
            </w:pPr>
          </w:p>
          <w:p w14:paraId="7B13D7BF" w14:textId="77777777" w:rsidR="003D4708" w:rsidRPr="00C76338" w:rsidRDefault="003D4708" w:rsidP="00236F6D">
            <w:pPr>
              <w:spacing w:after="0"/>
              <w:jc w:val="left"/>
              <w:rPr>
                <w:sz w:val="20"/>
                <w:szCs w:val="20"/>
                <w:lang w:val="fr-CA"/>
              </w:rPr>
            </w:pPr>
          </w:p>
          <w:p w14:paraId="4348AE73" w14:textId="77777777" w:rsidR="003D4708" w:rsidRPr="00C76338" w:rsidRDefault="003D4708" w:rsidP="00236F6D">
            <w:pPr>
              <w:spacing w:after="0"/>
              <w:jc w:val="left"/>
              <w:rPr>
                <w:sz w:val="20"/>
                <w:szCs w:val="20"/>
                <w:lang w:val="fr-CA"/>
              </w:rPr>
            </w:pPr>
          </w:p>
          <w:p w14:paraId="5659598D" w14:textId="77777777" w:rsidR="003D4708" w:rsidRPr="00C76338" w:rsidRDefault="003D4708" w:rsidP="00236F6D">
            <w:pPr>
              <w:spacing w:after="0"/>
              <w:jc w:val="left"/>
              <w:rPr>
                <w:sz w:val="20"/>
                <w:szCs w:val="20"/>
                <w:lang w:val="fr-CA"/>
              </w:rPr>
            </w:pPr>
          </w:p>
          <w:p w14:paraId="3CCD6604" w14:textId="77777777" w:rsidR="003D4708" w:rsidRPr="00C76338" w:rsidRDefault="003D4708" w:rsidP="00236F6D">
            <w:pPr>
              <w:spacing w:after="0"/>
              <w:jc w:val="left"/>
              <w:rPr>
                <w:sz w:val="20"/>
                <w:szCs w:val="20"/>
                <w:lang w:val="fr-CA"/>
              </w:rPr>
            </w:pPr>
            <w:r w:rsidRPr="00C76338">
              <w:rPr>
                <w:sz w:val="20"/>
                <w:szCs w:val="20"/>
                <w:lang w:val="fr-CA"/>
              </w:rPr>
              <w:t>Nom en capitales :</w:t>
            </w:r>
          </w:p>
        </w:tc>
      </w:tr>
      <w:tr w:rsidR="003D4708" w:rsidRPr="00C76338" w14:paraId="23FCC724" w14:textId="77777777" w:rsidTr="00236F6D">
        <w:tc>
          <w:tcPr>
            <w:tcW w:w="3272" w:type="dxa"/>
            <w:shd w:val="clear" w:color="auto" w:fill="auto"/>
          </w:tcPr>
          <w:p w14:paraId="69AB6B66" w14:textId="77777777" w:rsidR="003D4708" w:rsidRPr="00C76338" w:rsidRDefault="003D4708" w:rsidP="00236F6D">
            <w:pPr>
              <w:spacing w:after="0"/>
              <w:jc w:val="left"/>
              <w:rPr>
                <w:lang w:val="fr-CA"/>
              </w:rPr>
            </w:pPr>
            <w:r w:rsidRPr="00C76338">
              <w:rPr>
                <w:lang w:val="fr-CA"/>
              </w:rPr>
              <w:t xml:space="preserve">Date : </w:t>
            </w:r>
          </w:p>
          <w:p w14:paraId="70441752" w14:textId="77777777" w:rsidR="003D4708" w:rsidRPr="00C76338" w:rsidRDefault="003D4708" w:rsidP="00236F6D">
            <w:pPr>
              <w:spacing w:after="0"/>
              <w:jc w:val="left"/>
              <w:rPr>
                <w:lang w:val="fr-CA"/>
              </w:rPr>
            </w:pPr>
          </w:p>
        </w:tc>
        <w:tc>
          <w:tcPr>
            <w:tcW w:w="3273" w:type="dxa"/>
            <w:shd w:val="clear" w:color="auto" w:fill="auto"/>
          </w:tcPr>
          <w:p w14:paraId="7F3F9ADF" w14:textId="77777777" w:rsidR="003D4708" w:rsidRPr="00C76338" w:rsidRDefault="003D4708" w:rsidP="00236F6D">
            <w:pPr>
              <w:spacing w:after="0"/>
              <w:jc w:val="left"/>
              <w:rPr>
                <w:lang w:val="fr-CA"/>
              </w:rPr>
            </w:pPr>
            <w:r w:rsidRPr="00C76338">
              <w:rPr>
                <w:lang w:val="fr-CA"/>
              </w:rPr>
              <w:t xml:space="preserve">Date : </w:t>
            </w:r>
          </w:p>
        </w:tc>
        <w:tc>
          <w:tcPr>
            <w:tcW w:w="3273" w:type="dxa"/>
            <w:shd w:val="clear" w:color="auto" w:fill="auto"/>
          </w:tcPr>
          <w:p w14:paraId="46256767" w14:textId="77777777" w:rsidR="003D4708" w:rsidRPr="00C76338" w:rsidRDefault="003D4708" w:rsidP="00236F6D">
            <w:pPr>
              <w:spacing w:after="0"/>
              <w:jc w:val="left"/>
              <w:rPr>
                <w:lang w:val="fr-CA"/>
              </w:rPr>
            </w:pPr>
            <w:r w:rsidRPr="00C76338">
              <w:rPr>
                <w:lang w:val="fr-CA"/>
              </w:rPr>
              <w:t>Date :</w:t>
            </w:r>
          </w:p>
        </w:tc>
      </w:tr>
    </w:tbl>
    <w:p w14:paraId="3370790F" w14:textId="77777777" w:rsidR="003D4708" w:rsidRPr="00C76338" w:rsidRDefault="003D4708" w:rsidP="00C21EE2">
      <w:pPr>
        <w:pStyle w:val="Titre1"/>
        <w:numPr>
          <w:ilvl w:val="0"/>
          <w:numId w:val="2"/>
        </w:numPr>
        <w:rPr>
          <w:lang w:val="fr-CA"/>
        </w:rPr>
      </w:pPr>
      <w:r w:rsidRPr="00C76338">
        <w:rPr>
          <w:lang w:val="fr-CA"/>
        </w:rPr>
        <w:br w:type="page"/>
      </w:r>
      <w:r w:rsidRPr="00C76338">
        <w:rPr>
          <w:lang w:val="fr-CA"/>
        </w:rPr>
        <w:lastRenderedPageBreak/>
        <w:t xml:space="preserve">Problématique de développement </w:t>
      </w:r>
      <w:r w:rsidRPr="00C76338">
        <w:rPr>
          <w:sz w:val="20"/>
          <w:lang w:val="fr-CA"/>
        </w:rPr>
        <w:t>(</w:t>
      </w:r>
      <w:r w:rsidRPr="00C76338">
        <w:rPr>
          <w:sz w:val="18"/>
          <w:lang w:val="fr-CA"/>
        </w:rPr>
        <w:t>1/</w:t>
      </w:r>
      <w:proofErr w:type="gramStart"/>
      <w:r w:rsidRPr="00C76338">
        <w:rPr>
          <w:sz w:val="18"/>
          <w:lang w:val="fr-CA"/>
        </w:rPr>
        <w:t xml:space="preserve">4 </w:t>
      </w:r>
      <w:r w:rsidRPr="00C76338">
        <w:rPr>
          <w:sz w:val="20"/>
          <w:lang w:val="fr-CA"/>
        </w:rPr>
        <w:t xml:space="preserve"> de</w:t>
      </w:r>
      <w:proofErr w:type="gramEnd"/>
      <w:r w:rsidRPr="00C76338">
        <w:rPr>
          <w:sz w:val="20"/>
          <w:lang w:val="fr-CA"/>
        </w:rPr>
        <w:t xml:space="preserve"> page à 2 pages)</w:t>
      </w:r>
    </w:p>
    <w:p w14:paraId="2115F4FC" w14:textId="5A57F8E9" w:rsidR="00A8353E" w:rsidRPr="00B06846" w:rsidRDefault="00A8353E" w:rsidP="00A8353E">
      <w:pPr>
        <w:rPr>
          <w:lang w:val="fr-CA"/>
        </w:rPr>
      </w:pPr>
      <w:r w:rsidRPr="00B06846">
        <w:rPr>
          <w:lang w:val="fr-CA"/>
        </w:rPr>
        <w:t xml:space="preserve">Le changement climatique </w:t>
      </w:r>
      <w:r w:rsidR="00A0404D" w:rsidRPr="00B06846">
        <w:rPr>
          <w:lang w:val="fr-CA"/>
        </w:rPr>
        <w:t xml:space="preserve">a des </w:t>
      </w:r>
      <w:r w:rsidRPr="00B06846">
        <w:rPr>
          <w:lang w:val="fr-CA"/>
        </w:rPr>
        <w:t>impact</w:t>
      </w:r>
      <w:r w:rsidR="00A0404D" w:rsidRPr="00B06846">
        <w:rPr>
          <w:lang w:val="fr-CA"/>
        </w:rPr>
        <w:t>s</w:t>
      </w:r>
      <w:r w:rsidRPr="00B06846">
        <w:rPr>
          <w:lang w:val="fr-CA"/>
        </w:rPr>
        <w:t xml:space="preserve"> sur l'ensemble </w:t>
      </w:r>
      <w:r w:rsidR="00A0404D" w:rsidRPr="00B06846">
        <w:rPr>
          <w:lang w:val="fr-CA"/>
        </w:rPr>
        <w:t xml:space="preserve">des activités socioéconomiques </w:t>
      </w:r>
      <w:r w:rsidRPr="00B06846">
        <w:rPr>
          <w:lang w:val="fr-CA"/>
        </w:rPr>
        <w:t>de la Guinée.</w:t>
      </w:r>
      <w:r w:rsidR="00A0404D" w:rsidRPr="00B06846">
        <w:rPr>
          <w:lang w:val="fr-CA"/>
        </w:rPr>
        <w:t xml:space="preserve"> Il engendre :</w:t>
      </w:r>
      <w:r w:rsidRPr="00B06846">
        <w:rPr>
          <w:lang w:val="fr-CA"/>
        </w:rPr>
        <w:t xml:space="preserve"> la perte de revenus, </w:t>
      </w:r>
      <w:r w:rsidR="00A0404D" w:rsidRPr="00B06846">
        <w:rPr>
          <w:lang w:val="fr-CA"/>
        </w:rPr>
        <w:t>la</w:t>
      </w:r>
      <w:r w:rsidRPr="00B06846">
        <w:rPr>
          <w:lang w:val="fr-CA"/>
        </w:rPr>
        <w:t xml:space="preserve"> diminution de la qualité de vie, le déplacement de populations et la diminution de la production agricole. </w:t>
      </w:r>
      <w:r w:rsidR="008A78B4" w:rsidRPr="00B06846">
        <w:rPr>
          <w:lang w:val="fr-CA"/>
        </w:rPr>
        <w:t>Selon les études (CNI-2001 et SCN-2018) l</w:t>
      </w:r>
      <w:r w:rsidRPr="00B06846">
        <w:rPr>
          <w:lang w:val="fr-CA"/>
        </w:rPr>
        <w:t xml:space="preserve">e développement à long terme du pays </w:t>
      </w:r>
      <w:r w:rsidR="004F5481" w:rsidRPr="00B06846">
        <w:rPr>
          <w:lang w:val="fr-CA"/>
        </w:rPr>
        <w:t>sera</w:t>
      </w:r>
      <w:r w:rsidRPr="00B06846">
        <w:rPr>
          <w:lang w:val="fr-CA"/>
        </w:rPr>
        <w:t xml:space="preserve"> affecté de manière significative par</w:t>
      </w:r>
      <w:r w:rsidR="008A78B4" w:rsidRPr="00B06846">
        <w:rPr>
          <w:lang w:val="fr-CA"/>
        </w:rPr>
        <w:t> :</w:t>
      </w:r>
      <w:r w:rsidRPr="00B06846">
        <w:rPr>
          <w:lang w:val="fr-CA"/>
        </w:rPr>
        <w:t xml:space="preserve"> (i) des changements dans le régime des précipitations, (ii) des sécheresses, (iii) des inondations, (iv) des tempêtes violentes, (v) d</w:t>
      </w:r>
      <w:r w:rsidR="004F5481" w:rsidRPr="00B06846">
        <w:rPr>
          <w:lang w:val="fr-CA"/>
        </w:rPr>
        <w:t>es températures extrêmes et un en</w:t>
      </w:r>
      <w:r w:rsidRPr="00B06846">
        <w:rPr>
          <w:lang w:val="fr-CA"/>
        </w:rPr>
        <w:t>sole</w:t>
      </w:r>
      <w:r w:rsidR="004F5481" w:rsidRPr="00B06846">
        <w:rPr>
          <w:lang w:val="fr-CA"/>
        </w:rPr>
        <w:t>ille</w:t>
      </w:r>
      <w:r w:rsidRPr="00B06846">
        <w:rPr>
          <w:lang w:val="fr-CA"/>
        </w:rPr>
        <w:t>ment accru, (vi) l'érosion côtière.</w:t>
      </w:r>
    </w:p>
    <w:p w14:paraId="62642403" w14:textId="77777777" w:rsidR="00A8353E" w:rsidRPr="00B06846" w:rsidRDefault="00A8353E" w:rsidP="00A8353E">
      <w:pPr>
        <w:rPr>
          <w:lang w:val="fr-CA"/>
        </w:rPr>
      </w:pPr>
    </w:p>
    <w:p w14:paraId="36C67755" w14:textId="56D55E00" w:rsidR="00A8353E" w:rsidRPr="00B06846" w:rsidRDefault="00A8353E" w:rsidP="00A8353E">
      <w:pPr>
        <w:rPr>
          <w:lang w:val="fr-CA"/>
        </w:rPr>
      </w:pPr>
      <w:r w:rsidRPr="00B06846">
        <w:rPr>
          <w:lang w:val="fr-CA"/>
        </w:rPr>
        <w:t xml:space="preserve">Bien que leur importance pour l'économie et les moyens d'existence des communautés soit indéniable, l'agriculture et l'élevage demeurent des activités de subsistance </w:t>
      </w:r>
      <w:r w:rsidR="004F5481" w:rsidRPr="00B06846">
        <w:rPr>
          <w:lang w:val="fr-CA"/>
        </w:rPr>
        <w:t>en Guinée en général et dans la partie nord du pays en particulier (limitrophe</w:t>
      </w:r>
      <w:r w:rsidR="008A78B4" w:rsidRPr="00B06846">
        <w:rPr>
          <w:lang w:val="fr-CA"/>
        </w:rPr>
        <w:t>s</w:t>
      </w:r>
      <w:r w:rsidR="004F5481" w:rsidRPr="00B06846">
        <w:rPr>
          <w:lang w:val="fr-CA"/>
        </w:rPr>
        <w:t xml:space="preserve"> </w:t>
      </w:r>
      <w:r w:rsidR="008A78B4" w:rsidRPr="00B06846">
        <w:rPr>
          <w:lang w:val="fr-CA"/>
        </w:rPr>
        <w:t xml:space="preserve">des pays sahéliens et </w:t>
      </w:r>
      <w:r w:rsidR="004F5481" w:rsidRPr="00B06846">
        <w:rPr>
          <w:lang w:val="fr-CA"/>
        </w:rPr>
        <w:t>fortement</w:t>
      </w:r>
      <w:r w:rsidR="008A78B4" w:rsidRPr="00B06846">
        <w:rPr>
          <w:lang w:val="fr-CA"/>
        </w:rPr>
        <w:t xml:space="preserve"> exposés à divers risques climatiques)</w:t>
      </w:r>
      <w:r w:rsidRPr="00B06846">
        <w:rPr>
          <w:lang w:val="fr-CA"/>
        </w:rPr>
        <w:t>, dépendant entièrement du potentiel en matière de ressources naturelles et caractérisées par des pratiques obsolètes et peu respectueuses de l'environnement. La production agricole et l'élevage sont actuellement confrontés à plusieurs contraintes limitant leur productivité et les rendant très vulnérables aux chocs externes, et aux changements à long terme, tels que les changements induits par le climat.</w:t>
      </w:r>
      <w:r w:rsidR="008A78B4" w:rsidRPr="00B06846">
        <w:rPr>
          <w:lang w:val="fr-CA"/>
        </w:rPr>
        <w:t xml:space="preserve"> Malgré les actions r</w:t>
      </w:r>
      <w:r w:rsidR="00AA1162" w:rsidRPr="00B06846">
        <w:rPr>
          <w:lang w:val="fr-CA"/>
        </w:rPr>
        <w:t xml:space="preserve">éalisées par le projet REMECC-GKM, la situation reste encore précaire, la vulnérabilité a augmenté, les risques climatiques de plus en plus importants, la population plus élevée, …. </w:t>
      </w:r>
    </w:p>
    <w:p w14:paraId="4A12BCE0" w14:textId="5F689AE3" w:rsidR="00A8353E" w:rsidRPr="00B06846" w:rsidRDefault="00A8353E" w:rsidP="00A8353E">
      <w:pPr>
        <w:rPr>
          <w:lang w:val="fr-CA"/>
        </w:rPr>
      </w:pPr>
      <w:r w:rsidRPr="00B06846">
        <w:rPr>
          <w:lang w:val="fr-CA"/>
        </w:rPr>
        <w:t xml:space="preserve">Dans le prolongement du projet </w:t>
      </w:r>
      <w:r w:rsidR="00AA1162" w:rsidRPr="00B06846">
        <w:rPr>
          <w:lang w:val="fr-CA"/>
        </w:rPr>
        <w:t>REMECC GKM</w:t>
      </w:r>
      <w:r w:rsidRPr="00B06846">
        <w:rPr>
          <w:lang w:val="fr-CA"/>
        </w:rPr>
        <w:t xml:space="preserve">, l’hypothèse normative est que le changement climatique soit intégré dans les plans et budgets de développement local ; que les informations agrométéorologiques soient disponibles pour les activités dépendant du climat telles que l'agriculture et l'élevage, et que les agriculteurs mettent en œuvre des </w:t>
      </w:r>
      <w:r w:rsidR="00AA1162" w:rsidRPr="00B06846">
        <w:rPr>
          <w:lang w:val="fr-CA"/>
        </w:rPr>
        <w:t>mesures</w:t>
      </w:r>
      <w:r w:rsidRPr="00B06846">
        <w:rPr>
          <w:lang w:val="fr-CA"/>
        </w:rPr>
        <w:t xml:space="preserve"> </w:t>
      </w:r>
      <w:r w:rsidR="00AA1162" w:rsidRPr="00B06846">
        <w:rPr>
          <w:lang w:val="fr-CA"/>
        </w:rPr>
        <w:t>d’adaptation appropriées au secteur agricole</w:t>
      </w:r>
      <w:r w:rsidRPr="00B06846">
        <w:rPr>
          <w:lang w:val="fr-CA"/>
        </w:rPr>
        <w:t>. Les obstacles pour parvenir à cette situation souhaitée comprennent notamment : ( i) le sous-investissement dans les systèmes permettant de générer, codifier, stocker et diffuser l'information, et notamment en ce qui concerne le temps, la météorologie et les changements climatiques, ce qui se traduit par une absence totale de conseils météorologiques destinés aux communautés locales, (ii) un cadre politique local qui n'est pas encore à même de gérer les risques liés au changement climatique, et qui ne favorise pas la formulation d’une réponse intégrée en matière d'adaptation au</w:t>
      </w:r>
      <w:r w:rsidR="00AA1162" w:rsidRPr="00B06846">
        <w:rPr>
          <w:lang w:val="fr-CA"/>
        </w:rPr>
        <w:t xml:space="preserve"> changement climatique ; (iii) d</w:t>
      </w:r>
      <w:r w:rsidRPr="00B06846">
        <w:rPr>
          <w:lang w:val="fr-CA"/>
        </w:rPr>
        <w:t>es capacités insuffisantes à mettre en œuvre des mesures nouvelles (y compris des mesures d'adaptation) et à utiliser les nouvelles technologies ; et ( iv) les faibles capacités techniques et financières de la plupart des ménages ruraux, affectant la capacité d'adaptation des communautés.</w:t>
      </w:r>
      <w:r w:rsidR="00AA1162" w:rsidRPr="00B06846">
        <w:rPr>
          <w:lang w:val="fr-CA"/>
        </w:rPr>
        <w:t xml:space="preserve"> </w:t>
      </w:r>
    </w:p>
    <w:p w14:paraId="54617C0E" w14:textId="12EB7EEC" w:rsidR="00A8353E" w:rsidRPr="00B06846" w:rsidRDefault="00A8353E" w:rsidP="00A8353E">
      <w:pPr>
        <w:rPr>
          <w:lang w:val="fr-CA"/>
        </w:rPr>
      </w:pPr>
      <w:r w:rsidRPr="00B06846">
        <w:rPr>
          <w:lang w:val="fr-CA"/>
        </w:rPr>
        <w:t>La recherche de résultats spécifiques devrait permettre de contribuer à surmonter ces obstacles et à réduire le niveau de vulnérabilités au changement climatique, et en particulier : (a) le renforcement des autorités locales et les organes décentralisés dans l’intégration des questions liées au changement climatique dans les plans d'action régionaux à travers des plans de développement local, les plans d’investissement annuels et pluriannuels et les budgets communautaires annuels ; (b) la production d'informations agrométéorologiques et la diffusion auprès des acteurs les plus concernés des préfectures de GKM concernant l’agroforesterie résiliente au climat, et (c) l'amélioration de la résilience au climat des moyens d’existence des communautés par le biais de la promotion de l'agroforesterie.</w:t>
      </w:r>
    </w:p>
    <w:p w14:paraId="3F09CBA6" w14:textId="77777777" w:rsidR="006D34AB" w:rsidRPr="00B06846" w:rsidRDefault="00AA1162" w:rsidP="00A8353E">
      <w:pPr>
        <w:rPr>
          <w:lang w:val="fr-CA"/>
        </w:rPr>
      </w:pPr>
      <w:r w:rsidRPr="00B06846">
        <w:rPr>
          <w:lang w:val="fr-CA"/>
        </w:rPr>
        <w:t xml:space="preserve">Les femmes constituant près de 52% de la population </w:t>
      </w:r>
      <w:r w:rsidR="0059791A" w:rsidRPr="00B06846">
        <w:rPr>
          <w:lang w:val="fr-CA"/>
        </w:rPr>
        <w:t xml:space="preserve">portent le fardeau exacerbé par les aléas climatiques : l’eau indispensable à la vie et à l’amélioration des conditions de vie devient de plus en plus rare – obligeant femmes et enfants à faire des distances de plus en plus importantes pour trouver les besoins quotidiens. Les récoltes sont affectées, le cheptel, particulièrement les gros ruminants, jadis florissant subit de plein fouet la sécheresse et ses conséquences sur leur rendement et leur rentabilité (il y a de plus en plus moins de lait et ses produits dérivés). Les feux de brousse, malgré la forte prise de conscience des populations, restent un facteur important de dégradation du couvert végétal. Le manque d’alternatives réduit les populations </w:t>
      </w:r>
      <w:r w:rsidR="00311027" w:rsidRPr="00B06846">
        <w:rPr>
          <w:lang w:val="fr-CA"/>
        </w:rPr>
        <w:t xml:space="preserve">à se résigner à cette situation de précarité et de danger permanent face aux aléas climatiques. Un des problèmes les importants auxquels les communautés font face reste </w:t>
      </w:r>
      <w:r w:rsidR="006D34AB" w:rsidRPr="00B06846">
        <w:rPr>
          <w:lang w:val="fr-CA"/>
        </w:rPr>
        <w:t xml:space="preserve">aussi la faiblesse des réponses de l’Etat et du secteur privé pour adresser les problèmes posés par le changement climatique, la faiblesse des investissements dans le domaine rural et le manque/faiblesse du cadre institutionnel et juridique pour gérer durablement l’environnement et faire face au changement climatique. </w:t>
      </w:r>
    </w:p>
    <w:p w14:paraId="65C8FFF3" w14:textId="77777777" w:rsidR="00A8353E" w:rsidRPr="00C76338" w:rsidRDefault="00A8353E" w:rsidP="00A8353E">
      <w:pPr>
        <w:rPr>
          <w:lang w:val="fr-CA"/>
        </w:rPr>
      </w:pPr>
    </w:p>
    <w:p w14:paraId="0DBE0792" w14:textId="208AC315" w:rsidR="003D4708" w:rsidRPr="00C76338" w:rsidRDefault="003D4708" w:rsidP="003D4708">
      <w:pPr>
        <w:pStyle w:val="Titre1"/>
        <w:pBdr>
          <w:top w:val="single" w:sz="4" w:space="0" w:color="auto"/>
        </w:pBdr>
        <w:rPr>
          <w:lang w:val="fr-CA"/>
        </w:rPr>
      </w:pPr>
      <w:r w:rsidRPr="00C76338">
        <w:rPr>
          <w:lang w:val="fr-CA"/>
        </w:rPr>
        <w:lastRenderedPageBreak/>
        <w:t xml:space="preserve">Stratégie </w:t>
      </w:r>
      <w:r w:rsidRPr="00C76338">
        <w:rPr>
          <w:sz w:val="20"/>
          <w:lang w:val="fr-CA"/>
        </w:rPr>
        <w:t>(</w:t>
      </w:r>
      <w:r w:rsidRPr="00C76338">
        <w:rPr>
          <w:sz w:val="18"/>
          <w:lang w:val="fr-CA"/>
        </w:rPr>
        <w:t>1/</w:t>
      </w:r>
      <w:r w:rsidR="00F210EF" w:rsidRPr="00C76338">
        <w:rPr>
          <w:sz w:val="18"/>
          <w:lang w:val="fr-CA"/>
        </w:rPr>
        <w:t>2 PAGE</w:t>
      </w:r>
      <w:r w:rsidRPr="00C76338">
        <w:rPr>
          <w:sz w:val="20"/>
          <w:lang w:val="fr-CA"/>
        </w:rPr>
        <w:t xml:space="preserve"> à 3 pages)</w:t>
      </w:r>
    </w:p>
    <w:p w14:paraId="0ED360C7" w14:textId="31E8876C" w:rsidR="00AA1162" w:rsidRPr="00C76338" w:rsidRDefault="00903E2D" w:rsidP="00903E2D">
      <w:pPr>
        <w:rPr>
          <w:lang w:val="fr-CA"/>
        </w:rPr>
      </w:pPr>
      <w:r w:rsidRPr="00C76338">
        <w:rPr>
          <w:lang w:val="fr-CA"/>
        </w:rPr>
        <w:t>Le Pilier 4 du PNDES vise à</w:t>
      </w:r>
      <w:r w:rsidR="00A90C98" w:rsidRPr="00C76338">
        <w:rPr>
          <w:lang w:val="fr-CA"/>
        </w:rPr>
        <w:t xml:space="preserve"> « promouvoir</w:t>
      </w:r>
      <w:r w:rsidRPr="00C76338">
        <w:rPr>
          <w:lang w:val="fr-CA"/>
        </w:rPr>
        <w:t xml:space="preserve"> une gest</w:t>
      </w:r>
      <w:r w:rsidR="00F210EF" w:rsidRPr="00C76338">
        <w:rPr>
          <w:lang w:val="fr-CA"/>
        </w:rPr>
        <w:t xml:space="preserve">ion durable du capital </w:t>
      </w:r>
      <w:r w:rsidR="00A90C98" w:rsidRPr="00C76338">
        <w:rPr>
          <w:lang w:val="fr-CA"/>
        </w:rPr>
        <w:t>naturel »</w:t>
      </w:r>
      <w:r w:rsidR="00F210EF" w:rsidRPr="00C76338">
        <w:rPr>
          <w:lang w:val="fr-CA"/>
        </w:rPr>
        <w:t>.</w:t>
      </w:r>
      <w:r w:rsidRPr="00C76338">
        <w:rPr>
          <w:lang w:val="fr-CA"/>
        </w:rPr>
        <w:t xml:space="preserve"> Ses objectifs stratégiques sont la gestion </w:t>
      </w:r>
      <w:r w:rsidR="00F210EF" w:rsidRPr="00C76338">
        <w:rPr>
          <w:lang w:val="fr-CA"/>
        </w:rPr>
        <w:t>rationnelle</w:t>
      </w:r>
      <w:r w:rsidRPr="00C76338">
        <w:rPr>
          <w:lang w:val="fr-CA"/>
        </w:rPr>
        <w:t xml:space="preserve"> des ressources naturelles, la protection du cadre de vie et le renforcement de la résilience face aux catastrophes et l’adaptation face aux changements climatiques</w:t>
      </w:r>
      <w:r w:rsidR="00E329FD" w:rsidRPr="00C76338">
        <w:rPr>
          <w:lang w:val="fr-CA"/>
        </w:rPr>
        <w:t>.</w:t>
      </w:r>
    </w:p>
    <w:p w14:paraId="6EC72F2F" w14:textId="6052240A" w:rsidR="00140DA6" w:rsidRPr="00C76338" w:rsidRDefault="00140DA6" w:rsidP="00903E2D">
      <w:pPr>
        <w:rPr>
          <w:lang w:val="fr-CA"/>
        </w:rPr>
      </w:pPr>
      <w:r w:rsidRPr="00C76338">
        <w:rPr>
          <w:lang w:val="fr-CA"/>
        </w:rPr>
        <w:t xml:space="preserve">Sans le projet REMECC-GKM 2, les populations continueront à subir de plein fouet les aléas climatiques (sécheresses récurrentes avec ses corolaires de pertes de production et de productivité, de pénurie d’eau y </w:t>
      </w:r>
      <w:r w:rsidR="0045760C" w:rsidRPr="00C76338">
        <w:rPr>
          <w:lang w:val="fr-CA"/>
        </w:rPr>
        <w:t>compris pour</w:t>
      </w:r>
      <w:r w:rsidRPr="00C76338">
        <w:rPr>
          <w:lang w:val="fr-CA"/>
        </w:rPr>
        <w:t xml:space="preserve"> les besoins élémentaires de boisson, de perte de cheptel manquent à la fois de fourrage et d’eau, …).   Les moyens de subsistance encore tributaires des ressources naturelles en souffriront. L’environnement continuera à se dégrader.</w:t>
      </w:r>
    </w:p>
    <w:p w14:paraId="409FF8BA" w14:textId="1D1F3138" w:rsidR="00E329FD" w:rsidRPr="00C76338" w:rsidRDefault="00140DA6" w:rsidP="00903E2D">
      <w:pPr>
        <w:rPr>
          <w:lang w:val="fr-CA"/>
        </w:rPr>
      </w:pPr>
      <w:r w:rsidRPr="00C76338">
        <w:rPr>
          <w:lang w:val="fr-CA"/>
        </w:rPr>
        <w:t xml:space="preserve">Sans ce projet, les objectifs des politiques et </w:t>
      </w:r>
      <w:r w:rsidR="0045760C" w:rsidRPr="00C76338">
        <w:rPr>
          <w:lang w:val="fr-CA"/>
        </w:rPr>
        <w:t>programmes, des</w:t>
      </w:r>
      <w:r w:rsidRPr="00C76338">
        <w:rPr>
          <w:lang w:val="fr-CA"/>
        </w:rPr>
        <w:t xml:space="preserve"> ODD, … ne seront pas atteints au niveau de plus de 60% des Communes non couvertes par le projet REMECC-GKM</w:t>
      </w:r>
    </w:p>
    <w:p w14:paraId="649143C4" w14:textId="2A6DD059" w:rsidR="00140DA6" w:rsidRPr="00C76338" w:rsidRDefault="00140DA6" w:rsidP="00903E2D">
      <w:pPr>
        <w:rPr>
          <w:lang w:val="fr-CA"/>
        </w:rPr>
      </w:pPr>
      <w:r w:rsidRPr="00C76338">
        <w:rPr>
          <w:lang w:val="fr-CA"/>
        </w:rPr>
        <w:t xml:space="preserve">Sans ce projet, les acquis du REMECC GKM 1 risquent de ne pas être renforcés et capitalisés </w:t>
      </w:r>
      <w:r w:rsidR="0045760C" w:rsidRPr="00C76338">
        <w:rPr>
          <w:lang w:val="fr-CA"/>
        </w:rPr>
        <w:t>dans la durée car les aléas climatiques se seront exacerbés et les ripostes faibles par rapport à l’ampleur.</w:t>
      </w:r>
    </w:p>
    <w:p w14:paraId="51DEAE30" w14:textId="1F44A9F7" w:rsidR="0045760C" w:rsidRPr="00C76338" w:rsidRDefault="0045760C" w:rsidP="00903E2D">
      <w:pPr>
        <w:rPr>
          <w:lang w:val="fr-CA"/>
        </w:rPr>
      </w:pPr>
      <w:r w:rsidRPr="00C76338">
        <w:rPr>
          <w:lang w:val="fr-CA"/>
        </w:rPr>
        <w:t>Le projet REMECC-GKM2 consolidera les acquis, tirera les leçons des erreurs passées et valorisera les bonnes pratiques éprouvées. Les moyens d’existence des populations des zones cibles seront plus résilients aux chocs climatiques par l’introduction de nouvelles variétés/espèces, l’utilisation d’itinéraires techniques déjà validés dans le passé, …, les revenus des producteurs seront plus consistants et plus durables, l’environnement sera mieux préservé et géré par l’abandon de techniques non respectueuses de l’environnement; l’autonomisation des femmes sera plus une réalité qu’une chimère par l’accroissement de leurs revenus; la prise en compte des aspects genre sera effective par l’implication des couches vulnérables de la conception à la mise en œuvre du projet.</w:t>
      </w:r>
    </w:p>
    <w:p w14:paraId="39C18734" w14:textId="553A6CE7" w:rsidR="0045760C" w:rsidRPr="00C76338" w:rsidRDefault="0045760C" w:rsidP="00903E2D">
      <w:pPr>
        <w:rPr>
          <w:lang w:val="fr-CA"/>
        </w:rPr>
      </w:pPr>
      <w:r w:rsidRPr="00C76338">
        <w:rPr>
          <w:lang w:val="fr-CA"/>
        </w:rPr>
        <w:t>Pour y arriver le PNUD</w:t>
      </w:r>
      <w:r w:rsidR="00DA39CD" w:rsidRPr="00C76338">
        <w:rPr>
          <w:lang w:val="fr-CA"/>
        </w:rPr>
        <w:t xml:space="preserve"> </w:t>
      </w:r>
      <w:r w:rsidR="00E558B9" w:rsidRPr="00C76338">
        <w:rPr>
          <w:lang w:val="fr-CA"/>
        </w:rPr>
        <w:t>(à</w:t>
      </w:r>
      <w:r w:rsidR="00DA39CD" w:rsidRPr="00C76338">
        <w:rPr>
          <w:lang w:val="fr-CA"/>
        </w:rPr>
        <w:t xml:space="preserve"> travers le programme environnement </w:t>
      </w:r>
      <w:r w:rsidR="00E558B9" w:rsidRPr="00C76338">
        <w:rPr>
          <w:lang w:val="fr-CA"/>
        </w:rPr>
        <w:t>et gestion</w:t>
      </w:r>
      <w:r w:rsidR="00DA39CD" w:rsidRPr="00C76338">
        <w:rPr>
          <w:lang w:val="fr-CA"/>
        </w:rPr>
        <w:t xml:space="preserve"> durable du capital naturel –PEGED-</w:t>
      </w:r>
      <w:r w:rsidR="000118B7" w:rsidRPr="00C76338">
        <w:rPr>
          <w:lang w:val="fr-CA"/>
        </w:rPr>
        <w:t xml:space="preserve">CN </w:t>
      </w:r>
      <w:r w:rsidRPr="00C76338">
        <w:rPr>
          <w:lang w:val="fr-CA"/>
        </w:rPr>
        <w:t>et ses partenaires techniques et financiers</w:t>
      </w:r>
      <w:r w:rsidR="000118B7" w:rsidRPr="00C76338">
        <w:rPr>
          <w:lang w:val="fr-CA"/>
        </w:rPr>
        <w:t>)</w:t>
      </w:r>
      <w:r w:rsidRPr="00C76338">
        <w:rPr>
          <w:lang w:val="fr-CA"/>
        </w:rPr>
        <w:t xml:space="preserve"> </w:t>
      </w:r>
      <w:r w:rsidR="00DA39CD" w:rsidRPr="00C76338">
        <w:rPr>
          <w:lang w:val="fr-CA"/>
        </w:rPr>
        <w:t>s’appuier</w:t>
      </w:r>
      <w:r w:rsidR="000118B7" w:rsidRPr="00C76338">
        <w:rPr>
          <w:lang w:val="fr-CA"/>
        </w:rPr>
        <w:t>a</w:t>
      </w:r>
      <w:r w:rsidR="00DA39CD" w:rsidRPr="00C76338">
        <w:rPr>
          <w:lang w:val="fr-CA"/>
        </w:rPr>
        <w:t xml:space="preserve"> sur des expériences éprouvées des équipes de terrain acquises dans la mise en œuvre des initiatives passées </w:t>
      </w:r>
      <w:r w:rsidR="000118B7" w:rsidRPr="00C76338">
        <w:rPr>
          <w:lang w:val="fr-CA"/>
        </w:rPr>
        <w:t xml:space="preserve">et similaires </w:t>
      </w:r>
      <w:r w:rsidR="00DA39CD" w:rsidRPr="00C76338">
        <w:rPr>
          <w:lang w:val="fr-CA"/>
        </w:rPr>
        <w:t xml:space="preserve">dans la </w:t>
      </w:r>
      <w:r w:rsidR="000118B7" w:rsidRPr="00C76338">
        <w:rPr>
          <w:lang w:val="fr-CA"/>
        </w:rPr>
        <w:t xml:space="preserve">zone, la </w:t>
      </w:r>
      <w:r w:rsidR="00DA39CD" w:rsidRPr="00C76338">
        <w:rPr>
          <w:lang w:val="fr-CA"/>
        </w:rPr>
        <w:t xml:space="preserve">sous-région et ailleurs. </w:t>
      </w:r>
      <w:r w:rsidR="000118B7" w:rsidRPr="00C76338">
        <w:rPr>
          <w:lang w:val="fr-CA"/>
        </w:rPr>
        <w:t>Les expériences des services déconcentrés seront exploitées et les applications de terrain effectuées par les paysans en matière de gestion de leurs moyens d’existence (activités agricoles, d’élevage, piscicoles, forestières, …).</w:t>
      </w:r>
    </w:p>
    <w:p w14:paraId="3D70BEC6" w14:textId="4A8E03B4" w:rsidR="005F5E3D" w:rsidRPr="00C76338" w:rsidRDefault="005F5E3D" w:rsidP="00903E2D">
      <w:pPr>
        <w:rPr>
          <w:lang w:val="fr-CA"/>
        </w:rPr>
      </w:pPr>
      <w:r w:rsidRPr="00C76338">
        <w:rPr>
          <w:lang w:val="fr-CA"/>
        </w:rPr>
        <w:t>Par ailleurs, le projet REMECC-GKM s’est intéressé à 16 CR</w:t>
      </w:r>
      <w:r w:rsidR="00701954" w:rsidRPr="00C76338">
        <w:rPr>
          <w:lang w:val="fr-CA"/>
        </w:rPr>
        <w:t xml:space="preserve"> (57,1% pour les 2 régions et 5,2% sur le plan national)</w:t>
      </w:r>
      <w:r w:rsidRPr="00C76338">
        <w:rPr>
          <w:lang w:val="fr-CA"/>
        </w:rPr>
        <w:t xml:space="preserve"> dans lesquelles moins de la moitié des districts a été atteinte. Cependant, les deux régions couvertes totalisent</w:t>
      </w:r>
      <w:r w:rsidR="00701954" w:rsidRPr="00C76338">
        <w:rPr>
          <w:lang w:val="fr-CA"/>
        </w:rPr>
        <w:t xml:space="preserve"> 28 </w:t>
      </w:r>
      <w:r w:rsidRPr="00C76338">
        <w:rPr>
          <w:lang w:val="fr-CA"/>
        </w:rPr>
        <w:t>CR. Dans la nouvelle initiative, il est prévu de cibler 50 Communes y compris les communes urbaines. Les deux régions de Mamou et de Labé comptent 89 communes (53 dans Labé et 36 dans Mamou). Même avec cette initiative le projet ne couvrira que 56,2%</w:t>
      </w:r>
      <w:r w:rsidR="00701954" w:rsidRPr="00C76338">
        <w:rPr>
          <w:lang w:val="fr-CA"/>
        </w:rPr>
        <w:t xml:space="preserve"> des communes des deux régions et 16,3% sur le plan national</w:t>
      </w:r>
      <w:r w:rsidRPr="00C76338">
        <w:rPr>
          <w:lang w:val="fr-CA"/>
        </w:rPr>
        <w:t>.</w:t>
      </w:r>
      <w:r w:rsidR="00701954" w:rsidRPr="00C76338">
        <w:rPr>
          <w:lang w:val="fr-CA"/>
        </w:rPr>
        <w:t xml:space="preserve"> Il est attendu que d’autres initiatives similaires couvrent d’autres zones à écologie fragile. </w:t>
      </w:r>
      <w:r w:rsidRPr="00C76338">
        <w:rPr>
          <w:lang w:val="fr-CA"/>
        </w:rPr>
        <w:t xml:space="preserve"> </w:t>
      </w:r>
      <w:r w:rsidR="00701954" w:rsidRPr="00C76338">
        <w:rPr>
          <w:lang w:val="fr-CA"/>
        </w:rPr>
        <w:t>Les réussites du REMECC GKM peuvent ainsi constituer une tâche d’huile qui pourrait s’épandre dans tout le pays. C’est en cela que la recommandation du Comité de Pilotage en vue d’en faire un programme national s’avère très pertinent au regard des impacts sur les moyens d’existence des communautés.</w:t>
      </w:r>
    </w:p>
    <w:p w14:paraId="04396E20" w14:textId="77777777" w:rsidR="00A90C98" w:rsidRPr="00C76338" w:rsidRDefault="00A90C98" w:rsidP="00903E2D">
      <w:pPr>
        <w:rPr>
          <w:lang w:val="fr-CA"/>
        </w:rPr>
      </w:pPr>
    </w:p>
    <w:p w14:paraId="35227295" w14:textId="254BA269" w:rsidR="003D4708" w:rsidRPr="00C76338" w:rsidRDefault="003D4708" w:rsidP="003D4708">
      <w:pPr>
        <w:pStyle w:val="Titre1"/>
        <w:pBdr>
          <w:top w:val="single" w:sz="4" w:space="0" w:color="auto"/>
        </w:pBdr>
        <w:rPr>
          <w:lang w:val="fr-CA"/>
        </w:rPr>
      </w:pPr>
      <w:r w:rsidRPr="00C76338">
        <w:rPr>
          <w:lang w:val="fr-CA"/>
        </w:rPr>
        <w:t xml:space="preserve">Résultats et partenariats </w:t>
      </w:r>
      <w:r w:rsidRPr="00C76338">
        <w:rPr>
          <w:sz w:val="20"/>
          <w:lang w:val="fr-CA"/>
        </w:rPr>
        <w:t xml:space="preserve">(1 page </w:t>
      </w:r>
      <w:r w:rsidR="00E329FD" w:rsidRPr="00C76338">
        <w:rPr>
          <w:sz w:val="20"/>
          <w:lang w:val="fr-CA"/>
        </w:rPr>
        <w:t>½ À</w:t>
      </w:r>
      <w:r w:rsidRPr="00C76338">
        <w:rPr>
          <w:sz w:val="20"/>
          <w:lang w:val="fr-CA"/>
        </w:rPr>
        <w:t xml:space="preserve"> 5 pages)</w:t>
      </w:r>
    </w:p>
    <w:p w14:paraId="05929EB7" w14:textId="77777777" w:rsidR="003D4708" w:rsidRPr="00C76338" w:rsidRDefault="003D4708" w:rsidP="003D4708">
      <w:pPr>
        <w:ind w:left="540"/>
        <w:rPr>
          <w:b/>
          <w:lang w:val="fr-CA"/>
        </w:rPr>
      </w:pPr>
      <w:r w:rsidRPr="00C76338">
        <w:rPr>
          <w:b/>
          <w:lang w:val="fr-CA"/>
        </w:rPr>
        <w:t>Résultats escomptés</w:t>
      </w:r>
    </w:p>
    <w:p w14:paraId="06D918EF" w14:textId="1220B702" w:rsidR="00E329FD" w:rsidRPr="00B06846" w:rsidRDefault="00DA39CD" w:rsidP="00B06846">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Le résultat attendu de ce projet est que les moyens d’existence des populations de la zone nord de la Guinée soient plus résilients aux aléas climatiques. Pour y arriver le projet reposera sur les composantes suivantes qui seront développées dans les phases ultérieure</w:t>
      </w:r>
      <w:r w:rsidR="009D39E7" w:rsidRPr="00B06846">
        <w:rPr>
          <w:rFonts w:ascii="Arial" w:eastAsia="Times New Roman" w:hAnsi="Arial"/>
          <w:bCs w:val="0"/>
          <w:szCs w:val="24"/>
          <w:lang w:eastAsia="en-US"/>
        </w:rPr>
        <w:t>s</w:t>
      </w:r>
      <w:r w:rsidRPr="00B06846">
        <w:rPr>
          <w:rFonts w:ascii="Arial" w:eastAsia="Times New Roman" w:hAnsi="Arial"/>
          <w:bCs w:val="0"/>
          <w:szCs w:val="24"/>
          <w:lang w:eastAsia="en-US"/>
        </w:rPr>
        <w:t xml:space="preserve"> de développement du projet :</w:t>
      </w:r>
    </w:p>
    <w:p w14:paraId="20C75122" w14:textId="4AFF83AB" w:rsidR="00C3605E" w:rsidRPr="00B06846" w:rsidRDefault="00DA39CD" w:rsidP="00B06846">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Composante 1</w:t>
      </w:r>
      <w:r w:rsidR="009D39E7" w:rsidRPr="00B06846">
        <w:rPr>
          <w:rFonts w:ascii="Arial" w:eastAsia="Times New Roman" w:hAnsi="Arial"/>
          <w:bCs w:val="0"/>
          <w:szCs w:val="24"/>
          <w:lang w:eastAsia="en-US"/>
        </w:rPr>
        <w:t xml:space="preserve"> : 500 </w:t>
      </w:r>
      <w:r w:rsidR="00A375BA" w:rsidRPr="00B06846">
        <w:rPr>
          <w:rFonts w:ascii="Arial" w:eastAsia="Times New Roman" w:hAnsi="Arial"/>
          <w:bCs w:val="0"/>
          <w:szCs w:val="24"/>
          <w:lang w:eastAsia="en-US"/>
        </w:rPr>
        <w:t>exploitations</w:t>
      </w:r>
      <w:r w:rsidR="009D39E7" w:rsidRPr="00B06846">
        <w:rPr>
          <w:rFonts w:ascii="Arial" w:eastAsia="Times New Roman" w:hAnsi="Arial"/>
          <w:bCs w:val="0"/>
          <w:szCs w:val="24"/>
          <w:lang w:eastAsia="en-US"/>
        </w:rPr>
        <w:t xml:space="preserve"> </w:t>
      </w:r>
      <w:r w:rsidR="00A375BA" w:rsidRPr="00B06846">
        <w:rPr>
          <w:rFonts w:ascii="Arial" w:eastAsia="Times New Roman" w:hAnsi="Arial"/>
          <w:bCs w:val="0"/>
          <w:szCs w:val="24"/>
          <w:lang w:eastAsia="en-US"/>
        </w:rPr>
        <w:t>individuelles/communautaires</w:t>
      </w:r>
      <w:r w:rsidR="009D39E7" w:rsidRPr="00B06846">
        <w:rPr>
          <w:rFonts w:ascii="Arial" w:eastAsia="Times New Roman" w:hAnsi="Arial"/>
          <w:bCs w:val="0"/>
          <w:szCs w:val="24"/>
          <w:lang w:eastAsia="en-US"/>
        </w:rPr>
        <w:t xml:space="preserve"> sont soutenues (</w:t>
      </w:r>
      <w:r w:rsidR="00A375BA" w:rsidRPr="00B06846">
        <w:rPr>
          <w:rFonts w:ascii="Arial" w:eastAsia="Times New Roman" w:hAnsi="Arial"/>
          <w:bCs w:val="0"/>
          <w:szCs w:val="24"/>
          <w:lang w:eastAsia="en-US"/>
        </w:rPr>
        <w:t xml:space="preserve">sécurisation des espaces, </w:t>
      </w:r>
      <w:r w:rsidR="009D39E7" w:rsidRPr="00B06846">
        <w:rPr>
          <w:rFonts w:ascii="Arial" w:eastAsia="Times New Roman" w:hAnsi="Arial"/>
          <w:bCs w:val="0"/>
          <w:szCs w:val="24"/>
          <w:lang w:eastAsia="en-US"/>
        </w:rPr>
        <w:t xml:space="preserve">organisation paysanne, disposition des fermes, acquisition de semences et espèces d’arbres résilientes, gestion des plantations) pour appliquer les techniques d’agroforesterie résiliente au changement climatique dans </w:t>
      </w:r>
      <w:r w:rsidR="00C3605E" w:rsidRPr="00B06846">
        <w:rPr>
          <w:rFonts w:ascii="Arial" w:eastAsia="Times New Roman" w:hAnsi="Arial"/>
          <w:bCs w:val="0"/>
          <w:szCs w:val="24"/>
          <w:lang w:eastAsia="en-US"/>
        </w:rPr>
        <w:t xml:space="preserve">toutes Communes rurales des préfectures de la Région administrative </w:t>
      </w:r>
      <w:r w:rsidR="006368D9" w:rsidRPr="00B06846">
        <w:rPr>
          <w:rFonts w:ascii="Arial" w:eastAsia="Times New Roman" w:hAnsi="Arial"/>
          <w:bCs w:val="0"/>
          <w:szCs w:val="24"/>
          <w:lang w:eastAsia="en-US"/>
        </w:rPr>
        <w:t>de Labé</w:t>
      </w:r>
      <w:r w:rsidR="00C3605E" w:rsidRPr="00B06846">
        <w:rPr>
          <w:rFonts w:ascii="Arial" w:eastAsia="Times New Roman" w:hAnsi="Arial"/>
          <w:bCs w:val="0"/>
          <w:szCs w:val="24"/>
          <w:lang w:eastAsia="en-US"/>
        </w:rPr>
        <w:t xml:space="preserve"> (Labé, Tougué, Koubia, Lélouma et Mali) et de Mamou (Mamou, Dalaba et Pita).</w:t>
      </w:r>
    </w:p>
    <w:p w14:paraId="240EEE6A" w14:textId="52FC089D" w:rsidR="00C3605E" w:rsidRPr="00B06846" w:rsidRDefault="00C3605E" w:rsidP="00B06846">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lastRenderedPageBreak/>
        <w:t xml:space="preserve">Composante 2 : </w:t>
      </w:r>
      <w:r w:rsidR="009E56BE" w:rsidRPr="00B06846">
        <w:rPr>
          <w:rFonts w:ascii="Arial" w:eastAsia="Times New Roman" w:hAnsi="Arial"/>
          <w:bCs w:val="0"/>
          <w:szCs w:val="24"/>
          <w:lang w:eastAsia="en-US"/>
        </w:rPr>
        <w:t xml:space="preserve">pour intégrer les préoccupations liées au changement climatique (adaptation et atténuation) dans </w:t>
      </w:r>
      <w:r w:rsidR="006C6865" w:rsidRPr="00B06846">
        <w:rPr>
          <w:rFonts w:ascii="Arial" w:eastAsia="Times New Roman" w:hAnsi="Arial"/>
          <w:bCs w:val="0"/>
          <w:szCs w:val="24"/>
          <w:lang w:eastAsia="en-US"/>
        </w:rPr>
        <w:t>50</w:t>
      </w:r>
      <w:r w:rsidR="006368D9" w:rsidRPr="00B06846">
        <w:rPr>
          <w:rFonts w:ascii="Arial" w:eastAsia="Times New Roman" w:hAnsi="Arial"/>
          <w:bCs w:val="0"/>
          <w:szCs w:val="24"/>
          <w:lang w:eastAsia="en-US"/>
        </w:rPr>
        <w:t xml:space="preserve"> </w:t>
      </w:r>
      <w:r w:rsidRPr="00B06846">
        <w:rPr>
          <w:rFonts w:ascii="Arial" w:eastAsia="Times New Roman" w:hAnsi="Arial"/>
          <w:bCs w:val="0"/>
          <w:szCs w:val="24"/>
          <w:lang w:eastAsia="en-US"/>
        </w:rPr>
        <w:t>PDL/BCA de la zone couverte</w:t>
      </w:r>
      <w:r w:rsidR="006368D9" w:rsidRPr="00B06846">
        <w:rPr>
          <w:rFonts w:ascii="Arial" w:eastAsia="Times New Roman" w:hAnsi="Arial"/>
          <w:bCs w:val="0"/>
          <w:szCs w:val="24"/>
          <w:lang w:eastAsia="en-US"/>
        </w:rPr>
        <w:t xml:space="preserve"> </w:t>
      </w:r>
      <w:r w:rsidRPr="00B06846">
        <w:rPr>
          <w:rFonts w:ascii="Arial" w:eastAsia="Times New Roman" w:hAnsi="Arial"/>
          <w:bCs w:val="0"/>
          <w:szCs w:val="24"/>
          <w:lang w:eastAsia="en-US"/>
        </w:rPr>
        <w:t>et</w:t>
      </w:r>
      <w:r w:rsidR="009E56BE" w:rsidRPr="00B06846">
        <w:rPr>
          <w:rFonts w:ascii="Arial" w:eastAsia="Times New Roman" w:hAnsi="Arial"/>
          <w:bCs w:val="0"/>
          <w:szCs w:val="24"/>
          <w:lang w:eastAsia="en-US"/>
        </w:rPr>
        <w:t xml:space="preserve"> la mise en œuvre des activités retenues</w:t>
      </w:r>
      <w:r w:rsidRPr="00B06846">
        <w:rPr>
          <w:rFonts w:ascii="Arial" w:eastAsia="Times New Roman" w:hAnsi="Arial"/>
          <w:bCs w:val="0"/>
          <w:szCs w:val="24"/>
          <w:lang w:eastAsia="en-US"/>
        </w:rPr>
        <w:t>.</w:t>
      </w:r>
    </w:p>
    <w:p w14:paraId="29C834A5" w14:textId="6836CE38" w:rsidR="009D39E7" w:rsidRPr="00B06846" w:rsidRDefault="00C3605E" w:rsidP="00B06846">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 xml:space="preserve">Composante 3 : </w:t>
      </w:r>
      <w:r w:rsidR="006C6865" w:rsidRPr="00B06846">
        <w:rPr>
          <w:rFonts w:ascii="Arial" w:eastAsia="Times New Roman" w:hAnsi="Arial"/>
          <w:bCs w:val="0"/>
          <w:szCs w:val="24"/>
          <w:lang w:eastAsia="en-US"/>
        </w:rPr>
        <w:t>3000 partenaires (paysans, élus, autorités administratives, services techniques, …) sont renforcés et l</w:t>
      </w:r>
      <w:r w:rsidRPr="00B06846">
        <w:rPr>
          <w:rFonts w:ascii="Arial" w:eastAsia="Times New Roman" w:hAnsi="Arial"/>
          <w:bCs w:val="0"/>
          <w:szCs w:val="24"/>
          <w:lang w:eastAsia="en-US"/>
        </w:rPr>
        <w:t>es enseignements tirés de la mise en œuvre des mesures d’adaptation</w:t>
      </w:r>
      <w:r w:rsidR="006C6865" w:rsidRPr="00B06846">
        <w:rPr>
          <w:rFonts w:ascii="Arial" w:eastAsia="Times New Roman" w:hAnsi="Arial"/>
          <w:bCs w:val="0"/>
          <w:szCs w:val="24"/>
          <w:lang w:eastAsia="en-US"/>
        </w:rPr>
        <w:t>/atténuation</w:t>
      </w:r>
      <w:r w:rsidRPr="00B06846">
        <w:rPr>
          <w:rFonts w:ascii="Arial" w:eastAsia="Times New Roman" w:hAnsi="Arial"/>
          <w:bCs w:val="0"/>
          <w:szCs w:val="24"/>
          <w:lang w:eastAsia="en-US"/>
        </w:rPr>
        <w:t xml:space="preserve"> et des activités génératrices de revenus résilientes au changement climatique sont codifiés et disséminés.</w:t>
      </w:r>
    </w:p>
    <w:p w14:paraId="0780A421" w14:textId="111213AC" w:rsidR="00E558B9" w:rsidRPr="00B06846" w:rsidRDefault="00E558B9" w:rsidP="006C6865">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L'initiative proposée facilitera l’intégration de la question du changement climatique dans les plans de développement. Le projet reconnaît considère la communauté comme</w:t>
      </w:r>
      <w:r w:rsidR="006C6865" w:rsidRPr="00B06846">
        <w:rPr>
          <w:rFonts w:ascii="Arial" w:eastAsia="Times New Roman" w:hAnsi="Arial"/>
          <w:bCs w:val="0"/>
          <w:szCs w:val="24"/>
          <w:lang w:eastAsia="en-US"/>
        </w:rPr>
        <w:t xml:space="preserve"> point de départ et facteur clé</w:t>
      </w:r>
      <w:r w:rsidRPr="00B06846">
        <w:rPr>
          <w:rFonts w:ascii="Arial" w:eastAsia="Times New Roman" w:hAnsi="Arial"/>
          <w:bCs w:val="0"/>
          <w:szCs w:val="24"/>
          <w:lang w:eastAsia="en-US"/>
        </w:rPr>
        <w:t xml:space="preserve"> du changement. Cela contribuera à informer et mettre en œuvre des mesures d'adaptation</w:t>
      </w:r>
      <w:r w:rsidR="006C6865" w:rsidRPr="00B06846">
        <w:rPr>
          <w:rFonts w:ascii="Arial" w:eastAsia="Times New Roman" w:hAnsi="Arial"/>
          <w:bCs w:val="0"/>
          <w:szCs w:val="24"/>
          <w:lang w:eastAsia="en-US"/>
        </w:rPr>
        <w:t>/atténuation</w:t>
      </w:r>
      <w:r w:rsidRPr="00B06846">
        <w:rPr>
          <w:rFonts w:ascii="Arial" w:eastAsia="Times New Roman" w:hAnsi="Arial"/>
          <w:bCs w:val="0"/>
          <w:szCs w:val="24"/>
          <w:lang w:eastAsia="en-US"/>
        </w:rPr>
        <w:t xml:space="preserve"> locales pragmatiques à travers (i) le renforcement des capacités et l'assistance au développement pour la résilience au changement climatique et à l'aménagement du territoire et (ii) les actions </w:t>
      </w:r>
      <w:r w:rsidR="006C6865" w:rsidRPr="00B06846">
        <w:rPr>
          <w:rFonts w:ascii="Arial" w:eastAsia="Times New Roman" w:hAnsi="Arial"/>
          <w:bCs w:val="0"/>
          <w:szCs w:val="24"/>
          <w:lang w:eastAsia="en-US"/>
        </w:rPr>
        <w:t>de terrain</w:t>
      </w:r>
      <w:r w:rsidRPr="00B06846">
        <w:rPr>
          <w:rFonts w:ascii="Arial" w:eastAsia="Times New Roman" w:hAnsi="Arial"/>
          <w:bCs w:val="0"/>
          <w:szCs w:val="24"/>
          <w:lang w:eastAsia="en-US"/>
        </w:rPr>
        <w:t xml:space="preserve"> pour une résilience au changement climatique et un développement agroforestier durable. </w:t>
      </w:r>
    </w:p>
    <w:p w14:paraId="6D25424E" w14:textId="6BDF3E20" w:rsidR="00E558B9" w:rsidRPr="00B06846" w:rsidRDefault="006C6865" w:rsidP="006C6865">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Pour faire aux</w:t>
      </w:r>
      <w:r w:rsidR="00E558B9" w:rsidRPr="00B06846">
        <w:rPr>
          <w:rFonts w:ascii="Arial" w:eastAsia="Times New Roman" w:hAnsi="Arial"/>
          <w:bCs w:val="0"/>
          <w:szCs w:val="24"/>
          <w:lang w:eastAsia="en-US"/>
        </w:rPr>
        <w:t xml:space="preserve"> </w:t>
      </w:r>
      <w:r w:rsidRPr="00B06846">
        <w:rPr>
          <w:rFonts w:ascii="Arial" w:eastAsia="Times New Roman" w:hAnsi="Arial"/>
          <w:bCs w:val="0"/>
          <w:szCs w:val="24"/>
          <w:lang w:eastAsia="en-US"/>
        </w:rPr>
        <w:t>contraintes</w:t>
      </w:r>
      <w:r w:rsidR="00E558B9" w:rsidRPr="00B06846">
        <w:rPr>
          <w:rFonts w:ascii="Arial" w:eastAsia="Times New Roman" w:hAnsi="Arial"/>
          <w:bCs w:val="0"/>
          <w:szCs w:val="24"/>
          <w:lang w:eastAsia="en-US"/>
        </w:rPr>
        <w:t xml:space="preserve"> identifié</w:t>
      </w:r>
      <w:r w:rsidRPr="00B06846">
        <w:rPr>
          <w:rFonts w:ascii="Arial" w:eastAsia="Times New Roman" w:hAnsi="Arial"/>
          <w:bCs w:val="0"/>
          <w:szCs w:val="24"/>
          <w:lang w:eastAsia="en-US"/>
        </w:rPr>
        <w:t>e</w:t>
      </w:r>
      <w:r w:rsidR="00E558B9" w:rsidRPr="00B06846">
        <w:rPr>
          <w:rFonts w:ascii="Arial" w:eastAsia="Times New Roman" w:hAnsi="Arial"/>
          <w:bCs w:val="0"/>
          <w:szCs w:val="24"/>
          <w:lang w:eastAsia="en-US"/>
        </w:rPr>
        <w:t>s, il faut procéder au renforcement des capacités par la sensibilisation, la formation sur le changement climatique, leurs conséquences et les options d'adaptation possibles, et à l’assistance de proximité pour propulser la résilience au changement climatique au niveau des CR</w:t>
      </w:r>
      <w:r w:rsidRPr="00B06846">
        <w:rPr>
          <w:rFonts w:ascii="Arial" w:eastAsia="Times New Roman" w:hAnsi="Arial"/>
          <w:bCs w:val="0"/>
          <w:szCs w:val="24"/>
          <w:lang w:eastAsia="en-US"/>
        </w:rPr>
        <w:t>/U</w:t>
      </w:r>
      <w:r w:rsidR="00E558B9" w:rsidRPr="00B06846">
        <w:rPr>
          <w:rFonts w:ascii="Arial" w:eastAsia="Times New Roman" w:hAnsi="Arial"/>
          <w:bCs w:val="0"/>
          <w:szCs w:val="24"/>
          <w:lang w:eastAsia="en-US"/>
        </w:rPr>
        <w:t>. Le projet cherche également à promouvoir les pratiques et les technologies agro-</w:t>
      </w:r>
      <w:proofErr w:type="spellStart"/>
      <w:r w:rsidR="00E558B9" w:rsidRPr="00B06846">
        <w:rPr>
          <w:rFonts w:ascii="Arial" w:eastAsia="Times New Roman" w:hAnsi="Arial"/>
          <w:bCs w:val="0"/>
          <w:szCs w:val="24"/>
          <w:lang w:eastAsia="en-US"/>
        </w:rPr>
        <w:t>sylvo</w:t>
      </w:r>
      <w:proofErr w:type="spellEnd"/>
      <w:r w:rsidR="00E558B9" w:rsidRPr="00B06846">
        <w:rPr>
          <w:rFonts w:ascii="Arial" w:eastAsia="Times New Roman" w:hAnsi="Arial"/>
          <w:bCs w:val="0"/>
          <w:szCs w:val="24"/>
          <w:lang w:eastAsia="en-US"/>
        </w:rPr>
        <w:t xml:space="preserve">-pastorales de résilience au changement climatique (par exemple la gestion de l'eau et l'amélioration de la fertilité du sol, la gestion des pâturages et des parcours), et les activités génératrices de revenus pour la résilience dans les zones </w:t>
      </w:r>
      <w:r w:rsidRPr="00B06846">
        <w:rPr>
          <w:rFonts w:ascii="Arial" w:eastAsia="Times New Roman" w:hAnsi="Arial"/>
          <w:bCs w:val="0"/>
          <w:szCs w:val="24"/>
          <w:lang w:eastAsia="en-US"/>
        </w:rPr>
        <w:t>ciblées</w:t>
      </w:r>
      <w:r w:rsidR="00E558B9" w:rsidRPr="00B06846">
        <w:rPr>
          <w:rFonts w:ascii="Arial" w:eastAsia="Times New Roman" w:hAnsi="Arial"/>
          <w:bCs w:val="0"/>
          <w:szCs w:val="24"/>
          <w:lang w:eastAsia="en-US"/>
        </w:rPr>
        <w:t>. Ces mesures seront mises en œuvre grâce à une collaboration étroite avec les autorités locales et les partenaires techniques tels que les organisations locales de la société civile, les organisations des agriculteurs et les institutions de recherche telles que l'IRAG, qui permettront de tester une gamme de modèles agroforestiers (les espèces d'arbres, la densité des arbres, associations arbres/cultures, les variétés végétales, la protection du sol et les techniques de fertilisation, la micro-fertilisation, l'irrigation, la lutte contre les feux de brousse, etc.) et de diffuser les résultats de recherche dans la région. Ces partenaires techniques seront des vecteurs essentiels pour tester et valider les options d'adaptation pilotes et communiquer largement les meilleures pratiques.</w:t>
      </w:r>
    </w:p>
    <w:p w14:paraId="496D8CA4" w14:textId="77777777" w:rsidR="00E558B9" w:rsidRPr="00B06846" w:rsidRDefault="00E558B9" w:rsidP="006C6865">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Le projet appuiera également des solutions de résilience au changement climatique pour l'approvisionnement en intrants et la commercialisation des produits agroforestiers, par exemple : par l’appui technique à la mise en place de pépinières locales pour la production et la commercialisation des intrants tels que les semis d’espèces d’arbres spécifiquement adaptées ; l’appui financier et logistique aux unités indépendantes de transformation alimentaire à petite échelle des sources d'énergie peu fiables. Les activités génératrices de revenus seront techniquement prises en charge par les partenaires du projet, et le projet aidera les bénéficiaires à accéder au micro-financement proposé par les institutions financières locales. À cet égard, des liens avec le programme d’appui à la microfinance du PNUD en cours seront créés afin de faciliter aux populations rurales de GKM l'accès à des financements adaptés à leurs besoins. Des groupes de femmes, qui sont considérées comme très vulnérables aux conséquences du changement et de l’instabilité climatiques, seront les principales bénéficiaires des activités du projet.</w:t>
      </w:r>
    </w:p>
    <w:p w14:paraId="0AB95569" w14:textId="03BE1CCE" w:rsidR="00E558B9" w:rsidRPr="00B06846" w:rsidRDefault="00E558B9" w:rsidP="006C6865">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 xml:space="preserve">Les leçons apprises et les meilleures pratiques de la mise en œuvre des activités pilotes d'adaptation et des activités génératrices de revenus pour la résilience seront codifiées et diffusées pour un reproduction potentielle (avec les ajustements appropriés) dans d'autres domaines. </w:t>
      </w:r>
    </w:p>
    <w:p w14:paraId="2F63CB47" w14:textId="6E9C5447" w:rsidR="00DE4DD1" w:rsidRPr="00B06846" w:rsidRDefault="00DE4DD1" w:rsidP="00DE4DD1">
      <w:pPr>
        <w:rPr>
          <w:lang w:val="fr-CA"/>
        </w:rPr>
      </w:pPr>
    </w:p>
    <w:p w14:paraId="6D2D988D" w14:textId="77777777" w:rsidR="00DE4DD1" w:rsidRPr="00B06846" w:rsidRDefault="00DE4DD1" w:rsidP="00DE4DD1">
      <w:pPr>
        <w:pStyle w:val="Lgende"/>
        <w:numPr>
          <w:ilvl w:val="0"/>
          <w:numId w:val="0"/>
        </w:numPr>
        <w:rPr>
          <w:rFonts w:ascii="Arial" w:eastAsia="Times New Roman" w:hAnsi="Arial"/>
          <w:bCs w:val="0"/>
          <w:szCs w:val="24"/>
          <w:lang w:eastAsia="en-US"/>
        </w:rPr>
      </w:pPr>
      <w:r w:rsidRPr="00B06846">
        <w:rPr>
          <w:rFonts w:ascii="Arial" w:eastAsia="Times New Roman" w:hAnsi="Arial"/>
          <w:bCs w:val="0"/>
          <w:szCs w:val="24"/>
          <w:lang w:eastAsia="en-US"/>
        </w:rPr>
        <w:t>L’élaboration du suivi de ce projet PANA a été fondée sur un processus participatif complet et vaste impliquant toutes les parties prenantes, y compris les collectivités locales, une approche pluridisciplinaire (participation des professionnels de différents secteurs) et une approche complémentaire, en s'appuyant sur ​​des plans et des programmes existants, y compris les plans d'action nationaux et les politiques sectorielles nationales.</w:t>
      </w:r>
    </w:p>
    <w:p w14:paraId="7E5A2CA3" w14:textId="77777777" w:rsidR="00DE4DD1" w:rsidRPr="00C76338" w:rsidRDefault="00DE4DD1" w:rsidP="00DE4DD1">
      <w:pPr>
        <w:rPr>
          <w:lang w:val="fr-FR" w:eastAsia="fr-CA"/>
        </w:rPr>
      </w:pPr>
    </w:p>
    <w:p w14:paraId="6EE930C0" w14:textId="77777777" w:rsidR="003D4708" w:rsidRPr="00C76338" w:rsidRDefault="003D4708" w:rsidP="003D4708">
      <w:pPr>
        <w:spacing w:before="240"/>
        <w:ind w:left="547"/>
        <w:rPr>
          <w:b/>
          <w:lang w:val="fr-CA"/>
        </w:rPr>
      </w:pPr>
      <w:r w:rsidRPr="00C76338">
        <w:rPr>
          <w:b/>
          <w:lang w:val="fr-CA"/>
        </w:rPr>
        <w:t>Ressources nécessaires pour obtenir les résultats escomptés</w:t>
      </w:r>
    </w:p>
    <w:p w14:paraId="6FE50C60" w14:textId="7F75452D" w:rsidR="00DE4DD1" w:rsidRPr="00C76338" w:rsidRDefault="00DE4DD1" w:rsidP="00C21EE2">
      <w:pPr>
        <w:numPr>
          <w:ilvl w:val="0"/>
          <w:numId w:val="4"/>
        </w:numPr>
        <w:ind w:left="547"/>
        <w:rPr>
          <w:lang w:val="fr-CA"/>
        </w:rPr>
      </w:pPr>
      <w:r w:rsidRPr="00C76338">
        <w:rPr>
          <w:lang w:val="fr-CA"/>
        </w:rPr>
        <w:t xml:space="preserve">Pour sa mise en œuvre, le projet nécessitera un fonds conséquent pour éviter des saupoudrages et des actions inachevées. Les leçons apprises de la mise en œuvre de la phase 1 du REMECC-GKM sont édifiantes quant à l’impact de la faiblesse des financements pour l’atteinte des résultats escomptés. Si l’argent à lui seul ne résout pas le problème de la </w:t>
      </w:r>
      <w:r w:rsidRPr="00C76338">
        <w:rPr>
          <w:lang w:val="fr-CA"/>
        </w:rPr>
        <w:lastRenderedPageBreak/>
        <w:t>durabilité d’un projet, son insuffisance constitue un facteur de blocage certain qu’il faudra résoudre à temps. Cependant la compétence des ressources humaines engagées dans toute la mise en œuvre du projet constitue la pierre angulaire de la réussite. Tous les partenaires devraient être associés à toutes les prises de décisions. L’avis de chacun compte pour s’assurer de la viabilité des actions à entreprendre</w:t>
      </w:r>
      <w:r w:rsidR="00764A99" w:rsidRPr="00C76338">
        <w:rPr>
          <w:lang w:val="fr-CA"/>
        </w:rPr>
        <w:t xml:space="preserve">. </w:t>
      </w:r>
    </w:p>
    <w:p w14:paraId="37B2DF87" w14:textId="77777777" w:rsidR="003D4708" w:rsidRPr="00C76338" w:rsidRDefault="003D4708" w:rsidP="003D4708">
      <w:pPr>
        <w:spacing w:before="240"/>
        <w:ind w:left="547"/>
        <w:rPr>
          <w:b/>
          <w:lang w:val="fr-CA"/>
        </w:rPr>
      </w:pPr>
      <w:r w:rsidRPr="00C76338">
        <w:rPr>
          <w:b/>
          <w:lang w:val="fr-CA"/>
        </w:rPr>
        <w:t>Partenariats</w:t>
      </w:r>
    </w:p>
    <w:p w14:paraId="5F3BBD1E" w14:textId="07935CE7" w:rsidR="00764A99" w:rsidRPr="00C76338" w:rsidRDefault="001D7518" w:rsidP="00C21EE2">
      <w:pPr>
        <w:numPr>
          <w:ilvl w:val="0"/>
          <w:numId w:val="3"/>
        </w:numPr>
        <w:ind w:left="547"/>
        <w:rPr>
          <w:lang w:val="fr-CA"/>
        </w:rPr>
      </w:pPr>
      <w:r w:rsidRPr="00C76338">
        <w:rPr>
          <w:lang w:val="fr-CA"/>
        </w:rPr>
        <w:t>Un cadre de concertation adéquat sera mis en place et sera animé par les acteurs eux-mêmes. Sur la base de leurs expériences personnelles, les associations, les OCB et les ONG, les services techniques, les autorités locales/nationales, les PTF, …</w:t>
      </w:r>
      <w:proofErr w:type="gramStart"/>
      <w:r w:rsidRPr="00C76338">
        <w:rPr>
          <w:lang w:val="fr-CA"/>
        </w:rPr>
        <w:t>, ,</w:t>
      </w:r>
      <w:proofErr w:type="gramEnd"/>
      <w:r w:rsidRPr="00C76338">
        <w:rPr>
          <w:lang w:val="fr-CA"/>
        </w:rPr>
        <w:t xml:space="preserve"> en fonction de leurs capacités intrinsèques et de leurs intérêts, apporteront l’appui nécessaire à la mise en œuvre du projet.  </w:t>
      </w:r>
      <w:proofErr w:type="gramStart"/>
      <w:r w:rsidRPr="00C76338">
        <w:rPr>
          <w:lang w:val="fr-CA"/>
        </w:rPr>
        <w:t>à</w:t>
      </w:r>
      <w:proofErr w:type="gramEnd"/>
      <w:r w:rsidRPr="00C76338">
        <w:rPr>
          <w:lang w:val="fr-CA"/>
        </w:rPr>
        <w:t xml:space="preserve"> la phase de développement de projet des détails seront </w:t>
      </w:r>
      <w:proofErr w:type="spellStart"/>
      <w:r w:rsidRPr="00C76338">
        <w:rPr>
          <w:lang w:val="fr-CA"/>
        </w:rPr>
        <w:t>forunis</w:t>
      </w:r>
      <w:proofErr w:type="spellEnd"/>
      <w:r w:rsidRPr="00C76338">
        <w:rPr>
          <w:lang w:val="fr-CA"/>
        </w:rPr>
        <w:t xml:space="preserve"> sur les rôles et responsabilités de chaque partenaire.</w:t>
      </w:r>
    </w:p>
    <w:p w14:paraId="084DD827" w14:textId="32142A77" w:rsidR="003D4708" w:rsidRPr="00C76338" w:rsidRDefault="003D4708" w:rsidP="003D4708">
      <w:pPr>
        <w:spacing w:before="240"/>
        <w:ind w:left="547"/>
        <w:rPr>
          <w:b/>
          <w:lang w:val="fr-CA"/>
        </w:rPr>
      </w:pPr>
      <w:r w:rsidRPr="00C76338">
        <w:rPr>
          <w:b/>
          <w:lang w:val="fr-CA"/>
        </w:rPr>
        <w:t>Risques et hypothèses</w:t>
      </w:r>
    </w:p>
    <w:p w14:paraId="77B52C33" w14:textId="2AEBABBF" w:rsidR="001D7518" w:rsidRPr="00C76338" w:rsidRDefault="001D7518" w:rsidP="00C21EE2">
      <w:pPr>
        <w:pStyle w:val="Lgende"/>
        <w:numPr>
          <w:ilvl w:val="0"/>
          <w:numId w:val="8"/>
        </w:numPr>
        <w:rPr>
          <w:rFonts w:ascii="Arial" w:eastAsia="Times New Roman" w:hAnsi="Arial"/>
          <w:bCs w:val="0"/>
          <w:szCs w:val="24"/>
          <w:lang w:eastAsia="en-US"/>
        </w:rPr>
      </w:pPr>
      <w:r w:rsidRPr="00C76338">
        <w:rPr>
          <w:rFonts w:ascii="Arial" w:eastAsia="Times New Roman" w:hAnsi="Arial"/>
          <w:bCs w:val="0"/>
          <w:szCs w:val="24"/>
          <w:lang w:eastAsia="en-US"/>
        </w:rPr>
        <w:t xml:space="preserve">Les hypothèses qui sous-tendent la conception du projet sont: (i) une coopération efficace sera assurée entre les communes rurales, les services de l’administration compétentes et le projet pour une intégration réussie de l’adaptation/l’atténuation dans les plans de </w:t>
      </w:r>
      <w:r w:rsidR="004535E5" w:rsidRPr="00C76338">
        <w:rPr>
          <w:rFonts w:ascii="Arial" w:eastAsia="Times New Roman" w:hAnsi="Arial"/>
          <w:bCs w:val="0"/>
          <w:szCs w:val="24"/>
          <w:lang w:eastAsia="en-US"/>
        </w:rPr>
        <w:t>développement</w:t>
      </w:r>
      <w:r w:rsidRPr="00C76338">
        <w:rPr>
          <w:rFonts w:ascii="Arial" w:eastAsia="Times New Roman" w:hAnsi="Arial"/>
          <w:bCs w:val="0"/>
          <w:szCs w:val="24"/>
          <w:lang w:eastAsia="en-US"/>
        </w:rPr>
        <w:t xml:space="preserve"> ; (ii) une masse critique suffisante de paysans volontaires disponibles pour abriter les parcelles agroforestières sur leurs terres ; (iii) </w:t>
      </w:r>
      <w:r w:rsidR="004535E5" w:rsidRPr="00C76338">
        <w:rPr>
          <w:rFonts w:ascii="Arial" w:eastAsia="Times New Roman" w:hAnsi="Arial"/>
          <w:bCs w:val="0"/>
          <w:szCs w:val="24"/>
          <w:lang w:eastAsia="en-US"/>
        </w:rPr>
        <w:t>les capacités d'adaptation suffisantes seront mises en place durant le projet pour assurer la pérennisation des acquis et assurer la sortie réussie du projet ; (iv) un environnement favorable est mis en place et soutient l’approche intégrée ; (v) l</w:t>
      </w:r>
      <w:r w:rsidRPr="00C76338">
        <w:rPr>
          <w:rFonts w:ascii="Arial" w:eastAsia="Times New Roman" w:hAnsi="Arial"/>
          <w:bCs w:val="0"/>
          <w:szCs w:val="24"/>
          <w:lang w:eastAsia="en-US"/>
        </w:rPr>
        <w:t>a mise à échelle et la réplication des mesures d'adaptation efficaces auront lieu sur les sites de démonstration à travers une intégration bien conçue de l'apprentissage de l'adaptation dans la formulation et les critiques de la politique en cours.</w:t>
      </w:r>
    </w:p>
    <w:p w14:paraId="09AF774C" w14:textId="2D4BD7ED" w:rsidR="001D7518" w:rsidRPr="00C76338" w:rsidRDefault="004535E5" w:rsidP="00C21EE2">
      <w:pPr>
        <w:pStyle w:val="Lgende"/>
        <w:numPr>
          <w:ilvl w:val="0"/>
          <w:numId w:val="8"/>
        </w:numPr>
        <w:rPr>
          <w:rFonts w:ascii="Arial" w:eastAsia="Times New Roman" w:hAnsi="Arial"/>
          <w:bCs w:val="0"/>
          <w:szCs w:val="24"/>
          <w:lang w:eastAsia="en-US"/>
        </w:rPr>
      </w:pPr>
      <w:r w:rsidRPr="00C76338">
        <w:rPr>
          <w:rFonts w:ascii="Arial" w:eastAsia="Times New Roman" w:hAnsi="Arial"/>
          <w:bCs w:val="0"/>
          <w:szCs w:val="24"/>
          <w:lang w:eastAsia="en-US"/>
        </w:rPr>
        <w:t>Les risques majeurs seront identifiés au fur et à mesure du développement du projet. on pourrait quand même évoquer les risques potentiels ci-après :  (i) l</w:t>
      </w:r>
      <w:r w:rsidR="001D7518" w:rsidRPr="00C76338">
        <w:rPr>
          <w:rFonts w:ascii="Arial" w:eastAsia="Times New Roman" w:hAnsi="Arial"/>
          <w:bCs w:val="0"/>
          <w:szCs w:val="24"/>
          <w:lang w:eastAsia="en-US"/>
        </w:rPr>
        <w:t xml:space="preserve">a faible capacité des autorités locales et du personnel des </w:t>
      </w:r>
      <w:r w:rsidRPr="00C76338">
        <w:rPr>
          <w:rFonts w:ascii="Arial" w:eastAsia="Times New Roman" w:hAnsi="Arial"/>
          <w:bCs w:val="0"/>
          <w:szCs w:val="24"/>
          <w:lang w:eastAsia="en-US"/>
        </w:rPr>
        <w:t xml:space="preserve">services déconcentrés </w:t>
      </w:r>
      <w:r w:rsidR="001D7518" w:rsidRPr="00C76338">
        <w:rPr>
          <w:rFonts w:ascii="Arial" w:eastAsia="Times New Roman" w:hAnsi="Arial"/>
          <w:bCs w:val="0"/>
          <w:szCs w:val="24"/>
          <w:lang w:eastAsia="en-US"/>
        </w:rPr>
        <w:t>pour appuyer l</w:t>
      </w:r>
      <w:r w:rsidRPr="00C76338">
        <w:rPr>
          <w:rFonts w:ascii="Arial" w:eastAsia="Times New Roman" w:hAnsi="Arial"/>
          <w:bCs w:val="0"/>
          <w:szCs w:val="24"/>
          <w:lang w:eastAsia="en-US"/>
        </w:rPr>
        <w:t>a mise en œuvre du projet ; (ii) l</w:t>
      </w:r>
      <w:r w:rsidR="001D7518" w:rsidRPr="00C76338">
        <w:rPr>
          <w:rFonts w:ascii="Arial" w:eastAsia="Times New Roman" w:hAnsi="Arial"/>
          <w:bCs w:val="0"/>
          <w:szCs w:val="24"/>
          <w:lang w:eastAsia="en-US"/>
        </w:rPr>
        <w:t>a faible volonté politique des CR</w:t>
      </w:r>
      <w:r w:rsidRPr="00C76338">
        <w:rPr>
          <w:rFonts w:ascii="Arial" w:eastAsia="Times New Roman" w:hAnsi="Arial"/>
          <w:bCs w:val="0"/>
          <w:szCs w:val="24"/>
          <w:lang w:eastAsia="en-US"/>
        </w:rPr>
        <w:t xml:space="preserve"> ciblées</w:t>
      </w:r>
      <w:r w:rsidR="001D7518" w:rsidRPr="00C76338">
        <w:rPr>
          <w:rFonts w:ascii="Arial" w:eastAsia="Times New Roman" w:hAnsi="Arial"/>
          <w:bCs w:val="0"/>
          <w:szCs w:val="24"/>
          <w:lang w:eastAsia="en-US"/>
        </w:rPr>
        <w:t xml:space="preserve"> et des autorités préfectorales à</w:t>
      </w:r>
      <w:r w:rsidRPr="00C76338">
        <w:rPr>
          <w:rFonts w:ascii="Arial" w:eastAsia="Times New Roman" w:hAnsi="Arial"/>
          <w:bCs w:val="0"/>
          <w:szCs w:val="24"/>
          <w:lang w:eastAsia="en-US"/>
        </w:rPr>
        <w:t xml:space="preserve"> accompagner la mise en œuvre du projet ; (iii) les faibles revenus des paysans des zones ciblées et l’absence de crédit pourraient constituer un obstacle pour les organisations de petits agriculteurs ainsi que les organisations paysannes à adopter et développer des systèmes de production résistantes au changement climatique</w:t>
      </w:r>
      <w:r w:rsidR="004A7F41" w:rsidRPr="00C76338">
        <w:rPr>
          <w:rFonts w:ascii="Arial" w:eastAsia="Times New Roman" w:hAnsi="Arial"/>
          <w:bCs w:val="0"/>
          <w:szCs w:val="24"/>
          <w:lang w:eastAsia="en-US"/>
        </w:rPr>
        <w:t> ; (iv) les événements climatiques inhabituels et les catastrophes au cours de l'exécution du projet ; etc.</w:t>
      </w:r>
    </w:p>
    <w:p w14:paraId="59090C5E" w14:textId="77777777" w:rsidR="003D4708" w:rsidRPr="00C76338" w:rsidRDefault="003D4708" w:rsidP="003D4708">
      <w:pPr>
        <w:spacing w:before="240" w:after="120"/>
        <w:ind w:left="547"/>
        <w:rPr>
          <w:b/>
          <w:lang w:val="fr-CA"/>
        </w:rPr>
      </w:pPr>
      <w:r w:rsidRPr="00C76338">
        <w:rPr>
          <w:b/>
          <w:lang w:val="fr-CA"/>
        </w:rPr>
        <w:t>Implication des parties prenantes</w:t>
      </w:r>
    </w:p>
    <w:p w14:paraId="6D84D45D" w14:textId="18A605EF" w:rsidR="004A7F41" w:rsidRPr="00C76338" w:rsidRDefault="004A7F41" w:rsidP="00C21EE2">
      <w:pPr>
        <w:numPr>
          <w:ilvl w:val="0"/>
          <w:numId w:val="5"/>
        </w:numPr>
        <w:ind w:left="567" w:hanging="283"/>
        <w:rPr>
          <w:lang w:val="fr-CA"/>
        </w:rPr>
      </w:pPr>
      <w:r w:rsidRPr="00C76338">
        <w:rPr>
          <w:lang w:val="fr-CA"/>
        </w:rPr>
        <w:t>Les paysans dont les moyens d’existence sont tributaires des aléas climatiques. Une bonne information des enjeux et des solutions réussies dans des zones attenantes pourrait être le leitmotiv pour leur adhésion. Les actions à mener ne portent pas atteinte à la sécurité environnementale et sociale. Cependant au cours du développement du projet, un PGES pertinent sera élaboré et adopté par toutes les parties prenantes.</w:t>
      </w:r>
    </w:p>
    <w:p w14:paraId="3C325FD3" w14:textId="77777777" w:rsidR="008D65BD" w:rsidRPr="00C76338" w:rsidRDefault="008D65BD" w:rsidP="00C21EE2">
      <w:pPr>
        <w:numPr>
          <w:ilvl w:val="0"/>
          <w:numId w:val="5"/>
        </w:numPr>
        <w:ind w:left="567" w:hanging="283"/>
        <w:rPr>
          <w:lang w:val="fr-CA"/>
        </w:rPr>
      </w:pPr>
      <w:r w:rsidRPr="00C76338">
        <w:rPr>
          <w:lang w:val="fr-CA"/>
        </w:rPr>
        <w:t>Le projet appuiera la mise en place et l’opérationnalisation d’au moins 500 exploitations agroforestières en faveur des paysans des 50 Communes rurales visées. Ces exploitations, à l’image du REMECC 1 seront gérées par plusieurs personnes avec parité hommes femmes.</w:t>
      </w:r>
    </w:p>
    <w:p w14:paraId="2EBCE27B" w14:textId="77777777" w:rsidR="008D65BD" w:rsidRPr="00C76338" w:rsidRDefault="008D65BD" w:rsidP="00C21EE2">
      <w:pPr>
        <w:numPr>
          <w:ilvl w:val="0"/>
          <w:numId w:val="5"/>
        </w:numPr>
        <w:ind w:left="567" w:hanging="283"/>
        <w:rPr>
          <w:lang w:val="fr-CA"/>
        </w:rPr>
      </w:pPr>
      <w:r w:rsidRPr="00C76338">
        <w:rPr>
          <w:lang w:val="fr-CA"/>
        </w:rPr>
        <w:t>Les élus locaux et les services déconcentrés bénéficieront de renforcement de capacités pour permettre une prise en compte effective de l’adaptation/l’atténuation dans la planification du développement local.</w:t>
      </w:r>
    </w:p>
    <w:p w14:paraId="40EA2C28" w14:textId="77777777" w:rsidR="00AF32CF" w:rsidRPr="00C76338" w:rsidRDefault="008D65BD" w:rsidP="00C21EE2">
      <w:pPr>
        <w:numPr>
          <w:ilvl w:val="0"/>
          <w:numId w:val="5"/>
        </w:numPr>
        <w:ind w:left="567" w:hanging="283"/>
        <w:rPr>
          <w:lang w:val="fr-CA"/>
        </w:rPr>
      </w:pPr>
      <w:r w:rsidRPr="00C76338">
        <w:rPr>
          <w:lang w:val="fr-CA"/>
        </w:rPr>
        <w:t xml:space="preserve">Les OSB, OSC dont les ONG locales seront utilisées conformément à leurs compétences </w:t>
      </w:r>
      <w:r w:rsidR="00AF32CF" w:rsidRPr="00C76338">
        <w:rPr>
          <w:lang w:val="fr-CA"/>
        </w:rPr>
        <w:t xml:space="preserve">pour appuyer la mise en œuvre des activités de terrain au profit des </w:t>
      </w:r>
      <w:r w:rsidRPr="00C76338">
        <w:rPr>
          <w:lang w:val="fr-CA"/>
        </w:rPr>
        <w:t>paysans</w:t>
      </w:r>
      <w:r w:rsidR="00AF32CF" w:rsidRPr="00C76338">
        <w:rPr>
          <w:lang w:val="fr-CA"/>
        </w:rPr>
        <w:t>.</w:t>
      </w:r>
    </w:p>
    <w:p w14:paraId="470974AB" w14:textId="77777777" w:rsidR="003D4708" w:rsidRPr="00C76338" w:rsidRDefault="003D4708" w:rsidP="003D4708">
      <w:pPr>
        <w:spacing w:before="240"/>
        <w:ind w:left="547"/>
        <w:rPr>
          <w:b/>
          <w:lang w:val="fr-CA"/>
        </w:rPr>
      </w:pPr>
      <w:r w:rsidRPr="00C76338">
        <w:rPr>
          <w:b/>
          <w:lang w:val="fr-CA"/>
        </w:rPr>
        <w:t>Coopération Sud-Sud et triangulaire</w:t>
      </w:r>
    </w:p>
    <w:p w14:paraId="271F688F" w14:textId="17092E71" w:rsidR="004A7F41" w:rsidRPr="00C76338" w:rsidRDefault="004A7F41" w:rsidP="00C21EE2">
      <w:pPr>
        <w:numPr>
          <w:ilvl w:val="0"/>
          <w:numId w:val="3"/>
        </w:numPr>
        <w:ind w:left="540"/>
        <w:rPr>
          <w:lang w:val="fr-CA"/>
        </w:rPr>
      </w:pPr>
      <w:r w:rsidRPr="00C76338">
        <w:rPr>
          <w:lang w:val="fr-CA"/>
        </w:rPr>
        <w:t>Une des approches envisagées dans la mise en œuvre de ce projet est le partage des connaissances et des bonnes pratiques d’une commune à l’autre, d’une préfecture à l’autre et de la Guinée avec les pays voisins notamment le Sénégal et le Mali qui ont mis en œuvre des projets similaires.</w:t>
      </w:r>
    </w:p>
    <w:p w14:paraId="7AF1C2EF" w14:textId="77777777" w:rsidR="003D4708" w:rsidRPr="00C76338" w:rsidRDefault="003D4708" w:rsidP="003D4708">
      <w:pPr>
        <w:spacing w:before="240"/>
        <w:ind w:left="547"/>
        <w:rPr>
          <w:b/>
          <w:lang w:val="fr-CA"/>
        </w:rPr>
      </w:pPr>
      <w:r w:rsidRPr="00C76338">
        <w:rPr>
          <w:b/>
          <w:lang w:val="fr-CA"/>
        </w:rPr>
        <w:lastRenderedPageBreak/>
        <w:t>Connaissance</w:t>
      </w:r>
    </w:p>
    <w:p w14:paraId="29A31B36" w14:textId="20B8B3C9" w:rsidR="00062E56" w:rsidRPr="00C76338" w:rsidRDefault="00062E56" w:rsidP="00C21EE2">
      <w:pPr>
        <w:numPr>
          <w:ilvl w:val="0"/>
          <w:numId w:val="3"/>
        </w:numPr>
        <w:ind w:left="540"/>
        <w:rPr>
          <w:lang w:val="fr-CA"/>
        </w:rPr>
      </w:pPr>
      <w:r w:rsidRPr="00C76338">
        <w:rPr>
          <w:lang w:val="fr-CA"/>
        </w:rPr>
        <w:t xml:space="preserve">L’expérience acquise dans la mise en œuvre du REMECC GKM sera utilisée et renforcée pour codifier, conserver sur support adéquats et partager à temps à travers les créneaux existants, toutes les bonnes pratiques acquises tout au long de la mise en œuvre du projet. L’une des remarques faites à l’approche de mise en œuvre du REMECC est la faiblesse de la communication. Des mesures seront prises pour apporter les éléments manquants, en adoptant une stratégie de suivi-évaluation-communication adéquate. </w:t>
      </w:r>
    </w:p>
    <w:p w14:paraId="798B235D" w14:textId="1661F628" w:rsidR="003D4708" w:rsidRPr="00C76338" w:rsidRDefault="003D4708" w:rsidP="003D4708">
      <w:pPr>
        <w:spacing w:before="240"/>
        <w:ind w:left="547"/>
        <w:rPr>
          <w:b/>
          <w:lang w:val="fr-CA"/>
        </w:rPr>
      </w:pPr>
      <w:r w:rsidRPr="00C76338">
        <w:rPr>
          <w:b/>
          <w:lang w:val="fr-CA"/>
        </w:rPr>
        <w:t>Durabilité et amplification</w:t>
      </w:r>
    </w:p>
    <w:p w14:paraId="6FB80544" w14:textId="5D7A4B82" w:rsidR="006B6B7F" w:rsidRPr="00C76338" w:rsidRDefault="00062E56" w:rsidP="00C21EE2">
      <w:pPr>
        <w:pStyle w:val="Lgende"/>
        <w:numPr>
          <w:ilvl w:val="0"/>
          <w:numId w:val="9"/>
        </w:numPr>
        <w:rPr>
          <w:rFonts w:ascii="Arial" w:eastAsia="Times New Roman" w:hAnsi="Arial"/>
          <w:bCs w:val="0"/>
          <w:szCs w:val="24"/>
          <w:lang w:eastAsia="en-US"/>
        </w:rPr>
      </w:pPr>
      <w:r w:rsidRPr="00C76338">
        <w:rPr>
          <w:rFonts w:ascii="Arial" w:eastAsia="Times New Roman" w:hAnsi="Arial"/>
          <w:bCs w:val="0"/>
          <w:szCs w:val="24"/>
          <w:lang w:eastAsia="en-US"/>
        </w:rPr>
        <w:t>Les expériences accumulées dans la mise en œuvre du REMECC</w:t>
      </w:r>
      <w:r w:rsidR="00EA401D" w:rsidRPr="00C76338">
        <w:rPr>
          <w:rFonts w:ascii="Arial" w:eastAsia="Times New Roman" w:hAnsi="Arial"/>
          <w:bCs w:val="0"/>
          <w:szCs w:val="24"/>
          <w:lang w:eastAsia="en-US"/>
        </w:rPr>
        <w:t>-</w:t>
      </w:r>
      <w:r w:rsidRPr="00C76338">
        <w:rPr>
          <w:rFonts w:ascii="Arial" w:eastAsia="Times New Roman" w:hAnsi="Arial"/>
          <w:bCs w:val="0"/>
          <w:szCs w:val="24"/>
          <w:lang w:eastAsia="en-US"/>
        </w:rPr>
        <w:t xml:space="preserve">GKM seront capitalisées et valorisées dans cette nouvelle initiative.  L’implication à temps des structures à la base et des communautés sera utilisée par le projet. Son acceptation au niveau central constituera une préoccupation dès au début grâce au plaidoyer que le PNUD effectuera et au leadership du PEGED-CN. </w:t>
      </w:r>
      <w:r w:rsidR="006B6B7F" w:rsidRPr="00C76338">
        <w:rPr>
          <w:rFonts w:ascii="Arial" w:eastAsia="Times New Roman" w:hAnsi="Arial"/>
          <w:bCs w:val="0"/>
          <w:szCs w:val="24"/>
          <w:lang w:eastAsia="en-US"/>
        </w:rPr>
        <w:t xml:space="preserve">Ceci tient du fait que les préoccupations liées au climat sont bien prises en compte dans les politiques (PNE), stratégies (SNDD, SNCC, SNDT) et </w:t>
      </w:r>
      <w:r w:rsidR="00EA401D" w:rsidRPr="00C76338">
        <w:rPr>
          <w:rFonts w:ascii="Arial" w:eastAsia="Times New Roman" w:hAnsi="Arial"/>
          <w:bCs w:val="0"/>
          <w:szCs w:val="24"/>
          <w:lang w:eastAsia="en-US"/>
        </w:rPr>
        <w:t>plans (</w:t>
      </w:r>
      <w:r w:rsidR="006B6B7F" w:rsidRPr="00C76338">
        <w:rPr>
          <w:rFonts w:ascii="Arial" w:eastAsia="Times New Roman" w:hAnsi="Arial"/>
          <w:bCs w:val="0"/>
          <w:szCs w:val="24"/>
          <w:lang w:eastAsia="en-US"/>
        </w:rPr>
        <w:t xml:space="preserve">PNDES, PANA, PNA) nationaux. </w:t>
      </w:r>
    </w:p>
    <w:p w14:paraId="59D66FDB" w14:textId="017B72FE" w:rsidR="00062E56" w:rsidRPr="00C76338" w:rsidRDefault="00062E56" w:rsidP="00C21EE2">
      <w:pPr>
        <w:pStyle w:val="Lgende"/>
        <w:numPr>
          <w:ilvl w:val="0"/>
          <w:numId w:val="9"/>
        </w:numPr>
        <w:rPr>
          <w:rFonts w:ascii="Arial" w:eastAsia="Times New Roman" w:hAnsi="Arial"/>
          <w:bCs w:val="0"/>
          <w:szCs w:val="24"/>
          <w:lang w:eastAsia="en-US"/>
        </w:rPr>
      </w:pPr>
      <w:r w:rsidRPr="00C76338">
        <w:rPr>
          <w:rFonts w:ascii="Arial" w:eastAsia="Times New Roman" w:hAnsi="Arial"/>
          <w:bCs w:val="0"/>
          <w:szCs w:val="24"/>
          <w:lang w:eastAsia="en-US"/>
        </w:rPr>
        <w:t xml:space="preserve">La viabilité du projet sur le long terme et la pérennisation dépendra grandement de </w:t>
      </w:r>
      <w:r w:rsidR="006B6B7F" w:rsidRPr="00C76338">
        <w:rPr>
          <w:rFonts w:ascii="Arial" w:eastAsia="Times New Roman" w:hAnsi="Arial"/>
          <w:bCs w:val="0"/>
          <w:szCs w:val="24"/>
          <w:lang w:eastAsia="en-US"/>
        </w:rPr>
        <w:t>l</w:t>
      </w:r>
      <w:proofErr w:type="gramStart"/>
      <w:r w:rsidR="006B6B7F" w:rsidRPr="00C76338">
        <w:rPr>
          <w:rFonts w:ascii="Arial" w:eastAsia="Times New Roman" w:hAnsi="Arial"/>
          <w:bCs w:val="0"/>
          <w:szCs w:val="24"/>
          <w:lang w:eastAsia="en-US"/>
        </w:rPr>
        <w:t>’</w:t>
      </w:r>
      <w:r w:rsidRPr="00C76338">
        <w:rPr>
          <w:rFonts w:ascii="Arial" w:eastAsia="Times New Roman" w:hAnsi="Arial"/>
          <w:bCs w:val="0"/>
          <w:szCs w:val="24"/>
          <w:lang w:eastAsia="en-US"/>
        </w:rPr>
        <w:t>«</w:t>
      </w:r>
      <w:proofErr w:type="gramEnd"/>
      <w:r w:rsidRPr="00C76338">
        <w:rPr>
          <w:rFonts w:ascii="Arial" w:eastAsia="Times New Roman" w:hAnsi="Arial"/>
          <w:bCs w:val="0"/>
          <w:szCs w:val="24"/>
          <w:lang w:eastAsia="en-US"/>
        </w:rPr>
        <w:t xml:space="preserve"> appropriation » et </w:t>
      </w:r>
      <w:r w:rsidR="006B6B7F" w:rsidRPr="00C76338">
        <w:rPr>
          <w:rFonts w:ascii="Arial" w:eastAsia="Times New Roman" w:hAnsi="Arial"/>
          <w:bCs w:val="0"/>
          <w:szCs w:val="24"/>
          <w:lang w:eastAsia="en-US"/>
        </w:rPr>
        <w:t>de l’</w:t>
      </w:r>
      <w:r w:rsidRPr="00C76338">
        <w:rPr>
          <w:rFonts w:ascii="Arial" w:eastAsia="Times New Roman" w:hAnsi="Arial"/>
          <w:bCs w:val="0"/>
          <w:szCs w:val="24"/>
          <w:lang w:eastAsia="en-US"/>
        </w:rPr>
        <w:t xml:space="preserve">« institutionnalisation » du renforcement de capacité. </w:t>
      </w:r>
      <w:r w:rsidR="006B6B7F" w:rsidRPr="00C76338">
        <w:rPr>
          <w:rFonts w:ascii="Arial" w:eastAsia="Times New Roman" w:hAnsi="Arial"/>
          <w:bCs w:val="0"/>
          <w:szCs w:val="24"/>
          <w:lang w:eastAsia="en-US"/>
        </w:rPr>
        <w:t xml:space="preserve"> C’est pour cal que t</w:t>
      </w:r>
      <w:r w:rsidRPr="00C76338">
        <w:rPr>
          <w:rFonts w:ascii="Arial" w:eastAsia="Times New Roman" w:hAnsi="Arial"/>
          <w:bCs w:val="0"/>
          <w:szCs w:val="24"/>
          <w:lang w:eastAsia="en-US"/>
        </w:rPr>
        <w:t>outes les activités de renforcement des capacités prévues dans le projet s</w:t>
      </w:r>
      <w:r w:rsidR="006B6B7F" w:rsidRPr="00C76338">
        <w:rPr>
          <w:rFonts w:ascii="Arial" w:eastAsia="Times New Roman" w:hAnsi="Arial"/>
          <w:bCs w:val="0"/>
          <w:szCs w:val="24"/>
          <w:lang w:eastAsia="en-US"/>
        </w:rPr>
        <w:t>er</w:t>
      </w:r>
      <w:r w:rsidRPr="00C76338">
        <w:rPr>
          <w:rFonts w:ascii="Arial" w:eastAsia="Times New Roman" w:hAnsi="Arial"/>
          <w:bCs w:val="0"/>
          <w:szCs w:val="24"/>
          <w:lang w:eastAsia="en-US"/>
        </w:rPr>
        <w:t>ont conçues pour avoir un impact durable, à la fois aux niveaux local et national.</w:t>
      </w:r>
    </w:p>
    <w:p w14:paraId="6F1FE14C" w14:textId="77777777" w:rsidR="00062E56" w:rsidRPr="00C76338" w:rsidRDefault="00062E56" w:rsidP="00C21EE2">
      <w:pPr>
        <w:pStyle w:val="Lgende"/>
        <w:numPr>
          <w:ilvl w:val="0"/>
          <w:numId w:val="9"/>
        </w:numPr>
        <w:rPr>
          <w:rFonts w:ascii="Arial" w:eastAsia="Times New Roman" w:hAnsi="Arial"/>
          <w:bCs w:val="0"/>
          <w:szCs w:val="24"/>
          <w:lang w:eastAsia="en-US"/>
        </w:rPr>
      </w:pPr>
      <w:r w:rsidRPr="00C76338">
        <w:rPr>
          <w:rFonts w:ascii="Arial" w:eastAsia="Times New Roman" w:hAnsi="Arial"/>
          <w:bCs w:val="0"/>
          <w:szCs w:val="24"/>
          <w:lang w:eastAsia="en-US"/>
        </w:rPr>
        <w:t>En plus des partenariats institutionnels cohérents avec d'autres partenaires de développement internationaux, ce projet vise à fournir un effet de levier sur d'autres sources de financement pour une adaptation en Guinée.</w:t>
      </w:r>
    </w:p>
    <w:p w14:paraId="35131C64" w14:textId="63AEE477" w:rsidR="00062E56" w:rsidRPr="00C76338" w:rsidRDefault="00062E56" w:rsidP="00C21EE2">
      <w:pPr>
        <w:pStyle w:val="Lgende"/>
        <w:numPr>
          <w:ilvl w:val="0"/>
          <w:numId w:val="9"/>
        </w:numPr>
        <w:rPr>
          <w:rFonts w:ascii="Arial" w:eastAsia="Times New Roman" w:hAnsi="Arial"/>
          <w:bCs w:val="0"/>
          <w:szCs w:val="24"/>
          <w:lang w:eastAsia="en-US"/>
        </w:rPr>
      </w:pPr>
      <w:r w:rsidRPr="00C76338">
        <w:rPr>
          <w:rFonts w:ascii="Arial" w:eastAsia="Times New Roman" w:hAnsi="Arial"/>
          <w:bCs w:val="0"/>
          <w:szCs w:val="24"/>
          <w:lang w:eastAsia="en-US"/>
        </w:rPr>
        <w:t xml:space="preserve">Enfin, </w:t>
      </w:r>
      <w:r w:rsidR="006B6B7F" w:rsidRPr="00C76338">
        <w:rPr>
          <w:rFonts w:ascii="Arial" w:eastAsia="Times New Roman" w:hAnsi="Arial"/>
          <w:bCs w:val="0"/>
          <w:szCs w:val="24"/>
          <w:lang w:eastAsia="en-US"/>
        </w:rPr>
        <w:t xml:space="preserve">le projet travaillera au partage des expériences acquises </w:t>
      </w:r>
      <w:r w:rsidR="00B57683" w:rsidRPr="00C76338">
        <w:rPr>
          <w:rFonts w:ascii="Arial" w:eastAsia="Times New Roman" w:hAnsi="Arial"/>
          <w:bCs w:val="0"/>
          <w:szCs w:val="24"/>
          <w:lang w:eastAsia="en-US"/>
        </w:rPr>
        <w:t>à travers la mise</w:t>
      </w:r>
      <w:r w:rsidR="006B6B7F" w:rsidRPr="00C76338">
        <w:rPr>
          <w:rFonts w:ascii="Arial" w:eastAsia="Times New Roman" w:hAnsi="Arial"/>
          <w:bCs w:val="0"/>
          <w:szCs w:val="24"/>
          <w:lang w:eastAsia="en-US"/>
        </w:rPr>
        <w:t xml:space="preserve"> en œuvre d’actions similaires dans la sous-région et au-delà </w:t>
      </w:r>
      <w:r w:rsidRPr="00C76338">
        <w:rPr>
          <w:rFonts w:ascii="Arial" w:eastAsia="Times New Roman" w:hAnsi="Arial"/>
          <w:bCs w:val="0"/>
          <w:szCs w:val="24"/>
          <w:lang w:eastAsia="en-US"/>
        </w:rPr>
        <w:t xml:space="preserve">en </w:t>
      </w:r>
      <w:r w:rsidR="006B6B7F" w:rsidRPr="00C76338">
        <w:rPr>
          <w:rFonts w:ascii="Arial" w:eastAsia="Times New Roman" w:hAnsi="Arial"/>
          <w:bCs w:val="0"/>
          <w:szCs w:val="24"/>
          <w:lang w:eastAsia="en-US"/>
        </w:rPr>
        <w:t>se servant de tous les créneaux exi</w:t>
      </w:r>
      <w:r w:rsidR="00B57683" w:rsidRPr="00C76338">
        <w:rPr>
          <w:rFonts w:ascii="Arial" w:eastAsia="Times New Roman" w:hAnsi="Arial"/>
          <w:bCs w:val="0"/>
          <w:szCs w:val="24"/>
          <w:lang w:eastAsia="en-US"/>
        </w:rPr>
        <w:t>stants</w:t>
      </w:r>
      <w:r w:rsidRPr="00C76338">
        <w:rPr>
          <w:rFonts w:ascii="Arial" w:eastAsia="Times New Roman" w:hAnsi="Arial"/>
          <w:bCs w:val="0"/>
          <w:szCs w:val="24"/>
          <w:lang w:eastAsia="en-US"/>
        </w:rPr>
        <w:t>.</w:t>
      </w:r>
    </w:p>
    <w:p w14:paraId="35B0BF12" w14:textId="77777777" w:rsidR="003D4708" w:rsidRPr="00C76338" w:rsidRDefault="003D4708" w:rsidP="003D4708">
      <w:pPr>
        <w:jc w:val="left"/>
        <w:rPr>
          <w:lang w:val="fr-CA"/>
        </w:rPr>
      </w:pPr>
    </w:p>
    <w:p w14:paraId="589EF24D" w14:textId="77777777" w:rsidR="003D4708" w:rsidRPr="00C76338" w:rsidRDefault="003D4708" w:rsidP="003D4708">
      <w:pPr>
        <w:pStyle w:val="Titre1"/>
        <w:pBdr>
          <w:top w:val="single" w:sz="4" w:space="0" w:color="auto"/>
        </w:pBdr>
        <w:rPr>
          <w:lang w:val="fr-CA"/>
        </w:rPr>
      </w:pPr>
      <w:r w:rsidRPr="00C76338">
        <w:rPr>
          <w:lang w:val="fr-CA"/>
        </w:rPr>
        <w:t xml:space="preserve">Gestion du projet </w:t>
      </w:r>
      <w:r w:rsidRPr="00C76338">
        <w:rPr>
          <w:sz w:val="20"/>
          <w:lang w:val="fr-CA"/>
        </w:rPr>
        <w:t>(</w:t>
      </w:r>
      <w:r w:rsidRPr="00C76338">
        <w:rPr>
          <w:sz w:val="18"/>
          <w:lang w:val="fr-CA"/>
        </w:rPr>
        <w:t xml:space="preserve">1/2 </w:t>
      </w:r>
      <w:r w:rsidRPr="00C76338">
        <w:rPr>
          <w:sz w:val="20"/>
          <w:lang w:val="fr-CA"/>
        </w:rPr>
        <w:t>page à 2 pages)</w:t>
      </w:r>
    </w:p>
    <w:p w14:paraId="64C248DD" w14:textId="77777777" w:rsidR="003D4708" w:rsidRPr="00C76338" w:rsidRDefault="003D4708" w:rsidP="003D4708">
      <w:pPr>
        <w:spacing w:before="240"/>
        <w:ind w:left="547"/>
        <w:rPr>
          <w:b/>
          <w:lang w:val="fr-CA"/>
        </w:rPr>
      </w:pPr>
      <w:r w:rsidRPr="00C76338">
        <w:rPr>
          <w:b/>
          <w:lang w:val="fr-CA"/>
        </w:rPr>
        <w:t>Coût efficacité et productivité</w:t>
      </w:r>
    </w:p>
    <w:p w14:paraId="183C7E9E" w14:textId="4998F778" w:rsidR="00B57683" w:rsidRPr="00C76338" w:rsidRDefault="00E53DD6" w:rsidP="00C21EE2">
      <w:pPr>
        <w:numPr>
          <w:ilvl w:val="0"/>
          <w:numId w:val="3"/>
        </w:numPr>
        <w:ind w:left="540"/>
        <w:rPr>
          <w:lang w:val="fr-CA"/>
        </w:rPr>
      </w:pPr>
      <w:r w:rsidRPr="00C76338">
        <w:rPr>
          <w:lang w:val="fr-CA"/>
        </w:rPr>
        <w:t>Les fonds alloués au projet seront utilisés pour réaliser les activités prescrites (à définir en détails dans la phase préparatoire du document de projet) pour atteindre les objectifs visés.</w:t>
      </w:r>
      <w:r w:rsidR="00AF32CF" w:rsidRPr="00C76338">
        <w:rPr>
          <w:lang w:val="fr-CA"/>
        </w:rPr>
        <w:t xml:space="preserve"> La phase 1 du projet REMECC GKM a été une belle réussite pour l’utilisation rationnelle des fonds alloués. Lors du développement de projet, un accent particulier sera mis sur la façon dont les fonds seront utilisés au niveau de chaque composante et pour chaque produit identifié.</w:t>
      </w:r>
    </w:p>
    <w:p w14:paraId="5F657EBE" w14:textId="77777777" w:rsidR="003D4708" w:rsidRPr="00C76338" w:rsidRDefault="003D4708" w:rsidP="003D4708">
      <w:pPr>
        <w:jc w:val="left"/>
        <w:rPr>
          <w:lang w:val="fr-CA"/>
        </w:rPr>
      </w:pPr>
    </w:p>
    <w:p w14:paraId="53BC175D" w14:textId="77777777" w:rsidR="003D4708" w:rsidRPr="00C76338" w:rsidRDefault="003D4708" w:rsidP="003D4708">
      <w:pPr>
        <w:ind w:firstLine="540"/>
        <w:jc w:val="left"/>
        <w:rPr>
          <w:b/>
          <w:lang w:val="fr-CA"/>
        </w:rPr>
      </w:pPr>
      <w:r w:rsidRPr="00C76338">
        <w:rPr>
          <w:b/>
          <w:lang w:val="fr-CA"/>
        </w:rPr>
        <w:t xml:space="preserve">Gestion du projet </w:t>
      </w:r>
    </w:p>
    <w:p w14:paraId="78906875" w14:textId="6CFB9EE8" w:rsidR="00C76338" w:rsidRPr="0020659E" w:rsidRDefault="00AF32CF" w:rsidP="0020659E">
      <w:pPr>
        <w:pStyle w:val="Paragraphedeliste"/>
        <w:numPr>
          <w:ilvl w:val="0"/>
          <w:numId w:val="14"/>
        </w:numPr>
        <w:ind w:hanging="218"/>
        <w:rPr>
          <w:lang w:val="fr-CA"/>
        </w:rPr>
      </w:pPr>
      <w:r w:rsidRPr="0020659E">
        <w:rPr>
          <w:lang w:val="fr-CA"/>
        </w:rPr>
        <w:t>Le projet sera exécuté dans les régions de Mamou et de Labé. Il s’intéressera à une cinquantaine de communes rurales qui seront sélectionnées en fonction de</w:t>
      </w:r>
      <w:r w:rsidR="00C76338" w:rsidRPr="0020659E">
        <w:rPr>
          <w:lang w:val="fr-CA"/>
        </w:rPr>
        <w:t xml:space="preserve"> </w:t>
      </w:r>
      <w:r w:rsidRPr="0020659E">
        <w:rPr>
          <w:lang w:val="fr-CA"/>
        </w:rPr>
        <w:t xml:space="preserve">leur état de vulnérabilité ace aux aléas climatiques. </w:t>
      </w:r>
      <w:r w:rsidR="00C76338" w:rsidRPr="0020659E">
        <w:rPr>
          <w:lang w:val="fr-CA"/>
        </w:rPr>
        <w:t xml:space="preserve">L’UGP du projet sera installé à Labé avec des antennes dans les huit Préfectures couvertes. Le projet nouera une coopération soutenue avec les initiatives en cours notamment le projet de Gestion intégrée du bassin du Bafing Falémé, du projet sur le Konkouré, le projet SARITEM et les expériences des projets </w:t>
      </w:r>
      <w:proofErr w:type="spellStart"/>
      <w:r w:rsidR="00C76338" w:rsidRPr="0020659E">
        <w:rPr>
          <w:lang w:val="fr-CA"/>
        </w:rPr>
        <w:t>AbE</w:t>
      </w:r>
      <w:proofErr w:type="spellEnd"/>
      <w:r w:rsidR="00C76338" w:rsidRPr="0020659E">
        <w:rPr>
          <w:lang w:val="fr-CA"/>
        </w:rPr>
        <w:t xml:space="preserve"> et Biogaz.  Le projet sera exécuté sous la modalité NEX/NIM. Il suivra les procédures en la matière y compris en matière d’audit. Il sera audité annuellement conformément aux exigences en la matière. </w:t>
      </w:r>
    </w:p>
    <w:p w14:paraId="3341F595" w14:textId="77777777" w:rsidR="003D4708" w:rsidRPr="00C76338" w:rsidRDefault="003D4708" w:rsidP="003D4708">
      <w:pPr>
        <w:ind w:firstLine="540"/>
        <w:jc w:val="left"/>
        <w:rPr>
          <w:b/>
          <w:lang w:val="fr-CA"/>
        </w:rPr>
      </w:pPr>
    </w:p>
    <w:p w14:paraId="04771BF1" w14:textId="77777777" w:rsidR="003D4708" w:rsidRPr="00C76338" w:rsidRDefault="003D4708" w:rsidP="003D4708">
      <w:pPr>
        <w:jc w:val="left"/>
        <w:rPr>
          <w:lang w:val="fr-CA"/>
        </w:rPr>
        <w:sectPr w:rsidR="003D4708" w:rsidRPr="00C76338" w:rsidSect="00236F6D">
          <w:headerReference w:type="default" r:id="rId7"/>
          <w:footerReference w:type="even" r:id="rId8"/>
          <w:footerReference w:type="default" r:id="rId9"/>
          <w:headerReference w:type="first" r:id="rId10"/>
          <w:footerReference w:type="first" r:id="rId11"/>
          <w:pgSz w:w="11906" w:h="16838" w:code="9"/>
          <w:pgMar w:top="864" w:right="1152" w:bottom="864" w:left="1152" w:header="720" w:footer="432" w:gutter="0"/>
          <w:cols w:space="708"/>
          <w:titlePg/>
          <w:docGrid w:linePitch="360"/>
        </w:sectPr>
      </w:pPr>
      <w:bookmarkStart w:id="0" w:name="_GoBack"/>
      <w:bookmarkEnd w:id="0"/>
    </w:p>
    <w:p w14:paraId="6877929D" w14:textId="08EF9954" w:rsidR="003D4708" w:rsidRDefault="003D4708" w:rsidP="003D4708">
      <w:pPr>
        <w:pStyle w:val="Titre1"/>
        <w:spacing w:after="120"/>
        <w:rPr>
          <w:lang w:val="fr-CA"/>
        </w:rPr>
      </w:pPr>
      <w:r w:rsidRPr="00C76338">
        <w:rPr>
          <w:lang w:val="fr-CA"/>
        </w:rPr>
        <w:lastRenderedPageBreak/>
        <w:t>Cadre de résultats</w:t>
      </w:r>
      <w:r w:rsidRPr="00C76338">
        <w:rPr>
          <w:rStyle w:val="Appelnotedebasdep"/>
          <w:lang w:val="fr-CA"/>
        </w:rPr>
        <w:footnoteReference w:id="3"/>
      </w:r>
    </w:p>
    <w:tbl>
      <w:tblPr>
        <w:tblW w:w="13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5"/>
      </w:tblGrid>
      <w:tr w:rsidR="005B5FD2" w:rsidRPr="00B06846" w14:paraId="4DCD8F21" w14:textId="77777777" w:rsidTr="00632820">
        <w:trPr>
          <w:cantSplit/>
          <w:trHeight w:val="3209"/>
          <w:tblHeader/>
        </w:trPr>
        <w:tc>
          <w:tcPr>
            <w:tcW w:w="13405" w:type="dxa"/>
            <w:tcBorders>
              <w:top w:val="single" w:sz="4" w:space="0" w:color="auto"/>
              <w:left w:val="single" w:sz="4" w:space="0" w:color="auto"/>
              <w:bottom w:val="single" w:sz="4" w:space="0" w:color="auto"/>
              <w:right w:val="single" w:sz="4" w:space="0" w:color="auto"/>
            </w:tcBorders>
            <w:shd w:val="clear" w:color="auto" w:fill="auto"/>
          </w:tcPr>
          <w:p w14:paraId="6A8D5263" w14:textId="373A43B9" w:rsidR="00B02617" w:rsidRDefault="00B02617" w:rsidP="00632820">
            <w:pPr>
              <w:spacing w:before="60" w:line="276" w:lineRule="auto"/>
              <w:rPr>
                <w:sz w:val="20"/>
                <w:szCs w:val="20"/>
                <w:lang w:val="fr-CA"/>
              </w:rPr>
            </w:pPr>
            <w:r w:rsidRPr="00C76338">
              <w:rPr>
                <w:sz w:val="20"/>
                <w:szCs w:val="20"/>
                <w:lang w:val="fr-CA"/>
              </w:rPr>
              <w:t>Ce projet concourt à l’atteinte des</w:t>
            </w:r>
            <w:r w:rsidR="00C76338">
              <w:rPr>
                <w:sz w:val="20"/>
                <w:szCs w:val="20"/>
                <w:lang w:val="fr-CA"/>
              </w:rPr>
              <w:t xml:space="preserve"> Objectifs de Développement Durable suivants</w:t>
            </w:r>
            <w:r w:rsidRPr="00C76338">
              <w:rPr>
                <w:sz w:val="20"/>
                <w:szCs w:val="20"/>
                <w:lang w:val="fr-CA"/>
              </w:rPr>
              <w:t> :</w:t>
            </w:r>
          </w:p>
          <w:p w14:paraId="5144F296" w14:textId="77777777" w:rsidR="00632820" w:rsidRPr="00C76338" w:rsidRDefault="00632820" w:rsidP="00632820">
            <w:pPr>
              <w:spacing w:before="60" w:line="276" w:lineRule="auto"/>
              <w:rPr>
                <w:sz w:val="20"/>
                <w:szCs w:val="20"/>
                <w:lang w:val="fr-CA"/>
              </w:rPr>
            </w:pPr>
          </w:p>
          <w:p w14:paraId="037F822F" w14:textId="1BF8F99C" w:rsidR="00B02617" w:rsidRPr="00C76338" w:rsidRDefault="00B02617" w:rsidP="00632820">
            <w:pPr>
              <w:spacing w:before="60" w:line="276" w:lineRule="auto"/>
              <w:rPr>
                <w:sz w:val="20"/>
                <w:szCs w:val="20"/>
                <w:lang w:val="fr-CA"/>
              </w:rPr>
            </w:pPr>
            <w:r w:rsidRPr="00C76338">
              <w:rPr>
                <w:b/>
                <w:sz w:val="20"/>
                <w:szCs w:val="20"/>
                <w:lang w:val="fr-CA"/>
              </w:rPr>
              <w:t>ODD 2</w:t>
            </w:r>
            <w:r w:rsidRPr="00C76338">
              <w:rPr>
                <w:sz w:val="20"/>
                <w:szCs w:val="20"/>
                <w:lang w:val="fr-CA"/>
              </w:rPr>
              <w:t xml:space="preserve"> - Éliminer la faim, assurer la sécurité alimentaire, améliorer la nutrition et promouvoir l’agriculture durable, </w:t>
            </w:r>
          </w:p>
          <w:p w14:paraId="3415AA6D" w14:textId="6001193A" w:rsidR="00B02617" w:rsidRPr="00C76338" w:rsidRDefault="00B02617" w:rsidP="00632820">
            <w:pPr>
              <w:spacing w:before="60" w:line="276" w:lineRule="auto"/>
              <w:rPr>
                <w:sz w:val="20"/>
                <w:szCs w:val="20"/>
                <w:lang w:val="fr-CA"/>
              </w:rPr>
            </w:pPr>
            <w:r w:rsidRPr="00C76338">
              <w:rPr>
                <w:b/>
                <w:sz w:val="20"/>
                <w:szCs w:val="20"/>
                <w:lang w:val="fr-CA"/>
              </w:rPr>
              <w:t>ODD</w:t>
            </w:r>
            <w:r w:rsidR="004D7E87">
              <w:rPr>
                <w:b/>
                <w:sz w:val="20"/>
                <w:szCs w:val="20"/>
                <w:lang w:val="fr-CA"/>
              </w:rPr>
              <w:t xml:space="preserve"> </w:t>
            </w:r>
            <w:r w:rsidRPr="00C76338">
              <w:rPr>
                <w:b/>
                <w:sz w:val="20"/>
                <w:szCs w:val="20"/>
                <w:lang w:val="fr-CA"/>
              </w:rPr>
              <w:t>5</w:t>
            </w:r>
            <w:r w:rsidRPr="00C76338">
              <w:rPr>
                <w:sz w:val="20"/>
                <w:szCs w:val="20"/>
                <w:lang w:val="fr-CA"/>
              </w:rPr>
              <w:t xml:space="preserve"> - Réaliser l’égalité des sexes et autonomiser toutes les femmes et les filles, </w:t>
            </w:r>
          </w:p>
          <w:p w14:paraId="23132A07" w14:textId="2F7550B6" w:rsidR="00B02617" w:rsidRPr="00C76338" w:rsidRDefault="00B02617" w:rsidP="00632820">
            <w:pPr>
              <w:spacing w:before="60" w:line="276" w:lineRule="auto"/>
              <w:rPr>
                <w:sz w:val="20"/>
                <w:szCs w:val="20"/>
                <w:lang w:val="fr-CA"/>
              </w:rPr>
            </w:pPr>
            <w:r w:rsidRPr="00C76338">
              <w:rPr>
                <w:b/>
                <w:sz w:val="20"/>
                <w:szCs w:val="20"/>
                <w:lang w:val="fr-CA"/>
              </w:rPr>
              <w:t>ODD</w:t>
            </w:r>
            <w:r w:rsidR="004D7E87">
              <w:rPr>
                <w:b/>
                <w:sz w:val="20"/>
                <w:szCs w:val="20"/>
                <w:lang w:val="fr-CA"/>
              </w:rPr>
              <w:t xml:space="preserve"> </w:t>
            </w:r>
            <w:r w:rsidRPr="00C76338">
              <w:rPr>
                <w:b/>
                <w:sz w:val="20"/>
                <w:szCs w:val="20"/>
                <w:lang w:val="fr-CA"/>
              </w:rPr>
              <w:t>6</w:t>
            </w:r>
            <w:r w:rsidRPr="00C76338">
              <w:rPr>
                <w:sz w:val="20"/>
                <w:szCs w:val="20"/>
                <w:lang w:val="fr-CA"/>
              </w:rPr>
              <w:t xml:space="preserve"> - Garantir l’accès de tous à des services d’approvisionnement en eau et d’assainissement et assurer une gestion durable des services en eau), </w:t>
            </w:r>
          </w:p>
          <w:p w14:paraId="38CF1419" w14:textId="7F872A61" w:rsidR="00B02617" w:rsidRPr="00C76338" w:rsidRDefault="00B02617" w:rsidP="00632820">
            <w:pPr>
              <w:spacing w:before="60" w:line="276" w:lineRule="auto"/>
              <w:rPr>
                <w:sz w:val="20"/>
                <w:szCs w:val="20"/>
                <w:lang w:val="fr-CA"/>
              </w:rPr>
            </w:pPr>
            <w:r w:rsidRPr="00C76338">
              <w:rPr>
                <w:b/>
                <w:sz w:val="20"/>
                <w:szCs w:val="20"/>
                <w:lang w:val="fr-CA"/>
              </w:rPr>
              <w:t>ODD12</w:t>
            </w:r>
            <w:r w:rsidRPr="00C76338">
              <w:rPr>
                <w:sz w:val="20"/>
                <w:szCs w:val="20"/>
                <w:lang w:val="fr-CA"/>
              </w:rPr>
              <w:t xml:space="preserve"> - Instaurer des modes de consommation et de production soutenables, </w:t>
            </w:r>
          </w:p>
          <w:p w14:paraId="300BA4CA" w14:textId="137EB8EC" w:rsidR="00B02617" w:rsidRPr="00C76338" w:rsidRDefault="00B02617" w:rsidP="00632820">
            <w:pPr>
              <w:spacing w:before="60" w:line="276" w:lineRule="auto"/>
              <w:rPr>
                <w:sz w:val="20"/>
                <w:szCs w:val="20"/>
                <w:lang w:val="fr-CA"/>
              </w:rPr>
            </w:pPr>
            <w:r w:rsidRPr="00C76338">
              <w:rPr>
                <w:b/>
                <w:sz w:val="20"/>
                <w:szCs w:val="20"/>
                <w:lang w:val="fr-CA"/>
              </w:rPr>
              <w:t xml:space="preserve">ODD13 </w:t>
            </w:r>
            <w:r w:rsidRPr="00C76338">
              <w:rPr>
                <w:sz w:val="20"/>
                <w:szCs w:val="20"/>
                <w:lang w:val="fr-CA"/>
              </w:rPr>
              <w:t xml:space="preserve">- Prendre d’urgence des mesures pour lutter contre les changements climatiques et leurs répercussions), </w:t>
            </w:r>
          </w:p>
          <w:p w14:paraId="04DDD8A9" w14:textId="10935D65" w:rsidR="005B5FD2" w:rsidRPr="00C76338" w:rsidRDefault="00B02617" w:rsidP="00632820">
            <w:pPr>
              <w:spacing w:before="60" w:line="276" w:lineRule="auto"/>
              <w:rPr>
                <w:b/>
                <w:sz w:val="20"/>
                <w:szCs w:val="20"/>
                <w:lang w:val="fr-CA"/>
              </w:rPr>
            </w:pPr>
            <w:r w:rsidRPr="00C76338">
              <w:rPr>
                <w:b/>
                <w:sz w:val="20"/>
                <w:szCs w:val="20"/>
                <w:lang w:val="fr-CA"/>
              </w:rPr>
              <w:t xml:space="preserve">ODD15 </w:t>
            </w:r>
            <w:r w:rsidRPr="00C76338">
              <w:rPr>
                <w:sz w:val="20"/>
                <w:szCs w:val="20"/>
                <w:lang w:val="fr-CA"/>
              </w:rP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tc>
      </w:tr>
      <w:tr w:rsidR="005B5FD2" w:rsidRPr="00B06846" w14:paraId="1FE88F3D" w14:textId="77777777" w:rsidTr="00632820">
        <w:trPr>
          <w:cantSplit/>
          <w:trHeight w:val="1838"/>
          <w:tblHeader/>
        </w:trPr>
        <w:tc>
          <w:tcPr>
            <w:tcW w:w="13405" w:type="dxa"/>
            <w:tcBorders>
              <w:top w:val="single" w:sz="4" w:space="0" w:color="auto"/>
              <w:left w:val="single" w:sz="4" w:space="0" w:color="auto"/>
              <w:bottom w:val="single" w:sz="4" w:space="0" w:color="auto"/>
              <w:right w:val="single" w:sz="4" w:space="0" w:color="auto"/>
            </w:tcBorders>
            <w:shd w:val="clear" w:color="auto" w:fill="auto"/>
          </w:tcPr>
          <w:p w14:paraId="2189210E" w14:textId="77777777" w:rsidR="00632820" w:rsidRDefault="008F38DC" w:rsidP="005B5FD2">
            <w:pPr>
              <w:spacing w:before="60"/>
              <w:rPr>
                <w:b/>
                <w:sz w:val="20"/>
                <w:szCs w:val="20"/>
                <w:lang w:val="fr-CA"/>
              </w:rPr>
            </w:pPr>
            <w:r w:rsidRPr="00C76338">
              <w:rPr>
                <w:b/>
                <w:sz w:val="20"/>
                <w:szCs w:val="20"/>
                <w:lang w:val="fr-CA"/>
              </w:rPr>
              <w:t>Effet visé tel qu’il est énoncé dans le PNUAD/</w:t>
            </w:r>
            <w:r w:rsidRPr="00C76338">
              <w:rPr>
                <w:b/>
                <w:sz w:val="20"/>
                <w:lang w:val="fr-CA"/>
              </w:rPr>
              <w:t>Cadre de ressources et de résultats du Programme Pays [ou mondial/régional] </w:t>
            </w:r>
          </w:p>
          <w:p w14:paraId="06395ABE" w14:textId="77777777" w:rsidR="00632820" w:rsidRDefault="00632820" w:rsidP="005B5FD2">
            <w:pPr>
              <w:spacing w:before="60"/>
              <w:rPr>
                <w:b/>
                <w:sz w:val="20"/>
                <w:szCs w:val="20"/>
                <w:lang w:val="fr-CA"/>
              </w:rPr>
            </w:pPr>
          </w:p>
          <w:p w14:paraId="6EB22639" w14:textId="12529C0D" w:rsidR="008F38DC" w:rsidRPr="00C76338" w:rsidRDefault="005B5FD2" w:rsidP="00632820">
            <w:pPr>
              <w:spacing w:before="60" w:line="276" w:lineRule="auto"/>
              <w:rPr>
                <w:sz w:val="20"/>
                <w:szCs w:val="20"/>
                <w:lang w:val="fr-CA"/>
              </w:rPr>
            </w:pPr>
            <w:r w:rsidRPr="00C76338">
              <w:rPr>
                <w:sz w:val="20"/>
                <w:szCs w:val="20"/>
                <w:lang w:val="fr-CA"/>
              </w:rPr>
              <w:t xml:space="preserve">D’ici 2022, les institutions nationales, la société civile et le secteur privé mettent en œuvre des politiques qui améliorent la sécurité alimentaire et nutritionnelle, la gestion durable de l’environnement et la résilience des populations au changement climatique et aux risques des catastrophes ;   </w:t>
            </w:r>
          </w:p>
          <w:p w14:paraId="61F8C69E" w14:textId="5913FBDD" w:rsidR="005B5FD2" w:rsidRPr="00C76338" w:rsidRDefault="005B5FD2" w:rsidP="00632820">
            <w:pPr>
              <w:spacing w:before="60" w:line="276" w:lineRule="auto"/>
              <w:rPr>
                <w:b/>
                <w:sz w:val="20"/>
                <w:szCs w:val="20"/>
                <w:lang w:val="fr-CA"/>
              </w:rPr>
            </w:pPr>
            <w:r w:rsidRPr="00C76338">
              <w:rPr>
                <w:sz w:val="20"/>
                <w:szCs w:val="20"/>
                <w:lang w:val="fr-CA"/>
              </w:rPr>
              <w:t>Produit 2.2 : Les outils de planification, de gestion durable de l’environnement et des Ressources Naturelles, des catastrophes et du cadre de vie sont révisés/élaborés et utilisés pour prendre en compte les aspects du changement climatique</w:t>
            </w:r>
          </w:p>
        </w:tc>
      </w:tr>
    </w:tbl>
    <w:p w14:paraId="506BDB88" w14:textId="77777777" w:rsidR="00632820" w:rsidRPr="00B06846" w:rsidRDefault="00632820">
      <w:pPr>
        <w:rPr>
          <w:lang w:val="fr-FR"/>
        </w:rPr>
      </w:pPr>
    </w:p>
    <w:tbl>
      <w:tblPr>
        <w:tblW w:w="13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5"/>
      </w:tblGrid>
      <w:tr w:rsidR="004D7E87" w:rsidRPr="00B06846" w14:paraId="24DB2AD5" w14:textId="77777777" w:rsidTr="00632820">
        <w:trPr>
          <w:cantSplit/>
          <w:trHeight w:val="812"/>
          <w:tblHeader/>
        </w:trPr>
        <w:tc>
          <w:tcPr>
            <w:tcW w:w="13655" w:type="dxa"/>
            <w:tcBorders>
              <w:top w:val="single" w:sz="4" w:space="0" w:color="auto"/>
              <w:left w:val="single" w:sz="4" w:space="0" w:color="auto"/>
              <w:bottom w:val="single" w:sz="4" w:space="0" w:color="auto"/>
              <w:right w:val="single" w:sz="4" w:space="0" w:color="auto"/>
            </w:tcBorders>
            <w:shd w:val="clear" w:color="auto" w:fill="auto"/>
          </w:tcPr>
          <w:p w14:paraId="37CBE9F5" w14:textId="058BABAF" w:rsidR="004D7E87" w:rsidRPr="00C76338" w:rsidRDefault="004D7E87" w:rsidP="004D7E87">
            <w:pPr>
              <w:spacing w:before="60"/>
              <w:rPr>
                <w:b/>
                <w:sz w:val="20"/>
                <w:szCs w:val="20"/>
                <w:highlight w:val="yellow"/>
                <w:lang w:val="fr-CA"/>
              </w:rPr>
            </w:pPr>
            <w:r w:rsidRPr="004D7E87">
              <w:rPr>
                <w:lang w:val="fr-FR"/>
              </w:rPr>
              <w:lastRenderedPageBreak/>
              <w:t>RÉALISATION 2 ÉNONCÉE DANS LE CONCERNANT LE PNUD : D’ici à 2022, les institutions nationales, la société civile et le secteur privé auront mis en œuvre les politiques visant à améliorer la sécurité alimentaire, la gestion durable de l’environnement, la résilience des populations au changement climatique et la gestion des risques liés aux catastrophes</w:t>
            </w:r>
          </w:p>
        </w:tc>
      </w:tr>
      <w:tr w:rsidR="005B5FD2" w:rsidRPr="00B06846" w14:paraId="55EF02BA" w14:textId="77777777" w:rsidTr="00632820">
        <w:trPr>
          <w:cantSplit/>
          <w:trHeight w:val="1066"/>
          <w:tblHeader/>
        </w:trPr>
        <w:tc>
          <w:tcPr>
            <w:tcW w:w="13655" w:type="dxa"/>
            <w:tcBorders>
              <w:top w:val="single" w:sz="4" w:space="0" w:color="auto"/>
              <w:left w:val="single" w:sz="4" w:space="0" w:color="auto"/>
              <w:bottom w:val="single" w:sz="4" w:space="0" w:color="auto"/>
              <w:right w:val="single" w:sz="4" w:space="0" w:color="auto"/>
            </w:tcBorders>
            <w:shd w:val="clear" w:color="auto" w:fill="auto"/>
          </w:tcPr>
          <w:p w14:paraId="3530F6F3" w14:textId="5849B716" w:rsidR="00B02617" w:rsidRPr="00C76338" w:rsidRDefault="00B02617" w:rsidP="005B5FD2">
            <w:pPr>
              <w:spacing w:before="60"/>
              <w:rPr>
                <w:b/>
                <w:sz w:val="20"/>
                <w:szCs w:val="20"/>
                <w:lang w:val="fr-CA"/>
              </w:rPr>
            </w:pPr>
            <w:r w:rsidRPr="00C76338">
              <w:rPr>
                <w:b/>
                <w:sz w:val="20"/>
                <w:szCs w:val="20"/>
                <w:lang w:val="fr-CA"/>
              </w:rPr>
              <w:t>Le projet concour</w:t>
            </w:r>
            <w:r w:rsidR="008F38DC" w:rsidRPr="00C76338">
              <w:rPr>
                <w:b/>
                <w:sz w:val="20"/>
                <w:szCs w:val="20"/>
                <w:lang w:val="fr-CA"/>
              </w:rPr>
              <w:t>r</w:t>
            </w:r>
            <w:r w:rsidRPr="00C76338">
              <w:rPr>
                <w:b/>
                <w:sz w:val="20"/>
                <w:szCs w:val="20"/>
                <w:lang w:val="fr-CA"/>
              </w:rPr>
              <w:t>a à atteindre les résultats suivants du Programme Pays du PNUD</w:t>
            </w:r>
            <w:r w:rsidR="008F38DC" w:rsidRPr="00C76338">
              <w:rPr>
                <w:b/>
                <w:sz w:val="20"/>
                <w:szCs w:val="20"/>
                <w:lang w:val="fr-CA"/>
              </w:rPr>
              <w:t> :</w:t>
            </w:r>
          </w:p>
          <w:p w14:paraId="2E6B7D8B" w14:textId="4214DB61" w:rsidR="005B5FD2" w:rsidRPr="00C76338" w:rsidRDefault="005B5FD2" w:rsidP="005B5FD2">
            <w:pPr>
              <w:spacing w:before="60"/>
              <w:rPr>
                <w:sz w:val="20"/>
                <w:szCs w:val="20"/>
                <w:lang w:val="fr-CA"/>
              </w:rPr>
            </w:pPr>
            <w:r w:rsidRPr="00C76338">
              <w:rPr>
                <w:sz w:val="20"/>
                <w:szCs w:val="20"/>
                <w:lang w:val="fr-CA"/>
              </w:rPr>
              <w:t>Résultat 2.4: Les ménages des villes et villages ciblés ont un meilleur accès aux technologies de substitution, aux énergies renouvelables et à un environnement propice à un mode de vie sain.</w:t>
            </w:r>
          </w:p>
          <w:p w14:paraId="029980CE" w14:textId="1B3591CF" w:rsidR="005B5FD2" w:rsidRPr="00C76338" w:rsidRDefault="005B5FD2" w:rsidP="005B5FD2">
            <w:pPr>
              <w:spacing w:before="60"/>
              <w:rPr>
                <w:b/>
                <w:sz w:val="20"/>
                <w:szCs w:val="20"/>
                <w:lang w:val="fr-CA"/>
              </w:rPr>
            </w:pPr>
            <w:r w:rsidRPr="00C76338">
              <w:rPr>
                <w:sz w:val="20"/>
                <w:szCs w:val="20"/>
                <w:lang w:val="fr-CA"/>
              </w:rPr>
              <w:t>Résultat 2.5: Les groupes les plus vulnérables possèdent de meilleures capacités de résilience et d’adaptation au changement climatique</w:t>
            </w:r>
          </w:p>
        </w:tc>
      </w:tr>
      <w:tr w:rsidR="003D4708" w:rsidRPr="00B06846" w14:paraId="02C6A305" w14:textId="77777777" w:rsidTr="00632820">
        <w:trPr>
          <w:cantSplit/>
          <w:trHeight w:val="7402"/>
          <w:tblHeader/>
        </w:trPr>
        <w:tc>
          <w:tcPr>
            <w:tcW w:w="13655" w:type="dxa"/>
          </w:tcPr>
          <w:p w14:paraId="5689F95C" w14:textId="04DA8B01" w:rsidR="003D4708" w:rsidRDefault="003D4708" w:rsidP="00236F6D">
            <w:pPr>
              <w:spacing w:before="60"/>
              <w:rPr>
                <w:b/>
                <w:sz w:val="20"/>
                <w:szCs w:val="20"/>
                <w:lang w:val="fr-CA"/>
              </w:rPr>
            </w:pPr>
            <w:r w:rsidRPr="00C76338">
              <w:rPr>
                <w:b/>
                <w:sz w:val="20"/>
                <w:szCs w:val="20"/>
                <w:lang w:val="fr-CA"/>
              </w:rPr>
              <w:t xml:space="preserve">Produit(s) applicable(s) du Plan stratégique du PNUD : </w:t>
            </w:r>
          </w:p>
          <w:p w14:paraId="64E4BED0" w14:textId="77777777" w:rsidR="004D0830" w:rsidRPr="004D0830" w:rsidRDefault="004D0830" w:rsidP="00C21EE2">
            <w:pPr>
              <w:pStyle w:val="Paragraphedeliste"/>
              <w:numPr>
                <w:ilvl w:val="0"/>
                <w:numId w:val="10"/>
              </w:numPr>
              <w:spacing w:after="0"/>
              <w:rPr>
                <w:b/>
                <w:sz w:val="20"/>
                <w:szCs w:val="20"/>
                <w:lang w:val="fr-FR"/>
              </w:rPr>
            </w:pPr>
            <w:r w:rsidRPr="004D0830">
              <w:rPr>
                <w:b/>
                <w:sz w:val="20"/>
                <w:szCs w:val="20"/>
                <w:lang w:val="fr-FR"/>
              </w:rPr>
              <w:t>Résultat 2.4 : Les ménages des villes et villages ciblés ont un meilleur accès aux technologies de substitution, aux énergies renouvelables et à un environnement propice à un mode de vie sain.</w:t>
            </w:r>
          </w:p>
          <w:p w14:paraId="36792122" w14:textId="77777777" w:rsidR="004D0830" w:rsidRPr="004D0830" w:rsidRDefault="004D0830" w:rsidP="004D0830">
            <w:pPr>
              <w:spacing w:after="0"/>
              <w:rPr>
                <w:sz w:val="20"/>
                <w:szCs w:val="20"/>
                <w:lang w:val="fr-FR"/>
              </w:rPr>
            </w:pPr>
          </w:p>
          <w:p w14:paraId="5FF8DA95" w14:textId="77777777" w:rsidR="004D0830" w:rsidRPr="004D0830" w:rsidRDefault="004D0830" w:rsidP="00C21EE2">
            <w:pPr>
              <w:pStyle w:val="Paragraphedeliste"/>
              <w:numPr>
                <w:ilvl w:val="0"/>
                <w:numId w:val="11"/>
              </w:numPr>
              <w:spacing w:after="0"/>
              <w:ind w:left="1080"/>
              <w:rPr>
                <w:sz w:val="20"/>
                <w:szCs w:val="20"/>
                <w:lang w:val="fr-FR"/>
              </w:rPr>
            </w:pPr>
            <w:r w:rsidRPr="004D0830">
              <w:rPr>
                <w:sz w:val="20"/>
                <w:szCs w:val="20"/>
                <w:lang w:val="fr-FR"/>
              </w:rPr>
              <w:t>Indicateur 2.4.1 : Nombre de ménages bénéficiant de technologies de substitution et d’énergies renouvelables</w:t>
            </w:r>
          </w:p>
          <w:p w14:paraId="68E68009" w14:textId="46A8E343" w:rsidR="004D0830" w:rsidRPr="004D0830" w:rsidRDefault="004D0830" w:rsidP="00C21EE2">
            <w:pPr>
              <w:pStyle w:val="Paragraphedeliste"/>
              <w:numPr>
                <w:ilvl w:val="0"/>
                <w:numId w:val="11"/>
              </w:numPr>
              <w:spacing w:after="0"/>
              <w:ind w:left="1080"/>
              <w:rPr>
                <w:sz w:val="20"/>
                <w:szCs w:val="20"/>
                <w:lang w:val="fr-FR"/>
              </w:rPr>
            </w:pPr>
            <w:r w:rsidRPr="004D0830">
              <w:rPr>
                <w:sz w:val="20"/>
                <w:szCs w:val="20"/>
                <w:lang w:val="fr-FR"/>
              </w:rPr>
              <w:t xml:space="preserve">Données de base : 10126 ; Cible : </w:t>
            </w:r>
            <w:r w:rsidR="00C762C8" w:rsidRPr="004D0830">
              <w:rPr>
                <w:sz w:val="20"/>
                <w:szCs w:val="20"/>
                <w:lang w:val="fr-FR"/>
              </w:rPr>
              <w:t>15126 ;</w:t>
            </w:r>
            <w:r w:rsidRPr="004D0830">
              <w:rPr>
                <w:sz w:val="20"/>
                <w:szCs w:val="20"/>
                <w:lang w:val="fr-FR"/>
              </w:rPr>
              <w:t xml:space="preserve"> Source des </w:t>
            </w:r>
            <w:r w:rsidR="00C762C8" w:rsidRPr="004D0830">
              <w:rPr>
                <w:sz w:val="20"/>
                <w:szCs w:val="20"/>
                <w:lang w:val="fr-FR"/>
              </w:rPr>
              <w:t>données ;</w:t>
            </w:r>
            <w:r w:rsidRPr="004D0830">
              <w:rPr>
                <w:sz w:val="20"/>
                <w:szCs w:val="20"/>
                <w:lang w:val="fr-FR"/>
              </w:rPr>
              <w:t xml:space="preserve"> rapports sectoriels du MEEF/rapports sectoriels </w:t>
            </w:r>
          </w:p>
          <w:p w14:paraId="6DCAC769" w14:textId="77777777" w:rsidR="004D0830" w:rsidRPr="004D0830" w:rsidRDefault="004D0830" w:rsidP="004D0830">
            <w:pPr>
              <w:spacing w:after="0"/>
              <w:ind w:left="720"/>
              <w:rPr>
                <w:sz w:val="20"/>
                <w:szCs w:val="20"/>
                <w:lang w:val="fr-FR"/>
              </w:rPr>
            </w:pPr>
          </w:p>
          <w:p w14:paraId="175107CD" w14:textId="77777777" w:rsidR="004D0830" w:rsidRPr="004D0830" w:rsidRDefault="004D0830" w:rsidP="00C21EE2">
            <w:pPr>
              <w:pStyle w:val="Paragraphedeliste"/>
              <w:numPr>
                <w:ilvl w:val="0"/>
                <w:numId w:val="11"/>
              </w:numPr>
              <w:spacing w:after="0"/>
              <w:ind w:left="1080"/>
              <w:rPr>
                <w:sz w:val="20"/>
                <w:szCs w:val="20"/>
                <w:lang w:val="fr-FR"/>
              </w:rPr>
            </w:pPr>
            <w:r w:rsidRPr="004D0830">
              <w:rPr>
                <w:sz w:val="20"/>
                <w:szCs w:val="20"/>
                <w:lang w:val="fr-FR"/>
              </w:rPr>
              <w:t xml:space="preserve">Indicateur 2.4.2 : Nombre de nouveaux mécanismes de partenariats ayant un financement pour des solutions de gestion durable des ressources naturelles, des services écosystémiques, des produits chimiques et des déchets aux niveaux national et sous-national : Données de base : 1 Cible : </w:t>
            </w:r>
            <w:proofErr w:type="gramStart"/>
            <w:r w:rsidRPr="004D0830">
              <w:rPr>
                <w:sz w:val="20"/>
                <w:szCs w:val="20"/>
                <w:lang w:val="fr-FR"/>
              </w:rPr>
              <w:t>2;</w:t>
            </w:r>
            <w:proofErr w:type="gramEnd"/>
            <w:r w:rsidRPr="004D0830">
              <w:rPr>
                <w:sz w:val="20"/>
                <w:szCs w:val="20"/>
                <w:lang w:val="fr-FR"/>
              </w:rPr>
              <w:t xml:space="preserve"> Source des données; rapports sectoriels du MEEF/rapports sectoriels </w:t>
            </w:r>
          </w:p>
          <w:p w14:paraId="1AA4F24E" w14:textId="77777777" w:rsidR="004D0830" w:rsidRPr="004D0830" w:rsidRDefault="004D0830" w:rsidP="004D0830">
            <w:pPr>
              <w:spacing w:after="0"/>
              <w:ind w:left="720"/>
              <w:rPr>
                <w:sz w:val="20"/>
                <w:szCs w:val="20"/>
                <w:lang w:val="fr-FR"/>
              </w:rPr>
            </w:pPr>
          </w:p>
          <w:p w14:paraId="44F061F8" w14:textId="77777777" w:rsidR="004D0830" w:rsidRPr="004D0830" w:rsidRDefault="004D0830" w:rsidP="00C21EE2">
            <w:pPr>
              <w:pStyle w:val="Paragraphedeliste"/>
              <w:numPr>
                <w:ilvl w:val="0"/>
                <w:numId w:val="11"/>
              </w:numPr>
              <w:spacing w:after="0"/>
              <w:ind w:left="1080"/>
              <w:rPr>
                <w:sz w:val="20"/>
                <w:szCs w:val="20"/>
                <w:lang w:val="fr-FR"/>
              </w:rPr>
            </w:pPr>
            <w:r w:rsidRPr="004D0830">
              <w:rPr>
                <w:sz w:val="20"/>
                <w:szCs w:val="20"/>
                <w:lang w:val="fr-FR"/>
              </w:rPr>
              <w:t xml:space="preserve">Indicateur 2.4.3 : Pourcentage de ménages dirigés par une femme bénéficiant d’un accès amélioré à l’énergie </w:t>
            </w:r>
          </w:p>
          <w:p w14:paraId="0B371022" w14:textId="54EB3372" w:rsidR="004D7E87" w:rsidRPr="004D0830" w:rsidRDefault="004D0830" w:rsidP="00C21EE2">
            <w:pPr>
              <w:pStyle w:val="Paragraphedeliste"/>
              <w:numPr>
                <w:ilvl w:val="0"/>
                <w:numId w:val="11"/>
              </w:numPr>
              <w:spacing w:after="0"/>
              <w:ind w:left="1080"/>
              <w:rPr>
                <w:sz w:val="20"/>
                <w:szCs w:val="20"/>
                <w:lang w:val="fr-FR"/>
              </w:rPr>
            </w:pPr>
            <w:r w:rsidRPr="004D0830">
              <w:rPr>
                <w:sz w:val="20"/>
                <w:szCs w:val="20"/>
                <w:lang w:val="fr-FR"/>
              </w:rPr>
              <w:t xml:space="preserve">Données de base : 27 % Cible : 30 </w:t>
            </w:r>
            <w:proofErr w:type="gramStart"/>
            <w:r w:rsidRPr="004D0830">
              <w:rPr>
                <w:sz w:val="20"/>
                <w:szCs w:val="20"/>
                <w:lang w:val="fr-FR"/>
              </w:rPr>
              <w:t>%;</w:t>
            </w:r>
            <w:proofErr w:type="gramEnd"/>
            <w:r w:rsidRPr="004D0830">
              <w:rPr>
                <w:sz w:val="20"/>
                <w:szCs w:val="20"/>
                <w:lang w:val="fr-FR"/>
              </w:rPr>
              <w:t xml:space="preserve"> Source des données; rapports sectoriels du MEEF/rapports sectoriels;</w:t>
            </w:r>
          </w:p>
          <w:p w14:paraId="0AD9A45C" w14:textId="77777777" w:rsidR="004D0830" w:rsidRDefault="004D0830" w:rsidP="004D0830">
            <w:pPr>
              <w:tabs>
                <w:tab w:val="left" w:pos="0"/>
              </w:tabs>
              <w:rPr>
                <w:b/>
                <w:sz w:val="14"/>
                <w:lang w:val="fr-FR"/>
              </w:rPr>
            </w:pPr>
          </w:p>
          <w:p w14:paraId="404976DF" w14:textId="73331C82" w:rsidR="004D0830" w:rsidRPr="004D0830" w:rsidRDefault="004D0830" w:rsidP="00C21EE2">
            <w:pPr>
              <w:pStyle w:val="Paragraphedeliste"/>
              <w:numPr>
                <w:ilvl w:val="0"/>
                <w:numId w:val="10"/>
              </w:numPr>
              <w:spacing w:after="0"/>
              <w:rPr>
                <w:b/>
                <w:sz w:val="20"/>
                <w:szCs w:val="20"/>
                <w:lang w:val="fr-FR"/>
              </w:rPr>
            </w:pPr>
            <w:r w:rsidRPr="004D0830">
              <w:rPr>
                <w:b/>
                <w:sz w:val="20"/>
                <w:szCs w:val="20"/>
                <w:lang w:val="fr-FR"/>
              </w:rPr>
              <w:t>Résultat 2.5 : Les groupes les plus vulnérables possèdent de meilleures capacités de résilience et d’adaptation au changement climatique</w:t>
            </w:r>
          </w:p>
          <w:p w14:paraId="24265889" w14:textId="77777777" w:rsidR="004D7E87" w:rsidRPr="004D7E87" w:rsidRDefault="004D7E87" w:rsidP="004D7E87">
            <w:pPr>
              <w:spacing w:before="60"/>
              <w:rPr>
                <w:b/>
                <w:sz w:val="20"/>
                <w:szCs w:val="20"/>
                <w:lang w:val="fr-FR"/>
              </w:rPr>
            </w:pPr>
          </w:p>
          <w:p w14:paraId="6E1F4899" w14:textId="77777777"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Indicateur 2.5.1 : Nombre de communes ayant intégré les pratiques de résilience et d’adaptation à leur plan de développement local</w:t>
            </w:r>
          </w:p>
          <w:p w14:paraId="413104B3" w14:textId="77777777"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 xml:space="preserve">Données de base : </w:t>
            </w:r>
            <w:proofErr w:type="gramStart"/>
            <w:r w:rsidRPr="004D0830">
              <w:rPr>
                <w:sz w:val="20"/>
                <w:szCs w:val="20"/>
                <w:lang w:val="fr-FR"/>
              </w:rPr>
              <w:t>74;</w:t>
            </w:r>
            <w:proofErr w:type="gramEnd"/>
            <w:r w:rsidRPr="004D0830">
              <w:rPr>
                <w:sz w:val="20"/>
                <w:szCs w:val="20"/>
                <w:lang w:val="fr-FR"/>
              </w:rPr>
              <w:t xml:space="preserve"> Cible; 100; Source des données; rapports sectoriels du MEEF/rapports sectoriels; </w:t>
            </w:r>
          </w:p>
          <w:p w14:paraId="108E2F41" w14:textId="77777777" w:rsidR="004D7E87" w:rsidRPr="004D0830" w:rsidRDefault="004D7E87" w:rsidP="004D0830">
            <w:pPr>
              <w:spacing w:after="0"/>
              <w:ind w:left="360"/>
              <w:rPr>
                <w:sz w:val="20"/>
                <w:szCs w:val="20"/>
                <w:lang w:val="fr-FR"/>
              </w:rPr>
            </w:pPr>
          </w:p>
          <w:p w14:paraId="39B79D7E" w14:textId="77777777"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Indicateur 2.5.2 : Nombre de femmes et de jeunes capables d’adapter leur environnement économique et de vie au changement climatique</w:t>
            </w:r>
          </w:p>
          <w:p w14:paraId="5421AC2F" w14:textId="0C0E7F75"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 xml:space="preserve">2.5.2a Données de base </w:t>
            </w:r>
            <w:r w:rsidR="00C762C8" w:rsidRPr="004D0830">
              <w:rPr>
                <w:sz w:val="20"/>
                <w:szCs w:val="20"/>
                <w:lang w:val="fr-FR"/>
              </w:rPr>
              <w:t>femmes ;</w:t>
            </w:r>
            <w:r w:rsidRPr="004D0830">
              <w:rPr>
                <w:sz w:val="20"/>
                <w:szCs w:val="20"/>
                <w:lang w:val="fr-FR"/>
              </w:rPr>
              <w:t xml:space="preserve"> 1 </w:t>
            </w:r>
            <w:r w:rsidR="00C762C8" w:rsidRPr="004D0830">
              <w:rPr>
                <w:sz w:val="20"/>
                <w:szCs w:val="20"/>
                <w:lang w:val="fr-FR"/>
              </w:rPr>
              <w:t>735 ;</w:t>
            </w:r>
            <w:r w:rsidRPr="004D0830">
              <w:rPr>
                <w:sz w:val="20"/>
                <w:szCs w:val="20"/>
                <w:lang w:val="fr-FR"/>
              </w:rPr>
              <w:t xml:space="preserve"> </w:t>
            </w:r>
            <w:r w:rsidR="00C762C8" w:rsidRPr="004D0830">
              <w:rPr>
                <w:sz w:val="20"/>
                <w:szCs w:val="20"/>
                <w:lang w:val="fr-FR"/>
              </w:rPr>
              <w:t>Cible ;</w:t>
            </w:r>
            <w:r w:rsidRPr="004D0830">
              <w:rPr>
                <w:sz w:val="20"/>
                <w:szCs w:val="20"/>
                <w:lang w:val="fr-FR"/>
              </w:rPr>
              <w:t xml:space="preserve"> 5 000</w:t>
            </w:r>
          </w:p>
          <w:p w14:paraId="2AD776DE" w14:textId="7B2CB670"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 xml:space="preserve">2.5.2b Données de base </w:t>
            </w:r>
            <w:r w:rsidR="00C762C8" w:rsidRPr="004D0830">
              <w:rPr>
                <w:sz w:val="20"/>
                <w:szCs w:val="20"/>
                <w:lang w:val="fr-FR"/>
              </w:rPr>
              <w:t>jeunes ;</w:t>
            </w:r>
            <w:r w:rsidRPr="004D0830">
              <w:rPr>
                <w:sz w:val="20"/>
                <w:szCs w:val="20"/>
                <w:lang w:val="fr-FR"/>
              </w:rPr>
              <w:t xml:space="preserve"> </w:t>
            </w:r>
            <w:proofErr w:type="gramStart"/>
            <w:r w:rsidRPr="004D0830">
              <w:rPr>
                <w:sz w:val="20"/>
                <w:szCs w:val="20"/>
                <w:lang w:val="fr-FR"/>
              </w:rPr>
              <w:t>0;</w:t>
            </w:r>
            <w:proofErr w:type="gramEnd"/>
            <w:r w:rsidRPr="004D0830">
              <w:rPr>
                <w:sz w:val="20"/>
                <w:szCs w:val="20"/>
                <w:lang w:val="fr-FR"/>
              </w:rPr>
              <w:t xml:space="preserve"> Cible; Source des données; rapports sectoriels du MEEF/rapports sectoriels; </w:t>
            </w:r>
          </w:p>
          <w:p w14:paraId="26F7FCCA" w14:textId="77777777" w:rsidR="004D7E87" w:rsidRPr="004D0830" w:rsidRDefault="004D7E87" w:rsidP="004D0830">
            <w:pPr>
              <w:spacing w:after="0"/>
              <w:ind w:left="360"/>
              <w:rPr>
                <w:sz w:val="20"/>
                <w:szCs w:val="20"/>
                <w:lang w:val="fr-FR"/>
              </w:rPr>
            </w:pPr>
          </w:p>
          <w:p w14:paraId="12A99891" w14:textId="77777777"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Indicateur 2.5.3 : Zones d’écosystèmes de forêts reboisées ou protégées par le PNUD</w:t>
            </w:r>
          </w:p>
          <w:p w14:paraId="0F4EBB96" w14:textId="77777777"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 xml:space="preserve">Données de </w:t>
            </w:r>
            <w:proofErr w:type="gramStart"/>
            <w:r w:rsidRPr="004D0830">
              <w:rPr>
                <w:sz w:val="20"/>
                <w:szCs w:val="20"/>
                <w:lang w:val="fr-FR"/>
              </w:rPr>
              <w:t>base;</w:t>
            </w:r>
            <w:proofErr w:type="gramEnd"/>
            <w:r w:rsidRPr="004D0830">
              <w:rPr>
                <w:sz w:val="20"/>
                <w:szCs w:val="20"/>
                <w:lang w:val="fr-FR"/>
              </w:rPr>
              <w:t xml:space="preserve"> 916; Cible; 2 916 ha; Source des données; rapports sectoriels du MEEF/rapports sectoriels; </w:t>
            </w:r>
          </w:p>
          <w:p w14:paraId="5A7F12DA" w14:textId="77777777" w:rsidR="004D7E87" w:rsidRPr="004D0830" w:rsidRDefault="004D7E87" w:rsidP="004D0830">
            <w:pPr>
              <w:spacing w:after="0"/>
              <w:ind w:left="360"/>
              <w:rPr>
                <w:sz w:val="20"/>
                <w:szCs w:val="20"/>
                <w:lang w:val="fr-FR"/>
              </w:rPr>
            </w:pPr>
          </w:p>
          <w:p w14:paraId="58031939" w14:textId="77777777" w:rsidR="004D7E87" w:rsidRPr="004D0830" w:rsidRDefault="004D7E87" w:rsidP="00C21EE2">
            <w:pPr>
              <w:pStyle w:val="Paragraphedeliste"/>
              <w:numPr>
                <w:ilvl w:val="0"/>
                <w:numId w:val="12"/>
              </w:numPr>
              <w:spacing w:after="0"/>
              <w:ind w:left="1080"/>
              <w:rPr>
                <w:sz w:val="20"/>
                <w:szCs w:val="20"/>
                <w:lang w:val="fr-FR"/>
              </w:rPr>
            </w:pPr>
            <w:r w:rsidRPr="004D0830">
              <w:rPr>
                <w:sz w:val="20"/>
                <w:szCs w:val="20"/>
                <w:lang w:val="fr-FR"/>
              </w:rPr>
              <w:t xml:space="preserve">Indicateur 2.5.4 : Nombre de systèmes d’informations en matière de climat mis en place et opérationnels </w:t>
            </w:r>
          </w:p>
          <w:p w14:paraId="300006EF" w14:textId="09EB8C5B" w:rsidR="004D7E87" w:rsidRPr="004D0830" w:rsidRDefault="004D7E87" w:rsidP="00C21EE2">
            <w:pPr>
              <w:pStyle w:val="Paragraphedeliste"/>
              <w:numPr>
                <w:ilvl w:val="0"/>
                <w:numId w:val="12"/>
              </w:numPr>
              <w:spacing w:after="0"/>
              <w:ind w:left="1080"/>
              <w:rPr>
                <w:b/>
                <w:sz w:val="20"/>
                <w:szCs w:val="20"/>
                <w:lang w:val="fr-FR"/>
              </w:rPr>
            </w:pPr>
            <w:r w:rsidRPr="004D0830">
              <w:rPr>
                <w:sz w:val="20"/>
                <w:szCs w:val="20"/>
                <w:lang w:val="fr-FR"/>
              </w:rPr>
              <w:t xml:space="preserve">Données de </w:t>
            </w:r>
            <w:proofErr w:type="gramStart"/>
            <w:r w:rsidRPr="004D0830">
              <w:rPr>
                <w:sz w:val="20"/>
                <w:szCs w:val="20"/>
                <w:lang w:val="fr-FR"/>
              </w:rPr>
              <w:t>base;</w:t>
            </w:r>
            <w:proofErr w:type="gramEnd"/>
            <w:r w:rsidRPr="004D0830">
              <w:rPr>
                <w:sz w:val="20"/>
                <w:szCs w:val="20"/>
                <w:lang w:val="fr-FR"/>
              </w:rPr>
              <w:t xml:space="preserve"> 0; Cible; 1; Source des données; rapports sectoriels du MEEF/rapports sectoriels</w:t>
            </w:r>
            <w:r w:rsidRPr="004D0830">
              <w:rPr>
                <w:b/>
                <w:sz w:val="20"/>
                <w:szCs w:val="20"/>
                <w:lang w:val="fr-FR"/>
              </w:rPr>
              <w:t>;</w:t>
            </w:r>
          </w:p>
          <w:p w14:paraId="7CAC8DBE" w14:textId="64C4374A" w:rsidR="008F38DC" w:rsidRPr="00C76338" w:rsidRDefault="008F38DC" w:rsidP="00236F6D">
            <w:pPr>
              <w:spacing w:before="60"/>
              <w:rPr>
                <w:b/>
                <w:sz w:val="20"/>
                <w:szCs w:val="20"/>
                <w:lang w:val="fr-CA"/>
              </w:rPr>
            </w:pPr>
          </w:p>
        </w:tc>
      </w:tr>
    </w:tbl>
    <w:p w14:paraId="5505F5C0" w14:textId="77777777" w:rsidR="00C76338" w:rsidRPr="004D7E87" w:rsidRDefault="00C76338">
      <w:pPr>
        <w:rPr>
          <w:lang w:val="fr-FR"/>
        </w:rPr>
      </w:pPr>
    </w:p>
    <w:tbl>
      <w:tblPr>
        <w:tblW w:w="13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2834"/>
        <w:gridCol w:w="1134"/>
        <w:gridCol w:w="1020"/>
        <w:gridCol w:w="724"/>
        <w:gridCol w:w="724"/>
        <w:gridCol w:w="724"/>
        <w:gridCol w:w="724"/>
        <w:gridCol w:w="724"/>
        <w:gridCol w:w="724"/>
        <w:gridCol w:w="725"/>
        <w:gridCol w:w="2013"/>
      </w:tblGrid>
      <w:tr w:rsidR="003D4708" w:rsidRPr="003B45A1" w14:paraId="5EDB569C" w14:textId="77777777" w:rsidTr="00632820">
        <w:trPr>
          <w:cantSplit/>
          <w:trHeight w:val="388"/>
          <w:tblHeader/>
        </w:trPr>
        <w:tc>
          <w:tcPr>
            <w:tcW w:w="13518" w:type="dxa"/>
            <w:gridSpan w:val="12"/>
            <w:tcBorders>
              <w:bottom w:val="single" w:sz="4" w:space="0" w:color="auto"/>
            </w:tcBorders>
          </w:tcPr>
          <w:p w14:paraId="1968A6FF" w14:textId="77777777" w:rsidR="003D4708" w:rsidRPr="003B45A1" w:rsidRDefault="003D4708" w:rsidP="00236F6D">
            <w:pPr>
              <w:spacing w:before="60"/>
              <w:rPr>
                <w:sz w:val="20"/>
                <w:szCs w:val="20"/>
                <w:lang w:val="fr-CA"/>
              </w:rPr>
            </w:pPr>
            <w:r w:rsidRPr="003B45A1">
              <w:rPr>
                <w:sz w:val="20"/>
                <w:szCs w:val="20"/>
                <w:lang w:val="fr-CA"/>
              </w:rPr>
              <w:t>Intitulé et numéro Atlas du projet :</w:t>
            </w:r>
          </w:p>
        </w:tc>
      </w:tr>
      <w:tr w:rsidR="003D4708" w:rsidRPr="003B45A1" w14:paraId="7223B64F" w14:textId="77777777" w:rsidTr="003B45A1">
        <w:trPr>
          <w:trHeight w:val="582"/>
          <w:tblHeader/>
        </w:trPr>
        <w:tc>
          <w:tcPr>
            <w:tcW w:w="1448" w:type="dxa"/>
            <w:vMerge w:val="restart"/>
            <w:shd w:val="clear" w:color="auto" w:fill="FFFF99"/>
          </w:tcPr>
          <w:p w14:paraId="1F968494" w14:textId="77777777" w:rsidR="003D4708" w:rsidRPr="003B45A1" w:rsidRDefault="003D4708" w:rsidP="00236F6D">
            <w:pPr>
              <w:spacing w:before="60"/>
              <w:jc w:val="center"/>
              <w:rPr>
                <w:rFonts w:cs="Arial"/>
                <w:sz w:val="20"/>
                <w:szCs w:val="20"/>
                <w:lang w:val="fr-CA"/>
              </w:rPr>
            </w:pPr>
            <w:r w:rsidRPr="003B45A1">
              <w:rPr>
                <w:rFonts w:cs="Arial"/>
                <w:sz w:val="20"/>
                <w:szCs w:val="20"/>
                <w:lang w:val="fr-CA"/>
              </w:rPr>
              <w:t xml:space="preserve">PRODUITS ESCOMPTÉS </w:t>
            </w:r>
          </w:p>
        </w:tc>
        <w:tc>
          <w:tcPr>
            <w:tcW w:w="2834" w:type="dxa"/>
            <w:vMerge w:val="restart"/>
            <w:shd w:val="clear" w:color="auto" w:fill="FFFF99"/>
          </w:tcPr>
          <w:p w14:paraId="6C68D670" w14:textId="77777777" w:rsidR="003D4708" w:rsidRPr="003B45A1" w:rsidRDefault="003D4708" w:rsidP="00236F6D">
            <w:pPr>
              <w:spacing w:before="60"/>
              <w:jc w:val="center"/>
              <w:rPr>
                <w:rFonts w:cs="Arial"/>
                <w:sz w:val="20"/>
                <w:szCs w:val="20"/>
                <w:lang w:val="fr-CA"/>
              </w:rPr>
            </w:pPr>
            <w:r w:rsidRPr="003B45A1">
              <w:rPr>
                <w:rFonts w:cs="Arial"/>
                <w:sz w:val="20"/>
                <w:szCs w:val="20"/>
                <w:lang w:val="fr-CA"/>
              </w:rPr>
              <w:t>INDICATEURS DE PRODUIT</w:t>
            </w:r>
            <w:r w:rsidRPr="003B45A1">
              <w:rPr>
                <w:rStyle w:val="Appelnotedebasdep"/>
                <w:rFonts w:cs="Arial"/>
                <w:sz w:val="20"/>
                <w:szCs w:val="20"/>
                <w:lang w:val="fr-CA"/>
              </w:rPr>
              <w:footnoteReference w:id="4"/>
            </w:r>
          </w:p>
        </w:tc>
        <w:tc>
          <w:tcPr>
            <w:tcW w:w="1134" w:type="dxa"/>
            <w:vMerge w:val="restart"/>
            <w:shd w:val="clear" w:color="auto" w:fill="FFFF99"/>
          </w:tcPr>
          <w:p w14:paraId="0CF77B21" w14:textId="77777777" w:rsidR="003D4708" w:rsidRPr="003B45A1" w:rsidRDefault="003D4708" w:rsidP="00236F6D">
            <w:pPr>
              <w:spacing w:before="60"/>
              <w:jc w:val="center"/>
              <w:rPr>
                <w:rFonts w:cs="Arial"/>
                <w:sz w:val="20"/>
                <w:szCs w:val="20"/>
                <w:lang w:val="fr-CA"/>
              </w:rPr>
            </w:pPr>
            <w:r w:rsidRPr="003B45A1">
              <w:rPr>
                <w:rFonts w:cs="Arial"/>
                <w:sz w:val="20"/>
                <w:szCs w:val="20"/>
                <w:lang w:val="fr-CA"/>
              </w:rPr>
              <w:t>SOURCE DES DONNÉES</w:t>
            </w:r>
          </w:p>
        </w:tc>
        <w:tc>
          <w:tcPr>
            <w:tcW w:w="1744" w:type="dxa"/>
            <w:gridSpan w:val="2"/>
            <w:shd w:val="clear" w:color="auto" w:fill="FFFF99"/>
          </w:tcPr>
          <w:p w14:paraId="0D3B5EF5" w14:textId="77777777" w:rsidR="003D4708" w:rsidRPr="003B45A1" w:rsidRDefault="003D4708" w:rsidP="00236F6D">
            <w:pPr>
              <w:spacing w:before="60"/>
              <w:jc w:val="center"/>
              <w:rPr>
                <w:rFonts w:cs="Arial"/>
                <w:sz w:val="20"/>
                <w:szCs w:val="20"/>
                <w:lang w:val="fr-CA"/>
              </w:rPr>
            </w:pPr>
            <w:r w:rsidRPr="003B45A1">
              <w:rPr>
                <w:rFonts w:cs="Arial"/>
                <w:sz w:val="20"/>
                <w:szCs w:val="20"/>
                <w:lang w:val="fr-CA"/>
              </w:rPr>
              <w:t>SITUATION DE RÉFÉRENCE</w:t>
            </w:r>
          </w:p>
        </w:tc>
        <w:tc>
          <w:tcPr>
            <w:tcW w:w="4345" w:type="dxa"/>
            <w:gridSpan w:val="6"/>
            <w:shd w:val="clear" w:color="auto" w:fill="FFFF99"/>
          </w:tcPr>
          <w:p w14:paraId="39B698CC" w14:textId="77777777" w:rsidR="003D4708" w:rsidRPr="003B45A1" w:rsidRDefault="003D4708" w:rsidP="00236F6D">
            <w:pPr>
              <w:pStyle w:val="Titre2"/>
              <w:spacing w:before="60"/>
              <w:ind w:left="0"/>
              <w:jc w:val="center"/>
              <w:rPr>
                <w:rFonts w:ascii="Arial" w:hAnsi="Arial" w:cs="Arial"/>
                <w:b w:val="0"/>
                <w:sz w:val="20"/>
                <w:szCs w:val="20"/>
                <w:lang w:val="fr-CA"/>
              </w:rPr>
            </w:pPr>
            <w:r w:rsidRPr="003B45A1">
              <w:rPr>
                <w:rFonts w:ascii="Arial" w:hAnsi="Arial" w:cs="Arial"/>
                <w:b w:val="0"/>
                <w:sz w:val="20"/>
                <w:szCs w:val="20"/>
                <w:lang w:val="fr-CA"/>
              </w:rPr>
              <w:t>CIBLES (par fréquence de recueil des données)</w:t>
            </w:r>
          </w:p>
        </w:tc>
        <w:tc>
          <w:tcPr>
            <w:tcW w:w="2013" w:type="dxa"/>
            <w:vMerge w:val="restart"/>
            <w:shd w:val="clear" w:color="auto" w:fill="FFFF99"/>
          </w:tcPr>
          <w:p w14:paraId="2D10A200" w14:textId="77777777" w:rsidR="003D4708" w:rsidRPr="003B45A1" w:rsidRDefault="003D4708" w:rsidP="00236F6D">
            <w:pPr>
              <w:pStyle w:val="Titre2"/>
              <w:spacing w:before="60"/>
              <w:ind w:left="0"/>
              <w:jc w:val="center"/>
              <w:rPr>
                <w:rFonts w:ascii="Arial" w:hAnsi="Arial" w:cs="Arial"/>
                <w:b w:val="0"/>
                <w:sz w:val="20"/>
                <w:szCs w:val="20"/>
                <w:lang w:val="fr-CA"/>
              </w:rPr>
            </w:pPr>
            <w:r w:rsidRPr="003B45A1">
              <w:rPr>
                <w:rFonts w:ascii="Arial" w:hAnsi="Arial" w:cs="Arial"/>
                <w:b w:val="0"/>
                <w:sz w:val="20"/>
                <w:szCs w:val="20"/>
                <w:lang w:val="fr-CA"/>
              </w:rPr>
              <w:t xml:space="preserve">MÉTHODES DE RECUEIL DES DONNÉES ET RISQUES Y RELATIFS </w:t>
            </w:r>
          </w:p>
        </w:tc>
      </w:tr>
      <w:tr w:rsidR="003D4708" w:rsidRPr="003B45A1" w14:paraId="69376AB5" w14:textId="77777777" w:rsidTr="003B45A1">
        <w:trPr>
          <w:trHeight w:val="557"/>
          <w:tblHeader/>
        </w:trPr>
        <w:tc>
          <w:tcPr>
            <w:tcW w:w="1448" w:type="dxa"/>
            <w:vMerge/>
            <w:shd w:val="clear" w:color="auto" w:fill="FFFF99"/>
          </w:tcPr>
          <w:p w14:paraId="5F15EC82" w14:textId="77777777" w:rsidR="003D4708" w:rsidRPr="003B45A1" w:rsidRDefault="003D4708" w:rsidP="00236F6D">
            <w:pPr>
              <w:spacing w:before="60"/>
              <w:jc w:val="center"/>
              <w:rPr>
                <w:rFonts w:cs="Arial"/>
                <w:sz w:val="20"/>
                <w:szCs w:val="20"/>
                <w:lang w:val="fr-CA"/>
              </w:rPr>
            </w:pPr>
          </w:p>
        </w:tc>
        <w:tc>
          <w:tcPr>
            <w:tcW w:w="2834" w:type="dxa"/>
            <w:vMerge/>
            <w:shd w:val="clear" w:color="auto" w:fill="FFFF99"/>
          </w:tcPr>
          <w:p w14:paraId="671F2226" w14:textId="77777777" w:rsidR="003D4708" w:rsidRPr="003B45A1" w:rsidRDefault="003D4708" w:rsidP="00236F6D">
            <w:pPr>
              <w:spacing w:before="60"/>
              <w:jc w:val="center"/>
              <w:rPr>
                <w:rFonts w:cs="Arial"/>
                <w:sz w:val="20"/>
                <w:szCs w:val="20"/>
                <w:lang w:val="fr-CA"/>
              </w:rPr>
            </w:pPr>
          </w:p>
        </w:tc>
        <w:tc>
          <w:tcPr>
            <w:tcW w:w="1134" w:type="dxa"/>
            <w:vMerge/>
            <w:shd w:val="clear" w:color="auto" w:fill="FFFF99"/>
          </w:tcPr>
          <w:p w14:paraId="306DED5D" w14:textId="77777777" w:rsidR="003D4708" w:rsidRPr="003B45A1" w:rsidRDefault="003D4708" w:rsidP="00236F6D">
            <w:pPr>
              <w:spacing w:before="60"/>
              <w:jc w:val="center"/>
              <w:rPr>
                <w:rFonts w:cs="Arial"/>
                <w:sz w:val="20"/>
                <w:szCs w:val="20"/>
                <w:lang w:val="fr-CA"/>
              </w:rPr>
            </w:pPr>
          </w:p>
        </w:tc>
        <w:tc>
          <w:tcPr>
            <w:tcW w:w="1020" w:type="dxa"/>
            <w:tcBorders>
              <w:bottom w:val="single" w:sz="4" w:space="0" w:color="auto"/>
            </w:tcBorders>
            <w:shd w:val="clear" w:color="auto" w:fill="FFFF99"/>
          </w:tcPr>
          <w:p w14:paraId="0437CF4C" w14:textId="77777777" w:rsidR="003D4708" w:rsidRPr="003B45A1" w:rsidRDefault="003D4708" w:rsidP="00236F6D">
            <w:pPr>
              <w:spacing w:before="60"/>
              <w:jc w:val="center"/>
              <w:rPr>
                <w:rFonts w:cs="Arial"/>
                <w:sz w:val="20"/>
                <w:szCs w:val="20"/>
                <w:lang w:val="fr-CA"/>
              </w:rPr>
            </w:pPr>
            <w:r w:rsidRPr="003B45A1">
              <w:rPr>
                <w:rFonts w:cs="Arial"/>
                <w:sz w:val="20"/>
                <w:szCs w:val="20"/>
                <w:lang w:val="fr-CA"/>
              </w:rPr>
              <w:t>Valeur</w:t>
            </w:r>
          </w:p>
          <w:p w14:paraId="6C184729" w14:textId="77777777" w:rsidR="003D4708" w:rsidRPr="003B45A1" w:rsidDel="00A84123" w:rsidRDefault="003D4708" w:rsidP="00236F6D">
            <w:pPr>
              <w:spacing w:before="60"/>
              <w:rPr>
                <w:sz w:val="20"/>
                <w:szCs w:val="20"/>
                <w:lang w:val="fr-CA"/>
              </w:rPr>
            </w:pPr>
          </w:p>
        </w:tc>
        <w:tc>
          <w:tcPr>
            <w:tcW w:w="724" w:type="dxa"/>
            <w:tcBorders>
              <w:bottom w:val="single" w:sz="4" w:space="0" w:color="auto"/>
            </w:tcBorders>
            <w:shd w:val="clear" w:color="auto" w:fill="FFFF99"/>
          </w:tcPr>
          <w:p w14:paraId="7A6EE4B4" w14:textId="77777777" w:rsidR="003D4708" w:rsidRPr="003B45A1" w:rsidRDefault="003D4708" w:rsidP="00236F6D">
            <w:pPr>
              <w:spacing w:before="60"/>
              <w:jc w:val="center"/>
              <w:rPr>
                <w:rFonts w:cs="Arial"/>
                <w:sz w:val="20"/>
                <w:szCs w:val="20"/>
                <w:lang w:val="fr-CA"/>
              </w:rPr>
            </w:pPr>
            <w:r w:rsidRPr="003B45A1">
              <w:rPr>
                <w:rFonts w:cs="Arial"/>
                <w:sz w:val="20"/>
                <w:szCs w:val="20"/>
                <w:lang w:val="fr-CA"/>
              </w:rPr>
              <w:t>Année</w:t>
            </w:r>
          </w:p>
          <w:p w14:paraId="0B48D47D" w14:textId="77777777" w:rsidR="003D4708" w:rsidRPr="003B45A1" w:rsidRDefault="003D4708" w:rsidP="00236F6D">
            <w:pPr>
              <w:pStyle w:val="En-tte"/>
              <w:spacing w:before="60"/>
              <w:rPr>
                <w:rFonts w:cs="Arial"/>
                <w:sz w:val="20"/>
                <w:szCs w:val="20"/>
                <w:lang w:val="fr-CA"/>
              </w:rPr>
            </w:pPr>
          </w:p>
        </w:tc>
        <w:tc>
          <w:tcPr>
            <w:tcW w:w="724" w:type="dxa"/>
            <w:tcBorders>
              <w:bottom w:val="single" w:sz="4" w:space="0" w:color="auto"/>
            </w:tcBorders>
            <w:shd w:val="clear" w:color="auto" w:fill="FFFF99"/>
          </w:tcPr>
          <w:p w14:paraId="040C8612" w14:textId="2B115F88" w:rsidR="003D4708" w:rsidRPr="003B45A1" w:rsidDel="00BD7C58" w:rsidRDefault="003B45A1" w:rsidP="003B45A1">
            <w:pPr>
              <w:spacing w:before="60"/>
              <w:jc w:val="center"/>
              <w:rPr>
                <w:rFonts w:cs="Arial"/>
                <w:sz w:val="20"/>
                <w:szCs w:val="20"/>
                <w:lang w:val="fr-CA"/>
              </w:rPr>
            </w:pPr>
            <w:r>
              <w:rPr>
                <w:rFonts w:cs="Arial"/>
                <w:sz w:val="20"/>
                <w:szCs w:val="20"/>
                <w:lang w:val="fr-CA"/>
              </w:rPr>
              <w:t xml:space="preserve">An </w:t>
            </w:r>
            <w:r w:rsidR="003D4708" w:rsidRPr="003B45A1">
              <w:rPr>
                <w:rFonts w:cs="Arial"/>
                <w:sz w:val="20"/>
                <w:szCs w:val="20"/>
                <w:lang w:val="fr-CA"/>
              </w:rPr>
              <w:t>1</w:t>
            </w:r>
          </w:p>
        </w:tc>
        <w:tc>
          <w:tcPr>
            <w:tcW w:w="724" w:type="dxa"/>
            <w:tcBorders>
              <w:bottom w:val="single" w:sz="4" w:space="0" w:color="auto"/>
            </w:tcBorders>
            <w:shd w:val="clear" w:color="auto" w:fill="FFFF99"/>
          </w:tcPr>
          <w:p w14:paraId="6F801F07" w14:textId="6D240F9E" w:rsidR="003D4708" w:rsidRPr="003B45A1" w:rsidDel="00BD7C58" w:rsidRDefault="003D4708" w:rsidP="003B45A1">
            <w:pPr>
              <w:spacing w:before="60"/>
              <w:jc w:val="center"/>
              <w:rPr>
                <w:rFonts w:cs="Arial"/>
                <w:sz w:val="20"/>
                <w:szCs w:val="20"/>
                <w:lang w:val="fr-CA"/>
              </w:rPr>
            </w:pPr>
            <w:r w:rsidRPr="003B45A1">
              <w:rPr>
                <w:rFonts w:cs="Arial"/>
                <w:sz w:val="20"/>
                <w:szCs w:val="20"/>
                <w:lang w:val="fr-CA"/>
              </w:rPr>
              <w:t>A</w:t>
            </w:r>
            <w:r w:rsidR="003B45A1">
              <w:rPr>
                <w:rFonts w:cs="Arial"/>
                <w:sz w:val="20"/>
                <w:szCs w:val="20"/>
                <w:lang w:val="fr-CA"/>
              </w:rPr>
              <w:t xml:space="preserve">n </w:t>
            </w:r>
            <w:r w:rsidRPr="003B45A1">
              <w:rPr>
                <w:rFonts w:cs="Arial"/>
                <w:sz w:val="20"/>
                <w:szCs w:val="20"/>
                <w:lang w:val="fr-CA"/>
              </w:rPr>
              <w:t>2</w:t>
            </w:r>
          </w:p>
        </w:tc>
        <w:tc>
          <w:tcPr>
            <w:tcW w:w="724" w:type="dxa"/>
            <w:tcBorders>
              <w:bottom w:val="single" w:sz="4" w:space="0" w:color="auto"/>
            </w:tcBorders>
            <w:shd w:val="clear" w:color="auto" w:fill="FFFF99"/>
          </w:tcPr>
          <w:p w14:paraId="21333C1E" w14:textId="6B585D8E" w:rsidR="003D4708" w:rsidRPr="003B45A1" w:rsidDel="00BD7C58" w:rsidRDefault="003D4708" w:rsidP="003B45A1">
            <w:pPr>
              <w:spacing w:before="60"/>
              <w:jc w:val="center"/>
              <w:rPr>
                <w:rFonts w:cs="Arial"/>
                <w:sz w:val="20"/>
                <w:szCs w:val="20"/>
                <w:lang w:val="fr-CA"/>
              </w:rPr>
            </w:pPr>
            <w:r w:rsidRPr="003B45A1">
              <w:rPr>
                <w:rFonts w:cs="Arial"/>
                <w:sz w:val="20"/>
                <w:szCs w:val="20"/>
                <w:lang w:val="fr-CA"/>
              </w:rPr>
              <w:t>An</w:t>
            </w:r>
            <w:r w:rsidR="003B45A1">
              <w:rPr>
                <w:rFonts w:cs="Arial"/>
                <w:sz w:val="20"/>
                <w:szCs w:val="20"/>
                <w:lang w:val="fr-CA"/>
              </w:rPr>
              <w:t xml:space="preserve"> </w:t>
            </w:r>
            <w:r w:rsidRPr="003B45A1">
              <w:rPr>
                <w:rFonts w:cs="Arial"/>
                <w:sz w:val="20"/>
                <w:szCs w:val="20"/>
                <w:lang w:val="fr-CA"/>
              </w:rPr>
              <w:t>3</w:t>
            </w:r>
          </w:p>
        </w:tc>
        <w:tc>
          <w:tcPr>
            <w:tcW w:w="724" w:type="dxa"/>
            <w:tcBorders>
              <w:bottom w:val="single" w:sz="4" w:space="0" w:color="auto"/>
            </w:tcBorders>
            <w:shd w:val="clear" w:color="auto" w:fill="FFFF99"/>
          </w:tcPr>
          <w:p w14:paraId="45960604" w14:textId="6ED69533" w:rsidR="003D4708" w:rsidRPr="003B45A1" w:rsidDel="00BD7C58" w:rsidRDefault="003D4708" w:rsidP="003B45A1">
            <w:pPr>
              <w:spacing w:before="60"/>
              <w:jc w:val="center"/>
              <w:rPr>
                <w:rFonts w:cs="Arial"/>
                <w:sz w:val="20"/>
                <w:szCs w:val="20"/>
                <w:lang w:val="fr-CA"/>
              </w:rPr>
            </w:pPr>
            <w:r w:rsidRPr="003B45A1">
              <w:rPr>
                <w:rFonts w:cs="Arial"/>
                <w:sz w:val="20"/>
                <w:szCs w:val="20"/>
                <w:lang w:val="fr-CA"/>
              </w:rPr>
              <w:t>An</w:t>
            </w:r>
            <w:r w:rsidR="003B45A1">
              <w:rPr>
                <w:rFonts w:cs="Arial"/>
                <w:sz w:val="20"/>
                <w:szCs w:val="20"/>
                <w:lang w:val="fr-CA"/>
              </w:rPr>
              <w:t xml:space="preserve"> </w:t>
            </w:r>
            <w:r w:rsidRPr="003B45A1">
              <w:rPr>
                <w:rFonts w:cs="Arial"/>
                <w:sz w:val="20"/>
                <w:szCs w:val="20"/>
                <w:lang w:val="fr-CA"/>
              </w:rPr>
              <w:t>4</w:t>
            </w:r>
          </w:p>
        </w:tc>
        <w:tc>
          <w:tcPr>
            <w:tcW w:w="724" w:type="dxa"/>
            <w:tcBorders>
              <w:bottom w:val="single" w:sz="4" w:space="0" w:color="auto"/>
            </w:tcBorders>
            <w:shd w:val="clear" w:color="auto" w:fill="FFFF99"/>
          </w:tcPr>
          <w:p w14:paraId="2771AD5C" w14:textId="041AFAAE" w:rsidR="003D4708" w:rsidRPr="003B45A1" w:rsidRDefault="003B45A1" w:rsidP="003B45A1">
            <w:pPr>
              <w:spacing w:before="60"/>
              <w:jc w:val="center"/>
              <w:rPr>
                <w:rFonts w:cs="Arial"/>
                <w:sz w:val="20"/>
                <w:szCs w:val="20"/>
                <w:lang w:val="fr-CA"/>
              </w:rPr>
            </w:pPr>
            <w:r>
              <w:rPr>
                <w:rFonts w:cs="Arial"/>
                <w:sz w:val="20"/>
                <w:szCs w:val="20"/>
                <w:lang w:val="fr-CA"/>
              </w:rPr>
              <w:t>An 5</w:t>
            </w:r>
          </w:p>
        </w:tc>
        <w:tc>
          <w:tcPr>
            <w:tcW w:w="725" w:type="dxa"/>
            <w:tcBorders>
              <w:bottom w:val="single" w:sz="4" w:space="0" w:color="auto"/>
            </w:tcBorders>
            <w:shd w:val="clear" w:color="auto" w:fill="FFFF99"/>
          </w:tcPr>
          <w:p w14:paraId="4F145719" w14:textId="528DF9F1" w:rsidR="003D4708" w:rsidRPr="003B45A1" w:rsidDel="00BD7C58" w:rsidRDefault="003D4708" w:rsidP="003B45A1">
            <w:pPr>
              <w:pStyle w:val="Titre2"/>
              <w:spacing w:before="60"/>
              <w:ind w:left="0"/>
              <w:jc w:val="center"/>
              <w:rPr>
                <w:rFonts w:ascii="Arial" w:hAnsi="Arial" w:cs="Arial"/>
                <w:b w:val="0"/>
                <w:sz w:val="20"/>
                <w:szCs w:val="20"/>
                <w:lang w:val="fr-CA"/>
              </w:rPr>
            </w:pPr>
            <w:r w:rsidRPr="003B45A1">
              <w:rPr>
                <w:rFonts w:ascii="Arial" w:hAnsi="Arial" w:cs="Arial"/>
                <w:b w:val="0"/>
                <w:sz w:val="20"/>
                <w:szCs w:val="20"/>
                <w:lang w:val="fr-CA"/>
              </w:rPr>
              <w:t>FIN</w:t>
            </w:r>
          </w:p>
        </w:tc>
        <w:tc>
          <w:tcPr>
            <w:tcW w:w="2013" w:type="dxa"/>
            <w:vMerge/>
            <w:tcBorders>
              <w:bottom w:val="single" w:sz="4" w:space="0" w:color="auto"/>
            </w:tcBorders>
            <w:shd w:val="clear" w:color="auto" w:fill="FFFF99"/>
          </w:tcPr>
          <w:p w14:paraId="5A5E2828" w14:textId="77777777" w:rsidR="003D4708" w:rsidRPr="003B45A1" w:rsidRDefault="003D4708" w:rsidP="00236F6D">
            <w:pPr>
              <w:pStyle w:val="Titre2"/>
              <w:spacing w:before="60"/>
              <w:rPr>
                <w:rFonts w:ascii="Arial" w:hAnsi="Arial" w:cs="Arial"/>
                <w:b w:val="0"/>
                <w:sz w:val="20"/>
                <w:szCs w:val="20"/>
                <w:lang w:val="fr-CA"/>
              </w:rPr>
            </w:pPr>
          </w:p>
        </w:tc>
      </w:tr>
      <w:tr w:rsidR="003D4708" w:rsidRPr="003B45A1" w14:paraId="20ADB237" w14:textId="77777777" w:rsidTr="003B45A1">
        <w:trPr>
          <w:trHeight w:val="586"/>
          <w:tblHeader/>
        </w:trPr>
        <w:tc>
          <w:tcPr>
            <w:tcW w:w="1448" w:type="dxa"/>
            <w:vMerge w:val="restart"/>
          </w:tcPr>
          <w:p w14:paraId="0E059C57" w14:textId="77777777" w:rsidR="003D4708" w:rsidRPr="003B45A1" w:rsidRDefault="003D4708" w:rsidP="00236F6D">
            <w:pPr>
              <w:spacing w:before="60"/>
              <w:jc w:val="left"/>
              <w:rPr>
                <w:sz w:val="20"/>
                <w:szCs w:val="20"/>
                <w:lang w:val="fr-CA"/>
              </w:rPr>
            </w:pPr>
            <w:r w:rsidRPr="003B45A1">
              <w:rPr>
                <w:sz w:val="20"/>
                <w:szCs w:val="20"/>
                <w:lang w:val="fr-CA"/>
              </w:rPr>
              <w:t>Produit 1</w:t>
            </w:r>
          </w:p>
          <w:p w14:paraId="084B6F61" w14:textId="77777777" w:rsidR="003D4708" w:rsidRPr="003B45A1" w:rsidRDefault="003D4708" w:rsidP="00236F6D">
            <w:pPr>
              <w:spacing w:before="60"/>
              <w:jc w:val="left"/>
              <w:rPr>
                <w:sz w:val="20"/>
                <w:szCs w:val="20"/>
                <w:lang w:val="fr-CA"/>
              </w:rPr>
            </w:pPr>
            <w:r w:rsidRPr="003B45A1">
              <w:rPr>
                <w:sz w:val="20"/>
                <w:szCs w:val="20"/>
                <w:lang w:val="fr-CA"/>
              </w:rPr>
              <w:t xml:space="preserve">Indiquer chaque produit prévu devant concourir à l’obtention de l’effet. </w:t>
            </w:r>
          </w:p>
          <w:p w14:paraId="50FC9170" w14:textId="77777777" w:rsidR="003D4708" w:rsidRPr="003B45A1" w:rsidRDefault="003D4708" w:rsidP="00236F6D">
            <w:pPr>
              <w:spacing w:before="60"/>
              <w:jc w:val="left"/>
              <w:rPr>
                <w:sz w:val="20"/>
                <w:szCs w:val="20"/>
                <w:lang w:val="fr-CA"/>
              </w:rPr>
            </w:pPr>
          </w:p>
        </w:tc>
        <w:tc>
          <w:tcPr>
            <w:tcW w:w="2834" w:type="dxa"/>
          </w:tcPr>
          <w:p w14:paraId="04644E2F" w14:textId="77777777" w:rsidR="003D4708" w:rsidRPr="003B45A1" w:rsidDel="00A84123" w:rsidRDefault="003D4708" w:rsidP="00236F6D">
            <w:pPr>
              <w:spacing w:before="60"/>
              <w:jc w:val="left"/>
              <w:rPr>
                <w:sz w:val="20"/>
                <w:szCs w:val="20"/>
                <w:lang w:val="fr-CA"/>
              </w:rPr>
            </w:pPr>
            <w:r w:rsidRPr="003B45A1">
              <w:rPr>
                <w:sz w:val="20"/>
                <w:szCs w:val="20"/>
                <w:lang w:val="fr-CA"/>
              </w:rPr>
              <w:t xml:space="preserve">1.1 Énoncer chaque indicateur de produit. </w:t>
            </w:r>
          </w:p>
        </w:tc>
        <w:tc>
          <w:tcPr>
            <w:tcW w:w="1134" w:type="dxa"/>
          </w:tcPr>
          <w:p w14:paraId="1718020C" w14:textId="77777777" w:rsidR="003D4708" w:rsidRPr="003B45A1" w:rsidDel="00A84123" w:rsidRDefault="003D4708" w:rsidP="00236F6D">
            <w:pPr>
              <w:spacing w:before="60"/>
              <w:jc w:val="center"/>
              <w:rPr>
                <w:sz w:val="20"/>
                <w:szCs w:val="20"/>
                <w:lang w:val="fr-CA"/>
              </w:rPr>
            </w:pPr>
          </w:p>
        </w:tc>
        <w:tc>
          <w:tcPr>
            <w:tcW w:w="1020" w:type="dxa"/>
            <w:shd w:val="clear" w:color="auto" w:fill="auto"/>
          </w:tcPr>
          <w:p w14:paraId="0F1336D7" w14:textId="77777777" w:rsidR="003D4708" w:rsidRPr="003B45A1" w:rsidDel="00BD7C58" w:rsidRDefault="003D4708" w:rsidP="00236F6D">
            <w:pPr>
              <w:pStyle w:val="En-tte"/>
              <w:spacing w:before="60"/>
              <w:jc w:val="left"/>
              <w:rPr>
                <w:sz w:val="20"/>
                <w:szCs w:val="20"/>
                <w:lang w:val="fr-CA"/>
              </w:rPr>
            </w:pPr>
          </w:p>
        </w:tc>
        <w:tc>
          <w:tcPr>
            <w:tcW w:w="724" w:type="dxa"/>
          </w:tcPr>
          <w:p w14:paraId="6F2B9D96" w14:textId="77777777" w:rsidR="003D4708" w:rsidRPr="003B45A1" w:rsidDel="00BD7C58" w:rsidRDefault="003D4708" w:rsidP="00236F6D">
            <w:pPr>
              <w:pStyle w:val="En-tte"/>
              <w:spacing w:before="60"/>
              <w:jc w:val="left"/>
              <w:rPr>
                <w:sz w:val="20"/>
                <w:szCs w:val="20"/>
                <w:lang w:val="fr-CA"/>
              </w:rPr>
            </w:pPr>
          </w:p>
        </w:tc>
        <w:tc>
          <w:tcPr>
            <w:tcW w:w="724" w:type="dxa"/>
          </w:tcPr>
          <w:p w14:paraId="77496845" w14:textId="77777777" w:rsidR="003D4708" w:rsidRPr="003B45A1" w:rsidDel="00BD7C58" w:rsidRDefault="003D4708" w:rsidP="00236F6D">
            <w:pPr>
              <w:pStyle w:val="En-tte"/>
              <w:spacing w:before="60"/>
              <w:jc w:val="left"/>
              <w:rPr>
                <w:sz w:val="20"/>
                <w:szCs w:val="20"/>
                <w:lang w:val="fr-CA"/>
              </w:rPr>
            </w:pPr>
          </w:p>
        </w:tc>
        <w:tc>
          <w:tcPr>
            <w:tcW w:w="724" w:type="dxa"/>
          </w:tcPr>
          <w:p w14:paraId="563204BE" w14:textId="77777777" w:rsidR="003D4708" w:rsidRPr="003B45A1" w:rsidDel="00BD7C58" w:rsidRDefault="003D4708" w:rsidP="00236F6D">
            <w:pPr>
              <w:pStyle w:val="En-tte"/>
              <w:spacing w:before="60"/>
              <w:jc w:val="left"/>
              <w:rPr>
                <w:sz w:val="20"/>
                <w:szCs w:val="20"/>
                <w:lang w:val="fr-CA"/>
              </w:rPr>
            </w:pPr>
          </w:p>
        </w:tc>
        <w:tc>
          <w:tcPr>
            <w:tcW w:w="724" w:type="dxa"/>
          </w:tcPr>
          <w:p w14:paraId="57ECD998" w14:textId="77777777" w:rsidR="003D4708" w:rsidRPr="003B45A1" w:rsidDel="00BD7C58" w:rsidRDefault="003D4708" w:rsidP="00236F6D">
            <w:pPr>
              <w:pStyle w:val="En-tte"/>
              <w:spacing w:before="60"/>
              <w:jc w:val="left"/>
              <w:rPr>
                <w:sz w:val="20"/>
                <w:szCs w:val="20"/>
                <w:lang w:val="fr-CA"/>
              </w:rPr>
            </w:pPr>
          </w:p>
        </w:tc>
        <w:tc>
          <w:tcPr>
            <w:tcW w:w="724" w:type="dxa"/>
          </w:tcPr>
          <w:p w14:paraId="34647DA0" w14:textId="77777777" w:rsidR="003D4708" w:rsidRPr="003B45A1" w:rsidDel="00BD7C58" w:rsidRDefault="003D4708" w:rsidP="00236F6D">
            <w:pPr>
              <w:pStyle w:val="En-tte"/>
              <w:spacing w:before="60"/>
              <w:jc w:val="left"/>
              <w:rPr>
                <w:sz w:val="20"/>
                <w:szCs w:val="20"/>
                <w:lang w:val="fr-CA"/>
              </w:rPr>
            </w:pPr>
          </w:p>
        </w:tc>
        <w:tc>
          <w:tcPr>
            <w:tcW w:w="724" w:type="dxa"/>
            <w:shd w:val="clear" w:color="auto" w:fill="auto"/>
          </w:tcPr>
          <w:p w14:paraId="0E344210" w14:textId="77777777" w:rsidR="003D4708" w:rsidRPr="003B45A1" w:rsidRDefault="003D4708" w:rsidP="00236F6D">
            <w:pPr>
              <w:pStyle w:val="En-tte"/>
              <w:spacing w:before="60"/>
              <w:jc w:val="left"/>
              <w:rPr>
                <w:sz w:val="20"/>
                <w:szCs w:val="20"/>
                <w:lang w:val="fr-CA"/>
              </w:rPr>
            </w:pPr>
          </w:p>
        </w:tc>
        <w:tc>
          <w:tcPr>
            <w:tcW w:w="725" w:type="dxa"/>
          </w:tcPr>
          <w:p w14:paraId="05D7189D" w14:textId="77777777" w:rsidR="003D4708" w:rsidRPr="003B45A1" w:rsidDel="00BD7C58" w:rsidRDefault="003D4708" w:rsidP="00236F6D">
            <w:pPr>
              <w:spacing w:before="60"/>
              <w:jc w:val="left"/>
              <w:rPr>
                <w:sz w:val="20"/>
                <w:szCs w:val="20"/>
                <w:lang w:val="fr-CA"/>
              </w:rPr>
            </w:pPr>
          </w:p>
        </w:tc>
        <w:tc>
          <w:tcPr>
            <w:tcW w:w="2013" w:type="dxa"/>
            <w:shd w:val="clear" w:color="auto" w:fill="auto"/>
          </w:tcPr>
          <w:p w14:paraId="27D7E660" w14:textId="77777777" w:rsidR="003D4708" w:rsidRPr="003B45A1" w:rsidRDefault="003D4708" w:rsidP="00236F6D">
            <w:pPr>
              <w:spacing w:before="60"/>
              <w:jc w:val="left"/>
              <w:rPr>
                <w:sz w:val="20"/>
                <w:szCs w:val="20"/>
                <w:lang w:val="fr-CA"/>
              </w:rPr>
            </w:pPr>
          </w:p>
        </w:tc>
      </w:tr>
      <w:tr w:rsidR="003D4708" w:rsidRPr="003B45A1" w14:paraId="5A9C2A72" w14:textId="77777777" w:rsidTr="003B45A1">
        <w:trPr>
          <w:trHeight w:val="586"/>
          <w:tblHeader/>
        </w:trPr>
        <w:tc>
          <w:tcPr>
            <w:tcW w:w="1448" w:type="dxa"/>
            <w:vMerge/>
          </w:tcPr>
          <w:p w14:paraId="429AAA71" w14:textId="77777777" w:rsidR="003D4708" w:rsidRPr="003B45A1" w:rsidRDefault="003D4708" w:rsidP="00236F6D">
            <w:pPr>
              <w:spacing w:before="60"/>
              <w:jc w:val="left"/>
              <w:rPr>
                <w:sz w:val="20"/>
                <w:szCs w:val="20"/>
                <w:lang w:val="fr-CA"/>
              </w:rPr>
            </w:pPr>
          </w:p>
        </w:tc>
        <w:tc>
          <w:tcPr>
            <w:tcW w:w="2834" w:type="dxa"/>
          </w:tcPr>
          <w:p w14:paraId="42898F50" w14:textId="77777777" w:rsidR="003D4708" w:rsidRPr="003B45A1" w:rsidRDefault="003D4708" w:rsidP="00236F6D">
            <w:pPr>
              <w:pStyle w:val="En-tte"/>
              <w:spacing w:before="60"/>
              <w:jc w:val="left"/>
              <w:rPr>
                <w:sz w:val="20"/>
                <w:szCs w:val="20"/>
                <w:lang w:val="fr-CA"/>
              </w:rPr>
            </w:pPr>
            <w:r w:rsidRPr="003B45A1">
              <w:rPr>
                <w:sz w:val="20"/>
                <w:szCs w:val="20"/>
                <w:lang w:val="fr-CA"/>
              </w:rPr>
              <w:t xml:space="preserve">1.2 </w:t>
            </w:r>
          </w:p>
        </w:tc>
        <w:tc>
          <w:tcPr>
            <w:tcW w:w="1134" w:type="dxa"/>
          </w:tcPr>
          <w:p w14:paraId="324BB6DF" w14:textId="77777777" w:rsidR="003D4708" w:rsidRPr="003B45A1" w:rsidRDefault="003D4708" w:rsidP="00236F6D">
            <w:pPr>
              <w:pStyle w:val="En-tte"/>
              <w:spacing w:before="60"/>
              <w:jc w:val="center"/>
              <w:rPr>
                <w:sz w:val="20"/>
                <w:szCs w:val="20"/>
                <w:lang w:val="fr-CA"/>
              </w:rPr>
            </w:pPr>
          </w:p>
        </w:tc>
        <w:tc>
          <w:tcPr>
            <w:tcW w:w="1020" w:type="dxa"/>
            <w:shd w:val="clear" w:color="auto" w:fill="auto"/>
          </w:tcPr>
          <w:p w14:paraId="1DB35571" w14:textId="77777777" w:rsidR="003D4708" w:rsidRPr="003B45A1" w:rsidRDefault="003D4708" w:rsidP="00236F6D">
            <w:pPr>
              <w:pStyle w:val="En-tte"/>
              <w:spacing w:before="60"/>
              <w:jc w:val="left"/>
              <w:rPr>
                <w:sz w:val="20"/>
                <w:szCs w:val="20"/>
                <w:lang w:val="fr-CA"/>
              </w:rPr>
            </w:pPr>
          </w:p>
        </w:tc>
        <w:tc>
          <w:tcPr>
            <w:tcW w:w="724" w:type="dxa"/>
          </w:tcPr>
          <w:p w14:paraId="03E18E05" w14:textId="77777777" w:rsidR="003D4708" w:rsidRPr="003B45A1" w:rsidRDefault="003D4708" w:rsidP="00236F6D">
            <w:pPr>
              <w:pStyle w:val="En-tte"/>
              <w:spacing w:before="60"/>
              <w:jc w:val="left"/>
              <w:rPr>
                <w:sz w:val="20"/>
                <w:szCs w:val="20"/>
                <w:lang w:val="fr-CA"/>
              </w:rPr>
            </w:pPr>
          </w:p>
        </w:tc>
        <w:tc>
          <w:tcPr>
            <w:tcW w:w="724" w:type="dxa"/>
          </w:tcPr>
          <w:p w14:paraId="7F12119B" w14:textId="77777777" w:rsidR="003D4708" w:rsidRPr="003B45A1" w:rsidRDefault="003D4708" w:rsidP="00236F6D">
            <w:pPr>
              <w:pStyle w:val="En-tte"/>
              <w:spacing w:before="60"/>
              <w:jc w:val="left"/>
              <w:rPr>
                <w:sz w:val="20"/>
                <w:szCs w:val="20"/>
                <w:lang w:val="fr-CA"/>
              </w:rPr>
            </w:pPr>
          </w:p>
        </w:tc>
        <w:tc>
          <w:tcPr>
            <w:tcW w:w="724" w:type="dxa"/>
          </w:tcPr>
          <w:p w14:paraId="733A658F" w14:textId="77777777" w:rsidR="003D4708" w:rsidRPr="003B45A1" w:rsidRDefault="003D4708" w:rsidP="00236F6D">
            <w:pPr>
              <w:pStyle w:val="En-tte"/>
              <w:spacing w:before="60"/>
              <w:jc w:val="left"/>
              <w:rPr>
                <w:sz w:val="20"/>
                <w:szCs w:val="20"/>
                <w:lang w:val="fr-CA"/>
              </w:rPr>
            </w:pPr>
          </w:p>
        </w:tc>
        <w:tc>
          <w:tcPr>
            <w:tcW w:w="724" w:type="dxa"/>
          </w:tcPr>
          <w:p w14:paraId="225721B4" w14:textId="77777777" w:rsidR="003D4708" w:rsidRPr="003B45A1" w:rsidRDefault="003D4708" w:rsidP="00236F6D">
            <w:pPr>
              <w:pStyle w:val="En-tte"/>
              <w:spacing w:before="60"/>
              <w:jc w:val="left"/>
              <w:rPr>
                <w:sz w:val="20"/>
                <w:szCs w:val="20"/>
                <w:lang w:val="fr-CA"/>
              </w:rPr>
            </w:pPr>
          </w:p>
        </w:tc>
        <w:tc>
          <w:tcPr>
            <w:tcW w:w="724" w:type="dxa"/>
          </w:tcPr>
          <w:p w14:paraId="03B4A886" w14:textId="77777777" w:rsidR="003D4708" w:rsidRPr="003B45A1" w:rsidRDefault="003D4708" w:rsidP="00236F6D">
            <w:pPr>
              <w:pStyle w:val="En-tte"/>
              <w:spacing w:before="60"/>
              <w:jc w:val="left"/>
              <w:rPr>
                <w:sz w:val="20"/>
                <w:szCs w:val="20"/>
                <w:lang w:val="fr-CA"/>
              </w:rPr>
            </w:pPr>
          </w:p>
        </w:tc>
        <w:tc>
          <w:tcPr>
            <w:tcW w:w="724" w:type="dxa"/>
            <w:shd w:val="clear" w:color="auto" w:fill="auto"/>
          </w:tcPr>
          <w:p w14:paraId="44B1BDA6" w14:textId="77777777" w:rsidR="003D4708" w:rsidRPr="003B45A1" w:rsidRDefault="003D4708" w:rsidP="00236F6D">
            <w:pPr>
              <w:pStyle w:val="En-tte"/>
              <w:spacing w:before="60"/>
              <w:jc w:val="left"/>
              <w:rPr>
                <w:sz w:val="20"/>
                <w:szCs w:val="20"/>
                <w:lang w:val="fr-CA"/>
              </w:rPr>
            </w:pPr>
          </w:p>
        </w:tc>
        <w:tc>
          <w:tcPr>
            <w:tcW w:w="725" w:type="dxa"/>
          </w:tcPr>
          <w:p w14:paraId="71C56025" w14:textId="77777777" w:rsidR="003D4708" w:rsidRPr="003B45A1" w:rsidDel="00BD7C58" w:rsidRDefault="003D4708" w:rsidP="00236F6D">
            <w:pPr>
              <w:spacing w:before="60"/>
              <w:jc w:val="left"/>
              <w:rPr>
                <w:sz w:val="20"/>
                <w:szCs w:val="20"/>
                <w:lang w:val="fr-CA"/>
              </w:rPr>
            </w:pPr>
          </w:p>
        </w:tc>
        <w:tc>
          <w:tcPr>
            <w:tcW w:w="2013" w:type="dxa"/>
            <w:shd w:val="clear" w:color="auto" w:fill="auto"/>
          </w:tcPr>
          <w:p w14:paraId="3C065949" w14:textId="77777777" w:rsidR="003D4708" w:rsidRPr="003B45A1" w:rsidDel="00BD7C58" w:rsidRDefault="003D4708" w:rsidP="00236F6D">
            <w:pPr>
              <w:spacing w:before="60"/>
              <w:jc w:val="left"/>
              <w:rPr>
                <w:sz w:val="20"/>
                <w:szCs w:val="20"/>
                <w:lang w:val="fr-CA"/>
              </w:rPr>
            </w:pPr>
          </w:p>
        </w:tc>
      </w:tr>
      <w:tr w:rsidR="003D4708" w:rsidRPr="003B45A1" w14:paraId="18A288BA" w14:textId="77777777" w:rsidTr="003B45A1">
        <w:trPr>
          <w:trHeight w:val="586"/>
          <w:tblHeader/>
        </w:trPr>
        <w:tc>
          <w:tcPr>
            <w:tcW w:w="1448" w:type="dxa"/>
            <w:vMerge/>
          </w:tcPr>
          <w:p w14:paraId="34154AF4" w14:textId="77777777" w:rsidR="003D4708" w:rsidRPr="003B45A1" w:rsidRDefault="003D4708" w:rsidP="00236F6D">
            <w:pPr>
              <w:spacing w:before="60"/>
              <w:jc w:val="left"/>
              <w:rPr>
                <w:sz w:val="20"/>
                <w:szCs w:val="20"/>
                <w:lang w:val="fr-CA"/>
              </w:rPr>
            </w:pPr>
          </w:p>
        </w:tc>
        <w:tc>
          <w:tcPr>
            <w:tcW w:w="2834" w:type="dxa"/>
          </w:tcPr>
          <w:p w14:paraId="2FE94FED" w14:textId="77777777" w:rsidR="003D4708" w:rsidRPr="003B45A1" w:rsidRDefault="003D4708" w:rsidP="00236F6D">
            <w:pPr>
              <w:pStyle w:val="En-tte"/>
              <w:spacing w:before="60"/>
              <w:jc w:val="left"/>
              <w:rPr>
                <w:sz w:val="20"/>
                <w:szCs w:val="20"/>
                <w:lang w:val="fr-CA"/>
              </w:rPr>
            </w:pPr>
            <w:r w:rsidRPr="003B45A1">
              <w:rPr>
                <w:sz w:val="20"/>
                <w:szCs w:val="20"/>
                <w:lang w:val="fr-CA"/>
              </w:rPr>
              <w:t xml:space="preserve">1.3 </w:t>
            </w:r>
          </w:p>
        </w:tc>
        <w:tc>
          <w:tcPr>
            <w:tcW w:w="1134" w:type="dxa"/>
          </w:tcPr>
          <w:p w14:paraId="24AC1669" w14:textId="77777777" w:rsidR="003D4708" w:rsidRPr="003B45A1" w:rsidRDefault="003D4708" w:rsidP="00236F6D">
            <w:pPr>
              <w:pStyle w:val="En-tte"/>
              <w:spacing w:before="60"/>
              <w:jc w:val="center"/>
              <w:rPr>
                <w:sz w:val="20"/>
                <w:szCs w:val="20"/>
                <w:lang w:val="fr-CA"/>
              </w:rPr>
            </w:pPr>
          </w:p>
        </w:tc>
        <w:tc>
          <w:tcPr>
            <w:tcW w:w="1020" w:type="dxa"/>
            <w:shd w:val="clear" w:color="auto" w:fill="auto"/>
          </w:tcPr>
          <w:p w14:paraId="78E46F6A" w14:textId="77777777" w:rsidR="003D4708" w:rsidRPr="003B45A1" w:rsidRDefault="003D4708" w:rsidP="00236F6D">
            <w:pPr>
              <w:pStyle w:val="En-tte"/>
              <w:spacing w:before="60"/>
              <w:jc w:val="left"/>
              <w:rPr>
                <w:sz w:val="20"/>
                <w:szCs w:val="20"/>
                <w:lang w:val="fr-CA"/>
              </w:rPr>
            </w:pPr>
          </w:p>
        </w:tc>
        <w:tc>
          <w:tcPr>
            <w:tcW w:w="724" w:type="dxa"/>
          </w:tcPr>
          <w:p w14:paraId="6E933B54" w14:textId="77777777" w:rsidR="003D4708" w:rsidRPr="003B45A1" w:rsidRDefault="003D4708" w:rsidP="00236F6D">
            <w:pPr>
              <w:pStyle w:val="En-tte"/>
              <w:spacing w:before="60"/>
              <w:jc w:val="left"/>
              <w:rPr>
                <w:sz w:val="20"/>
                <w:szCs w:val="20"/>
                <w:lang w:val="fr-CA"/>
              </w:rPr>
            </w:pPr>
          </w:p>
        </w:tc>
        <w:tc>
          <w:tcPr>
            <w:tcW w:w="724" w:type="dxa"/>
          </w:tcPr>
          <w:p w14:paraId="2157EF3E" w14:textId="77777777" w:rsidR="003D4708" w:rsidRPr="003B45A1" w:rsidRDefault="003D4708" w:rsidP="00236F6D">
            <w:pPr>
              <w:pStyle w:val="En-tte"/>
              <w:spacing w:before="60"/>
              <w:jc w:val="left"/>
              <w:rPr>
                <w:sz w:val="20"/>
                <w:szCs w:val="20"/>
                <w:lang w:val="fr-CA"/>
              </w:rPr>
            </w:pPr>
          </w:p>
        </w:tc>
        <w:tc>
          <w:tcPr>
            <w:tcW w:w="724" w:type="dxa"/>
          </w:tcPr>
          <w:p w14:paraId="4581DC63" w14:textId="77777777" w:rsidR="003D4708" w:rsidRPr="003B45A1" w:rsidRDefault="003D4708" w:rsidP="00236F6D">
            <w:pPr>
              <w:pStyle w:val="En-tte"/>
              <w:spacing w:before="60"/>
              <w:jc w:val="left"/>
              <w:rPr>
                <w:sz w:val="20"/>
                <w:szCs w:val="20"/>
                <w:lang w:val="fr-CA"/>
              </w:rPr>
            </w:pPr>
          </w:p>
        </w:tc>
        <w:tc>
          <w:tcPr>
            <w:tcW w:w="724" w:type="dxa"/>
          </w:tcPr>
          <w:p w14:paraId="21F0AB04" w14:textId="77777777" w:rsidR="003D4708" w:rsidRPr="003B45A1" w:rsidRDefault="003D4708" w:rsidP="00236F6D">
            <w:pPr>
              <w:pStyle w:val="En-tte"/>
              <w:spacing w:before="60"/>
              <w:jc w:val="left"/>
              <w:rPr>
                <w:sz w:val="20"/>
                <w:szCs w:val="20"/>
                <w:lang w:val="fr-CA"/>
              </w:rPr>
            </w:pPr>
          </w:p>
        </w:tc>
        <w:tc>
          <w:tcPr>
            <w:tcW w:w="724" w:type="dxa"/>
          </w:tcPr>
          <w:p w14:paraId="28DD8542" w14:textId="77777777" w:rsidR="003D4708" w:rsidRPr="003B45A1" w:rsidRDefault="003D4708" w:rsidP="00236F6D">
            <w:pPr>
              <w:pStyle w:val="En-tte"/>
              <w:spacing w:before="60"/>
              <w:jc w:val="left"/>
              <w:rPr>
                <w:sz w:val="20"/>
                <w:szCs w:val="20"/>
                <w:lang w:val="fr-CA"/>
              </w:rPr>
            </w:pPr>
          </w:p>
        </w:tc>
        <w:tc>
          <w:tcPr>
            <w:tcW w:w="724" w:type="dxa"/>
            <w:shd w:val="clear" w:color="auto" w:fill="auto"/>
          </w:tcPr>
          <w:p w14:paraId="554DEF6B" w14:textId="77777777" w:rsidR="003D4708" w:rsidRPr="003B45A1" w:rsidRDefault="003D4708" w:rsidP="00236F6D">
            <w:pPr>
              <w:pStyle w:val="En-tte"/>
              <w:spacing w:before="60"/>
              <w:jc w:val="left"/>
              <w:rPr>
                <w:sz w:val="20"/>
                <w:szCs w:val="20"/>
                <w:lang w:val="fr-CA"/>
              </w:rPr>
            </w:pPr>
          </w:p>
        </w:tc>
        <w:tc>
          <w:tcPr>
            <w:tcW w:w="725" w:type="dxa"/>
          </w:tcPr>
          <w:p w14:paraId="29E6CFC9" w14:textId="77777777" w:rsidR="003D4708" w:rsidRPr="003B45A1" w:rsidDel="00BD7C58" w:rsidRDefault="003D4708" w:rsidP="00236F6D">
            <w:pPr>
              <w:spacing w:before="60"/>
              <w:jc w:val="left"/>
              <w:rPr>
                <w:sz w:val="20"/>
                <w:szCs w:val="20"/>
                <w:lang w:val="fr-CA"/>
              </w:rPr>
            </w:pPr>
          </w:p>
        </w:tc>
        <w:tc>
          <w:tcPr>
            <w:tcW w:w="2013" w:type="dxa"/>
            <w:shd w:val="clear" w:color="auto" w:fill="auto"/>
          </w:tcPr>
          <w:p w14:paraId="16BE2BC9" w14:textId="77777777" w:rsidR="003D4708" w:rsidRPr="003B45A1" w:rsidRDefault="003D4708" w:rsidP="00236F6D">
            <w:pPr>
              <w:spacing w:before="60"/>
              <w:jc w:val="left"/>
              <w:rPr>
                <w:sz w:val="20"/>
                <w:szCs w:val="20"/>
                <w:lang w:val="fr-CA"/>
              </w:rPr>
            </w:pPr>
          </w:p>
        </w:tc>
      </w:tr>
      <w:tr w:rsidR="003D4708" w:rsidRPr="003B45A1" w14:paraId="2A4BB840" w14:textId="77777777" w:rsidTr="003B45A1">
        <w:trPr>
          <w:trHeight w:val="586"/>
          <w:tblHeader/>
        </w:trPr>
        <w:tc>
          <w:tcPr>
            <w:tcW w:w="1448" w:type="dxa"/>
            <w:vMerge/>
          </w:tcPr>
          <w:p w14:paraId="2E63FEB8" w14:textId="77777777" w:rsidR="003D4708" w:rsidRPr="003B45A1" w:rsidRDefault="003D4708" w:rsidP="00236F6D">
            <w:pPr>
              <w:spacing w:before="60"/>
              <w:jc w:val="left"/>
              <w:rPr>
                <w:sz w:val="20"/>
                <w:szCs w:val="20"/>
                <w:lang w:val="fr-CA"/>
              </w:rPr>
            </w:pPr>
          </w:p>
        </w:tc>
        <w:tc>
          <w:tcPr>
            <w:tcW w:w="2834" w:type="dxa"/>
          </w:tcPr>
          <w:p w14:paraId="4D2FA6B2" w14:textId="77777777" w:rsidR="003D4708" w:rsidRPr="003B45A1" w:rsidRDefault="003D4708" w:rsidP="00236F6D">
            <w:pPr>
              <w:spacing w:before="60"/>
              <w:jc w:val="left"/>
              <w:rPr>
                <w:sz w:val="20"/>
                <w:szCs w:val="20"/>
                <w:lang w:val="fr-CA"/>
              </w:rPr>
            </w:pPr>
            <w:r w:rsidRPr="003B45A1">
              <w:rPr>
                <w:sz w:val="20"/>
                <w:szCs w:val="20"/>
                <w:lang w:val="fr-CA"/>
              </w:rPr>
              <w:t xml:space="preserve">1.4 </w:t>
            </w:r>
          </w:p>
        </w:tc>
        <w:tc>
          <w:tcPr>
            <w:tcW w:w="1134" w:type="dxa"/>
          </w:tcPr>
          <w:p w14:paraId="381AC9F0" w14:textId="77777777" w:rsidR="003D4708" w:rsidRPr="003B45A1" w:rsidRDefault="003D4708" w:rsidP="00236F6D">
            <w:pPr>
              <w:spacing w:before="60"/>
              <w:jc w:val="center"/>
              <w:rPr>
                <w:sz w:val="20"/>
                <w:szCs w:val="20"/>
                <w:lang w:val="fr-CA"/>
              </w:rPr>
            </w:pPr>
          </w:p>
        </w:tc>
        <w:tc>
          <w:tcPr>
            <w:tcW w:w="1020" w:type="dxa"/>
            <w:shd w:val="clear" w:color="auto" w:fill="auto"/>
          </w:tcPr>
          <w:p w14:paraId="76C1DCC4" w14:textId="77777777" w:rsidR="003D4708" w:rsidRPr="003B45A1" w:rsidRDefault="003D4708" w:rsidP="00236F6D">
            <w:pPr>
              <w:pStyle w:val="En-tte"/>
              <w:tabs>
                <w:tab w:val="num" w:pos="432"/>
              </w:tabs>
              <w:spacing w:before="60"/>
              <w:ind w:left="360"/>
              <w:jc w:val="left"/>
              <w:rPr>
                <w:sz w:val="20"/>
                <w:szCs w:val="20"/>
                <w:lang w:val="fr-CA"/>
              </w:rPr>
            </w:pPr>
          </w:p>
        </w:tc>
        <w:tc>
          <w:tcPr>
            <w:tcW w:w="724" w:type="dxa"/>
          </w:tcPr>
          <w:p w14:paraId="063F5094" w14:textId="77777777" w:rsidR="003D4708" w:rsidRPr="003B45A1" w:rsidRDefault="003D4708" w:rsidP="00236F6D">
            <w:pPr>
              <w:pStyle w:val="En-tte"/>
              <w:tabs>
                <w:tab w:val="num" w:pos="432"/>
              </w:tabs>
              <w:spacing w:before="60"/>
              <w:ind w:left="360"/>
              <w:jc w:val="left"/>
              <w:rPr>
                <w:sz w:val="20"/>
                <w:szCs w:val="20"/>
                <w:lang w:val="fr-CA"/>
              </w:rPr>
            </w:pPr>
          </w:p>
        </w:tc>
        <w:tc>
          <w:tcPr>
            <w:tcW w:w="724" w:type="dxa"/>
          </w:tcPr>
          <w:p w14:paraId="4602FD88" w14:textId="77777777" w:rsidR="003D4708" w:rsidRPr="003B45A1" w:rsidRDefault="003D4708" w:rsidP="00236F6D">
            <w:pPr>
              <w:pStyle w:val="En-tte"/>
              <w:spacing w:before="60"/>
              <w:jc w:val="left"/>
              <w:rPr>
                <w:sz w:val="20"/>
                <w:szCs w:val="20"/>
                <w:lang w:val="fr-CA"/>
              </w:rPr>
            </w:pPr>
          </w:p>
        </w:tc>
        <w:tc>
          <w:tcPr>
            <w:tcW w:w="724" w:type="dxa"/>
          </w:tcPr>
          <w:p w14:paraId="7BC513FC" w14:textId="77777777" w:rsidR="003D4708" w:rsidRPr="003B45A1" w:rsidRDefault="003D4708" w:rsidP="00236F6D">
            <w:pPr>
              <w:pStyle w:val="En-tte"/>
              <w:spacing w:before="60"/>
              <w:jc w:val="left"/>
              <w:rPr>
                <w:sz w:val="20"/>
                <w:szCs w:val="20"/>
                <w:lang w:val="fr-CA"/>
              </w:rPr>
            </w:pPr>
          </w:p>
        </w:tc>
        <w:tc>
          <w:tcPr>
            <w:tcW w:w="724" w:type="dxa"/>
          </w:tcPr>
          <w:p w14:paraId="529C929F" w14:textId="77777777" w:rsidR="003D4708" w:rsidRPr="003B45A1" w:rsidRDefault="003D4708" w:rsidP="00236F6D">
            <w:pPr>
              <w:pStyle w:val="En-tte"/>
              <w:spacing w:before="60"/>
              <w:jc w:val="left"/>
              <w:rPr>
                <w:sz w:val="20"/>
                <w:szCs w:val="20"/>
                <w:lang w:val="fr-CA"/>
              </w:rPr>
            </w:pPr>
          </w:p>
        </w:tc>
        <w:tc>
          <w:tcPr>
            <w:tcW w:w="724" w:type="dxa"/>
          </w:tcPr>
          <w:p w14:paraId="5BB1C323" w14:textId="77777777" w:rsidR="003D4708" w:rsidRPr="003B45A1" w:rsidRDefault="003D4708" w:rsidP="00236F6D">
            <w:pPr>
              <w:pStyle w:val="En-tte"/>
              <w:spacing w:before="60"/>
              <w:jc w:val="left"/>
              <w:rPr>
                <w:sz w:val="20"/>
                <w:szCs w:val="20"/>
                <w:lang w:val="fr-CA"/>
              </w:rPr>
            </w:pPr>
          </w:p>
        </w:tc>
        <w:tc>
          <w:tcPr>
            <w:tcW w:w="724" w:type="dxa"/>
            <w:shd w:val="clear" w:color="auto" w:fill="auto"/>
          </w:tcPr>
          <w:p w14:paraId="4D980CB3" w14:textId="77777777" w:rsidR="003D4708" w:rsidRPr="003B45A1" w:rsidRDefault="003D4708" w:rsidP="00236F6D">
            <w:pPr>
              <w:pStyle w:val="En-tte"/>
              <w:spacing w:before="60"/>
              <w:jc w:val="left"/>
              <w:rPr>
                <w:sz w:val="20"/>
                <w:szCs w:val="20"/>
                <w:lang w:val="fr-CA"/>
              </w:rPr>
            </w:pPr>
          </w:p>
        </w:tc>
        <w:tc>
          <w:tcPr>
            <w:tcW w:w="725" w:type="dxa"/>
          </w:tcPr>
          <w:p w14:paraId="5D2C19F3" w14:textId="77777777" w:rsidR="003D4708" w:rsidRPr="003B45A1" w:rsidDel="00BD7C58" w:rsidRDefault="003D4708" w:rsidP="00236F6D">
            <w:pPr>
              <w:spacing w:before="60"/>
              <w:jc w:val="left"/>
              <w:rPr>
                <w:sz w:val="20"/>
                <w:szCs w:val="20"/>
                <w:lang w:val="fr-CA"/>
              </w:rPr>
            </w:pPr>
          </w:p>
        </w:tc>
        <w:tc>
          <w:tcPr>
            <w:tcW w:w="2013" w:type="dxa"/>
            <w:shd w:val="clear" w:color="auto" w:fill="auto"/>
          </w:tcPr>
          <w:p w14:paraId="7FEC60D5" w14:textId="77777777" w:rsidR="003D4708" w:rsidRPr="003B45A1" w:rsidRDefault="003D4708" w:rsidP="00236F6D">
            <w:pPr>
              <w:spacing w:before="60"/>
              <w:jc w:val="left"/>
              <w:rPr>
                <w:sz w:val="20"/>
                <w:szCs w:val="20"/>
                <w:lang w:val="fr-CA"/>
              </w:rPr>
            </w:pPr>
          </w:p>
        </w:tc>
      </w:tr>
      <w:tr w:rsidR="003D4708" w:rsidRPr="003B45A1" w14:paraId="7F4E2CF7" w14:textId="77777777" w:rsidTr="003B45A1">
        <w:trPr>
          <w:trHeight w:val="586"/>
          <w:tblHeader/>
        </w:trPr>
        <w:tc>
          <w:tcPr>
            <w:tcW w:w="1448" w:type="dxa"/>
            <w:vMerge w:val="restart"/>
          </w:tcPr>
          <w:p w14:paraId="35E8463E" w14:textId="77777777" w:rsidR="003D4708" w:rsidRPr="003B45A1" w:rsidRDefault="003D4708" w:rsidP="00236F6D">
            <w:pPr>
              <w:spacing w:before="60"/>
              <w:jc w:val="left"/>
              <w:rPr>
                <w:sz w:val="20"/>
                <w:szCs w:val="20"/>
                <w:lang w:val="fr-CA"/>
              </w:rPr>
            </w:pPr>
            <w:r w:rsidRPr="003B45A1">
              <w:rPr>
                <w:sz w:val="20"/>
                <w:szCs w:val="20"/>
                <w:lang w:val="fr-CA"/>
              </w:rPr>
              <w:t>Produit 2</w:t>
            </w:r>
          </w:p>
          <w:p w14:paraId="2ADB8DF1" w14:textId="77777777" w:rsidR="003D4708" w:rsidRPr="003B45A1" w:rsidRDefault="003D4708" w:rsidP="00236F6D">
            <w:pPr>
              <w:spacing w:before="60"/>
              <w:jc w:val="left"/>
              <w:rPr>
                <w:sz w:val="20"/>
                <w:szCs w:val="20"/>
                <w:lang w:val="fr-CA"/>
              </w:rPr>
            </w:pPr>
          </w:p>
        </w:tc>
        <w:tc>
          <w:tcPr>
            <w:tcW w:w="2834" w:type="dxa"/>
          </w:tcPr>
          <w:p w14:paraId="43E13316" w14:textId="77777777" w:rsidR="003D4708" w:rsidRPr="003B45A1" w:rsidDel="00A84123" w:rsidRDefault="003D4708" w:rsidP="00236F6D">
            <w:pPr>
              <w:spacing w:before="60"/>
              <w:jc w:val="left"/>
              <w:rPr>
                <w:sz w:val="20"/>
                <w:szCs w:val="20"/>
                <w:lang w:val="fr-CA"/>
              </w:rPr>
            </w:pPr>
            <w:r w:rsidRPr="003B45A1">
              <w:rPr>
                <w:sz w:val="20"/>
                <w:szCs w:val="20"/>
                <w:lang w:val="fr-CA"/>
              </w:rPr>
              <w:t xml:space="preserve">2.1 </w:t>
            </w:r>
          </w:p>
        </w:tc>
        <w:tc>
          <w:tcPr>
            <w:tcW w:w="1134" w:type="dxa"/>
          </w:tcPr>
          <w:p w14:paraId="3171B958" w14:textId="77777777" w:rsidR="003D4708" w:rsidRPr="003B45A1" w:rsidDel="00A84123" w:rsidRDefault="003D4708" w:rsidP="00236F6D">
            <w:pPr>
              <w:spacing w:before="60"/>
              <w:jc w:val="center"/>
              <w:rPr>
                <w:sz w:val="20"/>
                <w:szCs w:val="20"/>
                <w:lang w:val="fr-CA"/>
              </w:rPr>
            </w:pPr>
          </w:p>
        </w:tc>
        <w:tc>
          <w:tcPr>
            <w:tcW w:w="1020" w:type="dxa"/>
            <w:shd w:val="clear" w:color="auto" w:fill="auto"/>
          </w:tcPr>
          <w:p w14:paraId="72E04373" w14:textId="77777777" w:rsidR="003D4708" w:rsidRPr="003B45A1" w:rsidDel="00BD7C58" w:rsidRDefault="003D4708" w:rsidP="00236F6D">
            <w:pPr>
              <w:pStyle w:val="En-tte"/>
              <w:spacing w:before="60"/>
              <w:jc w:val="left"/>
              <w:rPr>
                <w:sz w:val="20"/>
                <w:szCs w:val="20"/>
                <w:lang w:val="fr-CA"/>
              </w:rPr>
            </w:pPr>
          </w:p>
        </w:tc>
        <w:tc>
          <w:tcPr>
            <w:tcW w:w="724" w:type="dxa"/>
          </w:tcPr>
          <w:p w14:paraId="208894DB" w14:textId="77777777" w:rsidR="003D4708" w:rsidRPr="003B45A1" w:rsidDel="00BD7C58" w:rsidRDefault="003D4708" w:rsidP="00236F6D">
            <w:pPr>
              <w:pStyle w:val="En-tte"/>
              <w:spacing w:before="60"/>
              <w:jc w:val="left"/>
              <w:rPr>
                <w:sz w:val="20"/>
                <w:szCs w:val="20"/>
                <w:lang w:val="fr-CA"/>
              </w:rPr>
            </w:pPr>
          </w:p>
        </w:tc>
        <w:tc>
          <w:tcPr>
            <w:tcW w:w="724" w:type="dxa"/>
          </w:tcPr>
          <w:p w14:paraId="32C355A0" w14:textId="77777777" w:rsidR="003D4708" w:rsidRPr="003B45A1" w:rsidDel="00BD7C58" w:rsidRDefault="003D4708" w:rsidP="00236F6D">
            <w:pPr>
              <w:pStyle w:val="En-tte"/>
              <w:spacing w:before="60"/>
              <w:jc w:val="left"/>
              <w:rPr>
                <w:sz w:val="20"/>
                <w:szCs w:val="20"/>
                <w:lang w:val="fr-CA"/>
              </w:rPr>
            </w:pPr>
          </w:p>
        </w:tc>
        <w:tc>
          <w:tcPr>
            <w:tcW w:w="724" w:type="dxa"/>
          </w:tcPr>
          <w:p w14:paraId="0AB89A38" w14:textId="77777777" w:rsidR="003D4708" w:rsidRPr="003B45A1" w:rsidDel="00BD7C58" w:rsidRDefault="003D4708" w:rsidP="00236F6D">
            <w:pPr>
              <w:pStyle w:val="En-tte"/>
              <w:spacing w:before="60"/>
              <w:jc w:val="left"/>
              <w:rPr>
                <w:sz w:val="20"/>
                <w:szCs w:val="20"/>
                <w:lang w:val="fr-CA"/>
              </w:rPr>
            </w:pPr>
          </w:p>
        </w:tc>
        <w:tc>
          <w:tcPr>
            <w:tcW w:w="724" w:type="dxa"/>
          </w:tcPr>
          <w:p w14:paraId="67010792" w14:textId="77777777" w:rsidR="003D4708" w:rsidRPr="003B45A1" w:rsidDel="00BD7C58" w:rsidRDefault="003D4708" w:rsidP="00236F6D">
            <w:pPr>
              <w:pStyle w:val="En-tte"/>
              <w:spacing w:before="60"/>
              <w:jc w:val="left"/>
              <w:rPr>
                <w:sz w:val="20"/>
                <w:szCs w:val="20"/>
                <w:lang w:val="fr-CA"/>
              </w:rPr>
            </w:pPr>
          </w:p>
        </w:tc>
        <w:tc>
          <w:tcPr>
            <w:tcW w:w="724" w:type="dxa"/>
          </w:tcPr>
          <w:p w14:paraId="2D8C52D8" w14:textId="77777777" w:rsidR="003D4708" w:rsidRPr="003B45A1" w:rsidDel="00BD7C58" w:rsidRDefault="003D4708" w:rsidP="00236F6D">
            <w:pPr>
              <w:pStyle w:val="En-tte"/>
              <w:spacing w:before="60"/>
              <w:jc w:val="left"/>
              <w:rPr>
                <w:sz w:val="20"/>
                <w:szCs w:val="20"/>
                <w:lang w:val="fr-CA"/>
              </w:rPr>
            </w:pPr>
          </w:p>
        </w:tc>
        <w:tc>
          <w:tcPr>
            <w:tcW w:w="724" w:type="dxa"/>
            <w:shd w:val="clear" w:color="auto" w:fill="auto"/>
          </w:tcPr>
          <w:p w14:paraId="7B52E409" w14:textId="77777777" w:rsidR="003D4708" w:rsidRPr="003B45A1" w:rsidRDefault="003D4708" w:rsidP="00236F6D">
            <w:pPr>
              <w:pStyle w:val="En-tte"/>
              <w:spacing w:before="60"/>
              <w:jc w:val="left"/>
              <w:rPr>
                <w:sz w:val="20"/>
                <w:szCs w:val="20"/>
                <w:lang w:val="fr-CA"/>
              </w:rPr>
            </w:pPr>
          </w:p>
        </w:tc>
        <w:tc>
          <w:tcPr>
            <w:tcW w:w="725" w:type="dxa"/>
          </w:tcPr>
          <w:p w14:paraId="3603169F" w14:textId="77777777" w:rsidR="003D4708" w:rsidRPr="003B45A1" w:rsidDel="00BD7C58" w:rsidRDefault="003D4708" w:rsidP="00236F6D">
            <w:pPr>
              <w:spacing w:before="60"/>
              <w:jc w:val="left"/>
              <w:rPr>
                <w:sz w:val="20"/>
                <w:szCs w:val="20"/>
                <w:lang w:val="fr-CA"/>
              </w:rPr>
            </w:pPr>
          </w:p>
        </w:tc>
        <w:tc>
          <w:tcPr>
            <w:tcW w:w="2013" w:type="dxa"/>
            <w:shd w:val="clear" w:color="auto" w:fill="auto"/>
          </w:tcPr>
          <w:p w14:paraId="2F879439" w14:textId="77777777" w:rsidR="003D4708" w:rsidRPr="003B45A1" w:rsidRDefault="003D4708" w:rsidP="00236F6D">
            <w:pPr>
              <w:spacing w:before="60"/>
              <w:jc w:val="left"/>
              <w:rPr>
                <w:sz w:val="20"/>
                <w:szCs w:val="20"/>
                <w:lang w:val="fr-CA"/>
              </w:rPr>
            </w:pPr>
          </w:p>
        </w:tc>
      </w:tr>
      <w:tr w:rsidR="003D4708" w:rsidRPr="003B45A1" w14:paraId="2B458FD9" w14:textId="77777777" w:rsidTr="003B45A1">
        <w:trPr>
          <w:trHeight w:val="586"/>
          <w:tblHeader/>
        </w:trPr>
        <w:tc>
          <w:tcPr>
            <w:tcW w:w="1448" w:type="dxa"/>
            <w:vMerge/>
          </w:tcPr>
          <w:p w14:paraId="751FECE6" w14:textId="77777777" w:rsidR="003D4708" w:rsidRPr="003B45A1" w:rsidRDefault="003D4708" w:rsidP="00236F6D">
            <w:pPr>
              <w:spacing w:before="60"/>
              <w:jc w:val="left"/>
              <w:rPr>
                <w:sz w:val="20"/>
                <w:szCs w:val="20"/>
                <w:lang w:val="fr-CA"/>
              </w:rPr>
            </w:pPr>
          </w:p>
        </w:tc>
        <w:tc>
          <w:tcPr>
            <w:tcW w:w="2834" w:type="dxa"/>
          </w:tcPr>
          <w:p w14:paraId="64D0266B" w14:textId="77777777" w:rsidR="003D4708" w:rsidRPr="003B45A1" w:rsidRDefault="003D4708" w:rsidP="00236F6D">
            <w:pPr>
              <w:pStyle w:val="En-tte"/>
              <w:spacing w:before="60"/>
              <w:jc w:val="left"/>
              <w:rPr>
                <w:sz w:val="20"/>
                <w:szCs w:val="20"/>
                <w:lang w:val="fr-CA"/>
              </w:rPr>
            </w:pPr>
            <w:r w:rsidRPr="003B45A1">
              <w:rPr>
                <w:sz w:val="20"/>
                <w:szCs w:val="20"/>
                <w:lang w:val="fr-CA"/>
              </w:rPr>
              <w:t xml:space="preserve">2.2 </w:t>
            </w:r>
          </w:p>
        </w:tc>
        <w:tc>
          <w:tcPr>
            <w:tcW w:w="1134" w:type="dxa"/>
          </w:tcPr>
          <w:p w14:paraId="205EC23F" w14:textId="77777777" w:rsidR="003D4708" w:rsidRPr="003B45A1" w:rsidRDefault="003D4708" w:rsidP="00236F6D">
            <w:pPr>
              <w:pStyle w:val="En-tte"/>
              <w:spacing w:before="60"/>
              <w:jc w:val="center"/>
              <w:rPr>
                <w:sz w:val="20"/>
                <w:szCs w:val="20"/>
                <w:lang w:val="fr-CA"/>
              </w:rPr>
            </w:pPr>
          </w:p>
        </w:tc>
        <w:tc>
          <w:tcPr>
            <w:tcW w:w="1020" w:type="dxa"/>
            <w:shd w:val="clear" w:color="auto" w:fill="auto"/>
          </w:tcPr>
          <w:p w14:paraId="6E4EA986" w14:textId="77777777" w:rsidR="003D4708" w:rsidRPr="003B45A1" w:rsidRDefault="003D4708" w:rsidP="00236F6D">
            <w:pPr>
              <w:pStyle w:val="En-tte"/>
              <w:spacing w:before="60"/>
              <w:jc w:val="left"/>
              <w:rPr>
                <w:sz w:val="20"/>
                <w:szCs w:val="20"/>
                <w:lang w:val="fr-CA"/>
              </w:rPr>
            </w:pPr>
          </w:p>
        </w:tc>
        <w:tc>
          <w:tcPr>
            <w:tcW w:w="724" w:type="dxa"/>
          </w:tcPr>
          <w:p w14:paraId="5ACA7430" w14:textId="77777777" w:rsidR="003D4708" w:rsidRPr="003B45A1" w:rsidRDefault="003D4708" w:rsidP="00236F6D">
            <w:pPr>
              <w:pStyle w:val="En-tte"/>
              <w:spacing w:before="60"/>
              <w:jc w:val="left"/>
              <w:rPr>
                <w:sz w:val="20"/>
                <w:szCs w:val="20"/>
                <w:lang w:val="fr-CA"/>
              </w:rPr>
            </w:pPr>
          </w:p>
        </w:tc>
        <w:tc>
          <w:tcPr>
            <w:tcW w:w="724" w:type="dxa"/>
          </w:tcPr>
          <w:p w14:paraId="23D82EAE" w14:textId="77777777" w:rsidR="003D4708" w:rsidRPr="003B45A1" w:rsidRDefault="003D4708" w:rsidP="00236F6D">
            <w:pPr>
              <w:pStyle w:val="En-tte"/>
              <w:spacing w:before="60"/>
              <w:jc w:val="left"/>
              <w:rPr>
                <w:sz w:val="20"/>
                <w:szCs w:val="20"/>
                <w:lang w:val="fr-CA"/>
              </w:rPr>
            </w:pPr>
          </w:p>
        </w:tc>
        <w:tc>
          <w:tcPr>
            <w:tcW w:w="724" w:type="dxa"/>
          </w:tcPr>
          <w:p w14:paraId="37838980" w14:textId="77777777" w:rsidR="003D4708" w:rsidRPr="003B45A1" w:rsidRDefault="003D4708" w:rsidP="00236F6D">
            <w:pPr>
              <w:pStyle w:val="En-tte"/>
              <w:spacing w:before="60"/>
              <w:jc w:val="left"/>
              <w:rPr>
                <w:sz w:val="20"/>
                <w:szCs w:val="20"/>
                <w:lang w:val="fr-CA"/>
              </w:rPr>
            </w:pPr>
          </w:p>
        </w:tc>
        <w:tc>
          <w:tcPr>
            <w:tcW w:w="724" w:type="dxa"/>
          </w:tcPr>
          <w:p w14:paraId="4C3EC77F" w14:textId="77777777" w:rsidR="003D4708" w:rsidRPr="003B45A1" w:rsidRDefault="003D4708" w:rsidP="00236F6D">
            <w:pPr>
              <w:pStyle w:val="En-tte"/>
              <w:spacing w:before="60"/>
              <w:jc w:val="left"/>
              <w:rPr>
                <w:sz w:val="20"/>
                <w:szCs w:val="20"/>
                <w:lang w:val="fr-CA"/>
              </w:rPr>
            </w:pPr>
          </w:p>
        </w:tc>
        <w:tc>
          <w:tcPr>
            <w:tcW w:w="724" w:type="dxa"/>
          </w:tcPr>
          <w:p w14:paraId="1F781E5E" w14:textId="77777777" w:rsidR="003D4708" w:rsidRPr="003B45A1" w:rsidRDefault="003D4708" w:rsidP="00236F6D">
            <w:pPr>
              <w:pStyle w:val="En-tte"/>
              <w:spacing w:before="60"/>
              <w:jc w:val="left"/>
              <w:rPr>
                <w:sz w:val="20"/>
                <w:szCs w:val="20"/>
                <w:lang w:val="fr-CA"/>
              </w:rPr>
            </w:pPr>
          </w:p>
        </w:tc>
        <w:tc>
          <w:tcPr>
            <w:tcW w:w="724" w:type="dxa"/>
            <w:shd w:val="clear" w:color="auto" w:fill="auto"/>
          </w:tcPr>
          <w:p w14:paraId="5E31BDB6" w14:textId="77777777" w:rsidR="003D4708" w:rsidRPr="003B45A1" w:rsidRDefault="003D4708" w:rsidP="00236F6D">
            <w:pPr>
              <w:pStyle w:val="En-tte"/>
              <w:spacing w:before="60"/>
              <w:jc w:val="left"/>
              <w:rPr>
                <w:sz w:val="20"/>
                <w:szCs w:val="20"/>
                <w:lang w:val="fr-CA"/>
              </w:rPr>
            </w:pPr>
          </w:p>
        </w:tc>
        <w:tc>
          <w:tcPr>
            <w:tcW w:w="725" w:type="dxa"/>
          </w:tcPr>
          <w:p w14:paraId="3547C67C" w14:textId="77777777" w:rsidR="003D4708" w:rsidRPr="003B45A1" w:rsidDel="00BD7C58" w:rsidRDefault="003D4708" w:rsidP="00236F6D">
            <w:pPr>
              <w:spacing w:before="60"/>
              <w:jc w:val="left"/>
              <w:rPr>
                <w:sz w:val="20"/>
                <w:szCs w:val="20"/>
                <w:lang w:val="fr-CA"/>
              </w:rPr>
            </w:pPr>
          </w:p>
        </w:tc>
        <w:tc>
          <w:tcPr>
            <w:tcW w:w="2013" w:type="dxa"/>
            <w:shd w:val="clear" w:color="auto" w:fill="auto"/>
          </w:tcPr>
          <w:p w14:paraId="1D9654F2" w14:textId="77777777" w:rsidR="003D4708" w:rsidRPr="003B45A1" w:rsidDel="00BD7C58" w:rsidRDefault="003D4708" w:rsidP="00236F6D">
            <w:pPr>
              <w:spacing w:before="60"/>
              <w:jc w:val="left"/>
              <w:rPr>
                <w:sz w:val="20"/>
                <w:szCs w:val="20"/>
                <w:lang w:val="fr-CA"/>
              </w:rPr>
            </w:pPr>
          </w:p>
        </w:tc>
      </w:tr>
    </w:tbl>
    <w:p w14:paraId="3802F317" w14:textId="77777777" w:rsidR="0052682D" w:rsidRPr="00C76338" w:rsidRDefault="0052682D" w:rsidP="00632820">
      <w:pPr>
        <w:pStyle w:val="Titre1"/>
        <w:numPr>
          <w:ilvl w:val="0"/>
          <w:numId w:val="0"/>
        </w:numPr>
        <w:ind w:right="1502"/>
        <w:rPr>
          <w:lang w:val="fr-FR"/>
        </w:rPr>
      </w:pPr>
    </w:p>
    <w:sectPr w:rsidR="0052682D" w:rsidRPr="00C76338" w:rsidSect="00632820">
      <w:headerReference w:type="first" r:id="rId12"/>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0914" w14:textId="77777777" w:rsidR="003C6BC5" w:rsidRDefault="003C6BC5" w:rsidP="003D4708">
      <w:pPr>
        <w:spacing w:after="0"/>
      </w:pPr>
      <w:r>
        <w:separator/>
      </w:r>
    </w:p>
  </w:endnote>
  <w:endnote w:type="continuationSeparator" w:id="0">
    <w:p w14:paraId="090390AD" w14:textId="77777777" w:rsidR="003C6BC5" w:rsidRDefault="003C6BC5"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DE4C" w14:textId="77777777" w:rsidR="005F5E3D" w:rsidRDefault="005F5E3D" w:rsidP="00236F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E12DD74" w14:textId="77777777" w:rsidR="005F5E3D" w:rsidRDefault="005F5E3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F211" w14:textId="31239FCD" w:rsidR="005F5E3D" w:rsidRDefault="005F5E3D" w:rsidP="00236F6D">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20659E">
      <w:rPr>
        <w:rStyle w:val="Numrodepage"/>
        <w:noProof/>
      </w:rPr>
      <w:t>7</w:t>
    </w:r>
    <w:r>
      <w:rPr>
        <w:rStyle w:val="Numrodepag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990E" w14:textId="26E200A3" w:rsidR="005F5E3D" w:rsidRDefault="005F5E3D">
    <w:pPr>
      <w:pStyle w:val="Pieddepage"/>
      <w:jc w:val="right"/>
    </w:pPr>
    <w:r>
      <w:fldChar w:fldCharType="begin"/>
    </w:r>
    <w:r>
      <w:instrText xml:space="preserve"> PAGE   \* MERGEFORMAT </w:instrText>
    </w:r>
    <w:r>
      <w:fldChar w:fldCharType="separate"/>
    </w:r>
    <w:r w:rsidR="0020659E">
      <w:rPr>
        <w:noProof/>
      </w:rPr>
      <w:t>8</w:t>
    </w:r>
    <w:r>
      <w:rPr>
        <w:noProof/>
      </w:rPr>
      <w:fldChar w:fldCharType="end"/>
    </w:r>
  </w:p>
  <w:p w14:paraId="49998561" w14:textId="77777777" w:rsidR="005F5E3D" w:rsidRDefault="005F5E3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673A" w14:textId="77777777" w:rsidR="003C6BC5" w:rsidRDefault="003C6BC5" w:rsidP="003D4708">
      <w:pPr>
        <w:spacing w:after="0"/>
      </w:pPr>
      <w:r>
        <w:separator/>
      </w:r>
    </w:p>
  </w:footnote>
  <w:footnote w:type="continuationSeparator" w:id="0">
    <w:p w14:paraId="4725EE0E" w14:textId="77777777" w:rsidR="003C6BC5" w:rsidRDefault="003C6BC5" w:rsidP="003D4708">
      <w:pPr>
        <w:spacing w:after="0"/>
      </w:pPr>
      <w:r>
        <w:continuationSeparator/>
      </w:r>
    </w:p>
  </w:footnote>
  <w:footnote w:id="1">
    <w:p w14:paraId="262BE95B" w14:textId="77777777" w:rsidR="005F5E3D" w:rsidRPr="00EA4B10" w:rsidRDefault="005F5E3D" w:rsidP="003D4708">
      <w:pPr>
        <w:pStyle w:val="Notedebasdepage"/>
        <w:rPr>
          <w:lang w:val="fr-CA"/>
        </w:rPr>
      </w:pPr>
      <w:r>
        <w:rPr>
          <w:rStyle w:val="Appelnotedebasdep"/>
        </w:rPr>
        <w:footnoteRef/>
      </w:r>
      <w:r w:rsidRPr="00EA4B10">
        <w:rPr>
          <w:lang w:val="fr-CA"/>
        </w:rPr>
        <w:t xml:space="preserve"> </w:t>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2">
    <w:p w14:paraId="7DA4038C" w14:textId="77777777" w:rsidR="005F5E3D" w:rsidRPr="0081159E" w:rsidRDefault="005F5E3D" w:rsidP="003D4708">
      <w:pPr>
        <w:pStyle w:val="Notedebasdepage"/>
        <w:spacing w:after="0"/>
        <w:rPr>
          <w:rFonts w:ascii="Calibri" w:hAnsi="Calibri"/>
          <w:sz w:val="20"/>
          <w:lang w:val="fr-CA"/>
        </w:rPr>
      </w:pPr>
      <w:r w:rsidRPr="0081159E">
        <w:rPr>
          <w:rStyle w:val="Appelnotedebasdep"/>
          <w:lang w:val="fr-CA"/>
        </w:rPr>
        <w:footnoteRef/>
      </w:r>
      <w:r w:rsidRPr="0081159E">
        <w:rPr>
          <w:lang w:val="fr-CA"/>
        </w:rPr>
        <w:t xml:space="preserve"> </w:t>
      </w:r>
      <w:r w:rsidRPr="0081159E">
        <w:rPr>
          <w:rFonts w:ascii="Calibri" w:hAnsi="Calibri"/>
          <w:sz w:val="20"/>
          <w:lang w:val="fr-CA"/>
        </w:rPr>
        <w:t xml:space="preserve">Note : Modifiez le bloc des signatures selon qu’il y a lieu </w:t>
      </w:r>
    </w:p>
    <w:p w14:paraId="18291A9B" w14:textId="77777777" w:rsidR="005F5E3D" w:rsidRPr="0081159E" w:rsidRDefault="005F5E3D" w:rsidP="003D4708">
      <w:pPr>
        <w:pStyle w:val="Notedebasdepage"/>
        <w:spacing w:after="0"/>
        <w:rPr>
          <w:lang w:val="fr-CA"/>
        </w:rPr>
      </w:pPr>
      <w:proofErr w:type="gramStart"/>
      <w:r w:rsidRPr="0081159E">
        <w:rPr>
          <w:rFonts w:ascii="Calibri" w:hAnsi="Calibri"/>
          <w:sz w:val="20"/>
          <w:vertAlign w:val="superscript"/>
          <w:lang w:val="fr-CA"/>
        </w:rPr>
        <w:t xml:space="preserve">2  </w:t>
      </w:r>
      <w:r w:rsidRPr="0081159E">
        <w:rPr>
          <w:rFonts w:ascii="Calibri" w:hAnsi="Calibri"/>
          <w:sz w:val="20"/>
          <w:lang w:val="fr-CA"/>
        </w:rPr>
        <w:t>Le</w:t>
      </w:r>
      <w:proofErr w:type="gramEnd"/>
      <w:r w:rsidRPr="0081159E">
        <w:rPr>
          <w:rFonts w:ascii="Calibri" w:hAnsi="Calibri"/>
          <w:sz w:val="20"/>
          <w:lang w:val="fr-CA"/>
        </w:rPr>
        <w:t xml:space="preserve"> marqueur genre mesure l’investissement du projet dans l’égalité des sexes et l’autonomisation des femmes. Choisir un marqueur par produit : G3 (l’égalité des sexes est un objectif principal</w:t>
      </w:r>
      <w:proofErr w:type="gramStart"/>
      <w:r w:rsidRPr="0081159E">
        <w:rPr>
          <w:rFonts w:ascii="Calibri" w:hAnsi="Calibri"/>
          <w:sz w:val="20"/>
          <w:lang w:val="fr-CA"/>
        </w:rPr>
        <w:t>);</w:t>
      </w:r>
      <w:proofErr w:type="gramEnd"/>
      <w:r w:rsidRPr="0081159E">
        <w:rPr>
          <w:rFonts w:ascii="Calibri" w:hAnsi="Calibri"/>
          <w:sz w:val="20"/>
          <w:lang w:val="fr-CA"/>
        </w:rPr>
        <w:t xml:space="preserve"> G2 (l’égalité des sexes est un objectif important); G1 (contribution limitée à l’égalité des sexes); G0 (pas de contribution à l’égalité des sexes) </w:t>
      </w:r>
      <w:r w:rsidRPr="0081159E">
        <w:rPr>
          <w:lang w:val="fr-CA"/>
        </w:rPr>
        <w:t xml:space="preserve"> </w:t>
      </w:r>
    </w:p>
    <w:p w14:paraId="7BEE72D0" w14:textId="77777777" w:rsidR="005F5E3D" w:rsidRPr="0081159E" w:rsidRDefault="005F5E3D" w:rsidP="003D4708">
      <w:pPr>
        <w:pStyle w:val="Notedebasdepage"/>
        <w:spacing w:after="0"/>
        <w:rPr>
          <w:lang w:val="fr-CA"/>
        </w:rPr>
      </w:pPr>
    </w:p>
  </w:footnote>
  <w:footnote w:id="3">
    <w:p w14:paraId="05B792D9" w14:textId="3B71BEF6" w:rsidR="005F5E3D" w:rsidRPr="0081159E" w:rsidRDefault="005F5E3D" w:rsidP="00632820">
      <w:pPr>
        <w:pStyle w:val="Notedebasdepage"/>
        <w:ind w:right="1502"/>
        <w:rPr>
          <w:lang w:val="fr-CA"/>
        </w:rPr>
      </w:pPr>
      <w:r w:rsidRPr="0081159E">
        <w:rPr>
          <w:rStyle w:val="Appelnotedebasdep"/>
          <w:lang w:val="fr-CA"/>
        </w:rPr>
        <w:footnoteRef/>
      </w:r>
      <w:r w:rsidRPr="0081159E">
        <w:rPr>
          <w:lang w:val="fr-CA"/>
        </w:rPr>
        <w:t xml:space="preserve"> </w:t>
      </w:r>
      <w:r w:rsidRPr="0081159E">
        <w:rPr>
          <w:rFonts w:ascii="Calibri" w:hAnsi="Calibri"/>
          <w:sz w:val="20"/>
          <w:lang w:val="fr-CA"/>
        </w:rPr>
        <w:t xml:space="preserve">Le PNUD publie </w:t>
      </w:r>
      <w:r>
        <w:rPr>
          <w:rFonts w:ascii="Calibri" w:hAnsi="Calibri"/>
          <w:sz w:val="20"/>
          <w:lang w:val="fr-CA"/>
        </w:rPr>
        <w:t>d</w:t>
      </w:r>
      <w:r w:rsidRPr="0081159E">
        <w:rPr>
          <w:rFonts w:ascii="Calibri" w:hAnsi="Calibri"/>
          <w:sz w:val="20"/>
          <w:lang w:val="fr-CA"/>
        </w:rPr>
        <w:t xml:space="preserve">es informations sur </w:t>
      </w:r>
      <w:r>
        <w:rPr>
          <w:rFonts w:ascii="Calibri" w:hAnsi="Calibri"/>
          <w:sz w:val="20"/>
          <w:lang w:val="fr-CA"/>
        </w:rPr>
        <w:t>s</w:t>
      </w:r>
      <w:r w:rsidRPr="0081159E">
        <w:rPr>
          <w:rFonts w:ascii="Calibri" w:hAnsi="Calibri"/>
          <w:sz w:val="20"/>
          <w:lang w:val="fr-CA"/>
        </w:rPr>
        <w:t>es projets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w:t>
      </w:r>
      <w:r>
        <w:rPr>
          <w:rFonts w:ascii="Calibri" w:hAnsi="Calibri"/>
          <w:sz w:val="20"/>
          <w:lang w:val="fr-CA"/>
        </w:rPr>
        <w:t xml:space="preserve">s et sur des preuves </w:t>
      </w:r>
      <w:r w:rsidR="00C76338">
        <w:rPr>
          <w:rFonts w:ascii="Calibri" w:hAnsi="Calibri"/>
          <w:sz w:val="20"/>
          <w:lang w:val="fr-CA"/>
        </w:rPr>
        <w:t>crédibles</w:t>
      </w:r>
      <w:r w:rsidRPr="0081159E">
        <w:rPr>
          <w:rFonts w:ascii="Calibri" w:hAnsi="Calibri"/>
          <w:sz w:val="20"/>
          <w:lang w:val="fr-CA"/>
        </w:rPr>
        <w:t>. On évitera aussi les acronymes de manière à ce que le public externe comprenne clairement les résultats du projet.</w:t>
      </w:r>
    </w:p>
  </w:footnote>
  <w:footnote w:id="4">
    <w:p w14:paraId="6E8936EB" w14:textId="77777777" w:rsidR="005F5E3D" w:rsidRPr="0081159E" w:rsidRDefault="005F5E3D" w:rsidP="00632820">
      <w:pPr>
        <w:pStyle w:val="Notedebasdepage"/>
        <w:ind w:right="1502"/>
        <w:rPr>
          <w:rFonts w:ascii="Calibri" w:hAnsi="Calibri"/>
          <w:lang w:val="fr-CA"/>
        </w:rPr>
      </w:pPr>
      <w:r w:rsidRPr="0081159E">
        <w:rPr>
          <w:rStyle w:val="Appelnotedebasdep"/>
          <w:sz w:val="20"/>
          <w:lang w:val="fr-CA"/>
        </w:rPr>
        <w:footnoteRef/>
      </w:r>
      <w:r w:rsidRPr="0081159E">
        <w:rPr>
          <w:sz w:val="20"/>
          <w:lang w:val="fr-CA"/>
        </w:rPr>
        <w:t xml:space="preserve"> </w:t>
      </w:r>
      <w:r w:rsidRPr="0081159E">
        <w:rPr>
          <w:rFonts w:ascii="Calibri" w:hAnsi="Calibri"/>
          <w:sz w:val="20"/>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7DAF" w14:textId="77777777" w:rsidR="005F5E3D" w:rsidRPr="00453D4C" w:rsidRDefault="005F5E3D" w:rsidP="00236F6D">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CAD8" w14:textId="77777777" w:rsidR="005F5E3D" w:rsidRPr="00B10660" w:rsidRDefault="005F5E3D" w:rsidP="00236F6D">
    <w:pPr>
      <w:rPr>
        <w:rFonts w:cs="Arial"/>
        <w:color w:val="002060"/>
        <w:sz w:val="20"/>
        <w:szCs w:val="20"/>
        <w:lang w:val="fr-CA"/>
      </w:rPr>
    </w:pPr>
    <w:r>
      <w:rPr>
        <w:noProof/>
        <w:lang w:val="fr-FR" w:eastAsia="fr-FR"/>
      </w:rPr>
      <w:drawing>
        <wp:anchor distT="0" distB="0" distL="114300" distR="114300" simplePos="0" relativeHeight="251659264" behindDoc="1" locked="0" layoutInCell="1" allowOverlap="1" wp14:anchorId="68FFBDB4" wp14:editId="361D8B71">
          <wp:simplePos x="0" y="0"/>
          <wp:positionH relativeFrom="column">
            <wp:posOffset>5628005</wp:posOffset>
          </wp:positionH>
          <wp:positionV relativeFrom="paragraph">
            <wp:posOffset>-158750</wp:posOffset>
          </wp:positionV>
          <wp:extent cx="471805" cy="1228725"/>
          <wp:effectExtent l="0" t="0" r="0" b="0"/>
          <wp:wrapNone/>
          <wp:docPr id="3" name="Picture 3"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60">
      <w:rPr>
        <w:rFonts w:cs="Arial"/>
        <w:color w:val="002060"/>
        <w:sz w:val="20"/>
        <w:szCs w:val="20"/>
        <w:lang w:val="fr-CA"/>
      </w:rPr>
      <w:t>PROGRAMME DES NATIONS UNIES POUR LE DÉVELOPPEMENT</w:t>
    </w:r>
  </w:p>
  <w:p w14:paraId="55AEB25C" w14:textId="77777777" w:rsidR="005F5E3D" w:rsidRPr="00B10660" w:rsidRDefault="005F5E3D" w:rsidP="00236F6D">
    <w:pPr>
      <w:tabs>
        <w:tab w:val="left" w:pos="5970"/>
      </w:tabs>
      <w:rPr>
        <w:rFonts w:cs="Arial"/>
        <w:color w:val="002060"/>
        <w:lang w:val="fr-CA"/>
      </w:rPr>
    </w:pPr>
    <w:r>
      <w:rPr>
        <w:rFonts w:cs="Arial"/>
        <w:color w:val="002060"/>
        <w:lang w:val="fr-CA"/>
      </w:rPr>
      <w:tab/>
    </w:r>
  </w:p>
  <w:p w14:paraId="29FD50DC" w14:textId="77777777" w:rsidR="005F5E3D" w:rsidRPr="00B10660" w:rsidRDefault="005F5E3D" w:rsidP="00236F6D">
    <w:pPr>
      <w:jc w:val="center"/>
      <w:rPr>
        <w:rFonts w:cs="Arial"/>
        <w:b/>
        <w:color w:val="002060"/>
        <w:sz w:val="20"/>
        <w:szCs w:val="20"/>
        <w:u w:val="single"/>
        <w:lang w:val="fr-CA"/>
      </w:rPr>
    </w:pPr>
    <w:r>
      <w:rPr>
        <w:rFonts w:cs="Arial"/>
        <w:b/>
        <w:color w:val="002060"/>
        <w:sz w:val="20"/>
        <w:szCs w:val="20"/>
        <w:u w:val="single"/>
        <w:lang w:val="fr-CA"/>
      </w:rPr>
      <w:t>DOCUMENT DE PROJE</w:t>
    </w:r>
    <w:r w:rsidRPr="00B10660">
      <w:rPr>
        <w:rFonts w:cs="Arial"/>
        <w:b/>
        <w:color w:val="002060"/>
        <w:sz w:val="20"/>
        <w:szCs w:val="20"/>
        <w:u w:val="single"/>
        <w:lang w:val="fr-CA"/>
      </w:rPr>
      <w:t>T</w:t>
    </w:r>
  </w:p>
  <w:p w14:paraId="7613CECD" w14:textId="17FD1180" w:rsidR="005F5E3D" w:rsidRPr="00B10660" w:rsidRDefault="005F5E3D" w:rsidP="00236F6D">
    <w:pPr>
      <w:jc w:val="center"/>
      <w:rPr>
        <w:rFonts w:cs="Arial"/>
        <w:b/>
        <w:i/>
        <w:color w:val="002060"/>
        <w:sz w:val="20"/>
        <w:szCs w:val="20"/>
        <w:u w:val="single"/>
        <w:lang w:val="fr-CA"/>
      </w:rPr>
    </w:pPr>
    <w:r w:rsidRPr="00B10660">
      <w:rPr>
        <w:rFonts w:cs="Arial"/>
        <w:b/>
        <w:i/>
        <w:color w:val="002060"/>
        <w:sz w:val="20"/>
        <w:szCs w:val="20"/>
        <w:u w:val="single"/>
        <w:lang w:val="fr-CA"/>
      </w:rPr>
      <w:t>[</w:t>
    </w:r>
    <w:r>
      <w:rPr>
        <w:rFonts w:cs="Arial"/>
        <w:b/>
        <w:i/>
        <w:color w:val="002060"/>
        <w:sz w:val="20"/>
        <w:szCs w:val="20"/>
        <w:u w:val="single"/>
        <w:lang w:val="fr-CA"/>
      </w:rPr>
      <w:t>République de Guinée</w:t>
    </w:r>
    <w:r w:rsidRPr="00B10660">
      <w:rPr>
        <w:rFonts w:cs="Arial"/>
        <w:b/>
        <w:i/>
        <w:color w:val="002060"/>
        <w:sz w:val="20"/>
        <w:szCs w:val="20"/>
        <w:u w:val="single"/>
        <w:lang w:val="fr-CA"/>
      </w:rPr>
      <w:t>]</w:t>
    </w:r>
  </w:p>
  <w:p w14:paraId="70F1883A" w14:textId="77777777" w:rsidR="005F5E3D" w:rsidRPr="00B10660" w:rsidRDefault="005F5E3D">
    <w:pPr>
      <w:pStyle w:val="En-tte"/>
      <w:rPr>
        <w:lang w:val="fr-C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2EAC" w14:textId="77777777" w:rsidR="005F5E3D" w:rsidRPr="00284B77" w:rsidRDefault="005F5E3D" w:rsidP="00236F6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7B"/>
    <w:multiLevelType w:val="hybridMultilevel"/>
    <w:tmpl w:val="3A147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266A0"/>
    <w:multiLevelType w:val="hybridMultilevel"/>
    <w:tmpl w:val="875EC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032B6"/>
    <w:multiLevelType w:val="hybridMultilevel"/>
    <w:tmpl w:val="74C2C7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6450EF"/>
    <w:multiLevelType w:val="hybridMultilevel"/>
    <w:tmpl w:val="D47A0080"/>
    <w:lvl w:ilvl="0" w:tplc="A60A52A0">
      <w:start w:val="1"/>
      <w:numFmt w:val="decimal"/>
      <w:pStyle w:val="Lgende"/>
      <w:lvlText w:val="%1."/>
      <w:lvlJc w:val="left"/>
      <w:pPr>
        <w:ind w:left="360" w:hanging="360"/>
      </w:pPr>
      <w:rPr>
        <w:rFonts w:ascii="Garamond" w:hAnsi="Garamond" w:hint="default"/>
        <w:i w:val="0"/>
        <w:spacing w:val="0"/>
        <w:w w:val="100"/>
        <w:kern w:val="0"/>
        <w:position w:val="0"/>
        <w:sz w:val="22"/>
      </w:rPr>
    </w:lvl>
    <w:lvl w:ilvl="1" w:tplc="A726EDF0">
      <w:start w:val="1"/>
      <w:numFmt w:val="lowerRoman"/>
      <w:lvlText w:val="%2)"/>
      <w:lvlJc w:val="left"/>
      <w:pPr>
        <w:ind w:left="-327" w:hanging="720"/>
      </w:pPr>
      <w:rPr>
        <w:rFonts w:hint="default"/>
      </w:rPr>
    </w:lvl>
    <w:lvl w:ilvl="2" w:tplc="47D673C2">
      <w:start w:val="5"/>
      <w:numFmt w:val="bullet"/>
      <w:lvlText w:val="•"/>
      <w:lvlJc w:val="left"/>
      <w:pPr>
        <w:ind w:left="558" w:hanging="705"/>
      </w:pPr>
      <w:rPr>
        <w:rFonts w:ascii="Garamond" w:eastAsia="Times New Roman" w:hAnsi="Garamond" w:cs="Times New Roman" w:hint="default"/>
      </w:rPr>
    </w:lvl>
    <w:lvl w:ilvl="3" w:tplc="040C000F" w:tentative="1">
      <w:start w:val="1"/>
      <w:numFmt w:val="decimal"/>
      <w:lvlText w:val="%4."/>
      <w:lvlJc w:val="left"/>
      <w:pPr>
        <w:ind w:left="753" w:hanging="360"/>
      </w:pPr>
    </w:lvl>
    <w:lvl w:ilvl="4" w:tplc="040C0019" w:tentative="1">
      <w:start w:val="1"/>
      <w:numFmt w:val="lowerLetter"/>
      <w:lvlText w:val="%5."/>
      <w:lvlJc w:val="left"/>
      <w:pPr>
        <w:ind w:left="1473" w:hanging="360"/>
      </w:pPr>
    </w:lvl>
    <w:lvl w:ilvl="5" w:tplc="040C001B" w:tentative="1">
      <w:start w:val="1"/>
      <w:numFmt w:val="lowerRoman"/>
      <w:lvlText w:val="%6."/>
      <w:lvlJc w:val="right"/>
      <w:pPr>
        <w:ind w:left="2193" w:hanging="180"/>
      </w:pPr>
    </w:lvl>
    <w:lvl w:ilvl="6" w:tplc="040C000F" w:tentative="1">
      <w:start w:val="1"/>
      <w:numFmt w:val="decimal"/>
      <w:lvlText w:val="%7."/>
      <w:lvlJc w:val="left"/>
      <w:pPr>
        <w:ind w:left="2913" w:hanging="360"/>
      </w:pPr>
    </w:lvl>
    <w:lvl w:ilvl="7" w:tplc="040C0019" w:tentative="1">
      <w:start w:val="1"/>
      <w:numFmt w:val="lowerLetter"/>
      <w:lvlText w:val="%8."/>
      <w:lvlJc w:val="left"/>
      <w:pPr>
        <w:ind w:left="3633" w:hanging="360"/>
      </w:pPr>
    </w:lvl>
    <w:lvl w:ilvl="8" w:tplc="040C001B" w:tentative="1">
      <w:start w:val="1"/>
      <w:numFmt w:val="lowerRoman"/>
      <w:lvlText w:val="%9."/>
      <w:lvlJc w:val="right"/>
      <w:pPr>
        <w:ind w:left="4353" w:hanging="180"/>
      </w:pPr>
    </w:lvl>
  </w:abstractNum>
  <w:abstractNum w:abstractNumId="6" w15:restartNumberingAfterBreak="0">
    <w:nsid w:val="3D25003B"/>
    <w:multiLevelType w:val="hybridMultilevel"/>
    <w:tmpl w:val="F044DF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0515DA"/>
    <w:multiLevelType w:val="hybridMultilevel"/>
    <w:tmpl w:val="3EFE1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4C6D79"/>
    <w:multiLevelType w:val="hybridMultilevel"/>
    <w:tmpl w:val="ACA8480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3167F28"/>
    <w:multiLevelType w:val="hybridMultilevel"/>
    <w:tmpl w:val="E9AC2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A279C9"/>
    <w:multiLevelType w:val="hybridMultilevel"/>
    <w:tmpl w:val="EEB05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B2C1B0C"/>
    <w:multiLevelType w:val="hybridMultilevel"/>
    <w:tmpl w:val="11704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8"/>
  </w:num>
  <w:num w:numId="5">
    <w:abstractNumId w:val="10"/>
  </w:num>
  <w:num w:numId="6">
    <w:abstractNumId w:val="6"/>
  </w:num>
  <w:num w:numId="7">
    <w:abstractNumId w:val="5"/>
  </w:num>
  <w:num w:numId="8">
    <w:abstractNumId w:val="1"/>
  </w:num>
  <w:num w:numId="9">
    <w:abstractNumId w:val="11"/>
  </w:num>
  <w:num w:numId="10">
    <w:abstractNumId w:val="7"/>
  </w:num>
  <w:num w:numId="11">
    <w:abstractNumId w:val="9"/>
  </w:num>
  <w:num w:numId="12">
    <w:abstractNumId w:val="0"/>
  </w:num>
  <w:num w:numId="13">
    <w:abstractNumId w:val="5"/>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8"/>
    <w:rsid w:val="000118B7"/>
    <w:rsid w:val="00062E56"/>
    <w:rsid w:val="000B03AC"/>
    <w:rsid w:val="00140DA6"/>
    <w:rsid w:val="00154096"/>
    <w:rsid w:val="00190B62"/>
    <w:rsid w:val="001D7518"/>
    <w:rsid w:val="0020659E"/>
    <w:rsid w:val="00236F6D"/>
    <w:rsid w:val="00311027"/>
    <w:rsid w:val="003249EA"/>
    <w:rsid w:val="0036608D"/>
    <w:rsid w:val="003838A5"/>
    <w:rsid w:val="003B45A1"/>
    <w:rsid w:val="003C6BC5"/>
    <w:rsid w:val="003D4708"/>
    <w:rsid w:val="003D5869"/>
    <w:rsid w:val="004535E5"/>
    <w:rsid w:val="0045760C"/>
    <w:rsid w:val="00490E1D"/>
    <w:rsid w:val="004A6C1B"/>
    <w:rsid w:val="004A7B0B"/>
    <w:rsid w:val="004A7F41"/>
    <w:rsid w:val="004C2965"/>
    <w:rsid w:val="004D0830"/>
    <w:rsid w:val="004D7E87"/>
    <w:rsid w:val="004F5481"/>
    <w:rsid w:val="0052682D"/>
    <w:rsid w:val="0059791A"/>
    <w:rsid w:val="005B5FD2"/>
    <w:rsid w:val="005D3361"/>
    <w:rsid w:val="005F5E3D"/>
    <w:rsid w:val="00632820"/>
    <w:rsid w:val="006368D9"/>
    <w:rsid w:val="00662E83"/>
    <w:rsid w:val="00663088"/>
    <w:rsid w:val="006B6B7F"/>
    <w:rsid w:val="006C6865"/>
    <w:rsid w:val="006D34AB"/>
    <w:rsid w:val="00701954"/>
    <w:rsid w:val="007603A9"/>
    <w:rsid w:val="00764A99"/>
    <w:rsid w:val="007C2CE2"/>
    <w:rsid w:val="008753DB"/>
    <w:rsid w:val="008A78B4"/>
    <w:rsid w:val="008D65BD"/>
    <w:rsid w:val="008F38DC"/>
    <w:rsid w:val="00903E2D"/>
    <w:rsid w:val="009D39E7"/>
    <w:rsid w:val="009E56BE"/>
    <w:rsid w:val="00A0404D"/>
    <w:rsid w:val="00A04F03"/>
    <w:rsid w:val="00A375BA"/>
    <w:rsid w:val="00A8353E"/>
    <w:rsid w:val="00A90C98"/>
    <w:rsid w:val="00AA1162"/>
    <w:rsid w:val="00AF32CF"/>
    <w:rsid w:val="00B02617"/>
    <w:rsid w:val="00B06846"/>
    <w:rsid w:val="00B57683"/>
    <w:rsid w:val="00B950F6"/>
    <w:rsid w:val="00BC5D7C"/>
    <w:rsid w:val="00BD61DD"/>
    <w:rsid w:val="00C21EE2"/>
    <w:rsid w:val="00C275AE"/>
    <w:rsid w:val="00C3605E"/>
    <w:rsid w:val="00C762C8"/>
    <w:rsid w:val="00C76338"/>
    <w:rsid w:val="00D57739"/>
    <w:rsid w:val="00DA39CD"/>
    <w:rsid w:val="00DC55F4"/>
    <w:rsid w:val="00DE4DD1"/>
    <w:rsid w:val="00E329FD"/>
    <w:rsid w:val="00E42CD5"/>
    <w:rsid w:val="00E53DD6"/>
    <w:rsid w:val="00E558B9"/>
    <w:rsid w:val="00EA401D"/>
    <w:rsid w:val="00F210EF"/>
    <w:rsid w:val="00F8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C2F"/>
  <w15:chartTrackingRefBased/>
  <w15:docId w15:val="{747BC416-3DB6-42CC-B83E-DF8C49E3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08"/>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basedOn w:val="Normal"/>
    <w:link w:val="NotedebasdepageCar"/>
    <w:uiPriority w:val="99"/>
    <w:rsid w:val="003D4708"/>
    <w:pPr>
      <w:widowControl w:val="0"/>
    </w:pPr>
    <w:rPr>
      <w:rFonts w:ascii="Courier" w:hAnsi="Courier"/>
      <w:szCs w:val="20"/>
      <w:lang w:val="en-US"/>
    </w:rPr>
  </w:style>
  <w:style w:type="character" w:customStyle="1" w:styleId="NotedebasdepageCar">
    <w:name w:val="Note de bas de page Car"/>
    <w:basedOn w:val="Policepardfaut"/>
    <w:link w:val="Notedebasdepage"/>
    <w:uiPriority w:val="99"/>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semiHidden/>
    <w:rsid w:val="003D4708"/>
    <w:rPr>
      <w:szCs w:val="20"/>
    </w:rPr>
  </w:style>
  <w:style w:type="character" w:customStyle="1" w:styleId="CommentaireCar">
    <w:name w:val="Commentaire Car"/>
    <w:basedOn w:val="Policepardfaut"/>
    <w:link w:val="Commentaire"/>
    <w:uiPriority w:val="99"/>
    <w:semiHidden/>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uiPriority w:val="99"/>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basedOn w:val="Normal"/>
    <w:uiPriority w:val="99"/>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paragraph" w:styleId="Lgende">
    <w:name w:val="caption"/>
    <w:aliases w:val="Para"/>
    <w:basedOn w:val="Normal"/>
    <w:next w:val="Normal"/>
    <w:qFormat/>
    <w:rsid w:val="009D39E7"/>
    <w:pPr>
      <w:numPr>
        <w:numId w:val="7"/>
      </w:numPr>
      <w:spacing w:before="120" w:after="0"/>
    </w:pPr>
    <w:rPr>
      <w:rFonts w:ascii="Garamond" w:eastAsia="PMingLiU" w:hAnsi="Garamond"/>
      <w:bCs/>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4857</Words>
  <Characters>26719</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DIALLO MAMADOU LAMARANA</cp:lastModifiedBy>
  <cp:revision>3</cp:revision>
  <dcterms:created xsi:type="dcterms:W3CDTF">2019-06-03T09:30:00Z</dcterms:created>
  <dcterms:modified xsi:type="dcterms:W3CDTF">2019-06-03T09:33:00Z</dcterms:modified>
</cp:coreProperties>
</file>