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44AAEC" w14:textId="77777777" w:rsidR="00944D9C" w:rsidRPr="00AA03CD" w:rsidRDefault="00944D9C" w:rsidP="00944D9C">
      <w:pPr>
        <w:jc w:val="center"/>
        <w:rPr>
          <w:rFonts w:ascii="Arial" w:hAnsi="Arial" w:cs="Arial"/>
          <w:b/>
          <w:bCs/>
          <w:color w:val="000080"/>
          <w:sz w:val="24"/>
        </w:rPr>
      </w:pPr>
      <w:r w:rsidRPr="00AA03CD">
        <w:rPr>
          <w:rFonts w:ascii="Arial" w:hAnsi="Arial" w:cs="Arial"/>
          <w:b/>
          <w:bCs/>
          <w:color w:val="000080"/>
          <w:sz w:val="24"/>
        </w:rPr>
        <w:t xml:space="preserve">PROJECT LESSONS-LEARNED REPORT </w:t>
      </w:r>
    </w:p>
    <w:p w14:paraId="0D59D1B4" w14:textId="77777777" w:rsidR="00AC372B" w:rsidRPr="00944D9C" w:rsidRDefault="00AC372B" w:rsidP="00944D9C">
      <w:pPr>
        <w:pStyle w:val="BodyText"/>
        <w:pBdr>
          <w:bottom w:val="none" w:sz="0" w:space="0" w:color="auto"/>
        </w:pBdr>
        <w:spacing w:before="0" w:after="0"/>
        <w:jc w:val="center"/>
        <w:rPr>
          <w:sz w:val="20"/>
          <w:szCs w:val="20"/>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7290"/>
      </w:tblGrid>
      <w:tr w:rsidR="00944D9C" w:rsidRPr="003F7ABA" w14:paraId="51F8343D" w14:textId="77777777">
        <w:tc>
          <w:tcPr>
            <w:tcW w:w="2160" w:type="dxa"/>
            <w:shd w:val="pct12" w:color="auto" w:fill="FFFFFF"/>
          </w:tcPr>
          <w:p w14:paraId="49CE92F9" w14:textId="77777777" w:rsidR="00944D9C" w:rsidRPr="00AC372B" w:rsidRDefault="00944D9C" w:rsidP="00B94083">
            <w:pPr>
              <w:spacing w:before="60" w:after="60"/>
              <w:rPr>
                <w:rFonts w:ascii="Arial Narrow" w:hAnsi="Arial Narrow"/>
                <w:b/>
                <w:szCs w:val="20"/>
              </w:rPr>
            </w:pPr>
            <w:r w:rsidRPr="00AC372B">
              <w:rPr>
                <w:rFonts w:ascii="Arial Narrow" w:hAnsi="Arial Narrow"/>
                <w:b/>
                <w:szCs w:val="20"/>
              </w:rPr>
              <w:t>Project Title:</w:t>
            </w:r>
          </w:p>
        </w:tc>
        <w:tc>
          <w:tcPr>
            <w:tcW w:w="7290" w:type="dxa"/>
          </w:tcPr>
          <w:p w14:paraId="14E93739" w14:textId="77D5EEEE" w:rsidR="00944D9C" w:rsidRPr="00441967" w:rsidRDefault="00441967" w:rsidP="00441967">
            <w:pPr>
              <w:jc w:val="left"/>
              <w:rPr>
                <w:rFonts w:ascii="Arial" w:hAnsi="Arial" w:cs="Arial"/>
                <w:bCs/>
                <w:szCs w:val="20"/>
                <w:lang w:val="en-US"/>
              </w:rPr>
            </w:pPr>
            <w:r w:rsidRPr="00441967">
              <w:rPr>
                <w:rFonts w:ascii="Arial" w:eastAsia="SimSun" w:hAnsi="Arial" w:cs="Arial"/>
                <w:bCs/>
                <w:szCs w:val="20"/>
              </w:rPr>
              <w:t>Ensuring global environmental concerns and best practices mainstreamed in the post-conflict rapid development process of Sri Lanka though improved information management</w:t>
            </w:r>
          </w:p>
        </w:tc>
      </w:tr>
      <w:tr w:rsidR="00944D9C" w:rsidRPr="003F7ABA" w14:paraId="58C36422" w14:textId="77777777">
        <w:tc>
          <w:tcPr>
            <w:tcW w:w="2160" w:type="dxa"/>
            <w:shd w:val="pct12" w:color="auto" w:fill="FFFFFF"/>
          </w:tcPr>
          <w:p w14:paraId="39F8DA48" w14:textId="77777777" w:rsidR="00944D9C" w:rsidRPr="00AC372B" w:rsidRDefault="00944D9C" w:rsidP="00B94083">
            <w:pPr>
              <w:spacing w:before="60" w:after="60"/>
              <w:rPr>
                <w:rFonts w:ascii="Arial Narrow" w:hAnsi="Arial Narrow"/>
                <w:b/>
                <w:szCs w:val="20"/>
              </w:rPr>
            </w:pPr>
            <w:r w:rsidRPr="00AC372B">
              <w:rPr>
                <w:rFonts w:ascii="Arial Narrow" w:hAnsi="Arial Narrow"/>
                <w:b/>
                <w:szCs w:val="20"/>
              </w:rPr>
              <w:t>Country:</w:t>
            </w:r>
          </w:p>
        </w:tc>
        <w:tc>
          <w:tcPr>
            <w:tcW w:w="7290" w:type="dxa"/>
          </w:tcPr>
          <w:p w14:paraId="1ADAD8FF" w14:textId="55B5CF93" w:rsidR="00944D9C" w:rsidRPr="003C609A" w:rsidRDefault="00441967" w:rsidP="00B94083">
            <w:pPr>
              <w:spacing w:before="60" w:after="60"/>
              <w:rPr>
                <w:rFonts w:ascii="Arial" w:hAnsi="Arial"/>
                <w:sz w:val="18"/>
                <w:szCs w:val="18"/>
              </w:rPr>
            </w:pPr>
            <w:r>
              <w:rPr>
                <w:rFonts w:ascii="Arial" w:hAnsi="Arial"/>
                <w:sz w:val="18"/>
                <w:szCs w:val="18"/>
              </w:rPr>
              <w:t>Sri Lanka</w:t>
            </w:r>
          </w:p>
        </w:tc>
      </w:tr>
      <w:tr w:rsidR="00AC372B" w:rsidRPr="003F7ABA" w14:paraId="499843A4" w14:textId="77777777">
        <w:tc>
          <w:tcPr>
            <w:tcW w:w="2160" w:type="dxa"/>
            <w:shd w:val="pct12" w:color="auto" w:fill="FFFFFF"/>
          </w:tcPr>
          <w:p w14:paraId="5AE560B7" w14:textId="77777777" w:rsidR="00AC372B" w:rsidRPr="00AC372B" w:rsidRDefault="00AC372B" w:rsidP="00AC372B">
            <w:pPr>
              <w:spacing w:before="60" w:after="60"/>
              <w:jc w:val="left"/>
              <w:rPr>
                <w:rFonts w:ascii="Arial Narrow" w:hAnsi="Arial Narrow"/>
                <w:b/>
                <w:szCs w:val="20"/>
              </w:rPr>
            </w:pPr>
            <w:r w:rsidRPr="00AC372B">
              <w:rPr>
                <w:rFonts w:ascii="Arial Narrow" w:hAnsi="Arial Narrow"/>
                <w:b/>
                <w:szCs w:val="20"/>
              </w:rPr>
              <w:t>Related CPAP Outcome</w:t>
            </w:r>
          </w:p>
        </w:tc>
        <w:tc>
          <w:tcPr>
            <w:tcW w:w="7290" w:type="dxa"/>
          </w:tcPr>
          <w:p w14:paraId="2CBC29B1" w14:textId="73922F4B" w:rsidR="00AC372B" w:rsidRPr="003C609A" w:rsidRDefault="003A5558" w:rsidP="00B94083">
            <w:pPr>
              <w:spacing w:before="60" w:after="60"/>
              <w:rPr>
                <w:rFonts w:ascii="Arial" w:hAnsi="Arial"/>
                <w:sz w:val="18"/>
                <w:szCs w:val="18"/>
              </w:rPr>
            </w:pPr>
            <w:r>
              <w:rPr>
                <w:rFonts w:ascii="Arial" w:hAnsi="Arial"/>
                <w:sz w:val="18"/>
                <w:szCs w:val="18"/>
              </w:rPr>
              <w:t>National and subnational data collection measurement and analytical systems in place to monitor progress on the SDGs</w:t>
            </w:r>
          </w:p>
        </w:tc>
      </w:tr>
      <w:tr w:rsidR="00944D9C" w:rsidRPr="001A0DE7" w14:paraId="35CA2454" w14:textId="77777777">
        <w:tc>
          <w:tcPr>
            <w:tcW w:w="9450" w:type="dxa"/>
            <w:gridSpan w:val="2"/>
            <w:shd w:val="clear" w:color="auto" w:fill="CCCCFF"/>
            <w:vAlign w:val="center"/>
          </w:tcPr>
          <w:p w14:paraId="7167CA55" w14:textId="77777777" w:rsidR="00944D9C" w:rsidRPr="001A0DE7" w:rsidRDefault="00944D9C" w:rsidP="00B94083">
            <w:pPr>
              <w:spacing w:before="60" w:after="60"/>
              <w:jc w:val="center"/>
              <w:rPr>
                <w:rFonts w:ascii="Arial" w:hAnsi="Arial" w:cs="Arial"/>
                <w:b/>
                <w:sz w:val="22"/>
                <w:szCs w:val="22"/>
              </w:rPr>
            </w:pPr>
            <w:r w:rsidRPr="001A0DE7">
              <w:rPr>
                <w:rFonts w:ascii="Arial" w:hAnsi="Arial" w:cs="Arial"/>
                <w:b/>
                <w:sz w:val="22"/>
                <w:szCs w:val="22"/>
              </w:rPr>
              <w:t xml:space="preserve">Project Description and </w:t>
            </w:r>
            <w:r w:rsidR="00B94083">
              <w:rPr>
                <w:rFonts w:ascii="Arial" w:hAnsi="Arial" w:cs="Arial"/>
                <w:b/>
                <w:sz w:val="22"/>
                <w:szCs w:val="22"/>
              </w:rPr>
              <w:t xml:space="preserve">Key </w:t>
            </w:r>
            <w:r w:rsidR="00AC372B">
              <w:rPr>
                <w:rFonts w:ascii="Arial" w:hAnsi="Arial" w:cs="Arial"/>
                <w:b/>
                <w:sz w:val="22"/>
                <w:szCs w:val="22"/>
              </w:rPr>
              <w:t>Lessons-</w:t>
            </w:r>
            <w:r w:rsidRPr="001A0DE7">
              <w:rPr>
                <w:rFonts w:ascii="Arial" w:hAnsi="Arial" w:cs="Arial"/>
                <w:b/>
                <w:sz w:val="22"/>
                <w:szCs w:val="22"/>
              </w:rPr>
              <w:t>Learned</w:t>
            </w:r>
          </w:p>
        </w:tc>
      </w:tr>
      <w:tr w:rsidR="00944D9C" w:rsidRPr="00A20067" w14:paraId="154055E1" w14:textId="77777777">
        <w:tc>
          <w:tcPr>
            <w:tcW w:w="2160" w:type="dxa"/>
            <w:shd w:val="pct12" w:color="auto" w:fill="FFFFFF"/>
          </w:tcPr>
          <w:p w14:paraId="26E07153" w14:textId="77777777" w:rsidR="00944D9C" w:rsidRPr="00AC372B" w:rsidRDefault="00944D9C" w:rsidP="00944D9C">
            <w:pPr>
              <w:spacing w:before="60" w:after="60"/>
              <w:jc w:val="left"/>
              <w:rPr>
                <w:rFonts w:ascii="Arial Narrow" w:hAnsi="Arial Narrow"/>
                <w:b/>
                <w:szCs w:val="20"/>
              </w:rPr>
            </w:pPr>
            <w:r w:rsidRPr="00AC372B">
              <w:rPr>
                <w:rFonts w:ascii="Arial Narrow" w:hAnsi="Arial Narrow"/>
                <w:b/>
                <w:szCs w:val="20"/>
              </w:rPr>
              <w:t>Brief description of context</w:t>
            </w:r>
          </w:p>
        </w:tc>
        <w:tc>
          <w:tcPr>
            <w:tcW w:w="7290" w:type="dxa"/>
          </w:tcPr>
          <w:p w14:paraId="3ADB9718" w14:textId="31363A8B" w:rsidR="00944D9C" w:rsidRPr="00696009" w:rsidRDefault="00696009" w:rsidP="00696009">
            <w:pPr>
              <w:spacing w:before="60" w:after="60"/>
              <w:jc w:val="left"/>
              <w:rPr>
                <w:rFonts w:ascii="Arial" w:hAnsi="Arial" w:cs="Arial"/>
                <w:szCs w:val="20"/>
              </w:rPr>
            </w:pPr>
            <w:r w:rsidRPr="00696009">
              <w:rPr>
                <w:rFonts w:ascii="Arial" w:hAnsi="Arial" w:cs="Arial"/>
              </w:rPr>
              <w:t xml:space="preserve">Initially the project was developed with the Ministry of Environment in 2014 and approved by GEF CEO in 2014. However, due to a series of clarifications raised by the intended implementing partner, the project did not </w:t>
            </w:r>
            <w:r w:rsidR="00A168FF" w:rsidRPr="00696009">
              <w:rPr>
                <w:rFonts w:ascii="Arial" w:hAnsi="Arial" w:cs="Arial"/>
              </w:rPr>
              <w:t>commence</w:t>
            </w:r>
            <w:r w:rsidRPr="00696009">
              <w:rPr>
                <w:rFonts w:ascii="Arial" w:hAnsi="Arial" w:cs="Arial"/>
              </w:rPr>
              <w:t xml:space="preserve"> until late 2015. In Oct. 2015 the Ministry of Disaster Management was mandated with the implementation of the project under the “Sri Lanka </w:t>
            </w:r>
            <w:r w:rsidR="00A168FF" w:rsidRPr="00696009">
              <w:rPr>
                <w:rFonts w:ascii="Arial" w:hAnsi="Arial" w:cs="Arial"/>
              </w:rPr>
              <w:t>Comprehensive</w:t>
            </w:r>
            <w:r w:rsidRPr="00696009">
              <w:rPr>
                <w:rFonts w:ascii="Arial" w:hAnsi="Arial" w:cs="Arial"/>
              </w:rPr>
              <w:t xml:space="preserve"> Disaster Management P</w:t>
            </w:r>
            <w:r w:rsidR="00A168FF">
              <w:rPr>
                <w:rFonts w:ascii="Arial" w:hAnsi="Arial" w:cs="Arial"/>
              </w:rPr>
              <w:t>ro</w:t>
            </w:r>
            <w:r w:rsidRPr="00696009">
              <w:rPr>
                <w:rFonts w:ascii="Arial" w:hAnsi="Arial" w:cs="Arial"/>
              </w:rPr>
              <w:t xml:space="preserve">gramme’’ 2014-2018, with the consent of the </w:t>
            </w:r>
            <w:r w:rsidR="00A168FF" w:rsidRPr="00696009">
              <w:rPr>
                <w:rFonts w:ascii="Arial" w:hAnsi="Arial" w:cs="Arial"/>
              </w:rPr>
              <w:t>Ministries</w:t>
            </w:r>
            <w:r w:rsidRPr="00696009">
              <w:rPr>
                <w:rFonts w:ascii="Arial" w:hAnsi="Arial" w:cs="Arial"/>
              </w:rPr>
              <w:t xml:space="preserve"> of </w:t>
            </w:r>
            <w:r w:rsidR="00A168FF" w:rsidRPr="00696009">
              <w:rPr>
                <w:rFonts w:ascii="Arial" w:hAnsi="Arial" w:cs="Arial"/>
              </w:rPr>
              <w:t>Environment</w:t>
            </w:r>
            <w:r w:rsidR="00A168FF">
              <w:rPr>
                <w:rFonts w:ascii="Arial" w:hAnsi="Arial" w:cs="Arial"/>
              </w:rPr>
              <w:t>,</w:t>
            </w:r>
            <w:r w:rsidRPr="00696009">
              <w:rPr>
                <w:rFonts w:ascii="Arial" w:hAnsi="Arial" w:cs="Arial"/>
              </w:rPr>
              <w:t xml:space="preserve"> Land</w:t>
            </w:r>
            <w:r w:rsidR="00A168FF">
              <w:rPr>
                <w:rFonts w:ascii="Arial" w:hAnsi="Arial" w:cs="Arial"/>
              </w:rPr>
              <w:t>,</w:t>
            </w:r>
            <w:r w:rsidRPr="00696009">
              <w:rPr>
                <w:rFonts w:ascii="Arial" w:hAnsi="Arial" w:cs="Arial"/>
              </w:rPr>
              <w:t xml:space="preserve"> Digital Infrastru</w:t>
            </w:r>
            <w:r w:rsidR="00A168FF">
              <w:rPr>
                <w:rFonts w:ascii="Arial" w:hAnsi="Arial" w:cs="Arial"/>
              </w:rPr>
              <w:t>ctu</w:t>
            </w:r>
            <w:r w:rsidRPr="00696009">
              <w:rPr>
                <w:rFonts w:ascii="Arial" w:hAnsi="Arial" w:cs="Arial"/>
              </w:rPr>
              <w:t xml:space="preserve">re. In line with adaptive management and with </w:t>
            </w:r>
            <w:r w:rsidR="00A168FF" w:rsidRPr="00696009">
              <w:rPr>
                <w:rFonts w:ascii="Arial" w:hAnsi="Arial" w:cs="Arial"/>
              </w:rPr>
              <w:t>stakeholder consensus</w:t>
            </w:r>
            <w:r w:rsidRPr="00696009">
              <w:rPr>
                <w:rFonts w:ascii="Arial" w:hAnsi="Arial" w:cs="Arial"/>
              </w:rPr>
              <w:t xml:space="preserve"> certain changes were </w:t>
            </w:r>
            <w:r w:rsidR="00A168FF" w:rsidRPr="00696009">
              <w:rPr>
                <w:rFonts w:ascii="Arial" w:hAnsi="Arial" w:cs="Arial"/>
              </w:rPr>
              <w:t>incorporated into</w:t>
            </w:r>
            <w:r w:rsidRPr="00696009">
              <w:rPr>
                <w:rFonts w:ascii="Arial" w:hAnsi="Arial" w:cs="Arial"/>
              </w:rPr>
              <w:t xml:space="preserve"> the project document to reflect current requirements of the country</w:t>
            </w:r>
            <w:r w:rsidR="00A168FF">
              <w:rPr>
                <w:rFonts w:ascii="Arial" w:hAnsi="Arial" w:cs="Arial"/>
              </w:rPr>
              <w:t>.</w:t>
            </w:r>
          </w:p>
        </w:tc>
      </w:tr>
      <w:tr w:rsidR="00944D9C" w:rsidRPr="00A20067" w14:paraId="2D64A8E1" w14:textId="77777777">
        <w:tc>
          <w:tcPr>
            <w:tcW w:w="2160" w:type="dxa"/>
            <w:shd w:val="pct12" w:color="auto" w:fill="FFFFFF"/>
          </w:tcPr>
          <w:p w14:paraId="602B4A44" w14:textId="77777777" w:rsidR="00944D9C" w:rsidRPr="00AC372B" w:rsidRDefault="00944D9C" w:rsidP="00944D9C">
            <w:pPr>
              <w:spacing w:before="60" w:after="60"/>
              <w:jc w:val="left"/>
              <w:rPr>
                <w:rFonts w:ascii="Arial Narrow" w:hAnsi="Arial Narrow"/>
                <w:b/>
                <w:szCs w:val="20"/>
              </w:rPr>
            </w:pPr>
            <w:r w:rsidRPr="00AC372B">
              <w:rPr>
                <w:rFonts w:ascii="Arial Narrow" w:hAnsi="Arial Narrow"/>
                <w:b/>
                <w:szCs w:val="20"/>
              </w:rPr>
              <w:t xml:space="preserve">Brief description of project </w:t>
            </w:r>
          </w:p>
        </w:tc>
        <w:tc>
          <w:tcPr>
            <w:tcW w:w="7290" w:type="dxa"/>
          </w:tcPr>
          <w:p w14:paraId="76698141" w14:textId="03376366" w:rsidR="00441967" w:rsidRPr="00441967" w:rsidRDefault="00441967" w:rsidP="00441967">
            <w:pPr>
              <w:pStyle w:val="AProd"/>
              <w:numPr>
                <w:ilvl w:val="0"/>
                <w:numId w:val="0"/>
              </w:numPr>
              <w:jc w:val="both"/>
              <w:rPr>
                <w:rFonts w:ascii="Arial" w:eastAsiaTheme="minorHAnsi" w:hAnsi="Arial" w:cs="Arial"/>
                <w:bCs/>
                <w:sz w:val="20"/>
                <w:szCs w:val="20"/>
              </w:rPr>
            </w:pPr>
            <w:r w:rsidRPr="00441967">
              <w:rPr>
                <w:rFonts w:ascii="Arial" w:eastAsiaTheme="minorHAnsi" w:hAnsi="Arial" w:cs="Arial"/>
                <w:bCs/>
                <w:sz w:val="20"/>
                <w:szCs w:val="20"/>
              </w:rPr>
              <w:t xml:space="preserve">The goal of this project </w:t>
            </w:r>
            <w:r>
              <w:rPr>
                <w:rFonts w:ascii="Arial" w:eastAsiaTheme="minorHAnsi" w:hAnsi="Arial" w:cs="Arial"/>
                <w:bCs/>
                <w:sz w:val="20"/>
                <w:szCs w:val="20"/>
              </w:rPr>
              <w:t>wa</w:t>
            </w:r>
            <w:r w:rsidRPr="00441967">
              <w:rPr>
                <w:rFonts w:ascii="Arial" w:eastAsiaTheme="minorHAnsi" w:hAnsi="Arial" w:cs="Arial"/>
                <w:bCs/>
                <w:sz w:val="20"/>
                <w:szCs w:val="20"/>
              </w:rPr>
              <w:t xml:space="preserve">s to strengthen data and information management and other support systems that contribute to policy development and improved implementation of the three Rio Conventions.  </w:t>
            </w:r>
          </w:p>
          <w:p w14:paraId="489082C3" w14:textId="5AC4BEC0" w:rsidR="00441967" w:rsidRPr="00441967" w:rsidRDefault="00441967" w:rsidP="00441967">
            <w:pPr>
              <w:pStyle w:val="AProd"/>
              <w:numPr>
                <w:ilvl w:val="0"/>
                <w:numId w:val="0"/>
              </w:numPr>
              <w:jc w:val="both"/>
              <w:rPr>
                <w:rFonts w:ascii="Arial" w:eastAsiaTheme="minorHAnsi" w:hAnsi="Arial" w:cs="Arial"/>
                <w:bCs/>
                <w:sz w:val="20"/>
                <w:szCs w:val="20"/>
              </w:rPr>
            </w:pPr>
            <w:r w:rsidRPr="00441967">
              <w:rPr>
                <w:rFonts w:ascii="Arial" w:eastAsiaTheme="minorHAnsi" w:hAnsi="Arial" w:cs="Arial"/>
                <w:bCs/>
                <w:sz w:val="20"/>
                <w:szCs w:val="20"/>
              </w:rPr>
              <w:t>To this end, the project will focus on improved access to environmental data and information as a basis for strengthened national and sub-national developmental planning, building on the high level of political patronage for a greener and impr</w:t>
            </w:r>
            <w:r w:rsidR="002C1D16">
              <w:rPr>
                <w:rFonts w:ascii="Arial" w:eastAsiaTheme="minorHAnsi" w:hAnsi="Arial" w:cs="Arial"/>
                <w:bCs/>
                <w:sz w:val="20"/>
                <w:szCs w:val="20"/>
              </w:rPr>
              <w:t xml:space="preserve">oved environment in Sri Lanka. </w:t>
            </w:r>
            <w:r w:rsidRPr="00441967">
              <w:rPr>
                <w:rFonts w:ascii="Arial" w:eastAsiaTheme="minorHAnsi" w:hAnsi="Arial" w:cs="Arial"/>
                <w:bCs/>
                <w:sz w:val="20"/>
                <w:szCs w:val="20"/>
              </w:rPr>
              <w:t>The project’s objective is to enhance the institutional and technical capacity of relevant stakeholders to support policy analysis, development planning and monitoring related to post-conflict development and implementation of the Rio Conventions and other Multilateral Environmental Agreements.</w:t>
            </w:r>
          </w:p>
          <w:p w14:paraId="1F4FF441" w14:textId="77777777" w:rsidR="00944D9C" w:rsidRDefault="00441967" w:rsidP="00441967">
            <w:pPr>
              <w:rPr>
                <w:bCs/>
              </w:rPr>
            </w:pPr>
            <w:r w:rsidRPr="00441967">
              <w:rPr>
                <w:rFonts w:ascii="Arial" w:hAnsi="Arial" w:cs="Arial"/>
                <w:bCs/>
                <w:szCs w:val="20"/>
              </w:rPr>
              <w:t>The inclusion of non-state stakeholders contributes to the adaptive collaborative management of project</w:t>
            </w:r>
            <w:r w:rsidRPr="00441967">
              <w:rPr>
                <w:rFonts w:ascii="Arial" w:hAnsi="Arial" w:cs="Arial"/>
                <w:b/>
                <w:bCs/>
                <w:szCs w:val="20"/>
              </w:rPr>
              <w:t xml:space="preserve"> </w:t>
            </w:r>
            <w:r w:rsidRPr="00441967">
              <w:rPr>
                <w:rFonts w:ascii="Arial" w:hAnsi="Arial" w:cs="Arial"/>
                <w:bCs/>
                <w:szCs w:val="20"/>
              </w:rPr>
              <w:t>implementation and promotes long-term sustainability of project outcomes.</w:t>
            </w:r>
            <w:r>
              <w:rPr>
                <w:bCs/>
              </w:rPr>
              <w:t xml:space="preserve"> </w:t>
            </w:r>
          </w:p>
          <w:p w14:paraId="1A258B7B" w14:textId="34183D13" w:rsidR="002C1D16" w:rsidRPr="002C1D16" w:rsidRDefault="002C1D16" w:rsidP="00441967">
            <w:pPr>
              <w:rPr>
                <w:rFonts w:ascii="Arial" w:hAnsi="Arial" w:cs="Arial"/>
                <w:szCs w:val="20"/>
              </w:rPr>
            </w:pPr>
            <w:r w:rsidRPr="002C1D16">
              <w:rPr>
                <w:rFonts w:ascii="Arial" w:hAnsi="Arial" w:cs="Arial"/>
                <w:bCs/>
              </w:rPr>
              <w:t>The key data generators who report to the 3 Rio Conventions and the</w:t>
            </w:r>
            <w:r>
              <w:rPr>
                <w:rFonts w:ascii="Arial" w:hAnsi="Arial" w:cs="Arial"/>
                <w:bCs/>
              </w:rPr>
              <w:t xml:space="preserve"> Sendai Framework for Disaster Risk Reduction (</w:t>
            </w:r>
            <w:r w:rsidRPr="002C1D16">
              <w:rPr>
                <w:rFonts w:ascii="Arial" w:hAnsi="Arial" w:cs="Arial"/>
                <w:bCs/>
              </w:rPr>
              <w:t>SFDRR</w:t>
            </w:r>
            <w:r>
              <w:rPr>
                <w:rFonts w:ascii="Arial" w:hAnsi="Arial" w:cs="Arial"/>
                <w:bCs/>
              </w:rPr>
              <w:t>)</w:t>
            </w:r>
            <w:r w:rsidRPr="002C1D16">
              <w:rPr>
                <w:rFonts w:ascii="Arial" w:hAnsi="Arial" w:cs="Arial"/>
                <w:bCs/>
              </w:rPr>
              <w:t xml:space="preserve"> were identified as the stakeholders of the project. There were 60 in total some being Disaster Management Centre, Biodiversity Secretariat, Land-Use and Land-Use Planning Department, etc</w:t>
            </w:r>
          </w:p>
        </w:tc>
      </w:tr>
      <w:tr w:rsidR="00944D9C" w:rsidRPr="00A20067" w14:paraId="5DE22F79" w14:textId="77777777">
        <w:tc>
          <w:tcPr>
            <w:tcW w:w="2160" w:type="dxa"/>
            <w:shd w:val="pct12" w:color="auto" w:fill="FFFFFF"/>
          </w:tcPr>
          <w:p w14:paraId="09AF8640" w14:textId="77777777" w:rsidR="00944D9C" w:rsidRPr="00AC372B" w:rsidRDefault="00944D9C" w:rsidP="00944D9C">
            <w:pPr>
              <w:spacing w:before="60" w:after="60"/>
              <w:jc w:val="left"/>
              <w:rPr>
                <w:rFonts w:ascii="Arial Narrow" w:hAnsi="Arial Narrow"/>
                <w:b/>
                <w:szCs w:val="20"/>
              </w:rPr>
            </w:pPr>
            <w:r w:rsidRPr="00AC372B">
              <w:rPr>
                <w:rFonts w:ascii="Arial Narrow" w:hAnsi="Arial Narrow"/>
                <w:b/>
                <w:szCs w:val="20"/>
              </w:rPr>
              <w:t>Key project successes</w:t>
            </w:r>
          </w:p>
        </w:tc>
        <w:tc>
          <w:tcPr>
            <w:tcW w:w="7290" w:type="dxa"/>
          </w:tcPr>
          <w:p w14:paraId="08F5C6EF" w14:textId="77777777" w:rsidR="00E510B4" w:rsidRDefault="00696009" w:rsidP="00A168FF">
            <w:pPr>
              <w:pStyle w:val="Abulletspace"/>
              <w:numPr>
                <w:ilvl w:val="0"/>
                <w:numId w:val="0"/>
              </w:numPr>
              <w:rPr>
                <w:rFonts w:asciiTheme="minorHAnsi" w:eastAsiaTheme="minorHAnsi" w:hAnsiTheme="minorHAnsi" w:cstheme="minorBidi"/>
                <w:bCs/>
                <w:szCs w:val="22"/>
              </w:rPr>
            </w:pPr>
            <w:r w:rsidRPr="00362B4B">
              <w:rPr>
                <w:rFonts w:asciiTheme="minorHAnsi" w:eastAsiaTheme="minorHAnsi" w:hAnsiTheme="minorHAnsi" w:cstheme="minorBidi"/>
                <w:bCs/>
                <w:szCs w:val="22"/>
              </w:rPr>
              <w:t>Component 1:  Data and information management system</w:t>
            </w:r>
            <w:r>
              <w:rPr>
                <w:rFonts w:asciiTheme="minorHAnsi" w:eastAsiaTheme="minorHAnsi" w:hAnsiTheme="minorHAnsi" w:cstheme="minorBidi"/>
                <w:bCs/>
                <w:szCs w:val="22"/>
              </w:rPr>
              <w:t xml:space="preserve"> – </w:t>
            </w:r>
          </w:p>
          <w:p w14:paraId="658D1EE5" w14:textId="54923B32" w:rsidR="00696009" w:rsidRDefault="00696009" w:rsidP="00E510B4">
            <w:pPr>
              <w:pStyle w:val="Abulletspace"/>
              <w:numPr>
                <w:ilvl w:val="0"/>
                <w:numId w:val="37"/>
              </w:numPr>
              <w:rPr>
                <w:rFonts w:asciiTheme="minorHAnsi" w:eastAsiaTheme="minorHAnsi" w:hAnsiTheme="minorHAnsi" w:cstheme="minorBidi"/>
                <w:bCs/>
                <w:szCs w:val="22"/>
              </w:rPr>
            </w:pPr>
            <w:proofErr w:type="spellStart"/>
            <w:r>
              <w:rPr>
                <w:rFonts w:asciiTheme="minorHAnsi" w:eastAsiaTheme="minorHAnsi" w:hAnsiTheme="minorHAnsi" w:cstheme="minorBidi"/>
                <w:bCs/>
                <w:szCs w:val="22"/>
              </w:rPr>
              <w:t>Met</w:t>
            </w:r>
            <w:r w:rsidR="00192996">
              <w:rPr>
                <w:rFonts w:asciiTheme="minorHAnsi" w:eastAsiaTheme="minorHAnsi" w:hAnsiTheme="minorHAnsi" w:cstheme="minorBidi"/>
                <w:bCs/>
                <w:szCs w:val="22"/>
              </w:rPr>
              <w:t>a</w:t>
            </w:r>
            <w:r>
              <w:rPr>
                <w:rFonts w:asciiTheme="minorHAnsi" w:eastAsiaTheme="minorHAnsi" w:hAnsiTheme="minorHAnsi" w:cstheme="minorBidi"/>
                <w:bCs/>
                <w:szCs w:val="22"/>
              </w:rPr>
              <w:t>Data</w:t>
            </w:r>
            <w:proofErr w:type="spellEnd"/>
            <w:r>
              <w:rPr>
                <w:rFonts w:asciiTheme="minorHAnsi" w:eastAsiaTheme="minorHAnsi" w:hAnsiTheme="minorHAnsi" w:cstheme="minorBidi"/>
                <w:bCs/>
                <w:szCs w:val="22"/>
              </w:rPr>
              <w:t xml:space="preserve"> Portal</w:t>
            </w:r>
            <w:r w:rsidR="00192996">
              <w:rPr>
                <w:rFonts w:asciiTheme="minorHAnsi" w:eastAsiaTheme="minorHAnsi" w:hAnsiTheme="minorHAnsi" w:cstheme="minorBidi"/>
                <w:bCs/>
                <w:szCs w:val="22"/>
              </w:rPr>
              <w:t xml:space="preserve"> (MDP)</w:t>
            </w:r>
            <w:r>
              <w:rPr>
                <w:rFonts w:asciiTheme="minorHAnsi" w:eastAsiaTheme="minorHAnsi" w:hAnsiTheme="minorHAnsi" w:cstheme="minorBidi"/>
                <w:bCs/>
                <w:szCs w:val="22"/>
              </w:rPr>
              <w:t xml:space="preserve">; </w:t>
            </w:r>
            <w:r w:rsidRPr="00696009">
              <w:rPr>
                <w:rFonts w:asciiTheme="minorHAnsi" w:eastAsiaTheme="minorHAnsi" w:hAnsiTheme="minorHAnsi" w:cstheme="minorBidi"/>
                <w:bCs/>
                <w:i/>
                <w:iCs/>
                <w:color w:val="1F4E79" w:themeColor="accent1" w:themeShade="80"/>
                <w:szCs w:val="22"/>
              </w:rPr>
              <w:t>datasmart.lk</w:t>
            </w:r>
          </w:p>
          <w:p w14:paraId="208620FB" w14:textId="32E40733" w:rsidR="00E510B4" w:rsidRDefault="00696009" w:rsidP="00696009">
            <w:pPr>
              <w:pStyle w:val="Abulletspace"/>
              <w:numPr>
                <w:ilvl w:val="0"/>
                <w:numId w:val="0"/>
              </w:numPr>
              <w:ind w:left="406" w:hanging="360"/>
              <w:rPr>
                <w:rFonts w:asciiTheme="minorHAnsi" w:eastAsiaTheme="minorHAnsi" w:hAnsiTheme="minorHAnsi" w:cstheme="minorBidi"/>
                <w:bCs/>
                <w:szCs w:val="22"/>
              </w:rPr>
            </w:pPr>
            <w:r w:rsidRPr="00362B4B">
              <w:rPr>
                <w:rFonts w:asciiTheme="minorHAnsi" w:eastAsiaTheme="minorHAnsi" w:hAnsiTheme="minorHAnsi" w:cstheme="minorBidi"/>
                <w:bCs/>
                <w:szCs w:val="22"/>
              </w:rPr>
              <w:t xml:space="preserve">Component 2:  </w:t>
            </w:r>
            <w:bookmarkStart w:id="0" w:name="_Hlk16149047"/>
            <w:r w:rsidRPr="00362B4B">
              <w:rPr>
                <w:rFonts w:asciiTheme="minorHAnsi" w:eastAsiaTheme="minorHAnsi" w:hAnsiTheme="minorHAnsi" w:cstheme="minorBidi"/>
                <w:bCs/>
                <w:szCs w:val="22"/>
              </w:rPr>
              <w:t>Improved capacity to use data for planning, monitoring and decision-making</w:t>
            </w:r>
            <w:r w:rsidR="00E510B4">
              <w:rPr>
                <w:rFonts w:asciiTheme="minorHAnsi" w:eastAsiaTheme="minorHAnsi" w:hAnsiTheme="minorHAnsi" w:cstheme="minorBidi"/>
                <w:bCs/>
                <w:szCs w:val="22"/>
              </w:rPr>
              <w:t xml:space="preserve"> – </w:t>
            </w:r>
          </w:p>
          <w:p w14:paraId="1C0637A8" w14:textId="060332F4" w:rsidR="00E510B4" w:rsidRDefault="00E510B4" w:rsidP="00E510B4">
            <w:pPr>
              <w:pStyle w:val="Abulletspace"/>
              <w:numPr>
                <w:ilvl w:val="0"/>
                <w:numId w:val="37"/>
              </w:numPr>
              <w:rPr>
                <w:rFonts w:asciiTheme="minorHAnsi" w:eastAsiaTheme="minorHAnsi" w:hAnsiTheme="minorHAnsi" w:cstheme="minorBidi"/>
                <w:bCs/>
                <w:szCs w:val="22"/>
              </w:rPr>
            </w:pPr>
            <w:r>
              <w:rPr>
                <w:rFonts w:asciiTheme="minorHAnsi" w:eastAsiaTheme="minorHAnsi" w:hAnsiTheme="minorHAnsi" w:cstheme="minorBidi"/>
                <w:bCs/>
                <w:szCs w:val="22"/>
              </w:rPr>
              <w:t>Awareness Campaign for general public, school children, politicians, media personnel, government officials at district and divisional levels and Small &amp; Medium Enterprises</w:t>
            </w:r>
          </w:p>
          <w:p w14:paraId="1EE89B6C" w14:textId="123E0EA8" w:rsidR="00696009" w:rsidRPr="00362B4B" w:rsidRDefault="00696009" w:rsidP="00E510B4">
            <w:pPr>
              <w:pStyle w:val="Abulletspace"/>
              <w:numPr>
                <w:ilvl w:val="0"/>
                <w:numId w:val="37"/>
              </w:numPr>
              <w:rPr>
                <w:rFonts w:asciiTheme="minorHAnsi" w:eastAsiaTheme="minorHAnsi" w:hAnsiTheme="minorHAnsi" w:cstheme="minorBidi"/>
                <w:bCs/>
                <w:szCs w:val="22"/>
              </w:rPr>
            </w:pPr>
            <w:r>
              <w:rPr>
                <w:rFonts w:asciiTheme="minorHAnsi" w:eastAsiaTheme="minorHAnsi" w:hAnsiTheme="minorHAnsi" w:cstheme="minorBidi"/>
                <w:bCs/>
                <w:szCs w:val="22"/>
              </w:rPr>
              <w:t>Infrastructure and Capacity Building of Government Stakeholders</w:t>
            </w:r>
          </w:p>
          <w:bookmarkEnd w:id="0"/>
          <w:p w14:paraId="68AA072D" w14:textId="3FE487BF" w:rsidR="00944D9C" w:rsidRPr="00AC372B" w:rsidRDefault="00944D9C" w:rsidP="00696009">
            <w:pPr>
              <w:spacing w:before="60" w:after="60"/>
              <w:ind w:left="720"/>
              <w:jc w:val="left"/>
              <w:rPr>
                <w:rFonts w:ascii="Arial" w:hAnsi="Arial"/>
                <w:szCs w:val="20"/>
              </w:rPr>
            </w:pPr>
          </w:p>
        </w:tc>
      </w:tr>
      <w:tr w:rsidR="00B466B3" w:rsidRPr="00A20067" w14:paraId="275E4279" w14:textId="77777777">
        <w:tc>
          <w:tcPr>
            <w:tcW w:w="2160" w:type="dxa"/>
            <w:shd w:val="pct12" w:color="auto" w:fill="FFFFFF"/>
          </w:tcPr>
          <w:p w14:paraId="7E287E68" w14:textId="77777777" w:rsidR="00B466B3" w:rsidRPr="00AC372B" w:rsidRDefault="00B466B3" w:rsidP="00B466B3">
            <w:pPr>
              <w:spacing w:before="60" w:after="60"/>
              <w:jc w:val="left"/>
              <w:rPr>
                <w:rFonts w:ascii="Arial Narrow" w:hAnsi="Arial Narrow"/>
                <w:b/>
                <w:szCs w:val="20"/>
              </w:rPr>
            </w:pPr>
            <w:r w:rsidRPr="00AC372B">
              <w:rPr>
                <w:rFonts w:ascii="Arial Narrow" w:hAnsi="Arial Narrow"/>
                <w:b/>
                <w:szCs w:val="20"/>
              </w:rPr>
              <w:t>Project shortcomings and solutions</w:t>
            </w:r>
          </w:p>
          <w:p w14:paraId="3E9876F8" w14:textId="77777777" w:rsidR="00B466B3" w:rsidRPr="00AC372B" w:rsidRDefault="00B466B3" w:rsidP="00944D9C">
            <w:pPr>
              <w:spacing w:before="60" w:after="60"/>
              <w:jc w:val="left"/>
              <w:rPr>
                <w:rFonts w:ascii="Arial Narrow" w:hAnsi="Arial Narrow"/>
                <w:b/>
                <w:szCs w:val="20"/>
              </w:rPr>
            </w:pPr>
          </w:p>
        </w:tc>
        <w:tc>
          <w:tcPr>
            <w:tcW w:w="7290" w:type="dxa"/>
          </w:tcPr>
          <w:p w14:paraId="517263CD" w14:textId="27FEC729" w:rsidR="00B466B3" w:rsidRPr="008F2FF9" w:rsidRDefault="00B466B3" w:rsidP="00B466B3">
            <w:pPr>
              <w:pStyle w:val="Abulletspace"/>
              <w:numPr>
                <w:ilvl w:val="0"/>
                <w:numId w:val="39"/>
              </w:numPr>
              <w:rPr>
                <w:rFonts w:ascii="Arial" w:eastAsiaTheme="minorHAnsi" w:hAnsi="Arial" w:cs="Arial"/>
                <w:bCs/>
                <w:sz w:val="20"/>
                <w:szCs w:val="20"/>
              </w:rPr>
            </w:pPr>
            <w:r w:rsidRPr="008F2FF9">
              <w:rPr>
                <w:rFonts w:ascii="Arial" w:eastAsiaTheme="minorHAnsi" w:hAnsi="Arial" w:cs="Arial"/>
                <w:bCs/>
                <w:sz w:val="20"/>
                <w:szCs w:val="20"/>
              </w:rPr>
              <w:lastRenderedPageBreak/>
              <w:t xml:space="preserve">Delay in project implementation due to political and administrative issues. </w:t>
            </w:r>
            <w:r w:rsidR="0042554A" w:rsidRPr="008F2FF9">
              <w:rPr>
                <w:rFonts w:ascii="Arial" w:eastAsiaTheme="minorHAnsi" w:hAnsi="Arial" w:cs="Arial"/>
                <w:bCs/>
                <w:sz w:val="20"/>
                <w:szCs w:val="20"/>
              </w:rPr>
              <w:t xml:space="preserve">Transferring the project to a different implementing partner </w:t>
            </w:r>
            <w:r w:rsidR="0042554A" w:rsidRPr="008F2FF9">
              <w:rPr>
                <w:rFonts w:ascii="Arial" w:eastAsiaTheme="minorHAnsi" w:hAnsi="Arial" w:cs="Arial"/>
                <w:bCs/>
                <w:sz w:val="20"/>
                <w:szCs w:val="20"/>
              </w:rPr>
              <w:lastRenderedPageBreak/>
              <w:t xml:space="preserve">resulted in a successful implementation of the project, though additional outputs </w:t>
            </w:r>
            <w:r w:rsidR="001F0E0A" w:rsidRPr="008F2FF9">
              <w:rPr>
                <w:rFonts w:ascii="Arial" w:eastAsiaTheme="minorHAnsi" w:hAnsi="Arial" w:cs="Arial"/>
                <w:bCs/>
                <w:sz w:val="20"/>
                <w:szCs w:val="20"/>
              </w:rPr>
              <w:t>had to be</w:t>
            </w:r>
            <w:r w:rsidR="0042554A" w:rsidRPr="008F2FF9">
              <w:rPr>
                <w:rFonts w:ascii="Arial" w:eastAsiaTheme="minorHAnsi" w:hAnsi="Arial" w:cs="Arial"/>
                <w:bCs/>
                <w:sz w:val="20"/>
                <w:szCs w:val="20"/>
              </w:rPr>
              <w:t xml:space="preserve"> in</w:t>
            </w:r>
            <w:r w:rsidR="001F0E0A" w:rsidRPr="008F2FF9">
              <w:rPr>
                <w:rFonts w:ascii="Arial" w:eastAsiaTheme="minorHAnsi" w:hAnsi="Arial" w:cs="Arial"/>
                <w:bCs/>
                <w:sz w:val="20"/>
                <w:szCs w:val="20"/>
              </w:rPr>
              <w:t>-</w:t>
            </w:r>
            <w:r w:rsidR="0042554A" w:rsidRPr="008F2FF9">
              <w:rPr>
                <w:rFonts w:ascii="Arial" w:eastAsiaTheme="minorHAnsi" w:hAnsi="Arial" w:cs="Arial"/>
                <w:bCs/>
                <w:sz w:val="20"/>
                <w:szCs w:val="20"/>
              </w:rPr>
              <w:t xml:space="preserve">cooperated. </w:t>
            </w:r>
          </w:p>
          <w:p w14:paraId="2009B1A6" w14:textId="77777777" w:rsidR="0042554A" w:rsidRPr="008F2FF9" w:rsidRDefault="0042554A" w:rsidP="0042554A">
            <w:pPr>
              <w:pStyle w:val="Abulletspace"/>
              <w:numPr>
                <w:ilvl w:val="0"/>
                <w:numId w:val="0"/>
              </w:numPr>
              <w:ind w:left="720" w:hanging="360"/>
              <w:rPr>
                <w:rFonts w:ascii="Arial" w:eastAsiaTheme="minorHAnsi" w:hAnsi="Arial" w:cs="Arial"/>
                <w:bCs/>
                <w:sz w:val="20"/>
                <w:szCs w:val="20"/>
              </w:rPr>
            </w:pPr>
          </w:p>
          <w:p w14:paraId="5ACEBEEC" w14:textId="2EF0FFF4" w:rsidR="00B466B3" w:rsidRPr="008F2FF9" w:rsidRDefault="00B466B3" w:rsidP="00B466B3">
            <w:pPr>
              <w:pStyle w:val="Abulletspace"/>
              <w:numPr>
                <w:ilvl w:val="0"/>
                <w:numId w:val="39"/>
              </w:numPr>
              <w:rPr>
                <w:rFonts w:ascii="Arial" w:eastAsiaTheme="minorHAnsi" w:hAnsi="Arial" w:cs="Arial"/>
                <w:bCs/>
                <w:sz w:val="20"/>
                <w:szCs w:val="20"/>
              </w:rPr>
            </w:pPr>
            <w:r w:rsidRPr="008F2FF9">
              <w:rPr>
                <w:rFonts w:ascii="Arial" w:eastAsiaTheme="minorHAnsi" w:hAnsi="Arial" w:cs="Arial"/>
                <w:bCs/>
                <w:sz w:val="20"/>
                <w:szCs w:val="20"/>
              </w:rPr>
              <w:t>Delay in system development (main output of the project), due to unqualified institutional consultant, causing delays in activities which followed the MDP</w:t>
            </w:r>
            <w:r w:rsidR="0042554A" w:rsidRPr="008F2FF9">
              <w:rPr>
                <w:rFonts w:ascii="Arial" w:eastAsiaTheme="minorHAnsi" w:hAnsi="Arial" w:cs="Arial"/>
                <w:bCs/>
                <w:sz w:val="20"/>
                <w:szCs w:val="20"/>
              </w:rPr>
              <w:t xml:space="preserve">. The project team re-hired a new institutional consultant who successfully delivered the MDP. </w:t>
            </w:r>
          </w:p>
          <w:p w14:paraId="6E97F487" w14:textId="77777777" w:rsidR="0042554A" w:rsidRPr="008F2FF9" w:rsidRDefault="0042554A" w:rsidP="0042554A">
            <w:pPr>
              <w:pStyle w:val="Abulletspace"/>
              <w:numPr>
                <w:ilvl w:val="0"/>
                <w:numId w:val="0"/>
              </w:numPr>
              <w:ind w:left="720" w:hanging="360"/>
              <w:rPr>
                <w:rFonts w:ascii="Arial" w:eastAsiaTheme="minorHAnsi" w:hAnsi="Arial" w:cs="Arial"/>
                <w:bCs/>
                <w:sz w:val="20"/>
                <w:szCs w:val="20"/>
              </w:rPr>
            </w:pPr>
          </w:p>
          <w:p w14:paraId="775B1481" w14:textId="568CC46B" w:rsidR="00B466B3" w:rsidRPr="008F2FF9" w:rsidRDefault="0042554A" w:rsidP="00B466B3">
            <w:pPr>
              <w:pStyle w:val="Abulletspace"/>
              <w:numPr>
                <w:ilvl w:val="0"/>
                <w:numId w:val="39"/>
              </w:numPr>
              <w:rPr>
                <w:rFonts w:ascii="Arial" w:eastAsiaTheme="minorHAnsi" w:hAnsi="Arial" w:cs="Arial"/>
                <w:bCs/>
                <w:sz w:val="20"/>
                <w:szCs w:val="20"/>
              </w:rPr>
            </w:pPr>
            <w:r w:rsidRPr="008F2FF9">
              <w:rPr>
                <w:rFonts w:ascii="Arial" w:eastAsiaTheme="minorHAnsi" w:hAnsi="Arial" w:cs="Arial"/>
                <w:bCs/>
                <w:sz w:val="20"/>
                <w:szCs w:val="20"/>
              </w:rPr>
              <w:t xml:space="preserve">Limited cooperation of the project stakeholders in sharing metadata and updating the MDP. A series of trainings were conducted to enter metadata into the MDP. </w:t>
            </w:r>
          </w:p>
          <w:p w14:paraId="715833EE" w14:textId="77777777" w:rsidR="0042554A" w:rsidRPr="008F2FF9" w:rsidRDefault="0042554A" w:rsidP="0042554A">
            <w:pPr>
              <w:pStyle w:val="Abulletspace"/>
              <w:numPr>
                <w:ilvl w:val="0"/>
                <w:numId w:val="0"/>
              </w:numPr>
              <w:ind w:left="720" w:hanging="360"/>
              <w:rPr>
                <w:rFonts w:ascii="Arial" w:eastAsiaTheme="minorHAnsi" w:hAnsi="Arial" w:cs="Arial"/>
                <w:bCs/>
                <w:sz w:val="20"/>
                <w:szCs w:val="20"/>
              </w:rPr>
            </w:pPr>
          </w:p>
          <w:p w14:paraId="18B3B306" w14:textId="13FA0402" w:rsidR="0042554A" w:rsidRPr="008F2FF9" w:rsidRDefault="0042554A" w:rsidP="00B466B3">
            <w:pPr>
              <w:pStyle w:val="Abulletspace"/>
              <w:numPr>
                <w:ilvl w:val="0"/>
                <w:numId w:val="39"/>
              </w:numPr>
              <w:rPr>
                <w:rFonts w:ascii="Arial" w:eastAsiaTheme="minorHAnsi" w:hAnsi="Arial" w:cs="Arial"/>
                <w:bCs/>
                <w:sz w:val="20"/>
                <w:szCs w:val="20"/>
              </w:rPr>
            </w:pPr>
            <w:r w:rsidRPr="008F2FF9">
              <w:rPr>
                <w:rFonts w:ascii="Arial" w:eastAsiaTheme="minorHAnsi" w:hAnsi="Arial" w:cs="Arial"/>
                <w:bCs/>
                <w:sz w:val="20"/>
                <w:szCs w:val="20"/>
              </w:rPr>
              <w:t>Limited cooperation of the Gampaha District Secretariat when piloting activities in Gampaha District. Though certain activities could not be completed without permission from the DS office, the project team was able to conduct activities that did not need District Secretary’s permission (Awareness to Small and Medium Enterprises, Public campaign, etc.)</w:t>
            </w:r>
          </w:p>
          <w:p w14:paraId="79787D31" w14:textId="77777777" w:rsidR="001F0E0A" w:rsidRPr="008F2FF9" w:rsidRDefault="001F0E0A" w:rsidP="001F0E0A">
            <w:pPr>
              <w:pStyle w:val="Abulletspace"/>
              <w:numPr>
                <w:ilvl w:val="0"/>
                <w:numId w:val="0"/>
              </w:numPr>
              <w:ind w:left="720" w:hanging="360"/>
              <w:rPr>
                <w:rFonts w:ascii="Arial" w:eastAsiaTheme="minorHAnsi" w:hAnsi="Arial" w:cs="Arial"/>
                <w:bCs/>
                <w:sz w:val="20"/>
                <w:szCs w:val="20"/>
              </w:rPr>
            </w:pPr>
          </w:p>
          <w:p w14:paraId="125B6F93" w14:textId="0D829F35" w:rsidR="0042554A" w:rsidRPr="008F2FF9" w:rsidRDefault="0042554A" w:rsidP="00B466B3">
            <w:pPr>
              <w:pStyle w:val="Abulletspace"/>
              <w:numPr>
                <w:ilvl w:val="0"/>
                <w:numId w:val="39"/>
              </w:numPr>
              <w:rPr>
                <w:rFonts w:ascii="Arial" w:eastAsiaTheme="minorHAnsi" w:hAnsi="Arial" w:cs="Arial"/>
                <w:bCs/>
                <w:sz w:val="20"/>
                <w:szCs w:val="20"/>
              </w:rPr>
            </w:pPr>
            <w:r w:rsidRPr="008F2FF9">
              <w:rPr>
                <w:rFonts w:ascii="Arial" w:eastAsiaTheme="minorHAnsi" w:hAnsi="Arial" w:cs="Arial"/>
                <w:bCs/>
                <w:sz w:val="20"/>
                <w:szCs w:val="20"/>
              </w:rPr>
              <w:t xml:space="preserve">Delay in project activities caused by delayed and limited cooperation of the other Ministries/agencies involved. </w:t>
            </w:r>
            <w:r w:rsidR="00624AFF" w:rsidRPr="008F2FF9">
              <w:rPr>
                <w:rFonts w:ascii="Arial" w:eastAsiaTheme="minorHAnsi" w:hAnsi="Arial" w:cs="Arial"/>
                <w:bCs/>
                <w:sz w:val="20"/>
                <w:szCs w:val="20"/>
              </w:rPr>
              <w:t xml:space="preserve">The project team thoroughly followed-up and coordinated with the relevant </w:t>
            </w:r>
            <w:r w:rsidR="001F0E0A" w:rsidRPr="008F2FF9">
              <w:rPr>
                <w:rFonts w:ascii="Arial" w:eastAsiaTheme="minorHAnsi" w:hAnsi="Arial" w:cs="Arial"/>
                <w:bCs/>
                <w:sz w:val="20"/>
                <w:szCs w:val="20"/>
              </w:rPr>
              <w:t>officers to</w:t>
            </w:r>
            <w:r w:rsidR="00624AFF" w:rsidRPr="008F2FF9">
              <w:rPr>
                <w:rFonts w:ascii="Arial" w:eastAsiaTheme="minorHAnsi" w:hAnsi="Arial" w:cs="Arial"/>
                <w:bCs/>
                <w:sz w:val="20"/>
                <w:szCs w:val="20"/>
              </w:rPr>
              <w:t xml:space="preserve"> avoid further delays. </w:t>
            </w:r>
            <w:r w:rsidRPr="008F2FF9">
              <w:rPr>
                <w:rFonts w:ascii="Arial" w:eastAsiaTheme="minorHAnsi" w:hAnsi="Arial" w:cs="Arial"/>
                <w:bCs/>
                <w:sz w:val="20"/>
                <w:szCs w:val="20"/>
              </w:rPr>
              <w:t xml:space="preserve"> </w:t>
            </w:r>
          </w:p>
          <w:p w14:paraId="785220ED" w14:textId="77777777" w:rsidR="0074138D" w:rsidRPr="008F2FF9" w:rsidRDefault="0074138D" w:rsidP="0074138D">
            <w:pPr>
              <w:pStyle w:val="Abulletspace"/>
              <w:numPr>
                <w:ilvl w:val="0"/>
                <w:numId w:val="0"/>
              </w:numPr>
              <w:ind w:left="720" w:hanging="360"/>
              <w:rPr>
                <w:rFonts w:ascii="Arial" w:eastAsiaTheme="minorHAnsi" w:hAnsi="Arial" w:cs="Arial"/>
                <w:bCs/>
                <w:sz w:val="20"/>
                <w:szCs w:val="20"/>
              </w:rPr>
            </w:pPr>
          </w:p>
          <w:p w14:paraId="7A18E035" w14:textId="322551E1" w:rsidR="0042554A" w:rsidRPr="008F2FF9" w:rsidRDefault="0074138D" w:rsidP="00B466B3">
            <w:pPr>
              <w:pStyle w:val="Abulletspace"/>
              <w:numPr>
                <w:ilvl w:val="0"/>
                <w:numId w:val="39"/>
              </w:numPr>
              <w:rPr>
                <w:rFonts w:ascii="Arial" w:eastAsiaTheme="minorHAnsi" w:hAnsi="Arial" w:cs="Arial"/>
                <w:bCs/>
                <w:sz w:val="20"/>
                <w:szCs w:val="20"/>
              </w:rPr>
            </w:pPr>
            <w:r w:rsidRPr="008F2FF9">
              <w:rPr>
                <w:rFonts w:ascii="Arial" w:eastAsiaTheme="minorHAnsi" w:hAnsi="Arial" w:cs="Arial"/>
                <w:bCs/>
                <w:sz w:val="20"/>
                <w:szCs w:val="20"/>
              </w:rPr>
              <w:t xml:space="preserve">Mislead activities and reports caused by unprofessional consultants. </w:t>
            </w:r>
            <w:r w:rsidR="00624AFF" w:rsidRPr="008F2FF9">
              <w:rPr>
                <w:rFonts w:ascii="Arial" w:eastAsiaTheme="minorHAnsi" w:hAnsi="Arial" w:cs="Arial"/>
                <w:bCs/>
                <w:sz w:val="20"/>
                <w:szCs w:val="20"/>
              </w:rPr>
              <w:t>Discussion</w:t>
            </w:r>
            <w:r w:rsidR="008F2FF9" w:rsidRPr="008F2FF9">
              <w:rPr>
                <w:rFonts w:ascii="Arial" w:eastAsiaTheme="minorHAnsi" w:hAnsi="Arial" w:cs="Arial"/>
                <w:bCs/>
                <w:sz w:val="20"/>
                <w:szCs w:val="20"/>
              </w:rPr>
              <w:t>s</w:t>
            </w:r>
            <w:r w:rsidR="00624AFF" w:rsidRPr="008F2FF9">
              <w:rPr>
                <w:rFonts w:ascii="Arial" w:eastAsiaTheme="minorHAnsi" w:hAnsi="Arial" w:cs="Arial"/>
                <w:bCs/>
                <w:sz w:val="20"/>
                <w:szCs w:val="20"/>
              </w:rPr>
              <w:t xml:space="preserve"> with the UNDP CO and other UN Expert staff guided the project team to plan and </w:t>
            </w:r>
            <w:r w:rsidRPr="008F2FF9">
              <w:rPr>
                <w:rFonts w:ascii="Arial" w:eastAsiaTheme="minorHAnsi" w:hAnsi="Arial" w:cs="Arial"/>
                <w:bCs/>
                <w:sz w:val="20"/>
                <w:szCs w:val="20"/>
              </w:rPr>
              <w:t>execute</w:t>
            </w:r>
            <w:r w:rsidR="00624AFF" w:rsidRPr="008F2FF9">
              <w:rPr>
                <w:rFonts w:ascii="Arial" w:eastAsiaTheme="minorHAnsi" w:hAnsi="Arial" w:cs="Arial"/>
                <w:bCs/>
                <w:sz w:val="20"/>
                <w:szCs w:val="20"/>
              </w:rPr>
              <w:t xml:space="preserve"> activities according to the project AWP and log framework.</w:t>
            </w:r>
          </w:p>
        </w:tc>
      </w:tr>
      <w:tr w:rsidR="00944D9C" w:rsidRPr="00A20067" w14:paraId="3469677A" w14:textId="77777777">
        <w:tc>
          <w:tcPr>
            <w:tcW w:w="2160" w:type="dxa"/>
            <w:shd w:val="pct12" w:color="auto" w:fill="FFFFFF"/>
          </w:tcPr>
          <w:p w14:paraId="564873A1" w14:textId="3F85DFBE" w:rsidR="00944D9C" w:rsidRPr="00AC372B" w:rsidRDefault="0074138D" w:rsidP="00B466B3">
            <w:pPr>
              <w:spacing w:before="60" w:after="60"/>
              <w:jc w:val="left"/>
              <w:rPr>
                <w:rFonts w:ascii="Arial Narrow" w:hAnsi="Arial Narrow"/>
                <w:b/>
                <w:szCs w:val="20"/>
              </w:rPr>
            </w:pPr>
            <w:r w:rsidRPr="00AC372B">
              <w:rPr>
                <w:rFonts w:ascii="Arial Narrow" w:hAnsi="Arial Narrow"/>
                <w:b/>
                <w:szCs w:val="20"/>
              </w:rPr>
              <w:lastRenderedPageBreak/>
              <w:t>Lessons learned</w:t>
            </w:r>
          </w:p>
        </w:tc>
        <w:tc>
          <w:tcPr>
            <w:tcW w:w="7290" w:type="dxa"/>
          </w:tcPr>
          <w:p w14:paraId="3F11E22E" w14:textId="57995A23" w:rsidR="00A168FF" w:rsidRDefault="00A168FF" w:rsidP="007E60A4">
            <w:pPr>
              <w:pStyle w:val="ListParagraph"/>
              <w:numPr>
                <w:ilvl w:val="0"/>
                <w:numId w:val="35"/>
              </w:numPr>
              <w:spacing w:before="60" w:after="60"/>
              <w:jc w:val="left"/>
              <w:rPr>
                <w:rFonts w:ascii="Arial" w:hAnsi="Arial" w:cs="Arial"/>
                <w:szCs w:val="20"/>
              </w:rPr>
            </w:pPr>
            <w:r w:rsidRPr="009B66C6">
              <w:rPr>
                <w:rFonts w:ascii="Arial" w:hAnsi="Arial" w:cs="Arial"/>
                <w:szCs w:val="20"/>
              </w:rPr>
              <w:t>The project was first assigned to the Ministry of Environment, due to certain shortcoming</w:t>
            </w:r>
            <w:r w:rsidR="002C1D16">
              <w:rPr>
                <w:rFonts w:ascii="Arial" w:hAnsi="Arial" w:cs="Arial"/>
                <w:szCs w:val="20"/>
              </w:rPr>
              <w:t>s</w:t>
            </w:r>
            <w:r w:rsidRPr="009B66C6">
              <w:rPr>
                <w:rFonts w:ascii="Arial" w:hAnsi="Arial" w:cs="Arial"/>
                <w:szCs w:val="20"/>
              </w:rPr>
              <w:t xml:space="preserve"> it was handed over to Ministry of Disaster Management who implemented the project from 2016-2018</w:t>
            </w:r>
            <w:r w:rsidR="00CD5C3D" w:rsidRPr="009B66C6">
              <w:rPr>
                <w:rFonts w:ascii="Arial" w:hAnsi="Arial" w:cs="Arial"/>
                <w:szCs w:val="20"/>
              </w:rPr>
              <w:t>,</w:t>
            </w:r>
            <w:r w:rsidRPr="009B66C6">
              <w:rPr>
                <w:rFonts w:ascii="Arial" w:hAnsi="Arial" w:cs="Arial"/>
                <w:szCs w:val="20"/>
              </w:rPr>
              <w:t xml:space="preserve"> a year later from when the project was planned to be implemented. Moreover, being under the Ministry of Disaster Man</w:t>
            </w:r>
            <w:r w:rsidR="00CD5C3D" w:rsidRPr="009B66C6">
              <w:rPr>
                <w:rFonts w:ascii="Arial" w:hAnsi="Arial" w:cs="Arial"/>
                <w:szCs w:val="20"/>
              </w:rPr>
              <w:t>a</w:t>
            </w:r>
            <w:r w:rsidRPr="009B66C6">
              <w:rPr>
                <w:rFonts w:ascii="Arial" w:hAnsi="Arial" w:cs="Arial"/>
                <w:szCs w:val="20"/>
              </w:rPr>
              <w:t xml:space="preserve">gement, the project adapted the Sendai Framework for Disaster Risk Reduction in addition to the 3 Rio Conventions </w:t>
            </w:r>
            <w:r w:rsidR="00CD5C3D" w:rsidRPr="009B66C6">
              <w:rPr>
                <w:rFonts w:ascii="Arial" w:hAnsi="Arial" w:cs="Arial"/>
                <w:szCs w:val="20"/>
              </w:rPr>
              <w:t xml:space="preserve">for its activities, </w:t>
            </w:r>
            <w:r w:rsidR="002C1D16">
              <w:rPr>
                <w:rFonts w:ascii="Arial" w:hAnsi="Arial" w:cs="Arial"/>
                <w:szCs w:val="20"/>
              </w:rPr>
              <w:t xml:space="preserve">resulting in </w:t>
            </w:r>
            <w:r w:rsidR="001F0E0A">
              <w:rPr>
                <w:rFonts w:ascii="Arial" w:hAnsi="Arial" w:cs="Arial"/>
                <w:szCs w:val="20"/>
              </w:rPr>
              <w:t>successful completion of</w:t>
            </w:r>
            <w:r w:rsidR="00CD5C3D" w:rsidRPr="009B66C6">
              <w:rPr>
                <w:rFonts w:ascii="Arial" w:hAnsi="Arial" w:cs="Arial"/>
                <w:szCs w:val="20"/>
              </w:rPr>
              <w:t xml:space="preserve"> its act</w:t>
            </w:r>
            <w:r w:rsidR="002C1D16">
              <w:rPr>
                <w:rFonts w:ascii="Arial" w:hAnsi="Arial" w:cs="Arial"/>
                <w:szCs w:val="20"/>
              </w:rPr>
              <w:t>ivities, including additional disaster management</w:t>
            </w:r>
            <w:r w:rsidR="00CD5C3D" w:rsidRPr="009B66C6">
              <w:rPr>
                <w:rFonts w:ascii="Arial" w:hAnsi="Arial" w:cs="Arial"/>
                <w:szCs w:val="20"/>
              </w:rPr>
              <w:t xml:space="preserve"> activities, in the short time period.</w:t>
            </w:r>
            <w:r w:rsidRPr="009B66C6">
              <w:rPr>
                <w:rFonts w:ascii="Arial" w:hAnsi="Arial" w:cs="Arial"/>
                <w:szCs w:val="20"/>
              </w:rPr>
              <w:t xml:space="preserve"> </w:t>
            </w:r>
            <w:r w:rsidR="00CD5C3D" w:rsidRPr="009B66C6">
              <w:rPr>
                <w:rFonts w:ascii="Arial" w:hAnsi="Arial" w:cs="Arial"/>
                <w:szCs w:val="20"/>
              </w:rPr>
              <w:t xml:space="preserve">The project overcame this challenge by </w:t>
            </w:r>
            <w:r w:rsidR="00B23C19" w:rsidRPr="009B66C6">
              <w:rPr>
                <w:rFonts w:ascii="Arial" w:hAnsi="Arial" w:cs="Arial"/>
                <w:szCs w:val="20"/>
              </w:rPr>
              <w:t>recruiting</w:t>
            </w:r>
            <w:r w:rsidR="00CD5C3D" w:rsidRPr="009B66C6">
              <w:rPr>
                <w:rFonts w:ascii="Arial" w:hAnsi="Arial" w:cs="Arial"/>
                <w:szCs w:val="20"/>
              </w:rPr>
              <w:t xml:space="preserve"> National Consultants to perform techn</w:t>
            </w:r>
            <w:r w:rsidR="00B23C19" w:rsidRPr="009B66C6">
              <w:rPr>
                <w:rFonts w:ascii="Arial" w:hAnsi="Arial" w:cs="Arial"/>
                <w:szCs w:val="20"/>
              </w:rPr>
              <w:t>ical activities/reports with stakeholder consultations</w:t>
            </w:r>
            <w:r w:rsidR="00CD5C3D" w:rsidRPr="009B66C6">
              <w:rPr>
                <w:rFonts w:ascii="Arial" w:hAnsi="Arial" w:cs="Arial"/>
                <w:szCs w:val="20"/>
              </w:rPr>
              <w:t xml:space="preserve">. </w:t>
            </w:r>
          </w:p>
          <w:p w14:paraId="16BA3F39" w14:textId="77777777" w:rsidR="007E60A4" w:rsidRPr="007E60A4" w:rsidRDefault="007E60A4" w:rsidP="007E60A4">
            <w:pPr>
              <w:spacing w:before="60" w:after="60"/>
              <w:jc w:val="left"/>
              <w:rPr>
                <w:rFonts w:ascii="Arial" w:hAnsi="Arial" w:cs="Arial"/>
                <w:szCs w:val="20"/>
              </w:rPr>
            </w:pPr>
          </w:p>
          <w:p w14:paraId="6D5D3DE5" w14:textId="5CBEBAA9" w:rsidR="00F852A0" w:rsidRPr="007E60A4" w:rsidRDefault="00F852A0" w:rsidP="007E60A4">
            <w:pPr>
              <w:pStyle w:val="ListParagraph"/>
              <w:numPr>
                <w:ilvl w:val="0"/>
                <w:numId w:val="35"/>
              </w:numPr>
              <w:spacing w:before="60" w:after="60"/>
              <w:jc w:val="left"/>
              <w:rPr>
                <w:rFonts w:ascii="Arial" w:hAnsi="Arial" w:cs="Arial"/>
                <w:szCs w:val="20"/>
              </w:rPr>
            </w:pPr>
            <w:r w:rsidRPr="009B66C6">
              <w:rPr>
                <w:rFonts w:ascii="Arial" w:hAnsi="Arial" w:cs="Arial"/>
              </w:rPr>
              <w:t xml:space="preserve">The MDP was completed in October </w:t>
            </w:r>
            <w:r w:rsidR="002C1D16">
              <w:rPr>
                <w:rFonts w:ascii="Arial" w:hAnsi="Arial" w:cs="Arial"/>
              </w:rPr>
              <w:t>20</w:t>
            </w:r>
            <w:r w:rsidR="007E60A4">
              <w:rPr>
                <w:rFonts w:ascii="Arial" w:hAnsi="Arial" w:cs="Arial"/>
              </w:rPr>
              <w:t>1</w:t>
            </w:r>
            <w:r w:rsidR="002C1D16">
              <w:rPr>
                <w:rFonts w:ascii="Arial" w:hAnsi="Arial" w:cs="Arial"/>
              </w:rPr>
              <w:t xml:space="preserve">8, </w:t>
            </w:r>
            <w:r w:rsidRPr="009B66C6">
              <w:rPr>
                <w:rFonts w:ascii="Arial" w:hAnsi="Arial" w:cs="Arial"/>
              </w:rPr>
              <w:t>2 weeks prior to the project closure, a significant delay caused by the failure of the recruited institute to successfully deliver the system. Though discussions were conducted with the Ministry during the MDP development, they refused to take-over the system due to lack of metadata and other options that were noted to be missing. However, due the project closure, the project team was unable to support the stated needs by the ministry and a consultant was needed to be recruited to conduct further meeting</w:t>
            </w:r>
            <w:r w:rsidR="002C1D16">
              <w:rPr>
                <w:rFonts w:ascii="Arial" w:hAnsi="Arial" w:cs="Arial"/>
              </w:rPr>
              <w:t>s</w:t>
            </w:r>
            <w:r w:rsidRPr="009B66C6">
              <w:rPr>
                <w:rFonts w:ascii="Arial" w:hAnsi="Arial" w:cs="Arial"/>
              </w:rPr>
              <w:t xml:space="preserve"> to hand-over the MDP to the Ministry of Disaster Management. </w:t>
            </w:r>
          </w:p>
          <w:p w14:paraId="1C0BC96D" w14:textId="1E45F49D" w:rsidR="007E60A4" w:rsidRPr="007E60A4" w:rsidRDefault="007E60A4" w:rsidP="007E60A4">
            <w:pPr>
              <w:pStyle w:val="ListParagraph"/>
              <w:rPr>
                <w:rFonts w:ascii="Arial" w:hAnsi="Arial" w:cs="Arial"/>
                <w:szCs w:val="20"/>
              </w:rPr>
            </w:pPr>
          </w:p>
          <w:p w14:paraId="1B41C630" w14:textId="49F37711" w:rsidR="007D1A14" w:rsidRPr="00B466B3" w:rsidRDefault="00F852A0" w:rsidP="007E60A4">
            <w:pPr>
              <w:pStyle w:val="ListParagraph"/>
              <w:numPr>
                <w:ilvl w:val="0"/>
                <w:numId w:val="35"/>
              </w:numPr>
              <w:spacing w:before="60" w:after="60"/>
              <w:jc w:val="left"/>
              <w:rPr>
                <w:rFonts w:ascii="Arial" w:hAnsi="Arial" w:cs="Arial"/>
                <w:szCs w:val="20"/>
              </w:rPr>
            </w:pPr>
            <w:r w:rsidRPr="009B66C6">
              <w:rPr>
                <w:rFonts w:ascii="Arial" w:hAnsi="Arial" w:cs="Arial"/>
              </w:rPr>
              <w:t>T</w:t>
            </w:r>
            <w:r w:rsidR="007D1A14" w:rsidRPr="009B66C6">
              <w:rPr>
                <w:rFonts w:ascii="Arial" w:hAnsi="Arial" w:cs="Arial"/>
              </w:rPr>
              <w:t>he MDP was developed via limited discussions with other stakeholders of the project. Once the MDP was launched, there were many options/ add-ons which were requested by stakeholders in-return for their shared metadata. Further, certain options developed in MDP had to be removed as they did not have an immediate use and are not readily been used by the stakeholders</w:t>
            </w:r>
            <w:r w:rsidR="002C1D16">
              <w:rPr>
                <w:rFonts w:ascii="Arial" w:hAnsi="Arial" w:cs="Arial"/>
              </w:rPr>
              <w:t xml:space="preserve">. A series of trainings were conducted to provide knowledge on how to update metadata and use the MDP. </w:t>
            </w:r>
          </w:p>
          <w:p w14:paraId="1C2BAF1B" w14:textId="77777777" w:rsidR="00B466B3" w:rsidRPr="00B466B3" w:rsidRDefault="00B466B3" w:rsidP="00B466B3">
            <w:pPr>
              <w:spacing w:before="60" w:after="60"/>
              <w:jc w:val="left"/>
              <w:rPr>
                <w:rFonts w:ascii="Arial" w:hAnsi="Arial" w:cs="Arial"/>
                <w:szCs w:val="20"/>
              </w:rPr>
            </w:pPr>
          </w:p>
          <w:p w14:paraId="261974E5" w14:textId="08A3D120" w:rsidR="00944D9C" w:rsidRDefault="002C1D16" w:rsidP="007E60A4">
            <w:pPr>
              <w:pStyle w:val="ListParagraph"/>
              <w:numPr>
                <w:ilvl w:val="0"/>
                <w:numId w:val="35"/>
              </w:numPr>
              <w:spacing w:before="60" w:after="60"/>
              <w:jc w:val="left"/>
              <w:rPr>
                <w:rFonts w:ascii="Arial" w:hAnsi="Arial" w:cs="Arial"/>
                <w:szCs w:val="20"/>
              </w:rPr>
            </w:pPr>
            <w:r>
              <w:rPr>
                <w:rFonts w:ascii="Arial" w:hAnsi="Arial" w:cs="Arial"/>
                <w:szCs w:val="20"/>
              </w:rPr>
              <w:lastRenderedPageBreak/>
              <w:t>Project selected two districts, Gampaha and Badulla, which face</w:t>
            </w:r>
            <w:r w:rsidR="001F0E0A">
              <w:rPr>
                <w:rFonts w:ascii="Arial" w:hAnsi="Arial" w:cs="Arial"/>
                <w:szCs w:val="20"/>
              </w:rPr>
              <w:t>d</w:t>
            </w:r>
            <w:r>
              <w:rPr>
                <w:rFonts w:ascii="Arial" w:hAnsi="Arial" w:cs="Arial"/>
                <w:szCs w:val="20"/>
              </w:rPr>
              <w:t xml:space="preserve"> annual disaster</w:t>
            </w:r>
            <w:r w:rsidR="001F0E0A">
              <w:rPr>
                <w:rFonts w:ascii="Arial" w:hAnsi="Arial" w:cs="Arial"/>
                <w:szCs w:val="20"/>
              </w:rPr>
              <w:t>s,</w:t>
            </w:r>
            <w:r>
              <w:rPr>
                <w:rFonts w:ascii="Arial" w:hAnsi="Arial" w:cs="Arial"/>
                <w:szCs w:val="20"/>
              </w:rPr>
              <w:t xml:space="preserve"> to p</w:t>
            </w:r>
            <w:r w:rsidR="00FE6283" w:rsidRPr="009B66C6">
              <w:rPr>
                <w:rFonts w:ascii="Arial" w:hAnsi="Arial" w:cs="Arial"/>
                <w:szCs w:val="20"/>
              </w:rPr>
              <w:t>ilot activities</w:t>
            </w:r>
            <w:r>
              <w:rPr>
                <w:rFonts w:ascii="Arial" w:hAnsi="Arial" w:cs="Arial"/>
                <w:szCs w:val="20"/>
              </w:rPr>
              <w:t>.</w:t>
            </w:r>
            <w:r w:rsidR="00FE6283" w:rsidRPr="009B66C6">
              <w:rPr>
                <w:rFonts w:ascii="Arial" w:hAnsi="Arial" w:cs="Arial"/>
                <w:szCs w:val="20"/>
              </w:rPr>
              <w:t xml:space="preserve"> </w:t>
            </w:r>
            <w:r w:rsidR="001F0E0A">
              <w:rPr>
                <w:rFonts w:ascii="Arial" w:hAnsi="Arial" w:cs="Arial"/>
                <w:szCs w:val="20"/>
              </w:rPr>
              <w:t>T</w:t>
            </w:r>
            <w:r w:rsidR="00FE6283" w:rsidRPr="009B66C6">
              <w:rPr>
                <w:rFonts w:ascii="Arial" w:hAnsi="Arial" w:cs="Arial"/>
                <w:szCs w:val="20"/>
              </w:rPr>
              <w:t xml:space="preserve">he Gampaha District </w:t>
            </w:r>
            <w:r>
              <w:rPr>
                <w:rFonts w:ascii="Arial" w:hAnsi="Arial" w:cs="Arial"/>
                <w:szCs w:val="20"/>
              </w:rPr>
              <w:t xml:space="preserve">activities </w:t>
            </w:r>
            <w:r w:rsidR="00FE6283" w:rsidRPr="009B66C6">
              <w:rPr>
                <w:rFonts w:ascii="Arial" w:hAnsi="Arial" w:cs="Arial"/>
                <w:szCs w:val="20"/>
              </w:rPr>
              <w:t>w</w:t>
            </w:r>
            <w:r>
              <w:rPr>
                <w:rFonts w:ascii="Arial" w:hAnsi="Arial" w:cs="Arial"/>
                <w:szCs w:val="20"/>
              </w:rPr>
              <w:t>ere</w:t>
            </w:r>
            <w:r w:rsidR="00FE6283" w:rsidRPr="009B66C6">
              <w:rPr>
                <w:rFonts w:ascii="Arial" w:hAnsi="Arial" w:cs="Arial"/>
                <w:szCs w:val="20"/>
              </w:rPr>
              <w:t xml:space="preserve"> partially completed as the District Secretariat (DS) was uncooperative. Activities that does not required direct permission from the DS were implemented successfully. </w:t>
            </w:r>
          </w:p>
          <w:p w14:paraId="1E9C9C1B" w14:textId="77777777" w:rsidR="00B466B3" w:rsidRPr="00B466B3" w:rsidRDefault="00B466B3" w:rsidP="00B466B3">
            <w:pPr>
              <w:spacing w:before="60" w:after="60"/>
              <w:jc w:val="left"/>
              <w:rPr>
                <w:rFonts w:ascii="Arial" w:hAnsi="Arial" w:cs="Arial"/>
                <w:szCs w:val="20"/>
              </w:rPr>
            </w:pPr>
          </w:p>
          <w:p w14:paraId="2A146FE9" w14:textId="70A481E5" w:rsidR="007D1A14" w:rsidRPr="00B466B3" w:rsidRDefault="007D1A14" w:rsidP="007E60A4">
            <w:pPr>
              <w:pStyle w:val="ListParagraph"/>
              <w:numPr>
                <w:ilvl w:val="0"/>
                <w:numId w:val="35"/>
              </w:numPr>
              <w:spacing w:before="60" w:after="60"/>
              <w:jc w:val="left"/>
              <w:rPr>
                <w:rFonts w:ascii="Arial" w:hAnsi="Arial" w:cs="Arial"/>
                <w:szCs w:val="20"/>
              </w:rPr>
            </w:pPr>
            <w:r w:rsidRPr="009B66C6">
              <w:rPr>
                <w:rFonts w:ascii="Arial" w:hAnsi="Arial" w:cs="Arial"/>
              </w:rPr>
              <w:t>During the awareness for school children segment</w:t>
            </w:r>
            <w:r w:rsidR="002C1D16">
              <w:rPr>
                <w:rFonts w:ascii="Arial" w:hAnsi="Arial" w:cs="Arial"/>
              </w:rPr>
              <w:t>,</w:t>
            </w:r>
            <w:r w:rsidRPr="009B66C6">
              <w:rPr>
                <w:rFonts w:ascii="Arial" w:hAnsi="Arial" w:cs="Arial"/>
              </w:rPr>
              <w:t xml:space="preserve"> Ministry of Education were consulted as they are the mandated agency regarding education for school</w:t>
            </w:r>
            <w:r w:rsidR="001F0E0A">
              <w:rPr>
                <w:rFonts w:ascii="Arial" w:hAnsi="Arial" w:cs="Arial"/>
              </w:rPr>
              <w:t xml:space="preserve"> children</w:t>
            </w:r>
            <w:r w:rsidRPr="009B66C6">
              <w:rPr>
                <w:rFonts w:ascii="Arial" w:hAnsi="Arial" w:cs="Arial"/>
              </w:rPr>
              <w:t>. The protocols and processors’ guidelines were given by the Ministry of Education</w:t>
            </w:r>
            <w:r w:rsidR="001F0E0A">
              <w:rPr>
                <w:rFonts w:ascii="Arial" w:hAnsi="Arial" w:cs="Arial"/>
              </w:rPr>
              <w:t>,</w:t>
            </w:r>
            <w:r w:rsidRPr="009B66C6">
              <w:rPr>
                <w:rFonts w:ascii="Arial" w:hAnsi="Arial" w:cs="Arial"/>
              </w:rPr>
              <w:t xml:space="preserve"> including the focal points of contact, district education officers, for coordinating</w:t>
            </w:r>
            <w:r w:rsidR="002C1D16">
              <w:rPr>
                <w:rFonts w:ascii="Arial" w:hAnsi="Arial" w:cs="Arial"/>
              </w:rPr>
              <w:t xml:space="preserve"> with</w:t>
            </w:r>
            <w:r w:rsidRPr="009B66C6">
              <w:rPr>
                <w:rFonts w:ascii="Arial" w:hAnsi="Arial" w:cs="Arial"/>
              </w:rPr>
              <w:t xml:space="preserve"> the National Schools in 4 districts. However, the lack of coordination between the zonal/district education officers and the project members caused delay in organizing the quiz competitions. </w:t>
            </w:r>
          </w:p>
          <w:p w14:paraId="37BA9CF4" w14:textId="77777777" w:rsidR="00B466B3" w:rsidRPr="00B466B3" w:rsidRDefault="00B466B3" w:rsidP="00B466B3">
            <w:pPr>
              <w:spacing w:before="60" w:after="60"/>
              <w:jc w:val="left"/>
              <w:rPr>
                <w:rFonts w:ascii="Arial" w:hAnsi="Arial" w:cs="Arial"/>
                <w:szCs w:val="20"/>
              </w:rPr>
            </w:pPr>
          </w:p>
          <w:p w14:paraId="579AC48C" w14:textId="18FB7B4F" w:rsidR="007D1A14" w:rsidRPr="00B466B3" w:rsidRDefault="00B85DEF" w:rsidP="007E60A4">
            <w:pPr>
              <w:pStyle w:val="ListParagraph"/>
              <w:numPr>
                <w:ilvl w:val="0"/>
                <w:numId w:val="35"/>
              </w:numPr>
              <w:spacing w:before="60" w:after="60"/>
              <w:jc w:val="left"/>
              <w:rPr>
                <w:rFonts w:ascii="Arial" w:hAnsi="Arial" w:cs="Arial"/>
                <w:szCs w:val="20"/>
              </w:rPr>
            </w:pPr>
            <w:r w:rsidRPr="009B66C6">
              <w:rPr>
                <w:rFonts w:ascii="Arial" w:hAnsi="Arial" w:cs="Arial"/>
              </w:rPr>
              <w:t xml:space="preserve">Some of the consultants </w:t>
            </w:r>
            <w:r w:rsidR="008F2FF9">
              <w:rPr>
                <w:rFonts w:ascii="Arial" w:hAnsi="Arial" w:cs="Arial"/>
              </w:rPr>
              <w:t>recruited</w:t>
            </w:r>
            <w:r w:rsidRPr="009B66C6">
              <w:rPr>
                <w:rFonts w:ascii="Arial" w:hAnsi="Arial" w:cs="Arial"/>
              </w:rPr>
              <w:t xml:space="preserve"> did not complete their deliverables up to the expected standards, thereby misleading certain project activities causing delays and mishaps.</w:t>
            </w:r>
            <w:r w:rsidR="002C1D16">
              <w:rPr>
                <w:rFonts w:ascii="Arial" w:hAnsi="Arial" w:cs="Arial"/>
              </w:rPr>
              <w:t xml:space="preserve"> However, the project team </w:t>
            </w:r>
            <w:r w:rsidR="00B446A1">
              <w:rPr>
                <w:rFonts w:ascii="Arial" w:hAnsi="Arial" w:cs="Arial"/>
              </w:rPr>
              <w:t>was able to complete most of the project’s activities successfully</w:t>
            </w:r>
            <w:r w:rsidR="008F2FF9">
              <w:rPr>
                <w:rFonts w:ascii="Arial" w:hAnsi="Arial" w:cs="Arial"/>
              </w:rPr>
              <w:t xml:space="preserve"> with the guidance of the UNDP </w:t>
            </w:r>
            <w:proofErr w:type="gramStart"/>
            <w:r w:rsidR="008F2FF9">
              <w:rPr>
                <w:rFonts w:ascii="Arial" w:hAnsi="Arial" w:cs="Arial"/>
              </w:rPr>
              <w:t>CO.</w:t>
            </w:r>
            <w:r w:rsidR="00B446A1">
              <w:rPr>
                <w:rFonts w:ascii="Arial" w:hAnsi="Arial" w:cs="Arial"/>
              </w:rPr>
              <w:t>.</w:t>
            </w:r>
            <w:proofErr w:type="gramEnd"/>
          </w:p>
          <w:p w14:paraId="74BA9169" w14:textId="7A8B9331" w:rsidR="00B466B3" w:rsidRPr="00B466B3" w:rsidRDefault="00B466B3" w:rsidP="00B466B3">
            <w:pPr>
              <w:spacing w:before="60" w:after="60"/>
              <w:jc w:val="left"/>
              <w:rPr>
                <w:rFonts w:ascii="Arial" w:hAnsi="Arial" w:cs="Arial"/>
                <w:szCs w:val="20"/>
              </w:rPr>
            </w:pPr>
          </w:p>
        </w:tc>
      </w:tr>
      <w:tr w:rsidR="00944D9C" w:rsidRPr="00A20067" w14:paraId="713CC609" w14:textId="77777777" w:rsidTr="007E60A4">
        <w:tc>
          <w:tcPr>
            <w:tcW w:w="2160" w:type="dxa"/>
            <w:shd w:val="pct12" w:color="auto" w:fill="FFFFFF"/>
          </w:tcPr>
          <w:p w14:paraId="4AB37063" w14:textId="124EA450" w:rsidR="00944D9C" w:rsidRPr="00AC372B" w:rsidRDefault="0074138D" w:rsidP="00944D9C">
            <w:pPr>
              <w:spacing w:before="60" w:after="60"/>
              <w:jc w:val="left"/>
              <w:rPr>
                <w:rFonts w:ascii="Arial Narrow" w:hAnsi="Arial Narrow"/>
                <w:b/>
                <w:szCs w:val="20"/>
              </w:rPr>
            </w:pPr>
            <w:r>
              <w:rPr>
                <w:rFonts w:ascii="Arial Narrow" w:hAnsi="Arial Narrow"/>
                <w:b/>
                <w:szCs w:val="20"/>
              </w:rPr>
              <w:lastRenderedPageBreak/>
              <w:t>Follow-up Actions</w:t>
            </w:r>
          </w:p>
        </w:tc>
        <w:tc>
          <w:tcPr>
            <w:tcW w:w="7290" w:type="dxa"/>
            <w:shd w:val="clear" w:color="auto" w:fill="auto"/>
          </w:tcPr>
          <w:p w14:paraId="53325124" w14:textId="7355BE21" w:rsidR="007E60A4" w:rsidRDefault="007E60A4" w:rsidP="00B466B3">
            <w:pPr>
              <w:pStyle w:val="ListParagraph"/>
              <w:numPr>
                <w:ilvl w:val="0"/>
                <w:numId w:val="38"/>
              </w:numPr>
              <w:spacing w:before="60" w:after="60"/>
              <w:jc w:val="left"/>
              <w:rPr>
                <w:rFonts w:ascii="Arial" w:hAnsi="Arial" w:cs="Arial"/>
                <w:szCs w:val="20"/>
              </w:rPr>
            </w:pPr>
            <w:bookmarkStart w:id="1" w:name="_GoBack"/>
            <w:r>
              <w:rPr>
                <w:rFonts w:ascii="Arial" w:hAnsi="Arial" w:cs="Arial"/>
                <w:szCs w:val="20"/>
              </w:rPr>
              <w:t xml:space="preserve">Conduct a feasibility study prior to project implementation to determine the capable implementing partners, consultants and staff. </w:t>
            </w:r>
          </w:p>
          <w:p w14:paraId="3B6BF6B1" w14:textId="77777777" w:rsidR="00B466B3" w:rsidRPr="00B466B3" w:rsidRDefault="00B466B3" w:rsidP="00B466B3">
            <w:pPr>
              <w:spacing w:before="60" w:after="60"/>
              <w:jc w:val="left"/>
              <w:rPr>
                <w:rFonts w:ascii="Arial" w:hAnsi="Arial" w:cs="Arial"/>
                <w:szCs w:val="20"/>
              </w:rPr>
            </w:pPr>
          </w:p>
          <w:p w14:paraId="44ABD1A7" w14:textId="76A43108" w:rsidR="00B466B3" w:rsidRDefault="00B466B3" w:rsidP="00B466B3">
            <w:pPr>
              <w:pStyle w:val="ListParagraph"/>
              <w:numPr>
                <w:ilvl w:val="0"/>
                <w:numId w:val="38"/>
              </w:numPr>
              <w:spacing w:before="60" w:after="60"/>
              <w:jc w:val="left"/>
              <w:rPr>
                <w:rFonts w:ascii="Arial" w:hAnsi="Arial" w:cs="Arial"/>
                <w:szCs w:val="20"/>
              </w:rPr>
            </w:pPr>
            <w:r w:rsidRPr="007E60A4">
              <w:rPr>
                <w:rFonts w:ascii="Arial" w:hAnsi="Arial" w:cs="Arial"/>
                <w:szCs w:val="20"/>
              </w:rPr>
              <w:t xml:space="preserve">Focal points from the Ministry (Implementing Government-body) should be appointed and be present at the discussions with the system development team. He/she should </w:t>
            </w:r>
            <w:r>
              <w:rPr>
                <w:rFonts w:ascii="Arial" w:hAnsi="Arial" w:cs="Arial"/>
                <w:szCs w:val="20"/>
              </w:rPr>
              <w:t xml:space="preserve">then </w:t>
            </w:r>
            <w:r w:rsidRPr="007E60A4">
              <w:rPr>
                <w:rFonts w:ascii="Arial" w:hAnsi="Arial" w:cs="Arial"/>
                <w:szCs w:val="20"/>
              </w:rPr>
              <w:t>address any requests and edits on behalf of the Ministry which are to be included into the database</w:t>
            </w:r>
            <w:r>
              <w:rPr>
                <w:rFonts w:ascii="Arial" w:hAnsi="Arial" w:cs="Arial"/>
                <w:szCs w:val="20"/>
              </w:rPr>
              <w:t>. Moreover, s</w:t>
            </w:r>
            <w:r w:rsidRPr="007E60A4">
              <w:rPr>
                <w:rFonts w:ascii="Arial" w:hAnsi="Arial" w:cs="Arial"/>
                <w:szCs w:val="20"/>
              </w:rPr>
              <w:t xml:space="preserve">igning a MoU </w:t>
            </w:r>
            <w:r>
              <w:rPr>
                <w:rFonts w:ascii="Arial" w:hAnsi="Arial" w:cs="Arial"/>
                <w:szCs w:val="20"/>
              </w:rPr>
              <w:t xml:space="preserve">with the government implementing partner </w:t>
            </w:r>
            <w:r w:rsidRPr="007E60A4">
              <w:rPr>
                <w:rFonts w:ascii="Arial" w:hAnsi="Arial" w:cs="Arial"/>
                <w:szCs w:val="20"/>
              </w:rPr>
              <w:t xml:space="preserve">will avoid delays and conflicts when handing-over </w:t>
            </w:r>
            <w:r w:rsidR="001F0E0A">
              <w:rPr>
                <w:rFonts w:ascii="Arial" w:hAnsi="Arial" w:cs="Arial"/>
                <w:szCs w:val="20"/>
              </w:rPr>
              <w:t xml:space="preserve">of </w:t>
            </w:r>
            <w:r w:rsidRPr="007E60A4">
              <w:rPr>
                <w:rFonts w:ascii="Arial" w:hAnsi="Arial" w:cs="Arial"/>
                <w:szCs w:val="20"/>
              </w:rPr>
              <w:t>such systems to the government implementing partners.</w:t>
            </w:r>
            <w:r w:rsidRPr="00B466B3">
              <w:rPr>
                <w:rFonts w:ascii="Arial" w:hAnsi="Arial" w:cs="Arial"/>
                <w:szCs w:val="20"/>
              </w:rPr>
              <w:t xml:space="preserve"> Select and screen applicants thoroughly when recruiting for consultancies, especially with noteworthy activities. Monitoring and Evaluation of such activities should be made compulsory and take corrective/disciplinary action if the institute fails to delivery on time/not up to the expected quality/standard.</w:t>
            </w:r>
          </w:p>
          <w:p w14:paraId="49768FFC" w14:textId="77777777" w:rsidR="00B466B3" w:rsidRPr="00B466B3" w:rsidRDefault="00B466B3" w:rsidP="00B466B3">
            <w:pPr>
              <w:spacing w:before="60" w:after="60"/>
              <w:jc w:val="left"/>
              <w:rPr>
                <w:rFonts w:ascii="Arial" w:hAnsi="Arial" w:cs="Arial"/>
                <w:szCs w:val="20"/>
              </w:rPr>
            </w:pPr>
          </w:p>
          <w:p w14:paraId="03C1839C" w14:textId="31E2B9AF" w:rsidR="00B466B3" w:rsidRDefault="007D1A14" w:rsidP="00B466B3">
            <w:pPr>
              <w:pStyle w:val="ListParagraph"/>
              <w:numPr>
                <w:ilvl w:val="0"/>
                <w:numId w:val="38"/>
              </w:numPr>
              <w:spacing w:before="60" w:after="60"/>
              <w:jc w:val="left"/>
              <w:rPr>
                <w:rFonts w:ascii="Arial" w:hAnsi="Arial" w:cs="Arial"/>
                <w:szCs w:val="20"/>
              </w:rPr>
            </w:pPr>
            <w:r w:rsidRPr="00B466B3">
              <w:rPr>
                <w:rFonts w:ascii="Arial" w:hAnsi="Arial" w:cs="Arial"/>
                <w:szCs w:val="20"/>
              </w:rPr>
              <w:t xml:space="preserve">Conduct open discussions with the project’s stakeholders and key data generators to incorporate their requests and comments into the MDP/systems developed under projects. Conduct trainings with them to enter and edit metadata in their respective departments. Sign </w:t>
            </w:r>
            <w:proofErr w:type="spellStart"/>
            <w:r w:rsidRPr="00B466B3">
              <w:rPr>
                <w:rFonts w:ascii="Arial" w:hAnsi="Arial" w:cs="Arial"/>
                <w:szCs w:val="20"/>
              </w:rPr>
              <w:t>MoUs</w:t>
            </w:r>
            <w:proofErr w:type="spellEnd"/>
            <w:r w:rsidRPr="00B466B3">
              <w:rPr>
                <w:rFonts w:ascii="Arial" w:hAnsi="Arial" w:cs="Arial"/>
                <w:szCs w:val="20"/>
              </w:rPr>
              <w:t xml:space="preserve"> with the stakeholders to ensure continuous data-sharing and sustainability of such systems</w:t>
            </w:r>
            <w:r w:rsidR="00F852A0" w:rsidRPr="00B466B3">
              <w:rPr>
                <w:rFonts w:ascii="Arial" w:hAnsi="Arial" w:cs="Arial"/>
                <w:szCs w:val="20"/>
              </w:rPr>
              <w:t xml:space="preserve"> as the MDP</w:t>
            </w:r>
            <w:r w:rsidRPr="00B466B3">
              <w:rPr>
                <w:rFonts w:ascii="Arial" w:hAnsi="Arial" w:cs="Arial"/>
                <w:szCs w:val="20"/>
              </w:rPr>
              <w:t>.</w:t>
            </w:r>
          </w:p>
          <w:p w14:paraId="61FA4963" w14:textId="77777777" w:rsidR="00B466B3" w:rsidRPr="00B466B3" w:rsidRDefault="00B466B3" w:rsidP="00B466B3">
            <w:pPr>
              <w:spacing w:before="60" w:after="60"/>
              <w:jc w:val="left"/>
              <w:rPr>
                <w:rFonts w:ascii="Arial" w:hAnsi="Arial" w:cs="Arial"/>
                <w:szCs w:val="20"/>
              </w:rPr>
            </w:pPr>
          </w:p>
          <w:p w14:paraId="2AEF95C5" w14:textId="4451753E" w:rsidR="00B466B3" w:rsidRDefault="00F852A0" w:rsidP="007E60A4">
            <w:pPr>
              <w:pStyle w:val="ListParagraph"/>
              <w:numPr>
                <w:ilvl w:val="0"/>
                <w:numId w:val="38"/>
              </w:numPr>
              <w:spacing w:before="60" w:after="60"/>
              <w:jc w:val="left"/>
              <w:rPr>
                <w:rFonts w:ascii="Arial" w:hAnsi="Arial" w:cs="Arial"/>
                <w:szCs w:val="20"/>
              </w:rPr>
            </w:pPr>
            <w:r w:rsidRPr="00B466B3">
              <w:rPr>
                <w:rFonts w:ascii="Arial" w:hAnsi="Arial" w:cs="Arial"/>
                <w:szCs w:val="20"/>
              </w:rPr>
              <w:t xml:space="preserve">Consider facts like; disaster occurrences, presence of a government office and officials, relationships between the DS and Ministry, </w:t>
            </w:r>
            <w:proofErr w:type="spellStart"/>
            <w:r w:rsidRPr="00B466B3">
              <w:rPr>
                <w:rFonts w:ascii="Arial" w:hAnsi="Arial" w:cs="Arial"/>
                <w:szCs w:val="20"/>
              </w:rPr>
              <w:t>ie</w:t>
            </w:r>
            <w:proofErr w:type="spellEnd"/>
            <w:r w:rsidRPr="00B466B3">
              <w:rPr>
                <w:rFonts w:ascii="Arial" w:hAnsi="Arial" w:cs="Arial"/>
                <w:szCs w:val="20"/>
              </w:rPr>
              <w:t xml:space="preserve"> to conduct a feasible study before selecting a location/district to pilot project activities</w:t>
            </w:r>
            <w:r w:rsidR="00B446A1" w:rsidRPr="00B466B3">
              <w:rPr>
                <w:rFonts w:ascii="Arial" w:hAnsi="Arial" w:cs="Arial"/>
                <w:szCs w:val="20"/>
              </w:rPr>
              <w:t>.</w:t>
            </w:r>
          </w:p>
          <w:p w14:paraId="040B9ABA" w14:textId="77777777" w:rsidR="00B466B3" w:rsidRPr="00B466B3" w:rsidRDefault="00B466B3" w:rsidP="00B466B3">
            <w:pPr>
              <w:spacing w:before="60" w:after="60"/>
              <w:jc w:val="left"/>
              <w:rPr>
                <w:rFonts w:ascii="Arial" w:hAnsi="Arial" w:cs="Arial"/>
                <w:szCs w:val="20"/>
              </w:rPr>
            </w:pPr>
          </w:p>
          <w:p w14:paraId="3CF9C549" w14:textId="55124D32" w:rsidR="00B466B3" w:rsidRDefault="007D1A14" w:rsidP="00B466B3">
            <w:pPr>
              <w:pStyle w:val="ListParagraph"/>
              <w:numPr>
                <w:ilvl w:val="0"/>
                <w:numId w:val="38"/>
              </w:numPr>
              <w:spacing w:before="60" w:after="60"/>
              <w:jc w:val="left"/>
              <w:rPr>
                <w:rFonts w:ascii="Arial" w:hAnsi="Arial" w:cs="Arial"/>
                <w:szCs w:val="20"/>
              </w:rPr>
            </w:pPr>
            <w:r w:rsidRPr="00B466B3">
              <w:rPr>
                <w:rFonts w:ascii="Arial" w:hAnsi="Arial" w:cs="Arial"/>
                <w:szCs w:val="20"/>
              </w:rPr>
              <w:t>Support and communicate with the national and the district/zonal relevant government officers to arrange logistics and permitting documents for public/children awareness programmes. Visiting the selected area/district with the government officers will also ensure a</w:t>
            </w:r>
            <w:r w:rsidR="00B446A1" w:rsidRPr="00B466B3">
              <w:rPr>
                <w:rFonts w:ascii="Arial" w:hAnsi="Arial" w:cs="Arial"/>
                <w:szCs w:val="20"/>
              </w:rPr>
              <w:t xml:space="preserve"> successful awareness programme</w:t>
            </w:r>
            <w:r w:rsidR="00511C56" w:rsidRPr="00B466B3">
              <w:rPr>
                <w:rFonts w:ascii="Arial" w:hAnsi="Arial" w:cs="Arial"/>
                <w:szCs w:val="20"/>
              </w:rPr>
              <w:t xml:space="preserve">, especially </w:t>
            </w:r>
            <w:proofErr w:type="gramStart"/>
            <w:r w:rsidR="00511C56" w:rsidRPr="00B466B3">
              <w:rPr>
                <w:rFonts w:ascii="Arial" w:hAnsi="Arial" w:cs="Arial"/>
                <w:szCs w:val="20"/>
              </w:rPr>
              <w:t>in regards to</w:t>
            </w:r>
            <w:proofErr w:type="gramEnd"/>
            <w:r w:rsidR="00511C56" w:rsidRPr="00B466B3">
              <w:rPr>
                <w:rFonts w:ascii="Arial" w:hAnsi="Arial" w:cs="Arial"/>
                <w:szCs w:val="20"/>
              </w:rPr>
              <w:t xml:space="preserve"> school children</w:t>
            </w:r>
            <w:r w:rsidRPr="00B466B3">
              <w:rPr>
                <w:rFonts w:ascii="Arial" w:hAnsi="Arial" w:cs="Arial"/>
                <w:szCs w:val="20"/>
              </w:rPr>
              <w:t>.</w:t>
            </w:r>
          </w:p>
          <w:p w14:paraId="3A286289" w14:textId="77777777" w:rsidR="00B466B3" w:rsidRPr="00B466B3" w:rsidRDefault="00B466B3" w:rsidP="00B466B3">
            <w:pPr>
              <w:spacing w:before="60" w:after="60"/>
              <w:jc w:val="left"/>
              <w:rPr>
                <w:rFonts w:ascii="Arial" w:hAnsi="Arial" w:cs="Arial"/>
                <w:szCs w:val="20"/>
              </w:rPr>
            </w:pPr>
          </w:p>
          <w:p w14:paraId="103309BE" w14:textId="02B647B7" w:rsidR="00944D9C" w:rsidRDefault="00511C56" w:rsidP="00B466B3">
            <w:pPr>
              <w:pStyle w:val="ListParagraph"/>
              <w:numPr>
                <w:ilvl w:val="0"/>
                <w:numId w:val="38"/>
              </w:numPr>
              <w:spacing w:before="60" w:after="60"/>
              <w:jc w:val="left"/>
              <w:rPr>
                <w:rFonts w:ascii="Arial" w:hAnsi="Arial" w:cs="Arial"/>
                <w:szCs w:val="20"/>
              </w:rPr>
            </w:pPr>
            <w:r w:rsidRPr="00B466B3">
              <w:rPr>
                <w:rFonts w:ascii="Arial" w:hAnsi="Arial" w:cs="Arial"/>
                <w:szCs w:val="20"/>
              </w:rPr>
              <w:t xml:space="preserve">Conduct discussions with the consultants, under the project, to make sure that they have understood the project objectives and are </w:t>
            </w:r>
            <w:r w:rsidRPr="00B466B3">
              <w:rPr>
                <w:rFonts w:ascii="Arial" w:hAnsi="Arial" w:cs="Arial"/>
                <w:szCs w:val="20"/>
              </w:rPr>
              <w:lastRenderedPageBreak/>
              <w:t>contributing accordingly. Monitor and Evaluate progress of the individual and institutional consultancies and use corrective/disciplinary actions where necessary.</w:t>
            </w:r>
            <w:r w:rsidR="00B466B3">
              <w:rPr>
                <w:rFonts w:ascii="Arial" w:hAnsi="Arial" w:cs="Arial"/>
                <w:szCs w:val="20"/>
              </w:rPr>
              <w:t xml:space="preserve"> </w:t>
            </w:r>
            <w:r w:rsidRPr="007E60A4">
              <w:rPr>
                <w:rFonts w:ascii="Arial" w:hAnsi="Arial" w:cs="Arial"/>
                <w:szCs w:val="20"/>
              </w:rPr>
              <w:t xml:space="preserve">Black-listing the relevant consultants will avoid other projects from facing similar situations. </w:t>
            </w:r>
            <w:r w:rsidR="007D1A14" w:rsidRPr="007E60A4">
              <w:rPr>
                <w:rFonts w:ascii="Arial" w:hAnsi="Arial" w:cs="Arial"/>
                <w:szCs w:val="20"/>
              </w:rPr>
              <w:t xml:space="preserve">   </w:t>
            </w:r>
          </w:p>
          <w:p w14:paraId="25E9EBEF" w14:textId="77777777" w:rsidR="008F2FF9" w:rsidRPr="008F2FF9" w:rsidRDefault="008F2FF9" w:rsidP="008F2FF9">
            <w:pPr>
              <w:spacing w:before="60" w:after="60"/>
              <w:jc w:val="left"/>
              <w:rPr>
                <w:rFonts w:ascii="Arial" w:hAnsi="Arial" w:cs="Arial"/>
                <w:szCs w:val="20"/>
              </w:rPr>
            </w:pPr>
          </w:p>
          <w:p w14:paraId="3D39E617" w14:textId="7B620257" w:rsidR="0074138D" w:rsidRPr="0074138D" w:rsidRDefault="0074138D" w:rsidP="0074138D">
            <w:pPr>
              <w:spacing w:before="60" w:after="60"/>
              <w:jc w:val="left"/>
              <w:rPr>
                <w:rFonts w:ascii="Arial" w:hAnsi="Arial" w:cs="Arial"/>
                <w:szCs w:val="20"/>
              </w:rPr>
            </w:pPr>
            <w:r>
              <w:rPr>
                <w:rFonts w:ascii="Arial" w:hAnsi="Arial"/>
                <w:szCs w:val="20"/>
              </w:rPr>
              <w:t xml:space="preserve">During the project’s terminal evaluation, </w:t>
            </w:r>
            <w:proofErr w:type="gramStart"/>
            <w:r>
              <w:rPr>
                <w:rFonts w:ascii="Arial" w:hAnsi="Arial"/>
                <w:szCs w:val="20"/>
              </w:rPr>
              <w:t>a number of</w:t>
            </w:r>
            <w:proofErr w:type="gramEnd"/>
            <w:r>
              <w:rPr>
                <w:rFonts w:ascii="Arial" w:hAnsi="Arial"/>
                <w:szCs w:val="20"/>
              </w:rPr>
              <w:t xml:space="preserve"> recommendations were stated. One of the main follow-up actions being the successful launch of the MDP including the contributions of project’s stakeholders. A consultant was recruited, from the CO, to follow-up the recommendations stated in the terminal evaluation.</w:t>
            </w:r>
            <w:bookmarkEnd w:id="1"/>
          </w:p>
        </w:tc>
      </w:tr>
    </w:tbl>
    <w:p w14:paraId="1550AB27" w14:textId="77777777" w:rsidR="00944D9C" w:rsidRPr="00E73CAC" w:rsidRDefault="00944D9C" w:rsidP="00944D9C">
      <w:pPr>
        <w:tabs>
          <w:tab w:val="left" w:pos="2093"/>
          <w:tab w:val="left" w:pos="4013"/>
          <w:tab w:val="left" w:pos="4973"/>
          <w:tab w:val="left" w:pos="5933"/>
          <w:tab w:val="left" w:pos="6893"/>
          <w:tab w:val="left" w:pos="7853"/>
        </w:tabs>
        <w:ind w:left="93"/>
        <w:rPr>
          <w:rFonts w:cs="Arial"/>
          <w:sz w:val="16"/>
          <w:szCs w:val="16"/>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7290"/>
      </w:tblGrid>
      <w:tr w:rsidR="00944D9C" w:rsidRPr="001A0DE7" w14:paraId="11D9E4F4" w14:textId="77777777">
        <w:tc>
          <w:tcPr>
            <w:tcW w:w="9450" w:type="dxa"/>
            <w:gridSpan w:val="2"/>
            <w:shd w:val="clear" w:color="auto" w:fill="CCCCFF"/>
            <w:vAlign w:val="center"/>
          </w:tcPr>
          <w:p w14:paraId="52C2AFAA" w14:textId="77777777" w:rsidR="00944D9C" w:rsidRPr="001A0DE7" w:rsidRDefault="00944D9C" w:rsidP="00B94083">
            <w:pPr>
              <w:spacing w:before="60" w:after="60"/>
              <w:jc w:val="center"/>
              <w:rPr>
                <w:rFonts w:ascii="Arial" w:hAnsi="Arial" w:cs="Arial"/>
                <w:b/>
                <w:sz w:val="22"/>
                <w:szCs w:val="22"/>
              </w:rPr>
            </w:pPr>
            <w:r w:rsidRPr="001A0DE7">
              <w:rPr>
                <w:rFonts w:ascii="Arial" w:hAnsi="Arial" w:cs="Arial"/>
                <w:b/>
                <w:sz w:val="22"/>
                <w:szCs w:val="22"/>
              </w:rPr>
              <w:t>Project Information</w:t>
            </w:r>
          </w:p>
        </w:tc>
      </w:tr>
      <w:tr w:rsidR="00944D9C" w:rsidRPr="00A20067" w14:paraId="5F226033" w14:textId="77777777">
        <w:tc>
          <w:tcPr>
            <w:tcW w:w="2160" w:type="dxa"/>
            <w:shd w:val="pct12" w:color="auto" w:fill="FFFFFF"/>
          </w:tcPr>
          <w:p w14:paraId="6F311019" w14:textId="77777777" w:rsidR="00944D9C" w:rsidRPr="00AC372B" w:rsidRDefault="00944D9C" w:rsidP="00B94083">
            <w:pPr>
              <w:spacing w:before="60" w:after="60"/>
              <w:rPr>
                <w:rFonts w:ascii="Arial Narrow" w:hAnsi="Arial Narrow" w:cs="Arial"/>
                <w:b/>
                <w:szCs w:val="20"/>
              </w:rPr>
            </w:pPr>
            <w:r w:rsidRPr="00AC372B">
              <w:rPr>
                <w:rFonts w:ascii="Arial Narrow" w:hAnsi="Arial Narrow"/>
                <w:b/>
                <w:szCs w:val="20"/>
              </w:rPr>
              <w:t>Award ID:</w:t>
            </w:r>
          </w:p>
        </w:tc>
        <w:tc>
          <w:tcPr>
            <w:tcW w:w="7290" w:type="dxa"/>
          </w:tcPr>
          <w:p w14:paraId="48437668" w14:textId="64EB4061" w:rsidR="00944D9C" w:rsidRPr="00C5499F" w:rsidRDefault="003A5558" w:rsidP="00B94083">
            <w:pPr>
              <w:spacing w:before="60" w:after="60"/>
              <w:rPr>
                <w:rFonts w:ascii="Arial" w:hAnsi="Arial" w:cs="Arial"/>
                <w:szCs w:val="20"/>
              </w:rPr>
            </w:pPr>
            <w:r>
              <w:rPr>
                <w:rFonts w:ascii="Arial" w:hAnsi="Arial" w:cs="Arial"/>
                <w:szCs w:val="20"/>
              </w:rPr>
              <w:t xml:space="preserve">00080228 </w:t>
            </w:r>
          </w:p>
        </w:tc>
      </w:tr>
      <w:tr w:rsidR="00944D9C" w:rsidRPr="00A20067" w14:paraId="1E77A9FE" w14:textId="77777777">
        <w:tc>
          <w:tcPr>
            <w:tcW w:w="2160" w:type="dxa"/>
            <w:shd w:val="pct12" w:color="auto" w:fill="FFFFFF"/>
          </w:tcPr>
          <w:p w14:paraId="44D17E5C" w14:textId="77777777" w:rsidR="00944D9C" w:rsidRPr="00AC372B" w:rsidRDefault="00944D9C" w:rsidP="00B94083">
            <w:pPr>
              <w:spacing w:before="60" w:after="60"/>
              <w:rPr>
                <w:rFonts w:ascii="Arial Narrow" w:hAnsi="Arial Narrow"/>
                <w:b/>
                <w:szCs w:val="20"/>
              </w:rPr>
            </w:pPr>
            <w:r w:rsidRPr="00AC372B">
              <w:rPr>
                <w:rFonts w:ascii="Arial Narrow" w:hAnsi="Arial Narrow"/>
                <w:b/>
                <w:szCs w:val="20"/>
              </w:rPr>
              <w:t>CO Focal Points:</w:t>
            </w:r>
          </w:p>
        </w:tc>
        <w:tc>
          <w:tcPr>
            <w:tcW w:w="7290" w:type="dxa"/>
          </w:tcPr>
          <w:p w14:paraId="33E97699" w14:textId="79923ACD" w:rsidR="00944D9C" w:rsidRPr="00AC372B" w:rsidRDefault="00E510B4" w:rsidP="00B94083">
            <w:pPr>
              <w:spacing w:before="60" w:after="60"/>
              <w:rPr>
                <w:rFonts w:ascii="Arial" w:hAnsi="Arial"/>
                <w:szCs w:val="20"/>
              </w:rPr>
            </w:pPr>
            <w:r>
              <w:rPr>
                <w:rFonts w:ascii="Arial" w:hAnsi="Arial"/>
                <w:szCs w:val="20"/>
              </w:rPr>
              <w:t>Sureka Perera, sureka.perera@undp.org</w:t>
            </w:r>
          </w:p>
        </w:tc>
      </w:tr>
      <w:tr w:rsidR="00944D9C" w:rsidRPr="00A20067" w14:paraId="18F2F33B" w14:textId="77777777">
        <w:tc>
          <w:tcPr>
            <w:tcW w:w="2160" w:type="dxa"/>
            <w:shd w:val="pct12" w:color="auto" w:fill="FFFFFF"/>
          </w:tcPr>
          <w:p w14:paraId="6FC14A04" w14:textId="77777777" w:rsidR="00944D9C" w:rsidRPr="00AC372B" w:rsidRDefault="00944D9C" w:rsidP="00B94083">
            <w:pPr>
              <w:spacing w:before="60" w:after="60"/>
              <w:rPr>
                <w:rFonts w:ascii="Arial Narrow" w:hAnsi="Arial Narrow"/>
                <w:b/>
                <w:szCs w:val="20"/>
              </w:rPr>
            </w:pPr>
            <w:r w:rsidRPr="00AC372B">
              <w:rPr>
                <w:rFonts w:ascii="Arial Narrow" w:hAnsi="Arial Narrow"/>
                <w:b/>
                <w:szCs w:val="20"/>
              </w:rPr>
              <w:t>Partners:</w:t>
            </w:r>
          </w:p>
        </w:tc>
        <w:tc>
          <w:tcPr>
            <w:tcW w:w="7290" w:type="dxa"/>
          </w:tcPr>
          <w:p w14:paraId="65416600" w14:textId="396104FC" w:rsidR="00944D9C" w:rsidRPr="00AC372B" w:rsidRDefault="003A5558" w:rsidP="00B94083">
            <w:pPr>
              <w:spacing w:before="60" w:after="60"/>
              <w:rPr>
                <w:rFonts w:ascii="Arial" w:hAnsi="Arial"/>
                <w:szCs w:val="20"/>
              </w:rPr>
            </w:pPr>
            <w:r>
              <w:rPr>
                <w:rFonts w:ascii="Arial" w:hAnsi="Arial"/>
                <w:szCs w:val="20"/>
              </w:rPr>
              <w:t xml:space="preserve">Ministry of Disaster Management </w:t>
            </w:r>
          </w:p>
        </w:tc>
      </w:tr>
      <w:tr w:rsidR="00944D9C" w:rsidRPr="00A20067" w14:paraId="3790599F" w14:textId="77777777">
        <w:tc>
          <w:tcPr>
            <w:tcW w:w="2160" w:type="dxa"/>
            <w:shd w:val="pct12" w:color="auto" w:fill="FFFFFF"/>
          </w:tcPr>
          <w:p w14:paraId="3B69E11F" w14:textId="77777777" w:rsidR="00944D9C" w:rsidRPr="00AC372B" w:rsidRDefault="00944D9C" w:rsidP="00B94083">
            <w:pPr>
              <w:spacing w:before="60" w:after="60"/>
              <w:rPr>
                <w:rFonts w:ascii="Arial Narrow" w:hAnsi="Arial Narrow"/>
                <w:b/>
                <w:szCs w:val="20"/>
              </w:rPr>
            </w:pPr>
            <w:r w:rsidRPr="00AC372B">
              <w:rPr>
                <w:rFonts w:ascii="Arial Narrow" w:hAnsi="Arial Narrow"/>
                <w:b/>
                <w:szCs w:val="20"/>
              </w:rPr>
              <w:t>Project resources:</w:t>
            </w:r>
          </w:p>
        </w:tc>
        <w:tc>
          <w:tcPr>
            <w:tcW w:w="7290" w:type="dxa"/>
          </w:tcPr>
          <w:p w14:paraId="67EE2F10" w14:textId="021DE3E8" w:rsidR="00944D9C" w:rsidRPr="00AC372B" w:rsidRDefault="00E510B4" w:rsidP="00B94083">
            <w:pPr>
              <w:spacing w:before="60" w:after="60"/>
              <w:rPr>
                <w:rFonts w:ascii="Arial" w:hAnsi="Arial"/>
                <w:szCs w:val="20"/>
              </w:rPr>
            </w:pPr>
            <w:r>
              <w:rPr>
                <w:rFonts w:ascii="Arial" w:hAnsi="Arial"/>
                <w:szCs w:val="20"/>
              </w:rPr>
              <w:t xml:space="preserve">MDP – </w:t>
            </w:r>
            <w:r w:rsidRPr="00E510B4">
              <w:rPr>
                <w:rFonts w:ascii="Arial" w:hAnsi="Arial"/>
                <w:i/>
                <w:szCs w:val="20"/>
                <w:u w:val="single"/>
              </w:rPr>
              <w:t>datasmart.lk</w:t>
            </w:r>
          </w:p>
        </w:tc>
      </w:tr>
      <w:tr w:rsidR="00944D9C" w:rsidRPr="00A20067" w14:paraId="52EF73B8" w14:textId="77777777">
        <w:tc>
          <w:tcPr>
            <w:tcW w:w="2160" w:type="dxa"/>
            <w:shd w:val="pct12" w:color="auto" w:fill="FFFFFF"/>
          </w:tcPr>
          <w:p w14:paraId="37CAF650" w14:textId="77777777" w:rsidR="00944D9C" w:rsidRPr="00AC372B" w:rsidRDefault="00944D9C" w:rsidP="00B94083">
            <w:pPr>
              <w:spacing w:before="60" w:after="60"/>
              <w:rPr>
                <w:rFonts w:ascii="Arial Narrow" w:hAnsi="Arial Narrow"/>
                <w:b/>
                <w:szCs w:val="20"/>
              </w:rPr>
            </w:pPr>
            <w:r w:rsidRPr="00AC372B">
              <w:rPr>
                <w:rFonts w:ascii="Arial Narrow" w:hAnsi="Arial Narrow"/>
                <w:b/>
                <w:szCs w:val="20"/>
              </w:rPr>
              <w:t>Report prepared by:</w:t>
            </w:r>
          </w:p>
        </w:tc>
        <w:tc>
          <w:tcPr>
            <w:tcW w:w="7290" w:type="dxa"/>
          </w:tcPr>
          <w:p w14:paraId="005834D5" w14:textId="592545B8" w:rsidR="00944D9C" w:rsidRPr="00AC372B" w:rsidRDefault="00E510B4" w:rsidP="00B94083">
            <w:pPr>
              <w:spacing w:before="60" w:after="60"/>
              <w:rPr>
                <w:rFonts w:ascii="Arial" w:hAnsi="Arial"/>
                <w:szCs w:val="20"/>
              </w:rPr>
            </w:pPr>
            <w:r>
              <w:rPr>
                <w:rFonts w:ascii="Arial" w:hAnsi="Arial"/>
                <w:szCs w:val="20"/>
              </w:rPr>
              <w:t>Harini Nishshanka, consultant</w:t>
            </w:r>
          </w:p>
        </w:tc>
      </w:tr>
      <w:tr w:rsidR="00944D9C" w:rsidRPr="00A20067" w14:paraId="19878017" w14:textId="77777777">
        <w:tc>
          <w:tcPr>
            <w:tcW w:w="2160" w:type="dxa"/>
            <w:shd w:val="pct12" w:color="auto" w:fill="FFFFFF"/>
          </w:tcPr>
          <w:p w14:paraId="4737375B" w14:textId="77777777" w:rsidR="00944D9C" w:rsidRPr="00AC372B" w:rsidRDefault="00944D9C" w:rsidP="00B94083">
            <w:pPr>
              <w:spacing w:before="60" w:after="60"/>
              <w:rPr>
                <w:rFonts w:ascii="Arial Narrow" w:hAnsi="Arial Narrow"/>
                <w:b/>
                <w:szCs w:val="20"/>
              </w:rPr>
            </w:pPr>
            <w:r w:rsidRPr="00AC372B">
              <w:rPr>
                <w:rFonts w:ascii="Arial Narrow" w:hAnsi="Arial Narrow"/>
                <w:b/>
                <w:szCs w:val="20"/>
              </w:rPr>
              <w:t>Date:</w:t>
            </w:r>
          </w:p>
        </w:tc>
        <w:tc>
          <w:tcPr>
            <w:tcW w:w="7290" w:type="dxa"/>
          </w:tcPr>
          <w:p w14:paraId="2C537A4C" w14:textId="6EE04495" w:rsidR="00944D9C" w:rsidRPr="00AC372B" w:rsidRDefault="008112CC" w:rsidP="00B94083">
            <w:pPr>
              <w:spacing w:before="60" w:after="60"/>
              <w:rPr>
                <w:rFonts w:ascii="Arial" w:hAnsi="Arial"/>
                <w:szCs w:val="20"/>
              </w:rPr>
            </w:pPr>
            <w:r>
              <w:rPr>
                <w:rFonts w:ascii="Arial" w:hAnsi="Arial"/>
                <w:szCs w:val="20"/>
              </w:rPr>
              <w:t>26</w:t>
            </w:r>
            <w:proofErr w:type="gramStart"/>
            <w:r w:rsidRPr="008112CC">
              <w:rPr>
                <w:rFonts w:ascii="Arial" w:hAnsi="Arial"/>
                <w:szCs w:val="20"/>
                <w:vertAlign w:val="superscript"/>
              </w:rPr>
              <w:t>th</w:t>
            </w:r>
            <w:r>
              <w:rPr>
                <w:rFonts w:ascii="Arial" w:hAnsi="Arial"/>
                <w:szCs w:val="20"/>
              </w:rPr>
              <w:t xml:space="preserve"> </w:t>
            </w:r>
            <w:r w:rsidR="00E510B4">
              <w:rPr>
                <w:rFonts w:ascii="Arial" w:hAnsi="Arial"/>
                <w:szCs w:val="20"/>
              </w:rPr>
              <w:t xml:space="preserve"> August</w:t>
            </w:r>
            <w:proofErr w:type="gramEnd"/>
            <w:r w:rsidR="00E510B4">
              <w:rPr>
                <w:rFonts w:ascii="Arial" w:hAnsi="Arial"/>
                <w:szCs w:val="20"/>
              </w:rPr>
              <w:t xml:space="preserve"> 2019</w:t>
            </w:r>
          </w:p>
        </w:tc>
      </w:tr>
    </w:tbl>
    <w:p w14:paraId="7E49BAF5" w14:textId="77777777" w:rsidR="002A7441" w:rsidRPr="00944D9C" w:rsidRDefault="002A7441" w:rsidP="00944D9C"/>
    <w:sectPr w:rsidR="002A7441" w:rsidRPr="00944D9C" w:rsidSect="00302288">
      <w:headerReference w:type="default" r:id="rId13"/>
      <w:footerReference w:type="even" r:id="rId14"/>
      <w:footerReference w:type="default" r:id="rId15"/>
      <w:headerReference w:type="first" r:id="rId16"/>
      <w:pgSz w:w="11906" w:h="16838" w:code="9"/>
      <w:pgMar w:top="864" w:right="1152" w:bottom="864" w:left="1152" w:header="720" w:footer="43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C0E0F9" w14:textId="77777777" w:rsidR="00FB7632" w:rsidRDefault="00FB7632">
      <w:r>
        <w:separator/>
      </w:r>
    </w:p>
  </w:endnote>
  <w:endnote w:type="continuationSeparator" w:id="0">
    <w:p w14:paraId="37429EF9" w14:textId="77777777" w:rsidR="00FB7632" w:rsidRDefault="00FB7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urier">
    <w:altName w:val="Courier New"/>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Iskoola Pota">
    <w:charset w:val="00"/>
    <w:family w:val="swiss"/>
    <w:pitch w:val="variable"/>
    <w:sig w:usb0="00000003" w:usb1="00000000" w:usb2="000002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18AA13" w14:textId="77777777" w:rsidR="00AC372B" w:rsidRDefault="00AC372B" w:rsidP="00F358E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74164B5" w14:textId="77777777" w:rsidR="00AC372B" w:rsidRDefault="00AC37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4EF774" w14:textId="7B654224" w:rsidR="00AC372B" w:rsidRDefault="00AC372B" w:rsidP="00453D4C">
    <w:pPr>
      <w:pStyle w:val="Footer"/>
      <w:jc w:val="center"/>
    </w:pPr>
    <w:r>
      <w:rPr>
        <w:rStyle w:val="PageNumber"/>
      </w:rPr>
      <w:fldChar w:fldCharType="begin"/>
    </w:r>
    <w:r>
      <w:rPr>
        <w:rStyle w:val="PageNumber"/>
      </w:rPr>
      <w:instrText xml:space="preserve"> PAGE </w:instrText>
    </w:r>
    <w:r>
      <w:rPr>
        <w:rStyle w:val="PageNumber"/>
      </w:rPr>
      <w:fldChar w:fldCharType="separate"/>
    </w:r>
    <w:r w:rsidR="00B446A1">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9CAB60" w14:textId="77777777" w:rsidR="00FB7632" w:rsidRDefault="00FB7632">
      <w:r>
        <w:separator/>
      </w:r>
    </w:p>
  </w:footnote>
  <w:footnote w:type="continuationSeparator" w:id="0">
    <w:p w14:paraId="65985FC6" w14:textId="77777777" w:rsidR="00FB7632" w:rsidRDefault="00FB76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A5C3E6" w14:textId="77777777" w:rsidR="00AC372B" w:rsidRDefault="005B2F93" w:rsidP="00D2605B">
    <w:pPr>
      <w:pStyle w:val="Header"/>
      <w:pBdr>
        <w:bottom w:val="single" w:sz="4" w:space="1" w:color="auto"/>
      </w:pBdr>
      <w:tabs>
        <w:tab w:val="clear" w:pos="8306"/>
        <w:tab w:val="right" w:pos="9540"/>
      </w:tabs>
      <w:rPr>
        <w:rFonts w:ascii="Arial Narrow" w:hAnsi="Arial Narrow"/>
        <w:b/>
        <w:bCs/>
        <w:sz w:val="18"/>
        <w:szCs w:val="18"/>
      </w:rPr>
    </w:pPr>
    <w:r>
      <w:rPr>
        <w:rFonts w:ascii="Arial Narrow" w:hAnsi="Arial Narrow"/>
        <w:b/>
        <w:bCs/>
        <w:sz w:val="18"/>
        <w:szCs w:val="18"/>
      </w:rPr>
      <w:t xml:space="preserve">UNDP POPP </w:t>
    </w:r>
    <w:r w:rsidR="00AC372B">
      <w:rPr>
        <w:rFonts w:ascii="Arial Narrow" w:hAnsi="Arial Narrow"/>
        <w:b/>
        <w:bCs/>
        <w:sz w:val="18"/>
        <w:szCs w:val="18"/>
      </w:rPr>
      <w:t>– Project Management</w:t>
    </w:r>
    <w:r w:rsidR="00AC372B" w:rsidRPr="00453D4C">
      <w:rPr>
        <w:rFonts w:ascii="Arial Narrow" w:hAnsi="Arial Narrow"/>
        <w:b/>
        <w:bCs/>
        <w:sz w:val="18"/>
        <w:szCs w:val="18"/>
      </w:rPr>
      <w:tab/>
    </w:r>
    <w:r w:rsidR="00AC372B" w:rsidRPr="00453D4C">
      <w:rPr>
        <w:rFonts w:ascii="Arial Narrow" w:hAnsi="Arial Narrow"/>
        <w:b/>
        <w:bCs/>
        <w:sz w:val="18"/>
        <w:szCs w:val="18"/>
      </w:rPr>
      <w:tab/>
    </w:r>
    <w:r w:rsidR="00AC372B">
      <w:rPr>
        <w:rFonts w:ascii="Arial Narrow" w:hAnsi="Arial Narrow"/>
        <w:b/>
        <w:bCs/>
        <w:sz w:val="18"/>
        <w:szCs w:val="18"/>
      </w:rPr>
      <w:t>Lessons Learned Report</w:t>
    </w:r>
  </w:p>
  <w:p w14:paraId="445936DB" w14:textId="77777777" w:rsidR="00AC372B" w:rsidRPr="00453D4C" w:rsidRDefault="00AC372B" w:rsidP="00453D4C">
    <w:pPr>
      <w:pStyle w:val="Header"/>
      <w:tabs>
        <w:tab w:val="clear" w:pos="8306"/>
        <w:tab w:val="right" w:pos="9540"/>
      </w:tabs>
      <w:rPr>
        <w:sz w:val="18"/>
        <w:szCs w:val="18"/>
      </w:rPr>
    </w:pPr>
    <w:r w:rsidRPr="00453D4C">
      <w:rPr>
        <w:rFonts w:ascii="Arial Narrow" w:hAnsi="Arial Narrow"/>
        <w:b/>
        <w:bCs/>
        <w:sz w:val="18"/>
        <w:szCs w:val="1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091DDA" w14:textId="77777777" w:rsidR="00AC372B" w:rsidRPr="00302288" w:rsidRDefault="00AC372B">
    <w:pPr>
      <w:pStyle w:val="Header"/>
      <w:rPr>
        <w:b/>
        <w:sz w:val="22"/>
        <w:szCs w:val="22"/>
      </w:rPr>
    </w:pPr>
    <w:r w:rsidRPr="00302288">
      <w:rPr>
        <w:b/>
        <w:sz w:val="22"/>
        <w:szCs w:val="22"/>
      </w:rPr>
      <w:t>United Nations Development Programme</w:t>
    </w:r>
    <w:r w:rsidR="00D60327">
      <w:rPr>
        <w:noProof/>
        <w:lang w:eastAsia="en-GB"/>
      </w:rPr>
      <w:drawing>
        <wp:anchor distT="0" distB="0" distL="114300" distR="114300" simplePos="0" relativeHeight="251657728" behindDoc="1" locked="0" layoutInCell="1" allowOverlap="1" wp14:anchorId="6B661537" wp14:editId="4648BDC4">
          <wp:simplePos x="0" y="0"/>
          <wp:positionH relativeFrom="column">
            <wp:align>right</wp:align>
          </wp:positionH>
          <wp:positionV relativeFrom="paragraph">
            <wp:posOffset>73025</wp:posOffset>
          </wp:positionV>
          <wp:extent cx="533400" cy="1085850"/>
          <wp:effectExtent l="0" t="0" r="0" b="3810"/>
          <wp:wrapNone/>
          <wp:docPr id="8" name="Picture 8" descr="undp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ndp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400" cy="1085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CB1B39" w14:textId="77777777" w:rsidR="00AC372B" w:rsidRDefault="00AC372B">
    <w:pPr>
      <w:pStyle w:val="Header"/>
    </w:pPr>
  </w:p>
  <w:p w14:paraId="49E02A41" w14:textId="77777777" w:rsidR="00AC372B" w:rsidRDefault="00AC372B">
    <w:pPr>
      <w:pStyle w:val="Header"/>
    </w:pPr>
  </w:p>
  <w:p w14:paraId="37C1E392" w14:textId="77777777" w:rsidR="00AC372B" w:rsidRDefault="00AC372B">
    <w:pPr>
      <w:pStyle w:val="Header"/>
    </w:pPr>
  </w:p>
  <w:p w14:paraId="2444175B" w14:textId="77777777" w:rsidR="00AC372B" w:rsidRDefault="00AC37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96104"/>
    <w:multiLevelType w:val="hybridMultilevel"/>
    <w:tmpl w:val="451CBE5A"/>
    <w:lvl w:ilvl="0" w:tplc="F8BABE46">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0E0A5C"/>
    <w:multiLevelType w:val="hybridMultilevel"/>
    <w:tmpl w:val="923CA3F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9521D4"/>
    <w:multiLevelType w:val="hybridMultilevel"/>
    <w:tmpl w:val="09AEBC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BB2AEB"/>
    <w:multiLevelType w:val="hybridMultilevel"/>
    <w:tmpl w:val="5D34EE2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3C2991"/>
    <w:multiLevelType w:val="hybridMultilevel"/>
    <w:tmpl w:val="B9FA289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9CB69DF"/>
    <w:multiLevelType w:val="hybridMultilevel"/>
    <w:tmpl w:val="B78AC48E"/>
    <w:lvl w:ilvl="0" w:tplc="DADA9D84">
      <w:start w:val="1"/>
      <w:numFmt w:val="decimal"/>
      <w:pStyle w:val="AProd"/>
      <w:lvlText w:val="%1."/>
      <w:lvlJc w:val="left"/>
      <w:pPr>
        <w:tabs>
          <w:tab w:val="num" w:pos="1260"/>
        </w:tabs>
        <w:ind w:left="1260" w:hanging="360"/>
      </w:pPr>
      <w:rPr>
        <w:strike w:val="0"/>
      </w:rPr>
    </w:lvl>
    <w:lvl w:ilvl="1" w:tplc="21BCAEB8">
      <w:start w:val="1"/>
      <w:numFmt w:val="bullet"/>
      <w:pStyle w:val="Abulletspace"/>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0E59233A"/>
    <w:multiLevelType w:val="hybridMultilevel"/>
    <w:tmpl w:val="4ED4746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F97B86"/>
    <w:multiLevelType w:val="hybridMultilevel"/>
    <w:tmpl w:val="24005F12"/>
    <w:lvl w:ilvl="0" w:tplc="F8BABE46">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6176E5"/>
    <w:multiLevelType w:val="hybridMultilevel"/>
    <w:tmpl w:val="DAC2D96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5CB30E5"/>
    <w:multiLevelType w:val="hybridMultilevel"/>
    <w:tmpl w:val="E22EAA44"/>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70D7B4F"/>
    <w:multiLevelType w:val="hybridMultilevel"/>
    <w:tmpl w:val="910E63C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7C175BF"/>
    <w:multiLevelType w:val="hybridMultilevel"/>
    <w:tmpl w:val="D65414C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85819E8"/>
    <w:multiLevelType w:val="hybridMultilevel"/>
    <w:tmpl w:val="4984BB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9CC6A38"/>
    <w:multiLevelType w:val="hybridMultilevel"/>
    <w:tmpl w:val="46D4B5DA"/>
    <w:lvl w:ilvl="0" w:tplc="F8BABE46">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3CB67EA"/>
    <w:multiLevelType w:val="hybridMultilevel"/>
    <w:tmpl w:val="B2D2C752"/>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4B90CF8"/>
    <w:multiLevelType w:val="hybridMultilevel"/>
    <w:tmpl w:val="961AFF1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7616389"/>
    <w:multiLevelType w:val="hybridMultilevel"/>
    <w:tmpl w:val="A8E83D2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CDF105B"/>
    <w:multiLevelType w:val="hybridMultilevel"/>
    <w:tmpl w:val="459A8C24"/>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8" w15:restartNumberingAfterBreak="0">
    <w:nsid w:val="30015C22"/>
    <w:multiLevelType w:val="hybridMultilevel"/>
    <w:tmpl w:val="E9A883C0"/>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01521CC"/>
    <w:multiLevelType w:val="multilevel"/>
    <w:tmpl w:val="AEDA4FA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Wingdings" w:hAnsi="Wingdings"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20" w15:restartNumberingAfterBreak="0">
    <w:nsid w:val="47D74136"/>
    <w:multiLevelType w:val="hybridMultilevel"/>
    <w:tmpl w:val="C9DCB560"/>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85070BE"/>
    <w:multiLevelType w:val="hybridMultilevel"/>
    <w:tmpl w:val="12AA6CA6"/>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A7B0876"/>
    <w:multiLevelType w:val="multilevel"/>
    <w:tmpl w:val="459A8C24"/>
    <w:lvl w:ilvl="0">
      <w:start w:val="1"/>
      <w:numFmt w:val="bullet"/>
      <w:lvlText w:val="o"/>
      <w:lvlJc w:val="left"/>
      <w:pPr>
        <w:tabs>
          <w:tab w:val="num" w:pos="360"/>
        </w:tabs>
        <w:ind w:left="360" w:hanging="360"/>
      </w:pPr>
      <w:rPr>
        <w:rFonts w:ascii="Courier New" w:hAnsi="Courier New" w:cs="Courier New" w:hint="default"/>
      </w:rPr>
    </w:lvl>
    <w:lvl w:ilvl="1">
      <w:start w:val="1"/>
      <w:numFmt w:val="bullet"/>
      <w:lvlText w:val="o"/>
      <w:lvlJc w:val="left"/>
      <w:pPr>
        <w:tabs>
          <w:tab w:val="num" w:pos="360"/>
        </w:tabs>
        <w:ind w:left="360" w:hanging="360"/>
      </w:pPr>
      <w:rPr>
        <w:rFonts w:ascii="Courier New" w:hAnsi="Courier New" w:cs="Courier New"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o"/>
      <w:lvlJc w:val="left"/>
      <w:pPr>
        <w:tabs>
          <w:tab w:val="num" w:pos="2520"/>
        </w:tabs>
        <w:ind w:left="2520" w:hanging="360"/>
      </w:pPr>
      <w:rPr>
        <w:rFonts w:ascii="Courier New" w:hAnsi="Courier New" w:cs="Courier New" w:hint="default"/>
      </w:rPr>
    </w:lvl>
    <w:lvl w:ilvl="5">
      <w:start w:val="1"/>
      <w:numFmt w:val="bullet"/>
      <w:lvlText w:val=""/>
      <w:lvlJc w:val="left"/>
      <w:pPr>
        <w:tabs>
          <w:tab w:val="num" w:pos="3240"/>
        </w:tabs>
        <w:ind w:left="3240" w:hanging="360"/>
      </w:pPr>
      <w:rPr>
        <w:rFonts w:ascii="Wingdings" w:hAnsi="Wingdings" w:hint="default"/>
      </w:rPr>
    </w:lvl>
    <w:lvl w:ilvl="6">
      <w:start w:val="1"/>
      <w:numFmt w:val="bullet"/>
      <w:lvlText w:val=""/>
      <w:lvlJc w:val="left"/>
      <w:pPr>
        <w:tabs>
          <w:tab w:val="num" w:pos="3960"/>
        </w:tabs>
        <w:ind w:left="3960" w:hanging="360"/>
      </w:pPr>
      <w:rPr>
        <w:rFonts w:ascii="Symbol" w:hAnsi="Symbol" w:hint="default"/>
      </w:rPr>
    </w:lvl>
    <w:lvl w:ilvl="7">
      <w:start w:val="1"/>
      <w:numFmt w:val="bullet"/>
      <w:lvlText w:val="o"/>
      <w:lvlJc w:val="left"/>
      <w:pPr>
        <w:tabs>
          <w:tab w:val="num" w:pos="4680"/>
        </w:tabs>
        <w:ind w:left="4680" w:hanging="360"/>
      </w:pPr>
      <w:rPr>
        <w:rFonts w:ascii="Courier New" w:hAnsi="Courier New" w:cs="Courier New" w:hint="default"/>
      </w:rPr>
    </w:lvl>
    <w:lvl w:ilvl="8">
      <w:start w:val="1"/>
      <w:numFmt w:val="bullet"/>
      <w:lvlText w:val=""/>
      <w:lvlJc w:val="left"/>
      <w:pPr>
        <w:tabs>
          <w:tab w:val="num" w:pos="5400"/>
        </w:tabs>
        <w:ind w:left="5400" w:hanging="360"/>
      </w:pPr>
      <w:rPr>
        <w:rFonts w:ascii="Wingdings" w:hAnsi="Wingdings" w:hint="default"/>
      </w:rPr>
    </w:lvl>
  </w:abstractNum>
  <w:abstractNum w:abstractNumId="23" w15:restartNumberingAfterBreak="0">
    <w:nsid w:val="4CF22681"/>
    <w:multiLevelType w:val="hybridMultilevel"/>
    <w:tmpl w:val="060C7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F176DEB"/>
    <w:multiLevelType w:val="hybridMultilevel"/>
    <w:tmpl w:val="1D7EB06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16E24A3"/>
    <w:multiLevelType w:val="hybridMultilevel"/>
    <w:tmpl w:val="AEDA4FA4"/>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B">
      <w:start w:val="1"/>
      <w:numFmt w:val="bullet"/>
      <w:lvlText w:val=""/>
      <w:lvlJc w:val="left"/>
      <w:pPr>
        <w:tabs>
          <w:tab w:val="num" w:pos="2160"/>
        </w:tabs>
        <w:ind w:left="2160" w:hanging="360"/>
      </w:pPr>
      <w:rPr>
        <w:rFonts w:ascii="Wingdings" w:hAnsi="Wingdings"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6" w15:restartNumberingAfterBreak="0">
    <w:nsid w:val="51F028DA"/>
    <w:multiLevelType w:val="hybridMultilevel"/>
    <w:tmpl w:val="FAC61BF6"/>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B">
      <w:start w:val="1"/>
      <w:numFmt w:val="bullet"/>
      <w:lvlText w:val=""/>
      <w:lvlJc w:val="left"/>
      <w:pPr>
        <w:tabs>
          <w:tab w:val="num" w:pos="2160"/>
        </w:tabs>
        <w:ind w:left="2160" w:hanging="360"/>
      </w:pPr>
      <w:rPr>
        <w:rFonts w:ascii="Wingdings" w:hAnsi="Wingdings"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7" w15:restartNumberingAfterBreak="0">
    <w:nsid w:val="5380245C"/>
    <w:multiLevelType w:val="hybridMultilevel"/>
    <w:tmpl w:val="2C088D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3F228AD"/>
    <w:multiLevelType w:val="hybridMultilevel"/>
    <w:tmpl w:val="4984BB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907296"/>
    <w:multiLevelType w:val="hybridMultilevel"/>
    <w:tmpl w:val="58EE004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B0E6559"/>
    <w:multiLevelType w:val="multilevel"/>
    <w:tmpl w:val="8676F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04F7612"/>
    <w:multiLevelType w:val="hybridMultilevel"/>
    <w:tmpl w:val="E5441D10"/>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32" w15:restartNumberingAfterBreak="0">
    <w:nsid w:val="63DB15A5"/>
    <w:multiLevelType w:val="hybridMultilevel"/>
    <w:tmpl w:val="10E0AB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6284950"/>
    <w:multiLevelType w:val="hybridMultilevel"/>
    <w:tmpl w:val="897CDB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B444C16"/>
    <w:multiLevelType w:val="hybridMultilevel"/>
    <w:tmpl w:val="33E41AE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D872FEE"/>
    <w:multiLevelType w:val="multilevel"/>
    <w:tmpl w:val="D34E0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08A2827"/>
    <w:multiLevelType w:val="hybridMultilevel"/>
    <w:tmpl w:val="31FE3280"/>
    <w:lvl w:ilvl="0" w:tplc="F8BABE46">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2272599"/>
    <w:multiLevelType w:val="hybridMultilevel"/>
    <w:tmpl w:val="25E069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F30202B"/>
    <w:multiLevelType w:val="multilevel"/>
    <w:tmpl w:val="79F2C7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7"/>
  </w:num>
  <w:num w:numId="2">
    <w:abstractNumId w:val="6"/>
  </w:num>
  <w:num w:numId="3">
    <w:abstractNumId w:val="10"/>
  </w:num>
  <w:num w:numId="4">
    <w:abstractNumId w:val="15"/>
  </w:num>
  <w:num w:numId="5">
    <w:abstractNumId w:val="34"/>
  </w:num>
  <w:num w:numId="6">
    <w:abstractNumId w:val="8"/>
  </w:num>
  <w:num w:numId="7">
    <w:abstractNumId w:val="16"/>
  </w:num>
  <w:num w:numId="8">
    <w:abstractNumId w:val="14"/>
  </w:num>
  <w:num w:numId="9">
    <w:abstractNumId w:val="29"/>
  </w:num>
  <w:num w:numId="10">
    <w:abstractNumId w:val="4"/>
  </w:num>
  <w:num w:numId="11">
    <w:abstractNumId w:val="38"/>
  </w:num>
  <w:num w:numId="12">
    <w:abstractNumId w:val="35"/>
  </w:num>
  <w:num w:numId="13">
    <w:abstractNumId w:val="30"/>
  </w:num>
  <w:num w:numId="14">
    <w:abstractNumId w:val="18"/>
  </w:num>
  <w:num w:numId="15">
    <w:abstractNumId w:val="21"/>
  </w:num>
  <w:num w:numId="16">
    <w:abstractNumId w:val="20"/>
  </w:num>
  <w:num w:numId="17">
    <w:abstractNumId w:val="31"/>
  </w:num>
  <w:num w:numId="18">
    <w:abstractNumId w:val="17"/>
  </w:num>
  <w:num w:numId="19">
    <w:abstractNumId w:val="22"/>
  </w:num>
  <w:num w:numId="20">
    <w:abstractNumId w:val="25"/>
  </w:num>
  <w:num w:numId="21">
    <w:abstractNumId w:val="19"/>
  </w:num>
  <w:num w:numId="22">
    <w:abstractNumId w:val="26"/>
  </w:num>
  <w:num w:numId="23">
    <w:abstractNumId w:val="1"/>
  </w:num>
  <w:num w:numId="24">
    <w:abstractNumId w:val="24"/>
  </w:num>
  <w:num w:numId="25">
    <w:abstractNumId w:val="2"/>
  </w:num>
  <w:num w:numId="26">
    <w:abstractNumId w:val="3"/>
  </w:num>
  <w:num w:numId="27">
    <w:abstractNumId w:val="32"/>
  </w:num>
  <w:num w:numId="28">
    <w:abstractNumId w:val="11"/>
  </w:num>
  <w:num w:numId="29">
    <w:abstractNumId w:val="9"/>
  </w:num>
  <w:num w:numId="30">
    <w:abstractNumId w:val="0"/>
  </w:num>
  <w:num w:numId="31">
    <w:abstractNumId w:val="7"/>
  </w:num>
  <w:num w:numId="32">
    <w:abstractNumId w:val="13"/>
  </w:num>
  <w:num w:numId="33">
    <w:abstractNumId w:val="36"/>
  </w:num>
  <w:num w:numId="34">
    <w:abstractNumId w:val="5"/>
  </w:num>
  <w:num w:numId="35">
    <w:abstractNumId w:val="28"/>
  </w:num>
  <w:num w:numId="36">
    <w:abstractNumId w:val="27"/>
  </w:num>
  <w:num w:numId="37">
    <w:abstractNumId w:val="23"/>
  </w:num>
  <w:num w:numId="38">
    <w:abstractNumId w:val="12"/>
  </w:num>
  <w:num w:numId="3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1FF7"/>
    <w:rsid w:val="000064F8"/>
    <w:rsid w:val="00044655"/>
    <w:rsid w:val="00055972"/>
    <w:rsid w:val="0008309A"/>
    <w:rsid w:val="000A60FE"/>
    <w:rsid w:val="000B190E"/>
    <w:rsid w:val="000D15B5"/>
    <w:rsid w:val="00115EED"/>
    <w:rsid w:val="00152034"/>
    <w:rsid w:val="00167101"/>
    <w:rsid w:val="00177095"/>
    <w:rsid w:val="00192996"/>
    <w:rsid w:val="00194BA9"/>
    <w:rsid w:val="001B14E4"/>
    <w:rsid w:val="001C5460"/>
    <w:rsid w:val="001D0F8F"/>
    <w:rsid w:val="001F0E0A"/>
    <w:rsid w:val="001F3F71"/>
    <w:rsid w:val="001F6A6A"/>
    <w:rsid w:val="00204E38"/>
    <w:rsid w:val="00221CCB"/>
    <w:rsid w:val="00226D1B"/>
    <w:rsid w:val="00233370"/>
    <w:rsid w:val="0024651E"/>
    <w:rsid w:val="00246539"/>
    <w:rsid w:val="002467B6"/>
    <w:rsid w:val="00254F75"/>
    <w:rsid w:val="002A6344"/>
    <w:rsid w:val="002A7441"/>
    <w:rsid w:val="002C133E"/>
    <w:rsid w:val="002C1D16"/>
    <w:rsid w:val="002C302E"/>
    <w:rsid w:val="002D17F8"/>
    <w:rsid w:val="002D7ADF"/>
    <w:rsid w:val="00302288"/>
    <w:rsid w:val="00314B45"/>
    <w:rsid w:val="00321457"/>
    <w:rsid w:val="00323613"/>
    <w:rsid w:val="003315F6"/>
    <w:rsid w:val="00335154"/>
    <w:rsid w:val="00373D6B"/>
    <w:rsid w:val="003747AD"/>
    <w:rsid w:val="00386971"/>
    <w:rsid w:val="00394C21"/>
    <w:rsid w:val="00396601"/>
    <w:rsid w:val="00396EB2"/>
    <w:rsid w:val="003A5558"/>
    <w:rsid w:val="003B0D2C"/>
    <w:rsid w:val="003E6852"/>
    <w:rsid w:val="003F2425"/>
    <w:rsid w:val="003F77BC"/>
    <w:rsid w:val="0042554A"/>
    <w:rsid w:val="0043121A"/>
    <w:rsid w:val="00441967"/>
    <w:rsid w:val="00453D4C"/>
    <w:rsid w:val="0046187F"/>
    <w:rsid w:val="0049415E"/>
    <w:rsid w:val="00497D7C"/>
    <w:rsid w:val="004C427B"/>
    <w:rsid w:val="004D16E4"/>
    <w:rsid w:val="004F2706"/>
    <w:rsid w:val="004F2A0D"/>
    <w:rsid w:val="005106F3"/>
    <w:rsid w:val="00511C56"/>
    <w:rsid w:val="0052052C"/>
    <w:rsid w:val="00521FA0"/>
    <w:rsid w:val="00546539"/>
    <w:rsid w:val="00546871"/>
    <w:rsid w:val="005552FA"/>
    <w:rsid w:val="00565D80"/>
    <w:rsid w:val="00573929"/>
    <w:rsid w:val="0058463E"/>
    <w:rsid w:val="005859CD"/>
    <w:rsid w:val="005872EE"/>
    <w:rsid w:val="005A7714"/>
    <w:rsid w:val="005B2F93"/>
    <w:rsid w:val="005C44F6"/>
    <w:rsid w:val="005C7C47"/>
    <w:rsid w:val="00603A45"/>
    <w:rsid w:val="00624AFF"/>
    <w:rsid w:val="00626B6E"/>
    <w:rsid w:val="00634C6E"/>
    <w:rsid w:val="006615C8"/>
    <w:rsid w:val="00665FAC"/>
    <w:rsid w:val="00681937"/>
    <w:rsid w:val="00696009"/>
    <w:rsid w:val="006A05E3"/>
    <w:rsid w:val="006C3698"/>
    <w:rsid w:val="006D2C73"/>
    <w:rsid w:val="006D399E"/>
    <w:rsid w:val="006F2142"/>
    <w:rsid w:val="006F47AD"/>
    <w:rsid w:val="00715EDA"/>
    <w:rsid w:val="0074138D"/>
    <w:rsid w:val="00754A8D"/>
    <w:rsid w:val="00757E02"/>
    <w:rsid w:val="00760587"/>
    <w:rsid w:val="00761EAB"/>
    <w:rsid w:val="007622B3"/>
    <w:rsid w:val="00770DC8"/>
    <w:rsid w:val="007729E2"/>
    <w:rsid w:val="0077331E"/>
    <w:rsid w:val="00774288"/>
    <w:rsid w:val="007938D0"/>
    <w:rsid w:val="007A0CCB"/>
    <w:rsid w:val="007C3806"/>
    <w:rsid w:val="007D1A14"/>
    <w:rsid w:val="007D792E"/>
    <w:rsid w:val="007E60A4"/>
    <w:rsid w:val="008025E6"/>
    <w:rsid w:val="008112CC"/>
    <w:rsid w:val="008224ED"/>
    <w:rsid w:val="00826EA0"/>
    <w:rsid w:val="0082707E"/>
    <w:rsid w:val="008443F5"/>
    <w:rsid w:val="00886C14"/>
    <w:rsid w:val="008C112A"/>
    <w:rsid w:val="008C2EDC"/>
    <w:rsid w:val="008D486A"/>
    <w:rsid w:val="008E7428"/>
    <w:rsid w:val="008F2FF9"/>
    <w:rsid w:val="008F6C9A"/>
    <w:rsid w:val="00904D59"/>
    <w:rsid w:val="00944D9C"/>
    <w:rsid w:val="009775E4"/>
    <w:rsid w:val="009914EE"/>
    <w:rsid w:val="00991FF7"/>
    <w:rsid w:val="009A1B61"/>
    <w:rsid w:val="009A38BA"/>
    <w:rsid w:val="009B66C6"/>
    <w:rsid w:val="009D1644"/>
    <w:rsid w:val="009D4C0D"/>
    <w:rsid w:val="00A04EB0"/>
    <w:rsid w:val="00A075E2"/>
    <w:rsid w:val="00A15064"/>
    <w:rsid w:val="00A16708"/>
    <w:rsid w:val="00A168FF"/>
    <w:rsid w:val="00A44EC7"/>
    <w:rsid w:val="00A45080"/>
    <w:rsid w:val="00A61DC1"/>
    <w:rsid w:val="00A67E7A"/>
    <w:rsid w:val="00AA03CD"/>
    <w:rsid w:val="00AB5BEA"/>
    <w:rsid w:val="00AC372B"/>
    <w:rsid w:val="00AC5549"/>
    <w:rsid w:val="00AD5593"/>
    <w:rsid w:val="00AD658B"/>
    <w:rsid w:val="00AE5A78"/>
    <w:rsid w:val="00B04FE3"/>
    <w:rsid w:val="00B13319"/>
    <w:rsid w:val="00B165E7"/>
    <w:rsid w:val="00B23C19"/>
    <w:rsid w:val="00B24857"/>
    <w:rsid w:val="00B355E2"/>
    <w:rsid w:val="00B446A1"/>
    <w:rsid w:val="00B466B3"/>
    <w:rsid w:val="00B65F09"/>
    <w:rsid w:val="00B718A2"/>
    <w:rsid w:val="00B85DEF"/>
    <w:rsid w:val="00B94083"/>
    <w:rsid w:val="00BA54AD"/>
    <w:rsid w:val="00BB4C36"/>
    <w:rsid w:val="00BC171B"/>
    <w:rsid w:val="00BF280D"/>
    <w:rsid w:val="00C06C96"/>
    <w:rsid w:val="00C15062"/>
    <w:rsid w:val="00C22CD4"/>
    <w:rsid w:val="00C5499F"/>
    <w:rsid w:val="00C74210"/>
    <w:rsid w:val="00CD51E0"/>
    <w:rsid w:val="00CD5C3D"/>
    <w:rsid w:val="00CE3319"/>
    <w:rsid w:val="00D0125C"/>
    <w:rsid w:val="00D11558"/>
    <w:rsid w:val="00D134AB"/>
    <w:rsid w:val="00D2605B"/>
    <w:rsid w:val="00D260B0"/>
    <w:rsid w:val="00D35AF5"/>
    <w:rsid w:val="00D60327"/>
    <w:rsid w:val="00D94B33"/>
    <w:rsid w:val="00DA5D4E"/>
    <w:rsid w:val="00DD664C"/>
    <w:rsid w:val="00DE355F"/>
    <w:rsid w:val="00E0643C"/>
    <w:rsid w:val="00E102E8"/>
    <w:rsid w:val="00E2552F"/>
    <w:rsid w:val="00E33DCE"/>
    <w:rsid w:val="00E41E47"/>
    <w:rsid w:val="00E510B4"/>
    <w:rsid w:val="00E522FF"/>
    <w:rsid w:val="00E663CF"/>
    <w:rsid w:val="00E73CAC"/>
    <w:rsid w:val="00EB37A2"/>
    <w:rsid w:val="00ED3719"/>
    <w:rsid w:val="00EE3FDC"/>
    <w:rsid w:val="00EF6275"/>
    <w:rsid w:val="00EF630B"/>
    <w:rsid w:val="00F14D21"/>
    <w:rsid w:val="00F14E14"/>
    <w:rsid w:val="00F220D8"/>
    <w:rsid w:val="00F30150"/>
    <w:rsid w:val="00F358EA"/>
    <w:rsid w:val="00F51A02"/>
    <w:rsid w:val="00F560B0"/>
    <w:rsid w:val="00F77E8B"/>
    <w:rsid w:val="00F818B6"/>
    <w:rsid w:val="00F852A0"/>
    <w:rsid w:val="00FB7632"/>
    <w:rsid w:val="00FE6283"/>
  </w:rsids>
  <m:mathPr>
    <m:mathFont m:val="Cambria Math"/>
    <m:brkBin m:val="before"/>
    <m:brkBinSub m:val="--"/>
    <m:smallFrac m:val="0"/>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38E06A"/>
  <w15:chartTrackingRefBased/>
  <w15:docId w15:val="{7ACC3C78-57FD-4A8F-9CF9-310F4E8B3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53D4C"/>
    <w:pPr>
      <w:spacing w:before="120" w:after="120"/>
      <w:jc w:val="both"/>
    </w:pPr>
    <w:rPr>
      <w:rFonts w:ascii="Century Gothic" w:hAnsi="Century Gothic"/>
      <w:szCs w:val="24"/>
      <w:lang w:val="en-GB"/>
    </w:rPr>
  </w:style>
  <w:style w:type="paragraph" w:styleId="Heading1">
    <w:name w:val="heading 1"/>
    <w:basedOn w:val="Normal"/>
    <w:next w:val="Normal"/>
    <w:qFormat/>
    <w:rsid w:val="00E663CF"/>
    <w:pPr>
      <w:keepNext/>
      <w:pBdr>
        <w:top w:val="single" w:sz="4" w:space="1" w:color="auto"/>
      </w:pBdr>
      <w:suppressAutoHyphens/>
      <w:spacing w:before="104" w:after="226"/>
      <w:outlineLvl w:val="0"/>
    </w:pPr>
    <w:rPr>
      <w:b/>
      <w:spacing w:val="-2"/>
      <w:sz w:val="24"/>
      <w:szCs w:val="20"/>
    </w:rPr>
  </w:style>
  <w:style w:type="paragraph" w:styleId="Heading2">
    <w:name w:val="heading 2"/>
    <w:basedOn w:val="Normal"/>
    <w:next w:val="Normal"/>
    <w:qFormat/>
    <w:pPr>
      <w:keepNext/>
      <w:ind w:left="720"/>
      <w:outlineLvl w:val="1"/>
    </w:pPr>
    <w:rPr>
      <w:rFonts w:ascii="Arial Narrow" w:hAnsi="Arial Narrow"/>
      <w:b/>
      <w:bCs/>
      <w:sz w:val="22"/>
    </w:rPr>
  </w:style>
  <w:style w:type="paragraph" w:styleId="Heading3">
    <w:name w:val="heading 3"/>
    <w:basedOn w:val="Normal"/>
    <w:next w:val="Normal"/>
    <w:qFormat/>
    <w:pPr>
      <w:keepNext/>
      <w:widowControl w:val="0"/>
      <w:tabs>
        <w:tab w:val="left" w:pos="2160"/>
        <w:tab w:val="left" w:pos="9360"/>
      </w:tabs>
      <w:outlineLvl w:val="2"/>
    </w:pPr>
    <w:rPr>
      <w:rFonts w:ascii="Courier" w:hAnsi="Courier"/>
      <w:b/>
      <w:sz w:val="28"/>
      <w:szCs w:val="20"/>
      <w:lang w:val="en-US"/>
    </w:rPr>
  </w:style>
  <w:style w:type="paragraph" w:styleId="Heading4">
    <w:name w:val="heading 4"/>
    <w:basedOn w:val="Normal"/>
    <w:next w:val="Normal"/>
    <w:qFormat/>
    <w:pPr>
      <w:keepNext/>
      <w:widowControl w:val="0"/>
      <w:spacing w:after="540"/>
      <w:ind w:left="116"/>
      <w:outlineLvl w:val="3"/>
    </w:pPr>
    <w:rPr>
      <w:rFonts w:ascii="Arial" w:hAnsi="Arial"/>
      <w:b/>
      <w:spacing w:val="15"/>
      <w:sz w:val="28"/>
      <w:lang w:val="en-US"/>
    </w:rPr>
  </w:style>
  <w:style w:type="paragraph" w:styleId="Heading5">
    <w:name w:val="heading 5"/>
    <w:basedOn w:val="Normal"/>
    <w:next w:val="Normal"/>
    <w:qFormat/>
    <w:pPr>
      <w:keepNext/>
      <w:ind w:left="360"/>
      <w:jc w:val="center"/>
      <w:outlineLvl w:val="4"/>
    </w:pPr>
    <w:rPr>
      <w:rFonts w:ascii="Arial Narrow" w:hAnsi="Arial Narrow"/>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FootnoteText">
    <w:name w:val="footnote text"/>
    <w:basedOn w:val="Normal"/>
    <w:semiHidden/>
    <w:pPr>
      <w:widowControl w:val="0"/>
    </w:pPr>
    <w:rPr>
      <w:rFonts w:ascii="Courier" w:hAnsi="Courier"/>
      <w:szCs w:val="20"/>
      <w:lang w:val="en-US"/>
    </w:rPr>
  </w:style>
  <w:style w:type="paragraph" w:styleId="BodyText3">
    <w:name w:val="Body Text 3"/>
    <w:basedOn w:val="Normal"/>
    <w:rPr>
      <w:rFonts w:ascii="Arial" w:hAnsi="Arial"/>
      <w:sz w:val="22"/>
      <w:szCs w:val="20"/>
      <w:lang w:val="en-US"/>
    </w:rPr>
  </w:style>
  <w:style w:type="paragraph" w:styleId="BodyTextIndent">
    <w:name w:val="Body Text Indent"/>
    <w:basedOn w:val="Normal"/>
    <w:pPr>
      <w:tabs>
        <w:tab w:val="left" w:pos="360"/>
      </w:tabs>
    </w:pPr>
    <w:rPr>
      <w:rFonts w:ascii="Arial" w:hAnsi="Arial"/>
      <w:b/>
      <w:i/>
      <w:sz w:val="28"/>
      <w:szCs w:val="20"/>
      <w:lang w:val="en-US"/>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odyText">
    <w:name w:val="Body Text"/>
    <w:basedOn w:val="Normal"/>
    <w:pPr>
      <w:pBdr>
        <w:bottom w:val="single" w:sz="4" w:space="1" w:color="auto"/>
      </w:pBdr>
    </w:pPr>
    <w:rPr>
      <w:rFonts w:ascii="Arial Narrow" w:hAnsi="Arial Narrow"/>
      <w:i/>
      <w:iCs/>
      <w:sz w:val="22"/>
    </w:rPr>
  </w:style>
  <w:style w:type="paragraph" w:styleId="BodyText2">
    <w:name w:val="Body Text 2"/>
    <w:basedOn w:val="Normal"/>
    <w:rPr>
      <w:rFonts w:ascii="Arial Narrow" w:hAnsi="Arial Narrow"/>
      <w:sz w:val="22"/>
    </w:rPr>
  </w:style>
  <w:style w:type="paragraph" w:styleId="BalloonText">
    <w:name w:val="Balloon Text"/>
    <w:basedOn w:val="Normal"/>
    <w:semiHidden/>
    <w:rsid w:val="00D260B0"/>
    <w:rPr>
      <w:rFonts w:ascii="Tahoma" w:hAnsi="Tahoma" w:cs="Tahoma"/>
      <w:sz w:val="16"/>
      <w:szCs w:val="16"/>
    </w:rPr>
  </w:style>
  <w:style w:type="character" w:styleId="CommentReference">
    <w:name w:val="annotation reference"/>
    <w:basedOn w:val="DefaultParagraphFont"/>
    <w:uiPriority w:val="99"/>
    <w:semiHidden/>
    <w:rsid w:val="00EF6275"/>
    <w:rPr>
      <w:sz w:val="16"/>
      <w:szCs w:val="16"/>
    </w:rPr>
  </w:style>
  <w:style w:type="paragraph" w:styleId="CommentText">
    <w:name w:val="annotation text"/>
    <w:basedOn w:val="Normal"/>
    <w:link w:val="CommentTextChar"/>
    <w:uiPriority w:val="99"/>
    <w:semiHidden/>
    <w:rsid w:val="00EF6275"/>
    <w:rPr>
      <w:szCs w:val="20"/>
    </w:rPr>
  </w:style>
  <w:style w:type="paragraph" w:styleId="CommentSubject">
    <w:name w:val="annotation subject"/>
    <w:basedOn w:val="CommentText"/>
    <w:next w:val="CommentText"/>
    <w:semiHidden/>
    <w:rsid w:val="00EF6275"/>
    <w:rPr>
      <w:b/>
      <w:bCs/>
    </w:rPr>
  </w:style>
  <w:style w:type="table" w:styleId="TableGrid">
    <w:name w:val="Table Grid"/>
    <w:basedOn w:val="TableNormal"/>
    <w:rsid w:val="002333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E663CF"/>
    <w:pPr>
      <w:spacing w:before="100" w:beforeAutospacing="1" w:after="100" w:afterAutospacing="1"/>
    </w:pPr>
    <w:rPr>
      <w:rFonts w:ascii="Times New Roman" w:hAnsi="Times New Roman"/>
      <w:sz w:val="24"/>
      <w:lang w:val="en-US"/>
    </w:rPr>
  </w:style>
  <w:style w:type="character" w:styleId="Emphasis">
    <w:name w:val="Emphasis"/>
    <w:basedOn w:val="DefaultParagraphFont"/>
    <w:qFormat/>
    <w:rsid w:val="00F30150"/>
    <w:rPr>
      <w:i/>
      <w:iCs/>
    </w:rPr>
  </w:style>
  <w:style w:type="paragraph" w:styleId="NoSpacing">
    <w:name w:val="No Spacing"/>
    <w:link w:val="NoSpacingChar"/>
    <w:uiPriority w:val="1"/>
    <w:qFormat/>
    <w:rsid w:val="00441967"/>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441967"/>
    <w:rPr>
      <w:rFonts w:asciiTheme="minorHAnsi" w:eastAsiaTheme="minorEastAsia" w:hAnsiTheme="minorHAnsi" w:cstheme="minorBidi"/>
      <w:sz w:val="22"/>
      <w:szCs w:val="22"/>
    </w:rPr>
  </w:style>
  <w:style w:type="paragraph" w:customStyle="1" w:styleId="AProd">
    <w:name w:val="A Prod"/>
    <w:basedOn w:val="Normal"/>
    <w:link w:val="AProdChar"/>
    <w:qFormat/>
    <w:rsid w:val="00441967"/>
    <w:pPr>
      <w:numPr>
        <w:numId w:val="34"/>
      </w:numPr>
      <w:tabs>
        <w:tab w:val="clear" w:pos="1260"/>
        <w:tab w:val="left" w:pos="547"/>
      </w:tabs>
      <w:spacing w:before="0"/>
      <w:ind w:left="0" w:firstLine="0"/>
      <w:jc w:val="left"/>
    </w:pPr>
    <w:rPr>
      <w:rFonts w:ascii="Times New Roman" w:hAnsi="Times New Roman"/>
      <w:sz w:val="22"/>
      <w:szCs w:val="22"/>
      <w:lang w:val="en-US"/>
    </w:rPr>
  </w:style>
  <w:style w:type="character" w:customStyle="1" w:styleId="AProdChar">
    <w:name w:val="A Prod Char"/>
    <w:basedOn w:val="DefaultParagraphFont"/>
    <w:link w:val="AProd"/>
    <w:rsid w:val="00441967"/>
    <w:rPr>
      <w:sz w:val="22"/>
      <w:szCs w:val="22"/>
    </w:rPr>
  </w:style>
  <w:style w:type="paragraph" w:customStyle="1" w:styleId="Abulletspace">
    <w:name w:val="A bullet space"/>
    <w:basedOn w:val="Normal"/>
    <w:link w:val="AbulletspaceChar"/>
    <w:qFormat/>
    <w:rsid w:val="00441967"/>
    <w:pPr>
      <w:numPr>
        <w:ilvl w:val="1"/>
        <w:numId w:val="34"/>
      </w:numPr>
      <w:tabs>
        <w:tab w:val="clear" w:pos="1080"/>
      </w:tabs>
      <w:spacing w:before="0"/>
      <w:ind w:left="720"/>
      <w:contextualSpacing/>
      <w:jc w:val="left"/>
    </w:pPr>
    <w:rPr>
      <w:rFonts w:ascii="Times New Roman" w:hAnsi="Times New Roman"/>
      <w:sz w:val="22"/>
      <w:lang w:val="en-US"/>
    </w:rPr>
  </w:style>
  <w:style w:type="character" w:customStyle="1" w:styleId="AbulletspaceChar">
    <w:name w:val="A bullet space Char"/>
    <w:basedOn w:val="DefaultParagraphFont"/>
    <w:link w:val="Abulletspace"/>
    <w:rsid w:val="00696009"/>
    <w:rPr>
      <w:sz w:val="22"/>
      <w:szCs w:val="24"/>
    </w:rPr>
  </w:style>
  <w:style w:type="paragraph" w:styleId="ListParagraph">
    <w:name w:val="List Paragraph"/>
    <w:basedOn w:val="Normal"/>
    <w:uiPriority w:val="34"/>
    <w:qFormat/>
    <w:rsid w:val="00CD5C3D"/>
    <w:pPr>
      <w:ind w:left="720"/>
      <w:contextualSpacing/>
    </w:pPr>
  </w:style>
  <w:style w:type="character" w:customStyle="1" w:styleId="CommentTextChar">
    <w:name w:val="Comment Text Char"/>
    <w:basedOn w:val="DefaultParagraphFont"/>
    <w:link w:val="CommentText"/>
    <w:uiPriority w:val="99"/>
    <w:semiHidden/>
    <w:rsid w:val="007D1A14"/>
    <w:rPr>
      <w:rFonts w:ascii="Century Gothic" w:hAnsi="Century Gothic"/>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2720354">
      <w:bodyDiv w:val="1"/>
      <w:marLeft w:val="0"/>
      <w:marRight w:val="0"/>
      <w:marTop w:val="0"/>
      <w:marBottom w:val="0"/>
      <w:divBdr>
        <w:top w:val="none" w:sz="0" w:space="0" w:color="auto"/>
        <w:left w:val="none" w:sz="0" w:space="0" w:color="auto"/>
        <w:bottom w:val="none" w:sz="0" w:space="0" w:color="auto"/>
        <w:right w:val="none" w:sz="0" w:space="0" w:color="auto"/>
      </w:divBdr>
    </w:div>
    <w:div w:id="1453668799">
      <w:bodyDiv w:val="1"/>
      <w:marLeft w:val="0"/>
      <w:marRight w:val="0"/>
      <w:marTop w:val="0"/>
      <w:marBottom w:val="0"/>
      <w:divBdr>
        <w:top w:val="none" w:sz="0" w:space="0" w:color="auto"/>
        <w:left w:val="none" w:sz="0" w:space="0" w:color="auto"/>
        <w:bottom w:val="none" w:sz="0" w:space="0" w:color="auto"/>
        <w:right w:val="none" w:sz="0" w:space="0" w:color="auto"/>
      </w:divBdr>
    </w:div>
    <w:div w:id="1578900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TaxCatchAll xmlns="8264c5cc-ec60-4b56-8111-ce635d3d139a">
      <Value>2</Value>
    </TaxCatchAll>
    <UNDP_POPP_PLANNED_REVIEWDATE xmlns="8264c5cc-ec60-4b56-8111-ce635d3d139a" xsi:nil="true"/>
    <UNDP_POPP_DOCUMENT_LANGUAGE xmlns="8264c5cc-ec60-4b56-8111-ce635d3d139a">English</UNDP_POPP_DOCUMENT_LANGUAGE>
    <UNDP_POPP_EFFECTIVEDATE xmlns="8264c5cc-ec60-4b56-8111-ce635d3d139a" xsi:nil="true"/>
    <UNDP_POPP_BUSINESSPROCESS_HIDDEN xmlns="8264c5cc-ec60-4b56-8111-ce635d3d139a">
      <Terms xmlns="http://schemas.microsoft.com/office/infopath/2007/PartnerControls"/>
    </UNDP_POPP_BUSINESSPROCESS_HIDDEN>
    <UNDP_POPP_DOCUMENT_TEMPLATE xmlns="8264c5cc-ec60-4b56-8111-ce635d3d139a" xsi:nil="true"/>
    <UNDP_POPP_FOCALPOINT xmlns="8264c5cc-ec60-4b56-8111-ce635d3d139a">
      <UserInfo>
        <DisplayName/>
        <AccountId xsi:nil="true"/>
        <AccountType/>
      </UserInfo>
    </UNDP_POPP_FOCALPOINT>
    <UNDP_POPP_DOCUMENT_TYPE xmlns="8264c5cc-ec60-4b56-8111-ce635d3d139a">Template</UNDP_POPP_DOCUMENT_TYPE>
    <UNDP_POPP_ISACTIVE xmlns="8264c5cc-ec60-4b56-8111-ce635d3d139a">true</UNDP_POPP_ISACTIVE>
    <UNDP_POPP_FILEVERSION xmlns="8264c5cc-ec60-4b56-8111-ce635d3d139a" xsi:nil="true"/>
    <UNDP_POPP_VERSION_COMMENTS xmlns="8264c5cc-ec60-4b56-8111-ce635d3d139a" xsi:nil="true"/>
    <UNDP_POPP_NOTE xmlns="8264c5cc-ec60-4b56-8111-ce635d3d139a" xsi:nil="true"/>
    <UNDP_POPP_BUSINESSUNITID_HIDDEN xmlns="8264c5cc-ec60-4b56-8111-ce635d3d139a" xsi:nil="true"/>
    <UNDP_POPP_TITLE_EN xmlns="8264c5cc-ec60-4b56-8111-ce635d3d139a">Project Management Lessons learned Report Template</UNDP_POPP_TITLE_EN>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Programme and Project Management</TermName>
          <TermId xmlns="http://schemas.microsoft.com/office/infopath/2007/PartnerControls">dea4c69a-7909-43f6-8de1-50c95d5a9f3f</TermId>
        </TermInfo>
      </Terms>
    </l0e6ef0c43e74560bd7f3acd1f5e8571>
    <Location xmlns="e560140e-7b2f-4392-90df-e7567e3021a3" xsi:nil="true"/>
    <_dlc_DocId xmlns="8264c5cc-ec60-4b56-8111-ce635d3d139a">POPP-11-1703</_dlc_DocId>
    <_dlc_DocIdUrl xmlns="8264c5cc-ec60-4b56-8111-ce635d3d139a">
      <Url>https://popp.undp.org/_layouts/15/DocIdRedir.aspx?ID=POPP-11-1703</Url>
      <Description>POPP-11-1703</Description>
    </_dlc_DocIdUrl>
    <UNDP_POPP_REFITEM_VERSION xmlns="8264c5cc-ec60-4b56-8111-ce635d3d139a">1</UNDP_POPP_REFITEM_VERSION>
    <DLCPolicyLabelLock xmlns="e560140e-7b2f-4392-90df-e7567e3021a3" xsi:nil="true"/>
    <DLCPolicyLabelClientValue xmlns="e560140e-7b2f-4392-90df-e7567e3021a3">Effective Date: {Effective Date}                                                Version #: 1.0</DLCPolicyLabelClientValue>
    <UNDP_POPP_LASTMODIFIED xmlns="8264c5cc-ec60-4b56-8111-ce635d3d139a" xsi:nil="true"/>
    <DLCPolicyLabelValue xmlns="e560140e-7b2f-4392-90df-e7567e3021a3">Effective Date: {Effective Date}                                                Version #: 1.0</DLCPolicyLabelValue>
    <UNDP_POPP_REJECT_COMMENTS xmlns="8264c5cc-ec60-4b56-8111-ce635d3d139a" xsi:nil="true"/>
    <POPPIsArchived xmlns="e560140e-7b2f-4392-90df-e7567e3021a3">false</POPPIsArchived>
  </documentManagement>
</p:properties>
</file>

<file path=customXml/item5.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0d76bf95205885e889ae1138f5ba917">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eccd6d3b888a2087d2269780bc85b2a4"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573FAB9-286E-467A-B787-7BE3C0FAB100}">
  <ds:schemaRefs>
    <ds:schemaRef ds:uri="office.server.policy"/>
  </ds:schemaRefs>
</ds:datastoreItem>
</file>

<file path=customXml/itemProps2.xml><?xml version="1.0" encoding="utf-8"?>
<ds:datastoreItem xmlns:ds="http://schemas.openxmlformats.org/officeDocument/2006/customXml" ds:itemID="{13938C90-2B35-45A9-A2E3-1BB8AC767E68}">
  <ds:schemaRefs>
    <ds:schemaRef ds:uri="http://schemas.microsoft.com/sharepoint/events"/>
  </ds:schemaRefs>
</ds:datastoreItem>
</file>

<file path=customXml/itemProps3.xml><?xml version="1.0" encoding="utf-8"?>
<ds:datastoreItem xmlns:ds="http://schemas.openxmlformats.org/officeDocument/2006/customXml" ds:itemID="{057DE786-C923-4495-9C0A-43E73ED77C72}">
  <ds:schemaRefs>
    <ds:schemaRef ds:uri="http://schemas.microsoft.com/office/2006/metadata/longProperties"/>
  </ds:schemaRefs>
</ds:datastoreItem>
</file>

<file path=customXml/itemProps4.xml><?xml version="1.0" encoding="utf-8"?>
<ds:datastoreItem xmlns:ds="http://schemas.openxmlformats.org/officeDocument/2006/customXml" ds:itemID="{E5407984-D14B-4CD4-93EC-75F034AF55F1}">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5.xml><?xml version="1.0" encoding="utf-8"?>
<ds:datastoreItem xmlns:ds="http://schemas.openxmlformats.org/officeDocument/2006/customXml" ds:itemID="{64734B76-FD8B-422A-909F-2970420FFB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877F4872-89DD-4589-A92E-8A51455177A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1514</Words>
  <Characters>8630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Lessons-Learned Report Template</vt:lpstr>
    </vt:vector>
  </TitlesOfParts>
  <Manager>BDP/BOM</Manager>
  <Company>UNDP</Company>
  <LinksUpToDate>false</LinksUpToDate>
  <CharactersWithSpaces>10124</CharactersWithSpaces>
  <SharedDoc>false</SharedDoc>
  <HLinks>
    <vt:vector size="6" baseType="variant">
      <vt:variant>
        <vt:i4>4259901</vt:i4>
      </vt:variant>
      <vt:variant>
        <vt:i4>0</vt:i4>
      </vt:variant>
      <vt:variant>
        <vt:i4>0</vt:i4>
      </vt:variant>
      <vt:variant>
        <vt:i4>5</vt:i4>
      </vt:variant>
      <vt:variant>
        <vt:lpwstr>http://content.undp.org/go/prescriptive/Project-Management---Prescriptive-Content-Documents/download/?d_id=1358999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Lessons-Learned Report Template</dc:title>
  <dc:subject>Project Management</dc:subject>
  <dc:creator>Patrick Gremillet</dc:creator>
  <cp:keywords/>
  <dc:description/>
  <cp:lastModifiedBy>Roshan Raja</cp:lastModifiedBy>
  <cp:revision>2</cp:revision>
  <cp:lastPrinted>2019-08-23T07:17:00Z</cp:lastPrinted>
  <dcterms:created xsi:type="dcterms:W3CDTF">2019-09-17T16:43:00Z</dcterms:created>
  <dcterms:modified xsi:type="dcterms:W3CDTF">2019-09-17T16:43:00Z</dcterms:modified>
  <cp:category>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UNDPGBL-229-266</vt:lpwstr>
  </property>
  <property fmtid="{D5CDD505-2E9C-101B-9397-08002B2CF9AE}" pid="3" name="_dlc_DocIdItemGuid">
    <vt:lpwstr>1c154586-eff5-46ef-b84d-6eef24c8fd2e</vt:lpwstr>
  </property>
  <property fmtid="{D5CDD505-2E9C-101B-9397-08002B2CF9AE}" pid="4" name="_dlc_DocIdUrl">
    <vt:lpwstr>https://intranet.undp.org/global/documents/_layouts/DocIdRedir.aspx?ID=UNDPGBL-229-266, UNDPGBL-229-266</vt:lpwstr>
  </property>
  <property fmtid="{D5CDD505-2E9C-101B-9397-08002B2CF9AE}" pid="5" name="display_urn:schemas-microsoft-com:office:office#UNDPCreator">
    <vt:lpwstr>Judith Puyat-magnaye</vt:lpwstr>
  </property>
  <property fmtid="{D5CDD505-2E9C-101B-9397-08002B2CF9AE}" pid="6" name="UNDPPOPPKeywords">
    <vt:lpwstr>98;#Lessons - Learned Report|5e57975f-0734-4746-8df7-95bdf8d5df88</vt:lpwstr>
  </property>
  <property fmtid="{D5CDD505-2E9C-101B-9397-08002B2CF9AE}" pid="7" name="POPP Subprocess Multiple0">
    <vt:lpwstr>;#Closing a Project;#</vt:lpwstr>
  </property>
  <property fmtid="{D5CDD505-2E9C-101B-9397-08002B2CF9AE}" pid="8" name="TaxCatchAll">
    <vt:lpwstr>98;#Lessons - Learned Report|5e57975f-0734-4746-8df7-95bdf8d5df88</vt:lpwstr>
  </property>
  <property fmtid="{D5CDD505-2E9C-101B-9397-08002B2CF9AE}" pid="9" name="display_urn:schemas-microsoft-com:office:office#Focalpoint">
    <vt:lpwstr>Dien Le</vt:lpwstr>
  </property>
  <property fmtid="{D5CDD505-2E9C-101B-9397-08002B2CF9AE}" pid="10" name="ContentTypeId">
    <vt:lpwstr>0x01010061FF32BFFC2B4E50A3A86F4682D7D367007687F3382310C0489D2A99E053BA6D39</vt:lpwstr>
  </property>
  <property fmtid="{D5CDD505-2E9C-101B-9397-08002B2CF9AE}" pid="11" name="POPPBusinessProcess">
    <vt:lpwstr/>
  </property>
  <property fmtid="{D5CDD505-2E9C-101B-9397-08002B2CF9AE}" pid="12" name="UNDP_POPP_BUSINESSUNIT">
    <vt:lpwstr>2;#Programme and Project Management|dea4c69a-7909-43f6-8de1-50c95d5a9f3f</vt:lpwstr>
  </property>
</Properties>
</file>