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B1" w:rsidRDefault="008C17B1" w:rsidP="008C17B1">
      <w:pPr>
        <w:pStyle w:val="Heading1"/>
        <w:pageBreakBefore/>
      </w:pPr>
      <w:r>
        <w:t>Appendix 1: recomputation of MAFIPP outreach targets and results per MTE recommendations</w:t>
      </w:r>
    </w:p>
    <w:p w:rsidR="008C17B1" w:rsidRDefault="008C17B1" w:rsidP="008C17B1">
      <w:r w:rsidRPr="00131470">
        <w:rPr>
          <w:noProof/>
          <w:lang w:val="fr-FR" w:eastAsia="fr-FR" w:bidi="ar-SA"/>
        </w:rPr>
        <w:drawing>
          <wp:inline distT="0" distB="0" distL="0" distR="0" wp14:anchorId="14EBE250" wp14:editId="3855CE23">
            <wp:extent cx="6639339" cy="44290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1" b="8797"/>
                    <a:stretch/>
                  </pic:blipFill>
                  <pic:spPr bwMode="auto">
                    <a:xfrm>
                      <a:off x="0" y="0"/>
                      <a:ext cx="6644155" cy="443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7B1" w:rsidRDefault="008C17B1" w:rsidP="008C17B1">
      <w:r>
        <w:t>Method to recompute MAFIPP’s outreach targets:</w:t>
      </w:r>
    </w:p>
    <w:p w:rsidR="008C17B1" w:rsidRDefault="008C17B1" w:rsidP="008C17B1">
      <w:pPr>
        <w:pStyle w:val="ListParagraph"/>
        <w:numPr>
          <w:ilvl w:val="0"/>
          <w:numId w:val="1"/>
        </w:numPr>
      </w:pPr>
      <w:r w:rsidRPr="005C1D29">
        <w:rPr>
          <w:u w:val="single"/>
        </w:rPr>
        <w:t>traditional financial services</w:t>
      </w:r>
      <w:r>
        <w:t xml:space="preserve">: </w:t>
      </w:r>
    </w:p>
    <w:p w:rsidR="008C17B1" w:rsidRDefault="008C17B1" w:rsidP="008C17B1">
      <w:pPr>
        <w:pStyle w:val="ListParagraph"/>
        <w:numPr>
          <w:ilvl w:val="1"/>
          <w:numId w:val="1"/>
        </w:numPr>
      </w:pPr>
      <w:r>
        <w:t>Recomputed the targets set in 2014 on the basis of the MicroLead PBAs with Acleda Bank Laos and ABL and CARD MRI (comprehensive support to the four MFIs: XMI, EMI, SCU Huachay Patthana, SCU Luang Prabang) on the scope recommended by the MTE.</w:t>
      </w:r>
      <w:r>
        <w:br/>
        <w:t>Assuming a natural growth of 10% p.a. of outreach following the conclusion of the PBAs.</w:t>
      </w:r>
    </w:p>
    <w:p w:rsidR="008C17B1" w:rsidRDefault="008C17B1" w:rsidP="008C17B1">
      <w:pPr>
        <w:pStyle w:val="ListParagraph"/>
        <w:numPr>
          <w:ilvl w:val="1"/>
          <w:numId w:val="1"/>
        </w:numPr>
      </w:pPr>
      <w:r>
        <w:t>Rebased the outreach of the FIF by reducing the expected outreach initially delineated from targeted support to some of the former CARD MRI recipients.</w:t>
      </w:r>
    </w:p>
    <w:p w:rsidR="008C17B1" w:rsidRDefault="008C17B1" w:rsidP="008C17B1">
      <w:pPr>
        <w:pStyle w:val="ListParagraph"/>
        <w:numPr>
          <w:ilvl w:val="0"/>
          <w:numId w:val="1"/>
        </w:numPr>
      </w:pPr>
      <w:r w:rsidRPr="005C1D29">
        <w:rPr>
          <w:u w:val="single"/>
        </w:rPr>
        <w:t>Digital Financial services</w:t>
      </w:r>
      <w:r>
        <w:t>: aggregation of the business plans of the 3 operators supported by UNCDF in Laos</w:t>
      </w:r>
    </w:p>
    <w:p w:rsidR="008C17B1" w:rsidRDefault="008C17B1" w:rsidP="008C17B1"/>
    <w:p w:rsidR="008C17B1" w:rsidRDefault="008C17B1" w:rsidP="008C17B1">
      <w:r>
        <w:t xml:space="preserve">Proposed revised outreach target of MAFIPP by 30 September 2018: </w:t>
      </w:r>
      <w:r>
        <w:br/>
      </w:r>
      <w:r w:rsidRPr="005C1D29">
        <w:rPr>
          <w:b/>
        </w:rPr>
        <w:t>266,000 additional active users of financial services</w:t>
      </w:r>
      <w:r>
        <w:t xml:space="preserve"> </w:t>
      </w:r>
    </w:p>
    <w:p w:rsidR="008C17B1" w:rsidRDefault="008C17B1" w:rsidP="008C17B1">
      <w:pPr>
        <w:pStyle w:val="ListParagraph"/>
        <w:numPr>
          <w:ilvl w:val="0"/>
          <w:numId w:val="1"/>
        </w:numPr>
      </w:pPr>
      <w:r>
        <w:rPr>
          <w:rFonts w:cstheme="minorHAnsi"/>
        </w:rPr>
        <w:t>138,500 women / 127,500 men</w:t>
      </w:r>
    </w:p>
    <w:p w:rsidR="008C17B1" w:rsidRDefault="008C17B1" w:rsidP="008C17B1">
      <w:pPr>
        <w:pStyle w:val="ListParagraph"/>
        <w:numPr>
          <w:ilvl w:val="0"/>
          <w:numId w:val="1"/>
        </w:numPr>
      </w:pPr>
      <w:r>
        <w:t>181,000 users of traditional financial services</w:t>
      </w:r>
    </w:p>
    <w:p w:rsidR="008C17B1" w:rsidRPr="00EF6E60" w:rsidRDefault="008C17B1" w:rsidP="008C17B1">
      <w:pPr>
        <w:pStyle w:val="ListParagraph"/>
        <w:numPr>
          <w:ilvl w:val="0"/>
          <w:numId w:val="1"/>
        </w:numPr>
      </w:pPr>
      <w:r>
        <w:t xml:space="preserve">85,000 users of DFS. </w:t>
      </w:r>
      <w:r>
        <w:br/>
      </w:r>
      <w:r>
        <w:rPr>
          <w:i/>
        </w:rPr>
        <w:t>R</w:t>
      </w:r>
      <w:r w:rsidRPr="005C1D29">
        <w:rPr>
          <w:i/>
        </w:rPr>
        <w:t>epresents the linear trajectory as of end Q3 2018 between the two end-of-year targets mentioned above on p.3 for DFS: 11,733 for 2017 and 109,116 for 2018.</w:t>
      </w:r>
    </w:p>
    <w:p w:rsidR="007C682E" w:rsidRDefault="007C682E">
      <w:bookmarkStart w:id="0" w:name="_GoBack"/>
      <w:bookmarkEnd w:id="0"/>
    </w:p>
    <w:sectPr w:rsidR="007C682E" w:rsidSect="005C1D29">
      <w:pgSz w:w="11906" w:h="16838"/>
      <w:pgMar w:top="709" w:right="709" w:bottom="709" w:left="709" w:header="708" w:footer="4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058CB"/>
    <w:multiLevelType w:val="hybridMultilevel"/>
    <w:tmpl w:val="CFD4794E"/>
    <w:lvl w:ilvl="0" w:tplc="A91400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B1"/>
    <w:rsid w:val="003B090C"/>
    <w:rsid w:val="007C682E"/>
    <w:rsid w:val="008C17B1"/>
    <w:rsid w:val="00C6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DF37E-2D21-4A0A-A287-DF3EFEC9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17B1"/>
    <w:pPr>
      <w:spacing w:after="200" w:line="276" w:lineRule="auto"/>
    </w:pPr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7B1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bidi="th-TH"/>
    </w:rPr>
  </w:style>
  <w:style w:type="paragraph" w:styleId="ListParagraph">
    <w:name w:val="List Paragraph"/>
    <w:basedOn w:val="Normal"/>
    <w:uiPriority w:val="34"/>
    <w:qFormat/>
    <w:rsid w:val="008C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1: recomputation of MAFIPP outreach targets and results per MTE recomme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Legrand</dc:creator>
  <cp:keywords/>
  <dc:description/>
  <cp:lastModifiedBy>Christophe Legrand</cp:lastModifiedBy>
  <cp:revision>1</cp:revision>
  <dcterms:created xsi:type="dcterms:W3CDTF">2017-07-11T17:13:00Z</dcterms:created>
  <dcterms:modified xsi:type="dcterms:W3CDTF">2017-07-11T17:14:00Z</dcterms:modified>
</cp:coreProperties>
</file>