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1605" w14:textId="77777777" w:rsidR="007B3E1D" w:rsidRDefault="004400DD" w:rsidP="00BA3A5F">
      <w:pPr>
        <w:pStyle w:val="Title"/>
      </w:pPr>
      <w:bookmarkStart w:id="0" w:name="_GoBack"/>
      <w:bookmarkEnd w:id="0"/>
      <w:r>
        <w:rPr>
          <w:noProof/>
        </w:rPr>
        <w:drawing>
          <wp:anchor distT="0" distB="0" distL="114300" distR="114300" simplePos="0" relativeHeight="251657728" behindDoc="0" locked="0" layoutInCell="1" allowOverlap="1" wp14:anchorId="4BC73D5F" wp14:editId="358A33F6">
            <wp:simplePos x="0" y="0"/>
            <wp:positionH relativeFrom="page">
              <wp:posOffset>6334125</wp:posOffset>
            </wp:positionH>
            <wp:positionV relativeFrom="paragraph">
              <wp:posOffset>-440055</wp:posOffset>
            </wp:positionV>
            <wp:extent cx="890270" cy="1677035"/>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167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CA332" w14:textId="77777777" w:rsidR="007B3E1D" w:rsidRDefault="007B3E1D" w:rsidP="00BA3A5F">
      <w:pPr>
        <w:pStyle w:val="Title"/>
      </w:pPr>
    </w:p>
    <w:p w14:paraId="7E3D85C9" w14:textId="77777777" w:rsidR="00927E9F" w:rsidRDefault="00927E9F" w:rsidP="00BA3A5F">
      <w:pPr>
        <w:pStyle w:val="Title"/>
        <w:rPr>
          <w:b/>
          <w:sz w:val="46"/>
          <w:szCs w:val="46"/>
        </w:rPr>
      </w:pPr>
    </w:p>
    <w:p w14:paraId="19425AF2" w14:textId="77777777" w:rsidR="00927E9F" w:rsidRDefault="00927E9F" w:rsidP="00BA3A5F">
      <w:pPr>
        <w:pStyle w:val="Title"/>
        <w:rPr>
          <w:b/>
          <w:sz w:val="46"/>
          <w:szCs w:val="46"/>
        </w:rPr>
      </w:pPr>
    </w:p>
    <w:p w14:paraId="21A7B12F" w14:textId="77777777" w:rsidR="00927E9F" w:rsidRDefault="00927E9F" w:rsidP="00BA3A5F">
      <w:pPr>
        <w:pStyle w:val="Title"/>
        <w:rPr>
          <w:b/>
          <w:sz w:val="46"/>
          <w:szCs w:val="46"/>
        </w:rPr>
      </w:pPr>
    </w:p>
    <w:p w14:paraId="3945258D" w14:textId="77777777" w:rsidR="00927E9F" w:rsidRDefault="00927E9F" w:rsidP="00BA3A5F">
      <w:pPr>
        <w:pStyle w:val="Title"/>
        <w:rPr>
          <w:b/>
          <w:sz w:val="46"/>
          <w:szCs w:val="46"/>
        </w:rPr>
      </w:pPr>
    </w:p>
    <w:p w14:paraId="2CBE6505" w14:textId="77777777" w:rsidR="00927E9F" w:rsidRDefault="00927E9F" w:rsidP="00927E9F"/>
    <w:p w14:paraId="1F363FA5" w14:textId="77777777" w:rsidR="00927E9F" w:rsidRPr="00927E9F" w:rsidRDefault="00927E9F" w:rsidP="00927E9F"/>
    <w:p w14:paraId="7F3453B6" w14:textId="77777777" w:rsidR="00927E9F" w:rsidRPr="00927E9F" w:rsidRDefault="00927E9F" w:rsidP="00BA3A5F">
      <w:pPr>
        <w:pStyle w:val="Title"/>
        <w:rPr>
          <w:b/>
          <w:sz w:val="48"/>
          <w:szCs w:val="48"/>
        </w:rPr>
      </w:pPr>
      <w:r w:rsidRPr="00927E9F">
        <w:rPr>
          <w:b/>
          <w:sz w:val="48"/>
          <w:szCs w:val="48"/>
        </w:rPr>
        <w:t>UNDP Social and Environmental Standards</w:t>
      </w:r>
    </w:p>
    <w:p w14:paraId="157C64DB" w14:textId="77777777" w:rsidR="00B81291" w:rsidRDefault="00B81291" w:rsidP="00BA3A5F">
      <w:pPr>
        <w:pStyle w:val="Title"/>
        <w:rPr>
          <w:b/>
          <w:sz w:val="46"/>
          <w:szCs w:val="46"/>
        </w:rPr>
      </w:pPr>
    </w:p>
    <w:p w14:paraId="6035E339" w14:textId="77777777" w:rsidR="00927E9F" w:rsidRPr="00927E9F" w:rsidRDefault="00927E9F" w:rsidP="00927E9F"/>
    <w:p w14:paraId="0E5AEE5B" w14:textId="77777777" w:rsidR="006D25F5" w:rsidRDefault="006D25F5" w:rsidP="00FC3E3E">
      <w:pPr>
        <w:spacing w:before="60" w:after="120" w:line="264" w:lineRule="auto"/>
        <w:rPr>
          <w:b/>
          <w:szCs w:val="20"/>
          <w:u w:val="single"/>
        </w:rPr>
      </w:pPr>
    </w:p>
    <w:p w14:paraId="5176DB12" w14:textId="77777777" w:rsidR="007B3E1D" w:rsidRPr="004E5ACE" w:rsidRDefault="007B3E1D" w:rsidP="00BA3A5F">
      <w:pPr>
        <w:pStyle w:val="Subtitle"/>
        <w:rPr>
          <w:i w:val="0"/>
        </w:rPr>
      </w:pPr>
    </w:p>
    <w:p w14:paraId="57BF1C5A" w14:textId="77777777" w:rsidR="007B3E1D" w:rsidRDefault="007B3E1D" w:rsidP="00BA3A5F">
      <w:pPr>
        <w:pStyle w:val="Subtitle"/>
      </w:pPr>
    </w:p>
    <w:p w14:paraId="59AF883A" w14:textId="21E1AB41" w:rsidR="00DE6059" w:rsidRDefault="00E60CC0" w:rsidP="00D01B66">
      <w:pPr>
        <w:rPr>
          <w:b/>
          <w:sz w:val="28"/>
          <w:szCs w:val="28"/>
        </w:rPr>
      </w:pPr>
      <w:r>
        <w:rPr>
          <w:b/>
          <w:sz w:val="28"/>
          <w:szCs w:val="28"/>
        </w:rPr>
        <w:t xml:space="preserve">Final </w:t>
      </w:r>
      <w:r w:rsidR="00DE6059">
        <w:rPr>
          <w:b/>
          <w:sz w:val="28"/>
          <w:szCs w:val="28"/>
        </w:rPr>
        <w:t xml:space="preserve">Draft </w:t>
      </w:r>
    </w:p>
    <w:p w14:paraId="3E0A099D" w14:textId="77777777" w:rsidR="00DE6059" w:rsidRDefault="00DE6059" w:rsidP="00D01B66">
      <w:pPr>
        <w:rPr>
          <w:b/>
          <w:sz w:val="28"/>
          <w:szCs w:val="28"/>
        </w:rPr>
      </w:pPr>
    </w:p>
    <w:p w14:paraId="221F9F22" w14:textId="1692F8AB" w:rsidR="00D01B66" w:rsidRPr="004F1D4E" w:rsidRDefault="00DE6059" w:rsidP="00D01B66">
      <w:pPr>
        <w:rPr>
          <w:b/>
          <w:sz w:val="28"/>
          <w:szCs w:val="28"/>
        </w:rPr>
      </w:pPr>
      <w:r>
        <w:rPr>
          <w:b/>
          <w:sz w:val="28"/>
          <w:szCs w:val="28"/>
        </w:rPr>
        <w:t>Version</w:t>
      </w:r>
      <w:r w:rsidR="00696DE9">
        <w:rPr>
          <w:b/>
          <w:sz w:val="28"/>
          <w:szCs w:val="28"/>
        </w:rPr>
        <w:t>:</w:t>
      </w:r>
      <w:r>
        <w:rPr>
          <w:b/>
          <w:sz w:val="28"/>
          <w:szCs w:val="28"/>
        </w:rPr>
        <w:t xml:space="preserve"> </w:t>
      </w:r>
      <w:r w:rsidR="005D65BC">
        <w:rPr>
          <w:b/>
          <w:sz w:val="28"/>
          <w:szCs w:val="28"/>
        </w:rPr>
        <w:t>1</w:t>
      </w:r>
      <w:r w:rsidR="00E60CC0">
        <w:rPr>
          <w:b/>
          <w:sz w:val="28"/>
          <w:szCs w:val="28"/>
        </w:rPr>
        <w:t>8</w:t>
      </w:r>
      <w:r w:rsidR="00D84BBB">
        <w:rPr>
          <w:b/>
          <w:sz w:val="28"/>
          <w:szCs w:val="28"/>
        </w:rPr>
        <w:t xml:space="preserve"> July</w:t>
      </w:r>
      <w:r>
        <w:rPr>
          <w:b/>
          <w:sz w:val="28"/>
          <w:szCs w:val="28"/>
        </w:rPr>
        <w:t xml:space="preserve"> </w:t>
      </w:r>
      <w:r w:rsidR="004F1D4E" w:rsidRPr="004F1D4E">
        <w:rPr>
          <w:b/>
          <w:sz w:val="28"/>
          <w:szCs w:val="28"/>
        </w:rPr>
        <w:t>201</w:t>
      </w:r>
      <w:r w:rsidR="00A12FE0">
        <w:rPr>
          <w:b/>
          <w:sz w:val="28"/>
          <w:szCs w:val="28"/>
        </w:rPr>
        <w:t>9</w:t>
      </w:r>
      <w:r w:rsidR="00A92C40">
        <w:rPr>
          <w:b/>
          <w:sz w:val="28"/>
          <w:szCs w:val="28"/>
        </w:rPr>
        <w:t xml:space="preserve"> </w:t>
      </w:r>
    </w:p>
    <w:p w14:paraId="32289FB0" w14:textId="77777777" w:rsidR="00927E9F" w:rsidRDefault="00927E9F" w:rsidP="00927E9F"/>
    <w:p w14:paraId="5B82EF96" w14:textId="77777777" w:rsidR="004419DD" w:rsidRDefault="004419DD" w:rsidP="00927E9F"/>
    <w:p w14:paraId="492E46BA" w14:textId="77777777" w:rsidR="00927E9F" w:rsidRDefault="00927E9F" w:rsidP="00927E9F"/>
    <w:p w14:paraId="0F5C235E" w14:textId="77777777" w:rsidR="002D317B" w:rsidRDefault="002D317B" w:rsidP="00927E9F"/>
    <w:p w14:paraId="5CC57FCC" w14:textId="77777777" w:rsidR="00927E9F" w:rsidRDefault="00927E9F" w:rsidP="00927E9F"/>
    <w:p w14:paraId="1FC4AD39" w14:textId="77777777" w:rsidR="00FC6F4E" w:rsidRDefault="00FC6F4E" w:rsidP="00927E9F"/>
    <w:p w14:paraId="57361DB3" w14:textId="77777777" w:rsidR="00927E9F" w:rsidRDefault="00927E9F" w:rsidP="00927E9F"/>
    <w:p w14:paraId="1F362F89" w14:textId="77777777" w:rsidR="00325151" w:rsidRDefault="00325151" w:rsidP="00D065DA"/>
    <w:p w14:paraId="6F697043" w14:textId="77777777" w:rsidR="007B3E1D" w:rsidRDefault="007B3E1D" w:rsidP="00D065DA"/>
    <w:p w14:paraId="3B04A929" w14:textId="77777777" w:rsidR="009D1C40" w:rsidRDefault="009D1C40" w:rsidP="00B44882"/>
    <w:p w14:paraId="3CDA563F" w14:textId="77777777" w:rsidR="009D1C40" w:rsidRPr="00B44882" w:rsidRDefault="009D1C40" w:rsidP="00B44882"/>
    <w:p w14:paraId="1F2B8C40" w14:textId="77777777" w:rsidR="009D1C40" w:rsidRPr="00B44882" w:rsidRDefault="009D1C40" w:rsidP="00B44882"/>
    <w:p w14:paraId="64B03329" w14:textId="77777777" w:rsidR="009D1C40" w:rsidRPr="00B44882" w:rsidRDefault="009D1C40" w:rsidP="00B44882"/>
    <w:p w14:paraId="7928F0C3" w14:textId="77777777" w:rsidR="00F4467E" w:rsidRDefault="00F4467E" w:rsidP="009D1C40">
      <w:pPr>
        <w:pBdr>
          <w:top w:val="single" w:sz="4" w:space="1" w:color="auto"/>
          <w:left w:val="single" w:sz="4" w:space="4" w:color="auto"/>
          <w:bottom w:val="single" w:sz="4" w:space="1" w:color="auto"/>
          <w:right w:val="single" w:sz="4" w:space="4" w:color="auto"/>
        </w:pBdr>
        <w:jc w:val="center"/>
      </w:pPr>
      <w:r>
        <w:br w:type="page"/>
      </w:r>
    </w:p>
    <w:p w14:paraId="32A94EE5" w14:textId="77777777" w:rsidR="00F4467E" w:rsidRPr="00BB5168" w:rsidRDefault="00F4467E" w:rsidP="00CC28E4">
      <w:pPr>
        <w:rPr>
          <w:b/>
          <w:color w:val="4472C4"/>
          <w:sz w:val="32"/>
          <w:szCs w:val="32"/>
        </w:rPr>
      </w:pPr>
      <w:r w:rsidRPr="00BB5168">
        <w:rPr>
          <w:b/>
          <w:color w:val="4472C4"/>
          <w:sz w:val="32"/>
          <w:szCs w:val="32"/>
        </w:rPr>
        <w:lastRenderedPageBreak/>
        <w:t>What is New</w:t>
      </w:r>
    </w:p>
    <w:p w14:paraId="244469F4" w14:textId="77777777" w:rsidR="00CC28E4" w:rsidRPr="00261888" w:rsidRDefault="00CC28E4" w:rsidP="00261888">
      <w:pPr>
        <w:rPr>
          <w:b/>
          <w:sz w:val="32"/>
          <w:szCs w:val="32"/>
        </w:rPr>
      </w:pPr>
    </w:p>
    <w:p w14:paraId="6FA18968" w14:textId="77777777" w:rsidR="00F4467E" w:rsidRDefault="00F4467E" w:rsidP="00F4467E">
      <w:pPr>
        <w:jc w:val="both"/>
        <w:rPr>
          <w:sz w:val="23"/>
          <w:szCs w:val="23"/>
        </w:rPr>
      </w:pPr>
      <w:r w:rsidRPr="470E81CC">
        <w:rPr>
          <w:sz w:val="23"/>
          <w:szCs w:val="23"/>
        </w:rPr>
        <w:t xml:space="preserve">The proposed </w:t>
      </w:r>
      <w:r w:rsidR="00FF1A1D">
        <w:rPr>
          <w:sz w:val="23"/>
          <w:szCs w:val="23"/>
        </w:rPr>
        <w:t>update</w:t>
      </w:r>
      <w:r w:rsidRPr="470E81CC">
        <w:rPr>
          <w:sz w:val="23"/>
          <w:szCs w:val="23"/>
        </w:rPr>
        <w:t xml:space="preserve"> to the </w:t>
      </w:r>
      <w:r>
        <w:rPr>
          <w:sz w:val="23"/>
          <w:szCs w:val="23"/>
        </w:rPr>
        <w:t>SES</w:t>
      </w:r>
      <w:r w:rsidRPr="470E81CC">
        <w:rPr>
          <w:sz w:val="23"/>
          <w:szCs w:val="23"/>
        </w:rPr>
        <w:t xml:space="preserve"> focus</w:t>
      </w:r>
      <w:r w:rsidR="00FF1A1D">
        <w:rPr>
          <w:sz w:val="23"/>
          <w:szCs w:val="23"/>
        </w:rPr>
        <w:t>es</w:t>
      </w:r>
      <w:r w:rsidRPr="470E81CC">
        <w:rPr>
          <w:sz w:val="23"/>
          <w:szCs w:val="23"/>
        </w:rPr>
        <w:t xml:space="preserve"> on the following</w:t>
      </w:r>
      <w:r w:rsidR="00FF1A1D">
        <w:rPr>
          <w:sz w:val="23"/>
          <w:szCs w:val="23"/>
        </w:rPr>
        <w:t xml:space="preserve"> top-line revisions:</w:t>
      </w:r>
    </w:p>
    <w:p w14:paraId="23215DD5" w14:textId="77777777" w:rsidR="00F4710B" w:rsidRPr="007B414D" w:rsidRDefault="00F4710B" w:rsidP="00F4467E">
      <w:pPr>
        <w:jc w:val="both"/>
        <w:rPr>
          <w:sz w:val="23"/>
          <w:szCs w:val="23"/>
        </w:rPr>
      </w:pPr>
    </w:p>
    <w:p w14:paraId="52198261" w14:textId="7092EC45" w:rsidR="00937354" w:rsidRPr="00937354" w:rsidRDefault="00937354" w:rsidP="00937354">
      <w:pPr>
        <w:numPr>
          <w:ilvl w:val="0"/>
          <w:numId w:val="111"/>
        </w:numPr>
        <w:rPr>
          <w:sz w:val="23"/>
          <w:szCs w:val="23"/>
        </w:rPr>
      </w:pPr>
      <w:r w:rsidRPr="00937354">
        <w:rPr>
          <w:sz w:val="23"/>
          <w:szCs w:val="23"/>
        </w:rPr>
        <w:t>Alignment with the UN</w:t>
      </w:r>
      <w:r w:rsidR="009D1C40">
        <w:rPr>
          <w:sz w:val="23"/>
          <w:szCs w:val="23"/>
        </w:rPr>
        <w:t xml:space="preserve"> </w:t>
      </w:r>
      <w:r w:rsidR="00D23B28">
        <w:rPr>
          <w:sz w:val="23"/>
          <w:szCs w:val="23"/>
        </w:rPr>
        <w:t xml:space="preserve">Sustainable </w:t>
      </w:r>
      <w:r w:rsidR="009D1C40">
        <w:rPr>
          <w:sz w:val="23"/>
          <w:szCs w:val="23"/>
        </w:rPr>
        <w:t xml:space="preserve">Development </w:t>
      </w:r>
      <w:r w:rsidR="00D23B28">
        <w:rPr>
          <w:sz w:val="23"/>
          <w:szCs w:val="23"/>
        </w:rPr>
        <w:t xml:space="preserve">Cooperation </w:t>
      </w:r>
      <w:r w:rsidR="009D1C40">
        <w:rPr>
          <w:sz w:val="23"/>
          <w:szCs w:val="23"/>
        </w:rPr>
        <w:t>Framework</w:t>
      </w:r>
      <w:r w:rsidRPr="00937354">
        <w:rPr>
          <w:sz w:val="23"/>
          <w:szCs w:val="23"/>
        </w:rPr>
        <w:t xml:space="preserve"> country programming principles </w:t>
      </w:r>
    </w:p>
    <w:p w14:paraId="37ABA073" w14:textId="77777777" w:rsidR="00937354" w:rsidRPr="00937354" w:rsidRDefault="00FF1A1D" w:rsidP="00937354">
      <w:pPr>
        <w:numPr>
          <w:ilvl w:val="0"/>
          <w:numId w:val="111"/>
        </w:numPr>
        <w:rPr>
          <w:sz w:val="23"/>
          <w:szCs w:val="23"/>
        </w:rPr>
      </w:pPr>
      <w:r>
        <w:rPr>
          <w:sz w:val="23"/>
          <w:szCs w:val="23"/>
        </w:rPr>
        <w:t>Inclusion of p</w:t>
      </w:r>
      <w:r w:rsidR="00937354" w:rsidRPr="00937354">
        <w:rPr>
          <w:sz w:val="23"/>
          <w:szCs w:val="23"/>
        </w:rPr>
        <w:t xml:space="preserve">rovisions addressing risks of </w:t>
      </w:r>
      <w:r w:rsidR="001479D6">
        <w:rPr>
          <w:sz w:val="23"/>
          <w:szCs w:val="23"/>
        </w:rPr>
        <w:t xml:space="preserve">gender-based violence, </w:t>
      </w:r>
      <w:r w:rsidR="00937354" w:rsidRPr="00937354">
        <w:rPr>
          <w:sz w:val="23"/>
          <w:szCs w:val="23"/>
        </w:rPr>
        <w:t>sexual harassment and sexual exploitation and abuse</w:t>
      </w:r>
    </w:p>
    <w:p w14:paraId="4E37341E" w14:textId="77777777" w:rsidR="00937354" w:rsidRDefault="00FF1A1D" w:rsidP="00937354">
      <w:pPr>
        <w:numPr>
          <w:ilvl w:val="0"/>
          <w:numId w:val="111"/>
        </w:numPr>
        <w:rPr>
          <w:sz w:val="23"/>
          <w:szCs w:val="23"/>
        </w:rPr>
      </w:pPr>
      <w:r>
        <w:rPr>
          <w:sz w:val="23"/>
          <w:szCs w:val="23"/>
        </w:rPr>
        <w:t xml:space="preserve">Inclusion of </w:t>
      </w:r>
      <w:r w:rsidR="00937354" w:rsidRPr="00937354">
        <w:rPr>
          <w:sz w:val="23"/>
          <w:szCs w:val="23"/>
        </w:rPr>
        <w:t xml:space="preserve">provisions addressing </w:t>
      </w:r>
      <w:r>
        <w:rPr>
          <w:sz w:val="23"/>
          <w:szCs w:val="23"/>
        </w:rPr>
        <w:t xml:space="preserve">the </w:t>
      </w:r>
      <w:r w:rsidR="00937354" w:rsidRPr="00937354">
        <w:rPr>
          <w:sz w:val="23"/>
          <w:szCs w:val="23"/>
        </w:rPr>
        <w:t>rights of persons with disabilities</w:t>
      </w:r>
    </w:p>
    <w:p w14:paraId="36D742A8" w14:textId="77777777" w:rsidR="00A42F72" w:rsidRPr="00937354" w:rsidRDefault="00A42F72" w:rsidP="00A42F72">
      <w:pPr>
        <w:numPr>
          <w:ilvl w:val="0"/>
          <w:numId w:val="111"/>
        </w:numPr>
        <w:rPr>
          <w:sz w:val="23"/>
          <w:szCs w:val="23"/>
        </w:rPr>
      </w:pPr>
      <w:r>
        <w:rPr>
          <w:sz w:val="23"/>
          <w:szCs w:val="23"/>
        </w:rPr>
        <w:t>Inclusion of provisions to strengthen disaster risk</w:t>
      </w:r>
      <w:r w:rsidR="00D23B28">
        <w:rPr>
          <w:sz w:val="23"/>
          <w:szCs w:val="23"/>
        </w:rPr>
        <w:t xml:space="preserve"> considerations</w:t>
      </w:r>
    </w:p>
    <w:p w14:paraId="7B25061D" w14:textId="77777777" w:rsidR="00937354" w:rsidRPr="00937354" w:rsidRDefault="00FF1A1D" w:rsidP="00937354">
      <w:pPr>
        <w:numPr>
          <w:ilvl w:val="0"/>
          <w:numId w:val="111"/>
        </w:numPr>
        <w:rPr>
          <w:sz w:val="23"/>
          <w:szCs w:val="23"/>
        </w:rPr>
      </w:pPr>
      <w:r>
        <w:rPr>
          <w:sz w:val="23"/>
          <w:szCs w:val="23"/>
        </w:rPr>
        <w:t xml:space="preserve">Addition of a </w:t>
      </w:r>
      <w:r w:rsidR="00937354" w:rsidRPr="00937354">
        <w:rPr>
          <w:sz w:val="23"/>
          <w:szCs w:val="23"/>
        </w:rPr>
        <w:t xml:space="preserve">new </w:t>
      </w:r>
      <w:proofErr w:type="spellStart"/>
      <w:r w:rsidR="00937354" w:rsidRPr="00937354">
        <w:rPr>
          <w:sz w:val="23"/>
          <w:szCs w:val="23"/>
        </w:rPr>
        <w:t>Labour</w:t>
      </w:r>
      <w:proofErr w:type="spellEnd"/>
      <w:r w:rsidR="00937354" w:rsidRPr="00937354">
        <w:rPr>
          <w:sz w:val="23"/>
          <w:szCs w:val="23"/>
        </w:rPr>
        <w:t xml:space="preserve"> and Working Conditions Standard</w:t>
      </w:r>
      <w:r>
        <w:rPr>
          <w:sz w:val="23"/>
          <w:szCs w:val="23"/>
        </w:rPr>
        <w:t xml:space="preserve"> </w:t>
      </w:r>
    </w:p>
    <w:p w14:paraId="566873A1" w14:textId="4BCEF359" w:rsidR="00937354" w:rsidRDefault="00FF1A1D" w:rsidP="00937354">
      <w:pPr>
        <w:numPr>
          <w:ilvl w:val="0"/>
          <w:numId w:val="111"/>
        </w:numPr>
        <w:rPr>
          <w:sz w:val="23"/>
          <w:szCs w:val="23"/>
        </w:rPr>
      </w:pPr>
      <w:r>
        <w:rPr>
          <w:sz w:val="23"/>
          <w:szCs w:val="23"/>
        </w:rPr>
        <w:t>A</w:t>
      </w:r>
      <w:r w:rsidR="00937354" w:rsidRPr="00937354">
        <w:rPr>
          <w:sz w:val="23"/>
          <w:szCs w:val="23"/>
        </w:rPr>
        <w:t xml:space="preserve">lignment with </w:t>
      </w:r>
      <w:r w:rsidR="009D1C40">
        <w:rPr>
          <w:sz w:val="23"/>
          <w:szCs w:val="23"/>
        </w:rPr>
        <w:t>UNDP’s</w:t>
      </w:r>
      <w:r w:rsidR="00937354" w:rsidRPr="00937354">
        <w:rPr>
          <w:sz w:val="23"/>
          <w:szCs w:val="23"/>
        </w:rPr>
        <w:t xml:space="preserve"> updated </w:t>
      </w:r>
      <w:proofErr w:type="spellStart"/>
      <w:r w:rsidR="00E60CC0">
        <w:rPr>
          <w:sz w:val="23"/>
          <w:szCs w:val="23"/>
        </w:rPr>
        <w:t>programme</w:t>
      </w:r>
      <w:proofErr w:type="spellEnd"/>
      <w:r w:rsidR="009D1C40">
        <w:rPr>
          <w:sz w:val="23"/>
          <w:szCs w:val="23"/>
        </w:rPr>
        <w:t xml:space="preserve"> and </w:t>
      </w:r>
      <w:r w:rsidR="00E60CC0">
        <w:rPr>
          <w:sz w:val="23"/>
          <w:szCs w:val="23"/>
        </w:rPr>
        <w:t>project</w:t>
      </w:r>
      <w:r w:rsidR="009D1C40">
        <w:rPr>
          <w:sz w:val="23"/>
          <w:szCs w:val="23"/>
        </w:rPr>
        <w:t xml:space="preserve"> Management (PPM)</w:t>
      </w:r>
      <w:r w:rsidR="00937354" w:rsidRPr="00937354">
        <w:rPr>
          <w:sz w:val="23"/>
          <w:szCs w:val="23"/>
        </w:rPr>
        <w:t xml:space="preserve"> and E</w:t>
      </w:r>
      <w:r w:rsidR="009D1C40">
        <w:rPr>
          <w:sz w:val="23"/>
          <w:szCs w:val="23"/>
        </w:rPr>
        <w:t>nterprise Risk Management</w:t>
      </w:r>
      <w:r w:rsidR="00937354" w:rsidRPr="00937354">
        <w:rPr>
          <w:sz w:val="23"/>
          <w:szCs w:val="23"/>
        </w:rPr>
        <w:t xml:space="preserve"> </w:t>
      </w:r>
      <w:r w:rsidR="009D1C40">
        <w:rPr>
          <w:sz w:val="23"/>
          <w:szCs w:val="23"/>
        </w:rPr>
        <w:t xml:space="preserve">(ERM) </w:t>
      </w:r>
      <w:r w:rsidR="00937354" w:rsidRPr="00937354">
        <w:rPr>
          <w:sz w:val="23"/>
          <w:szCs w:val="23"/>
        </w:rPr>
        <w:t>polic</w:t>
      </w:r>
      <w:r w:rsidR="009D1C40">
        <w:rPr>
          <w:sz w:val="23"/>
          <w:szCs w:val="23"/>
        </w:rPr>
        <w:t>ies</w:t>
      </w:r>
    </w:p>
    <w:p w14:paraId="0028D350" w14:textId="5D5A791E" w:rsidR="00FF1A1D" w:rsidRPr="00937354" w:rsidRDefault="008533D0" w:rsidP="00937354">
      <w:pPr>
        <w:numPr>
          <w:ilvl w:val="0"/>
          <w:numId w:val="111"/>
        </w:numPr>
        <w:rPr>
          <w:sz w:val="23"/>
          <w:szCs w:val="23"/>
        </w:rPr>
      </w:pPr>
      <w:r>
        <w:rPr>
          <w:sz w:val="23"/>
          <w:szCs w:val="23"/>
        </w:rPr>
        <w:t xml:space="preserve">Incorporation of provisions to </w:t>
      </w:r>
      <w:r w:rsidR="009F4973">
        <w:rPr>
          <w:sz w:val="23"/>
          <w:szCs w:val="23"/>
        </w:rPr>
        <w:t>strengthen</w:t>
      </w:r>
      <w:r>
        <w:rPr>
          <w:sz w:val="23"/>
          <w:szCs w:val="23"/>
        </w:rPr>
        <w:t xml:space="preserve"> alignment </w:t>
      </w:r>
      <w:r w:rsidR="00FF1A1D">
        <w:rPr>
          <w:sz w:val="23"/>
          <w:szCs w:val="23"/>
        </w:rPr>
        <w:t>with the 2018 G</w:t>
      </w:r>
      <w:r w:rsidR="009D1C40">
        <w:rPr>
          <w:sz w:val="23"/>
          <w:szCs w:val="23"/>
        </w:rPr>
        <w:t>lobal Environment Facility (GEF)</w:t>
      </w:r>
      <w:r w:rsidR="00FF1A1D">
        <w:rPr>
          <w:sz w:val="23"/>
          <w:szCs w:val="23"/>
        </w:rPr>
        <w:t xml:space="preserve"> safeguards</w:t>
      </w:r>
      <w:r w:rsidR="00A76781">
        <w:rPr>
          <w:sz w:val="23"/>
          <w:szCs w:val="23"/>
        </w:rPr>
        <w:t xml:space="preserve"> policy</w:t>
      </w:r>
      <w:r w:rsidR="00FF1A1D">
        <w:rPr>
          <w:sz w:val="23"/>
          <w:szCs w:val="23"/>
        </w:rPr>
        <w:t>, UN Model Approach to Environmental and Social Standards, and World Bank Environmental and Social Framework</w:t>
      </w:r>
    </w:p>
    <w:p w14:paraId="393F6626" w14:textId="77777777" w:rsidR="00F4467E" w:rsidRDefault="00F4467E" w:rsidP="00F4467E"/>
    <w:p w14:paraId="503EA196" w14:textId="77777777" w:rsidR="00496E82" w:rsidRDefault="00496E82" w:rsidP="00496E82"/>
    <w:p w14:paraId="0DC9E14B" w14:textId="77777777" w:rsidR="00496E82" w:rsidRPr="00EA7945" w:rsidRDefault="00174936" w:rsidP="00496E82">
      <w:pPr>
        <w:jc w:val="both"/>
        <w:rPr>
          <w:sz w:val="23"/>
          <w:szCs w:val="23"/>
        </w:rPr>
      </w:pPr>
      <w:r>
        <w:rPr>
          <w:sz w:val="23"/>
          <w:szCs w:val="23"/>
        </w:rPr>
        <w:t>K</w:t>
      </w:r>
      <w:r w:rsidR="00496E82" w:rsidRPr="00EA7945">
        <w:rPr>
          <w:sz w:val="23"/>
          <w:szCs w:val="23"/>
        </w:rPr>
        <w:t>ey changes include:</w:t>
      </w:r>
    </w:p>
    <w:p w14:paraId="14D4C002" w14:textId="77777777" w:rsidR="00496E82" w:rsidRPr="00F4467E" w:rsidRDefault="00496E82" w:rsidP="0049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001"/>
      </w:tblGrid>
      <w:tr w:rsidR="00496E82" w:rsidRPr="00F4467E" w14:paraId="664499B0"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D9E2F3"/>
            <w:hideMark/>
          </w:tcPr>
          <w:p w14:paraId="40D6C453" w14:textId="77777777" w:rsidR="00496E82" w:rsidRPr="00AF336E" w:rsidRDefault="00496E82" w:rsidP="00B02D73">
            <w:pPr>
              <w:rPr>
                <w:b/>
                <w:bCs/>
              </w:rPr>
            </w:pPr>
            <w:r w:rsidRPr="00AF336E">
              <w:rPr>
                <w:b/>
                <w:bCs/>
              </w:rPr>
              <w:t>SES 2015</w:t>
            </w:r>
            <w:r>
              <w:rPr>
                <w:b/>
                <w:bCs/>
              </w:rPr>
              <w:t xml:space="preserve"> Sections/Issues </w:t>
            </w:r>
          </w:p>
        </w:tc>
        <w:tc>
          <w:tcPr>
            <w:tcW w:w="6315" w:type="dxa"/>
            <w:tcBorders>
              <w:top w:val="single" w:sz="4" w:space="0" w:color="auto"/>
              <w:left w:val="single" w:sz="4" w:space="0" w:color="auto"/>
              <w:bottom w:val="single" w:sz="4" w:space="0" w:color="auto"/>
              <w:right w:val="single" w:sz="4" w:space="0" w:color="auto"/>
            </w:tcBorders>
            <w:shd w:val="clear" w:color="auto" w:fill="D9E2F3"/>
            <w:hideMark/>
          </w:tcPr>
          <w:p w14:paraId="0A367574" w14:textId="77777777" w:rsidR="00496E82" w:rsidRPr="00AF336E" w:rsidRDefault="00496E82" w:rsidP="00B02D73">
            <w:pPr>
              <w:rPr>
                <w:b/>
                <w:bCs/>
              </w:rPr>
            </w:pPr>
            <w:r w:rsidRPr="00AF336E">
              <w:rPr>
                <w:b/>
                <w:bCs/>
              </w:rPr>
              <w:t>Proposed Change</w:t>
            </w:r>
          </w:p>
        </w:tc>
      </w:tr>
      <w:tr w:rsidR="00496E82" w:rsidRPr="00F4467E" w14:paraId="7EA27525"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70C8D7C4" w14:textId="77777777" w:rsidR="00496E82" w:rsidRPr="00F4467E" w:rsidRDefault="00496E82" w:rsidP="00B02D73">
            <w:r>
              <w:t>Introduction</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640A6A72" w14:textId="77777777" w:rsidR="00496E82" w:rsidRPr="00002EA5" w:rsidRDefault="00F420F0" w:rsidP="00B02D73">
            <w:pPr>
              <w:rPr>
                <w:bCs/>
                <w:iCs/>
              </w:rPr>
            </w:pPr>
            <w:r>
              <w:t>Introduction eliminated as not prescriptive</w:t>
            </w:r>
          </w:p>
        </w:tc>
      </w:tr>
      <w:tr w:rsidR="00496E82" w:rsidRPr="00F4467E" w14:paraId="47ED4428"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9751590" w14:textId="77777777" w:rsidR="00496E82" w:rsidRPr="00F4467E" w:rsidRDefault="00496E82" w:rsidP="00B02D73">
            <w:r>
              <w:t xml:space="preserve">Scope of application </w:t>
            </w:r>
          </w:p>
        </w:tc>
        <w:tc>
          <w:tcPr>
            <w:tcW w:w="6315" w:type="dxa"/>
            <w:tcBorders>
              <w:top w:val="single" w:sz="4" w:space="0" w:color="auto"/>
              <w:left w:val="single" w:sz="4" w:space="0" w:color="auto"/>
              <w:bottom w:val="single" w:sz="4" w:space="0" w:color="auto"/>
              <w:right w:val="single" w:sz="4" w:space="0" w:color="auto"/>
            </w:tcBorders>
            <w:shd w:val="clear" w:color="auto" w:fill="auto"/>
            <w:hideMark/>
          </w:tcPr>
          <w:p w14:paraId="5BC8F85F" w14:textId="77777777" w:rsidR="00496E82" w:rsidRPr="00002EA5" w:rsidRDefault="00496E82" w:rsidP="00B02D73">
            <w:r>
              <w:t xml:space="preserve">Updated PPM definition of </w:t>
            </w:r>
            <w:proofErr w:type="spellStart"/>
            <w:r>
              <w:t>programmes</w:t>
            </w:r>
            <w:proofErr w:type="spellEnd"/>
            <w:r>
              <w:t xml:space="preserve"> and projects</w:t>
            </w:r>
          </w:p>
        </w:tc>
      </w:tr>
      <w:tr w:rsidR="00496E82" w:rsidRPr="00F4467E" w14:paraId="35F29E5D"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745C7EBB" w14:textId="77777777" w:rsidR="00496E82" w:rsidRDefault="00496E82" w:rsidP="00B02D73">
            <w:r>
              <w:t>Overarching Policy/Principles</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1B76C1B9" w14:textId="751014CE" w:rsidR="00496E82" w:rsidRPr="00002EA5" w:rsidDel="00002EA5" w:rsidRDefault="00496E82" w:rsidP="00B02D73">
            <w:r>
              <w:t>Renamed “Programming Principles” and revised to align with</w:t>
            </w:r>
            <w:r w:rsidR="00F86FBC">
              <w:t xml:space="preserve"> </w:t>
            </w:r>
            <w:r w:rsidR="005D65BC">
              <w:t>UN</w:t>
            </w:r>
            <w:r w:rsidR="00AC7958">
              <w:t xml:space="preserve"> Sustainable Development Cooperation Framework</w:t>
            </w:r>
            <w:r w:rsidR="005D65BC">
              <w:t xml:space="preserve"> </w:t>
            </w:r>
            <w:r w:rsidR="00AC7958">
              <w:t xml:space="preserve">guiding </w:t>
            </w:r>
            <w:r>
              <w:t>principles</w:t>
            </w:r>
          </w:p>
        </w:tc>
      </w:tr>
      <w:tr w:rsidR="00496E82" w:rsidRPr="00F4467E" w14:paraId="1CFE1BFC"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37B22C8E" w14:textId="2E31CE59" w:rsidR="00496E82" w:rsidRDefault="00D23B28" w:rsidP="00B02D73">
            <w:r>
              <w:t>GBV, s</w:t>
            </w:r>
            <w:r w:rsidR="00496E82">
              <w:t>exual harassment</w:t>
            </w:r>
            <w:r>
              <w:t xml:space="preserve">, </w:t>
            </w:r>
            <w:r w:rsidR="00496E82">
              <w:t>sexual exploitation and abuse provisions</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49640419" w14:textId="77777777" w:rsidR="00496E82" w:rsidRPr="00002EA5" w:rsidDel="00002EA5" w:rsidRDefault="00496E82" w:rsidP="00B02D73">
            <w:r>
              <w:t>Added to Gender and Women’s Empowerment Principle</w:t>
            </w:r>
            <w:r w:rsidR="00D23B28">
              <w:t>, Community Health and Safety</w:t>
            </w:r>
            <w:r w:rsidR="005D65BC">
              <w:t xml:space="preserve">, </w:t>
            </w:r>
            <w:proofErr w:type="spellStart"/>
            <w:r w:rsidR="005D65BC">
              <w:t>Labour</w:t>
            </w:r>
            <w:proofErr w:type="spellEnd"/>
            <w:r w:rsidR="005D65BC">
              <w:t xml:space="preserve"> and Working Conditions</w:t>
            </w:r>
            <w:r>
              <w:t xml:space="preserve"> and Assessment section</w:t>
            </w:r>
            <w:r w:rsidR="00D23B28">
              <w:t>s</w:t>
            </w:r>
          </w:p>
        </w:tc>
      </w:tr>
      <w:tr w:rsidR="00496E82" w:rsidRPr="00F4467E" w14:paraId="2EAAD4F8"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5B845169" w14:textId="77777777" w:rsidR="00496E82" w:rsidRDefault="00496E82" w:rsidP="00B02D73">
            <w:r>
              <w:t>Rights of persons with disabilities</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7E341231" w14:textId="77777777" w:rsidR="00496E82" w:rsidRPr="00002EA5" w:rsidDel="00002EA5" w:rsidRDefault="00496E82" w:rsidP="00B02D73">
            <w:r>
              <w:t xml:space="preserve">Added provisions in Human Rights, Community Health and Safety, Displacement, Assessment, Stakeholder Engagement, Access to Information </w:t>
            </w:r>
            <w:r w:rsidR="00A50E47">
              <w:t>sections</w:t>
            </w:r>
          </w:p>
        </w:tc>
      </w:tr>
      <w:tr w:rsidR="00496E82" w:rsidRPr="00F4467E" w14:paraId="434F543B"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6AB8E89C" w14:textId="77777777" w:rsidR="00496E82" w:rsidRDefault="00496E82" w:rsidP="00B02D73">
            <w:r>
              <w:t xml:space="preserve">Emphasis on resilience </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52C0A38E" w14:textId="77777777" w:rsidR="00496E82" w:rsidRPr="00002EA5" w:rsidDel="00002EA5" w:rsidRDefault="00496E82" w:rsidP="00B02D73">
            <w:r>
              <w:t>Incorporated throughout Programming Principle 3</w:t>
            </w:r>
            <w:r w:rsidR="00F86FBC">
              <w:t xml:space="preserve"> and in Standard 2</w:t>
            </w:r>
            <w:r>
              <w:t xml:space="preserve"> Climate Change and Disaster Risks</w:t>
            </w:r>
          </w:p>
        </w:tc>
      </w:tr>
      <w:tr w:rsidR="00496E82" w:rsidRPr="00F4467E" w14:paraId="68F4925F"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555F2683" w14:textId="77777777" w:rsidR="00496E82" w:rsidRDefault="00496E82" w:rsidP="00B02D73">
            <w:r>
              <w:t>Disaster Risk Reduction</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3E554994" w14:textId="47C5FF81" w:rsidR="00496E82" w:rsidRPr="00002EA5" w:rsidDel="00002EA5" w:rsidRDefault="00496E82" w:rsidP="00B02D73">
            <w:r>
              <w:t xml:space="preserve">Mainstreamed across SES to reflect multi-hazard approach of Sendai </w:t>
            </w:r>
            <w:r w:rsidR="005D65BC">
              <w:t>F</w:t>
            </w:r>
            <w:r>
              <w:t xml:space="preserve">ramework, and a dedicated focus in Standard 2 </w:t>
            </w:r>
          </w:p>
        </w:tc>
      </w:tr>
      <w:tr w:rsidR="00496E82" w:rsidRPr="00F4467E" w14:paraId="1682323E"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09A03E07" w14:textId="11E7C32B" w:rsidR="00496E82" w:rsidRDefault="00496E82" w:rsidP="00B02D73">
            <w:r>
              <w:t xml:space="preserve">Biodiversity </w:t>
            </w:r>
            <w:r w:rsidR="00D23B28">
              <w:t xml:space="preserve">Conservation and </w:t>
            </w:r>
            <w:r w:rsidR="00DA6443">
              <w:t>Sustainable</w:t>
            </w:r>
            <w:r w:rsidR="00D23B28">
              <w:t xml:space="preserve"> Natural Resource </w:t>
            </w:r>
            <w:r w:rsidR="00DA6443">
              <w:t>Management</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63783B27" w14:textId="03371128" w:rsidR="00496E82" w:rsidRPr="00002EA5" w:rsidDel="00002EA5" w:rsidRDefault="00496E82" w:rsidP="00B02D73">
            <w:r>
              <w:t xml:space="preserve">Include risks of incidental take, illegal trade in </w:t>
            </w:r>
            <w:r w:rsidR="002053A1">
              <w:t xml:space="preserve">protected </w:t>
            </w:r>
            <w:r>
              <w:t>species; revised mitigation measures for Natural Habitats, increased emphasis on management of risks to ecosystem services, added provisions on soil management</w:t>
            </w:r>
            <w:r w:rsidR="00D23B28">
              <w:t xml:space="preserve">, </w:t>
            </w:r>
            <w:r w:rsidR="007A0B63">
              <w:t xml:space="preserve">animal welfare and </w:t>
            </w:r>
            <w:r w:rsidR="00D23B28">
              <w:t>antibiotic use in agriculture/livestock management,</w:t>
            </w:r>
            <w:r>
              <w:t xml:space="preserve"> and sustainable procurement (primary suppliers) </w:t>
            </w:r>
          </w:p>
        </w:tc>
      </w:tr>
      <w:tr w:rsidR="00496E82" w:rsidRPr="00F4467E" w14:paraId="33B77F47"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1BCE3DA8" w14:textId="7299D869" w:rsidR="00496E82" w:rsidRDefault="00496E82" w:rsidP="00B02D73">
            <w:r>
              <w:t xml:space="preserve">Climate Change and Disaster Risk </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5220144C" w14:textId="77777777" w:rsidR="00496E82" w:rsidRPr="00002EA5" w:rsidDel="00002EA5" w:rsidRDefault="00496E82" w:rsidP="00B02D73">
            <w:r>
              <w:t>Strengthened provisions on disaster risks, strengthened section on risk analysis, rephrased GHG estimation language</w:t>
            </w:r>
          </w:p>
        </w:tc>
      </w:tr>
      <w:tr w:rsidR="00496E82" w:rsidRPr="00F4467E" w14:paraId="6C0884F7"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219A8E34" w14:textId="77777777" w:rsidR="00496E82" w:rsidRDefault="00496E82" w:rsidP="00B02D73">
            <w:r>
              <w:t>Community Health Safety and Security</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414E1856" w14:textId="1147ECF7" w:rsidR="00496E82" w:rsidRPr="00002EA5" w:rsidDel="00002EA5" w:rsidRDefault="00496E82" w:rsidP="00B02D73">
            <w:r>
              <w:t xml:space="preserve">Broadened range of potential risks and impacts, strengthened focus on health and safety assessments, broader coverage of </w:t>
            </w:r>
            <w:r w:rsidR="00A50E47">
              <w:t xml:space="preserve">health risk </w:t>
            </w:r>
            <w:r>
              <w:t>exposure, revis</w:t>
            </w:r>
            <w:r w:rsidR="00A50E47">
              <w:t xml:space="preserve">ions </w:t>
            </w:r>
            <w:r>
              <w:t xml:space="preserve">and additions </w:t>
            </w:r>
            <w:r w:rsidR="00A50E47">
              <w:t xml:space="preserve">on </w:t>
            </w:r>
            <w:r>
              <w:t xml:space="preserve">infrastructure safety, hazardous materials, </w:t>
            </w:r>
            <w:r w:rsidR="00D23B28">
              <w:t>antimicro</w:t>
            </w:r>
            <w:r w:rsidR="00CA0E39">
              <w:t xml:space="preserve">bial stewardship, </w:t>
            </w:r>
            <w:r>
              <w:t>influx of project worker risks, impacts on ecosystem services, risk of reprisals</w:t>
            </w:r>
          </w:p>
        </w:tc>
      </w:tr>
      <w:tr w:rsidR="00496E82" w:rsidRPr="00F4467E" w14:paraId="455717BD"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1DE1DCE3" w14:textId="77777777" w:rsidR="00496E82" w:rsidRDefault="00496E82" w:rsidP="00B02D73">
            <w:r>
              <w:lastRenderedPageBreak/>
              <w:t>Cultural Heritage</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7CE3AC54" w14:textId="77777777" w:rsidR="00496E82" w:rsidRPr="00002EA5" w:rsidDel="00002EA5" w:rsidRDefault="00496E82" w:rsidP="00B02D73">
            <w:r>
              <w:t>Strengthened community participation provisions, confidentiality and restricted access, strengthened provisions of use of CH, and added provisions on additional measures for various types of CH</w:t>
            </w:r>
          </w:p>
        </w:tc>
      </w:tr>
      <w:tr w:rsidR="00496E82" w:rsidRPr="00F4467E" w14:paraId="7EAE2A8F"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39368600" w14:textId="77777777" w:rsidR="00496E82" w:rsidRDefault="00496E82" w:rsidP="00B02D73">
            <w:r>
              <w:t>Displacement and Resettlement</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7BBF8DC1" w14:textId="0F5A8B30" w:rsidR="00496E82" w:rsidRPr="00002EA5" w:rsidDel="00002EA5" w:rsidRDefault="00496E82" w:rsidP="00B02D73">
            <w:r>
              <w:t xml:space="preserve">Added </w:t>
            </w:r>
            <w:r w:rsidR="007E78D6">
              <w:t xml:space="preserve">emphasis </w:t>
            </w:r>
            <w:r>
              <w:t xml:space="preserve">on </w:t>
            </w:r>
            <w:r w:rsidR="007E78D6">
              <w:t xml:space="preserve">ensuring that </w:t>
            </w:r>
            <w:r w:rsidR="00A50E47">
              <w:t xml:space="preserve">any </w:t>
            </w:r>
            <w:r w:rsidR="007E78D6">
              <w:t>resettlement activities provide</w:t>
            </w:r>
            <w:r>
              <w:t xml:space="preserve"> sufficient resources that </w:t>
            </w:r>
            <w:r w:rsidR="00A50E47">
              <w:t xml:space="preserve">seek </w:t>
            </w:r>
            <w:r>
              <w:t>to improve livelihoods</w:t>
            </w:r>
            <w:r w:rsidR="00A50E47">
              <w:t>. Also</w:t>
            </w:r>
            <w:r>
              <w:t xml:space="preserve"> added exceptions where Standard does not apply, strengthened assessment provisions, strengthened monitoring and completion provisions</w:t>
            </w:r>
          </w:p>
        </w:tc>
      </w:tr>
      <w:tr w:rsidR="00496E82" w:rsidRPr="00F4467E" w14:paraId="3FA57636"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7AA39D1E" w14:textId="77777777" w:rsidR="00496E82" w:rsidRDefault="00496E82" w:rsidP="00B02D73">
            <w:r>
              <w:t>Indigenous Peoples</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71CF7AC3" w14:textId="77777777" w:rsidR="00496E82" w:rsidRPr="00002EA5" w:rsidDel="00002EA5" w:rsidRDefault="00496E82" w:rsidP="00B02D73">
            <w:r>
              <w:t>Strengthened provisions on engagement processes, assessment, appropriate benefits, I</w:t>
            </w:r>
            <w:r w:rsidR="008533D0">
              <w:t>ndigenous Peoples Plan</w:t>
            </w:r>
          </w:p>
        </w:tc>
      </w:tr>
      <w:tr w:rsidR="00496E82" w:rsidRPr="00F4467E" w14:paraId="6081DC56"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49B4DAB2" w14:textId="77777777" w:rsidR="00496E82" w:rsidRDefault="00496E82" w:rsidP="00B02D73">
            <w:proofErr w:type="spellStart"/>
            <w:r>
              <w:t>Labour</w:t>
            </w:r>
            <w:proofErr w:type="spellEnd"/>
            <w:r>
              <w:t xml:space="preserve"> and Working Conditions</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3A36B9C7" w14:textId="00767F81" w:rsidR="00496E82" w:rsidRPr="00002EA5" w:rsidDel="00002EA5" w:rsidRDefault="00496E82" w:rsidP="00B02D73">
            <w:r>
              <w:t xml:space="preserve">New Standard (drafted </w:t>
            </w:r>
            <w:r w:rsidR="00A50E47">
              <w:t>in collaboration with</w:t>
            </w:r>
            <w:r>
              <w:t xml:space="preserve"> ILO</w:t>
            </w:r>
            <w:r w:rsidR="006B6504">
              <w:t>)</w:t>
            </w:r>
          </w:p>
        </w:tc>
      </w:tr>
      <w:tr w:rsidR="00496E82" w:rsidRPr="00F4467E" w14:paraId="048B245E"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70EEAF4C" w14:textId="77777777" w:rsidR="00496E82" w:rsidRDefault="00496E82" w:rsidP="00B02D73">
            <w:r>
              <w:t>Pollution Prevention and Resource Efficiency</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0FC7F192" w14:textId="77777777" w:rsidR="00496E82" w:rsidRPr="00002EA5" w:rsidDel="00002EA5" w:rsidRDefault="00496E82" w:rsidP="00B02D73">
            <w:r>
              <w:t>Various strengthening throughout, updated provisions on pesticides management</w:t>
            </w:r>
          </w:p>
        </w:tc>
      </w:tr>
      <w:tr w:rsidR="00496E82" w:rsidRPr="00F4467E" w14:paraId="6C33EAE2"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68FED1B5" w14:textId="77777777" w:rsidR="00496E82" w:rsidRDefault="00496E82" w:rsidP="00B02D73">
            <w:r>
              <w:t>Policy Delivery Process:</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12C0095D" w14:textId="77777777" w:rsidR="00496E82" w:rsidRPr="00002EA5" w:rsidDel="00002EA5" w:rsidRDefault="00496E82" w:rsidP="00B02D73">
            <w:r>
              <w:t>Renamed “Social and Environmental Management System Requirements”</w:t>
            </w:r>
          </w:p>
        </w:tc>
      </w:tr>
      <w:tr w:rsidR="00496E82" w:rsidRPr="00F4467E" w14:paraId="074FF3E1"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1EC6BF7D" w14:textId="77777777" w:rsidR="00496E82" w:rsidRDefault="00496E82" w:rsidP="00B02D73">
            <w:pPr>
              <w:numPr>
                <w:ilvl w:val="0"/>
                <w:numId w:val="112"/>
              </w:numPr>
              <w:ind w:left="360"/>
            </w:pPr>
            <w:r>
              <w:t xml:space="preserve">Screening and Categorization </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49ACDABA" w14:textId="59166C6B" w:rsidR="00496E82" w:rsidRPr="00002EA5" w:rsidDel="00002EA5" w:rsidRDefault="00496E82" w:rsidP="00B02D73">
            <w:r>
              <w:t xml:space="preserve">Alignment of </w:t>
            </w:r>
            <w:proofErr w:type="spellStart"/>
            <w:r w:rsidR="00E60CC0">
              <w:t>programme</w:t>
            </w:r>
            <w:proofErr w:type="spellEnd"/>
            <w:r>
              <w:t xml:space="preserve"> risk screening with Quality Assurance Framework</w:t>
            </w:r>
            <w:r w:rsidR="00A90935">
              <w:t xml:space="preserve"> and revised ERM Policy</w:t>
            </w:r>
            <w:r>
              <w:t xml:space="preserve">, </w:t>
            </w:r>
            <w:r w:rsidR="00A90935">
              <w:t>including addition of Substantial Risk category</w:t>
            </w:r>
          </w:p>
        </w:tc>
      </w:tr>
      <w:tr w:rsidR="00496E82" w:rsidRPr="00F4467E" w14:paraId="52E14390"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214BBE34" w14:textId="77777777" w:rsidR="00496E82" w:rsidRDefault="00496E82" w:rsidP="00B02D73">
            <w:pPr>
              <w:numPr>
                <w:ilvl w:val="0"/>
                <w:numId w:val="112"/>
              </w:numPr>
              <w:ind w:left="360"/>
            </w:pPr>
            <w:r>
              <w:t>Assessment and Management</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71CCA4F5" w14:textId="13DD193B" w:rsidR="00496E82" w:rsidRDefault="00496E82" w:rsidP="00B02D73">
            <w:r>
              <w:t xml:space="preserve">Reframed </w:t>
            </w:r>
            <w:r w:rsidR="00D23B28">
              <w:t xml:space="preserve">assessment </w:t>
            </w:r>
            <w:r>
              <w:t>criteria to apply to all assessments, expanded range of potential risks, added provisions re gender</w:t>
            </w:r>
            <w:r w:rsidR="00E70C15">
              <w:t>-based violence</w:t>
            </w:r>
            <w:r>
              <w:t xml:space="preserve">, persons with disabilities, </w:t>
            </w:r>
            <w:r w:rsidR="00CF7612">
              <w:t>risk of reprisals,</w:t>
            </w:r>
            <w:r w:rsidR="00E70C15">
              <w:t xml:space="preserve"> </w:t>
            </w:r>
            <w:r>
              <w:t>and contractors and primary suppliers</w:t>
            </w:r>
          </w:p>
        </w:tc>
      </w:tr>
      <w:tr w:rsidR="00496E82" w:rsidRPr="00F4467E" w14:paraId="0DE290D9"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26E9CF32" w14:textId="77777777" w:rsidR="00496E82" w:rsidRDefault="00496E82" w:rsidP="00B02D73">
            <w:pPr>
              <w:numPr>
                <w:ilvl w:val="0"/>
                <w:numId w:val="112"/>
              </w:numPr>
              <w:ind w:left="360"/>
            </w:pPr>
            <w:r>
              <w:t>Stakeholder Engagement and Response Mechanisms</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72BE6982" w14:textId="77777777" w:rsidR="00496E82" w:rsidRDefault="00496E82" w:rsidP="00B02D73">
            <w:r>
              <w:t xml:space="preserve">Added provision on risk of reprisals </w:t>
            </w:r>
          </w:p>
        </w:tc>
      </w:tr>
      <w:tr w:rsidR="00496E82" w:rsidRPr="00F4467E" w14:paraId="4BDF8D77"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47DB889B" w14:textId="77777777" w:rsidR="00496E82" w:rsidRDefault="00496E82" w:rsidP="00B02D73">
            <w:pPr>
              <w:numPr>
                <w:ilvl w:val="0"/>
                <w:numId w:val="112"/>
              </w:numPr>
              <w:ind w:left="360"/>
            </w:pPr>
            <w:r>
              <w:t>Access to Information</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4C148FDA" w14:textId="77777777" w:rsidR="00496E82" w:rsidRDefault="00496E82" w:rsidP="00B02D73">
            <w:r>
              <w:t xml:space="preserve">Added provision on making public record of consultations available </w:t>
            </w:r>
          </w:p>
        </w:tc>
      </w:tr>
      <w:tr w:rsidR="00496E82" w:rsidRPr="00F4467E" w14:paraId="71FE35C4" w14:textId="77777777" w:rsidTr="00B02D73">
        <w:tc>
          <w:tcPr>
            <w:tcW w:w="2695" w:type="dxa"/>
            <w:tcBorders>
              <w:top w:val="single" w:sz="4" w:space="0" w:color="auto"/>
              <w:left w:val="single" w:sz="4" w:space="0" w:color="auto"/>
              <w:bottom w:val="single" w:sz="4" w:space="0" w:color="auto"/>
              <w:right w:val="single" w:sz="4" w:space="0" w:color="auto"/>
            </w:tcBorders>
            <w:shd w:val="clear" w:color="auto" w:fill="auto"/>
          </w:tcPr>
          <w:p w14:paraId="5A42DDF4" w14:textId="77777777" w:rsidR="00496E82" w:rsidRDefault="00496E82" w:rsidP="00B02D73">
            <w:pPr>
              <w:numPr>
                <w:ilvl w:val="0"/>
                <w:numId w:val="112"/>
              </w:numPr>
              <w:ind w:left="360"/>
            </w:pPr>
            <w:r>
              <w:t>Monitoring, Reporting and Compliance</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5249BDAB" w14:textId="77777777" w:rsidR="00496E82" w:rsidRDefault="00496E82" w:rsidP="00B02D73">
            <w:r>
              <w:t>Added provisions on third party monitoring and on corrective actions</w:t>
            </w:r>
          </w:p>
        </w:tc>
      </w:tr>
    </w:tbl>
    <w:p w14:paraId="40618894" w14:textId="77777777" w:rsidR="00496E82" w:rsidRPr="00F4467E" w:rsidRDefault="00496E82" w:rsidP="00496E82"/>
    <w:p w14:paraId="78C170A7" w14:textId="77777777" w:rsidR="00DD1401" w:rsidRDefault="00DD1401" w:rsidP="00360148">
      <w:pPr>
        <w:spacing w:before="60" w:after="120" w:line="264" w:lineRule="auto"/>
        <w:rPr>
          <w:b/>
          <w:szCs w:val="20"/>
        </w:rPr>
      </w:pPr>
    </w:p>
    <w:p w14:paraId="300B9D2C" w14:textId="77777777" w:rsidR="00D040D1" w:rsidRDefault="00D040D1" w:rsidP="0016267E">
      <w:pPr>
        <w:pStyle w:val="BodyText"/>
        <w:sectPr w:rsidR="00D040D1" w:rsidSect="003D6C28">
          <w:headerReference w:type="default" r:id="rId12"/>
          <w:pgSz w:w="12240" w:h="15840"/>
          <w:pgMar w:top="1440" w:right="1800" w:bottom="1440" w:left="1800" w:header="720" w:footer="720" w:gutter="0"/>
          <w:cols w:space="720"/>
        </w:sectPr>
      </w:pPr>
    </w:p>
    <w:p w14:paraId="4899670B" w14:textId="77777777" w:rsidR="00FC15A8" w:rsidRDefault="00FC15A8" w:rsidP="00BA3A5F">
      <w:pPr>
        <w:pStyle w:val="BodyText"/>
      </w:pPr>
    </w:p>
    <w:p w14:paraId="4012E477" w14:textId="77777777" w:rsidR="0084444F" w:rsidRDefault="0084444F" w:rsidP="00CA3551">
      <w:pPr>
        <w:pStyle w:val="TOCHeading"/>
      </w:pPr>
      <w:r>
        <w:t>Table of Contents</w:t>
      </w:r>
    </w:p>
    <w:p w14:paraId="7A4FAD23" w14:textId="3645349C" w:rsidR="00440AF3" w:rsidRDefault="00402D14">
      <w:pPr>
        <w:pStyle w:val="TOC1"/>
        <w:rPr>
          <w:rFonts w:asciiTheme="minorHAnsi" w:eastAsiaTheme="minorEastAsia" w:hAnsiTheme="minorHAnsi" w:cstheme="minorBidi"/>
          <w:b w:val="0"/>
          <w:noProof/>
          <w:color w:val="auto"/>
          <w:sz w:val="22"/>
          <w:szCs w:val="22"/>
          <w:lang w:eastAsia="en-US"/>
        </w:rPr>
      </w:pPr>
      <w:r>
        <w:fldChar w:fldCharType="begin"/>
      </w:r>
      <w:r w:rsidR="0084444F">
        <w:instrText xml:space="preserve"> TOC \o "1-3" \h \z \u </w:instrText>
      </w:r>
      <w:r>
        <w:fldChar w:fldCharType="separate"/>
      </w:r>
      <w:hyperlink w:anchor="_Toc14683690" w:history="1">
        <w:r w:rsidR="00440AF3" w:rsidRPr="00633E7D">
          <w:rPr>
            <w:rStyle w:val="Hyperlink"/>
            <w:noProof/>
          </w:rPr>
          <w:t>Acronyms</w:t>
        </w:r>
        <w:r w:rsidR="00440AF3">
          <w:rPr>
            <w:noProof/>
            <w:webHidden/>
          </w:rPr>
          <w:tab/>
        </w:r>
        <w:r w:rsidR="00440AF3">
          <w:rPr>
            <w:noProof/>
            <w:webHidden/>
          </w:rPr>
          <w:fldChar w:fldCharType="begin"/>
        </w:r>
        <w:r w:rsidR="00440AF3">
          <w:rPr>
            <w:noProof/>
            <w:webHidden/>
          </w:rPr>
          <w:instrText xml:space="preserve"> PAGEREF _Toc14683690 \h </w:instrText>
        </w:r>
        <w:r w:rsidR="00440AF3">
          <w:rPr>
            <w:noProof/>
            <w:webHidden/>
          </w:rPr>
        </w:r>
        <w:r w:rsidR="00440AF3">
          <w:rPr>
            <w:noProof/>
            <w:webHidden/>
          </w:rPr>
          <w:fldChar w:fldCharType="separate"/>
        </w:r>
        <w:r w:rsidR="00440AF3">
          <w:rPr>
            <w:noProof/>
            <w:webHidden/>
          </w:rPr>
          <w:t>2</w:t>
        </w:r>
        <w:r w:rsidR="00440AF3">
          <w:rPr>
            <w:noProof/>
            <w:webHidden/>
          </w:rPr>
          <w:fldChar w:fldCharType="end"/>
        </w:r>
      </w:hyperlink>
    </w:p>
    <w:p w14:paraId="5DB223E7" w14:textId="2B40DAF7" w:rsidR="00440AF3" w:rsidRDefault="004A5A3D">
      <w:pPr>
        <w:pStyle w:val="TOC1"/>
        <w:rPr>
          <w:rFonts w:asciiTheme="minorHAnsi" w:eastAsiaTheme="minorEastAsia" w:hAnsiTheme="minorHAnsi" w:cstheme="minorBidi"/>
          <w:b w:val="0"/>
          <w:noProof/>
          <w:color w:val="auto"/>
          <w:sz w:val="22"/>
          <w:szCs w:val="22"/>
          <w:lang w:eastAsia="en-US"/>
        </w:rPr>
      </w:pPr>
      <w:hyperlink w:anchor="_Toc14683691" w:history="1">
        <w:r w:rsidR="00440AF3" w:rsidRPr="00633E7D">
          <w:rPr>
            <w:rStyle w:val="Hyperlink"/>
            <w:noProof/>
          </w:rPr>
          <w:t>Policy Objectives and Scope of Application</w:t>
        </w:r>
        <w:r w:rsidR="00440AF3">
          <w:rPr>
            <w:noProof/>
            <w:webHidden/>
          </w:rPr>
          <w:tab/>
        </w:r>
        <w:r w:rsidR="00440AF3">
          <w:rPr>
            <w:noProof/>
            <w:webHidden/>
          </w:rPr>
          <w:fldChar w:fldCharType="begin"/>
        </w:r>
        <w:r w:rsidR="00440AF3">
          <w:rPr>
            <w:noProof/>
            <w:webHidden/>
          </w:rPr>
          <w:instrText xml:space="preserve"> PAGEREF _Toc14683691 \h </w:instrText>
        </w:r>
        <w:r w:rsidR="00440AF3">
          <w:rPr>
            <w:noProof/>
            <w:webHidden/>
          </w:rPr>
        </w:r>
        <w:r w:rsidR="00440AF3">
          <w:rPr>
            <w:noProof/>
            <w:webHidden/>
          </w:rPr>
          <w:fldChar w:fldCharType="separate"/>
        </w:r>
        <w:r w:rsidR="00440AF3">
          <w:rPr>
            <w:noProof/>
            <w:webHidden/>
          </w:rPr>
          <w:t>3</w:t>
        </w:r>
        <w:r w:rsidR="00440AF3">
          <w:rPr>
            <w:noProof/>
            <w:webHidden/>
          </w:rPr>
          <w:fldChar w:fldCharType="end"/>
        </w:r>
      </w:hyperlink>
    </w:p>
    <w:p w14:paraId="16184F6E" w14:textId="1E97FBCA" w:rsidR="00440AF3" w:rsidRDefault="004A5A3D">
      <w:pPr>
        <w:pStyle w:val="TOC1"/>
        <w:rPr>
          <w:rFonts w:asciiTheme="minorHAnsi" w:eastAsiaTheme="minorEastAsia" w:hAnsiTheme="minorHAnsi" w:cstheme="minorBidi"/>
          <w:b w:val="0"/>
          <w:noProof/>
          <w:color w:val="auto"/>
          <w:sz w:val="22"/>
          <w:szCs w:val="22"/>
          <w:lang w:eastAsia="en-US"/>
        </w:rPr>
      </w:pPr>
      <w:hyperlink w:anchor="_Toc14683692" w:history="1">
        <w:r w:rsidR="00440AF3" w:rsidRPr="00633E7D">
          <w:rPr>
            <w:rStyle w:val="Hyperlink"/>
            <w:noProof/>
          </w:rPr>
          <w:t>PART A: Programming Principles</w:t>
        </w:r>
        <w:r w:rsidR="00440AF3">
          <w:rPr>
            <w:noProof/>
            <w:webHidden/>
          </w:rPr>
          <w:tab/>
        </w:r>
        <w:r w:rsidR="00440AF3">
          <w:rPr>
            <w:noProof/>
            <w:webHidden/>
          </w:rPr>
          <w:fldChar w:fldCharType="begin"/>
        </w:r>
        <w:r w:rsidR="00440AF3">
          <w:rPr>
            <w:noProof/>
            <w:webHidden/>
          </w:rPr>
          <w:instrText xml:space="preserve"> PAGEREF _Toc14683692 \h </w:instrText>
        </w:r>
        <w:r w:rsidR="00440AF3">
          <w:rPr>
            <w:noProof/>
            <w:webHidden/>
          </w:rPr>
        </w:r>
        <w:r w:rsidR="00440AF3">
          <w:rPr>
            <w:noProof/>
            <w:webHidden/>
          </w:rPr>
          <w:fldChar w:fldCharType="separate"/>
        </w:r>
        <w:r w:rsidR="00440AF3">
          <w:rPr>
            <w:noProof/>
            <w:webHidden/>
          </w:rPr>
          <w:t>5</w:t>
        </w:r>
        <w:r w:rsidR="00440AF3">
          <w:rPr>
            <w:noProof/>
            <w:webHidden/>
          </w:rPr>
          <w:fldChar w:fldCharType="end"/>
        </w:r>
      </w:hyperlink>
    </w:p>
    <w:p w14:paraId="3DABE1C3" w14:textId="3FDFB28F" w:rsidR="00440AF3" w:rsidRDefault="004A5A3D">
      <w:pPr>
        <w:pStyle w:val="TOC2"/>
        <w:tabs>
          <w:tab w:val="right" w:leader="dot" w:pos="8630"/>
        </w:tabs>
        <w:rPr>
          <w:rFonts w:asciiTheme="minorHAnsi" w:eastAsiaTheme="minorEastAsia" w:hAnsiTheme="minorHAnsi" w:cstheme="minorBidi"/>
          <w:noProof/>
          <w:lang w:eastAsia="en-US"/>
        </w:rPr>
      </w:pPr>
      <w:hyperlink w:anchor="_Toc14683693" w:history="1">
        <w:r w:rsidR="00440AF3" w:rsidRPr="00633E7D">
          <w:rPr>
            <w:rStyle w:val="Hyperlink"/>
            <w:noProof/>
          </w:rPr>
          <w:t>Leave No One Behind</w:t>
        </w:r>
        <w:r w:rsidR="00440AF3">
          <w:rPr>
            <w:noProof/>
            <w:webHidden/>
          </w:rPr>
          <w:tab/>
        </w:r>
        <w:r w:rsidR="00440AF3">
          <w:rPr>
            <w:noProof/>
            <w:webHidden/>
          </w:rPr>
          <w:fldChar w:fldCharType="begin"/>
        </w:r>
        <w:r w:rsidR="00440AF3">
          <w:rPr>
            <w:noProof/>
            <w:webHidden/>
          </w:rPr>
          <w:instrText xml:space="preserve"> PAGEREF _Toc14683693 \h </w:instrText>
        </w:r>
        <w:r w:rsidR="00440AF3">
          <w:rPr>
            <w:noProof/>
            <w:webHidden/>
          </w:rPr>
        </w:r>
        <w:r w:rsidR="00440AF3">
          <w:rPr>
            <w:noProof/>
            <w:webHidden/>
          </w:rPr>
          <w:fldChar w:fldCharType="separate"/>
        </w:r>
        <w:r w:rsidR="00440AF3">
          <w:rPr>
            <w:noProof/>
            <w:webHidden/>
          </w:rPr>
          <w:t>6</w:t>
        </w:r>
        <w:r w:rsidR="00440AF3">
          <w:rPr>
            <w:noProof/>
            <w:webHidden/>
          </w:rPr>
          <w:fldChar w:fldCharType="end"/>
        </w:r>
      </w:hyperlink>
    </w:p>
    <w:p w14:paraId="0600D587" w14:textId="2EDFA51E" w:rsidR="00440AF3" w:rsidRDefault="004A5A3D">
      <w:pPr>
        <w:pStyle w:val="TOC2"/>
        <w:tabs>
          <w:tab w:val="right" w:leader="dot" w:pos="8630"/>
        </w:tabs>
        <w:rPr>
          <w:rFonts w:asciiTheme="minorHAnsi" w:eastAsiaTheme="minorEastAsia" w:hAnsiTheme="minorHAnsi" w:cstheme="minorBidi"/>
          <w:noProof/>
          <w:lang w:eastAsia="en-US"/>
        </w:rPr>
      </w:pPr>
      <w:hyperlink w:anchor="_Toc14683694" w:history="1">
        <w:r w:rsidR="00440AF3" w:rsidRPr="00633E7D">
          <w:rPr>
            <w:rStyle w:val="Hyperlink"/>
            <w:noProof/>
          </w:rPr>
          <w:t>Human Rights</w:t>
        </w:r>
        <w:r w:rsidR="00440AF3">
          <w:rPr>
            <w:noProof/>
            <w:webHidden/>
          </w:rPr>
          <w:tab/>
        </w:r>
        <w:r w:rsidR="00440AF3">
          <w:rPr>
            <w:noProof/>
            <w:webHidden/>
          </w:rPr>
          <w:fldChar w:fldCharType="begin"/>
        </w:r>
        <w:r w:rsidR="00440AF3">
          <w:rPr>
            <w:noProof/>
            <w:webHidden/>
          </w:rPr>
          <w:instrText xml:space="preserve"> PAGEREF _Toc14683694 \h </w:instrText>
        </w:r>
        <w:r w:rsidR="00440AF3">
          <w:rPr>
            <w:noProof/>
            <w:webHidden/>
          </w:rPr>
        </w:r>
        <w:r w:rsidR="00440AF3">
          <w:rPr>
            <w:noProof/>
            <w:webHidden/>
          </w:rPr>
          <w:fldChar w:fldCharType="separate"/>
        </w:r>
        <w:r w:rsidR="00440AF3">
          <w:rPr>
            <w:noProof/>
            <w:webHidden/>
          </w:rPr>
          <w:t>6</w:t>
        </w:r>
        <w:r w:rsidR="00440AF3">
          <w:rPr>
            <w:noProof/>
            <w:webHidden/>
          </w:rPr>
          <w:fldChar w:fldCharType="end"/>
        </w:r>
      </w:hyperlink>
    </w:p>
    <w:p w14:paraId="690C4DCB" w14:textId="064FC858" w:rsidR="00440AF3" w:rsidRDefault="004A5A3D">
      <w:pPr>
        <w:pStyle w:val="TOC2"/>
        <w:tabs>
          <w:tab w:val="right" w:leader="dot" w:pos="8630"/>
        </w:tabs>
        <w:rPr>
          <w:rFonts w:asciiTheme="minorHAnsi" w:eastAsiaTheme="minorEastAsia" w:hAnsiTheme="minorHAnsi" w:cstheme="minorBidi"/>
          <w:noProof/>
          <w:lang w:eastAsia="en-US"/>
        </w:rPr>
      </w:pPr>
      <w:hyperlink w:anchor="_Toc14683695" w:history="1">
        <w:r w:rsidR="00440AF3" w:rsidRPr="00633E7D">
          <w:rPr>
            <w:rStyle w:val="Hyperlink"/>
            <w:noProof/>
          </w:rPr>
          <w:t>Gender Equality and Women’s Empowerment</w:t>
        </w:r>
        <w:r w:rsidR="00440AF3">
          <w:rPr>
            <w:noProof/>
            <w:webHidden/>
          </w:rPr>
          <w:tab/>
        </w:r>
        <w:r w:rsidR="00440AF3">
          <w:rPr>
            <w:noProof/>
            <w:webHidden/>
          </w:rPr>
          <w:fldChar w:fldCharType="begin"/>
        </w:r>
        <w:r w:rsidR="00440AF3">
          <w:rPr>
            <w:noProof/>
            <w:webHidden/>
          </w:rPr>
          <w:instrText xml:space="preserve"> PAGEREF _Toc14683695 \h </w:instrText>
        </w:r>
        <w:r w:rsidR="00440AF3">
          <w:rPr>
            <w:noProof/>
            <w:webHidden/>
          </w:rPr>
        </w:r>
        <w:r w:rsidR="00440AF3">
          <w:rPr>
            <w:noProof/>
            <w:webHidden/>
          </w:rPr>
          <w:fldChar w:fldCharType="separate"/>
        </w:r>
        <w:r w:rsidR="00440AF3">
          <w:rPr>
            <w:noProof/>
            <w:webHidden/>
          </w:rPr>
          <w:t>7</w:t>
        </w:r>
        <w:r w:rsidR="00440AF3">
          <w:rPr>
            <w:noProof/>
            <w:webHidden/>
          </w:rPr>
          <w:fldChar w:fldCharType="end"/>
        </w:r>
      </w:hyperlink>
    </w:p>
    <w:p w14:paraId="181155F7" w14:textId="0E9E4692" w:rsidR="00440AF3" w:rsidRDefault="004A5A3D">
      <w:pPr>
        <w:pStyle w:val="TOC2"/>
        <w:tabs>
          <w:tab w:val="right" w:leader="dot" w:pos="8630"/>
        </w:tabs>
        <w:rPr>
          <w:rFonts w:asciiTheme="minorHAnsi" w:eastAsiaTheme="minorEastAsia" w:hAnsiTheme="minorHAnsi" w:cstheme="minorBidi"/>
          <w:noProof/>
          <w:lang w:eastAsia="en-US"/>
        </w:rPr>
      </w:pPr>
      <w:hyperlink w:anchor="_Toc14683696" w:history="1">
        <w:r w:rsidR="00440AF3" w:rsidRPr="00633E7D">
          <w:rPr>
            <w:rStyle w:val="Hyperlink"/>
            <w:noProof/>
          </w:rPr>
          <w:t>Sustainability and Resilience</w:t>
        </w:r>
        <w:r w:rsidR="00440AF3">
          <w:rPr>
            <w:noProof/>
            <w:webHidden/>
          </w:rPr>
          <w:tab/>
        </w:r>
        <w:r w:rsidR="00440AF3">
          <w:rPr>
            <w:noProof/>
            <w:webHidden/>
          </w:rPr>
          <w:fldChar w:fldCharType="begin"/>
        </w:r>
        <w:r w:rsidR="00440AF3">
          <w:rPr>
            <w:noProof/>
            <w:webHidden/>
          </w:rPr>
          <w:instrText xml:space="preserve"> PAGEREF _Toc14683696 \h </w:instrText>
        </w:r>
        <w:r w:rsidR="00440AF3">
          <w:rPr>
            <w:noProof/>
            <w:webHidden/>
          </w:rPr>
        </w:r>
        <w:r w:rsidR="00440AF3">
          <w:rPr>
            <w:noProof/>
            <w:webHidden/>
          </w:rPr>
          <w:fldChar w:fldCharType="separate"/>
        </w:r>
        <w:r w:rsidR="00440AF3">
          <w:rPr>
            <w:noProof/>
            <w:webHidden/>
          </w:rPr>
          <w:t>8</w:t>
        </w:r>
        <w:r w:rsidR="00440AF3">
          <w:rPr>
            <w:noProof/>
            <w:webHidden/>
          </w:rPr>
          <w:fldChar w:fldCharType="end"/>
        </w:r>
      </w:hyperlink>
    </w:p>
    <w:p w14:paraId="6C1BA9D0" w14:textId="1B7CDA6D" w:rsidR="00440AF3" w:rsidRDefault="004A5A3D">
      <w:pPr>
        <w:pStyle w:val="TOC2"/>
        <w:tabs>
          <w:tab w:val="right" w:leader="dot" w:pos="8630"/>
        </w:tabs>
        <w:rPr>
          <w:rFonts w:asciiTheme="minorHAnsi" w:eastAsiaTheme="minorEastAsia" w:hAnsiTheme="minorHAnsi" w:cstheme="minorBidi"/>
          <w:noProof/>
          <w:lang w:eastAsia="en-US"/>
        </w:rPr>
      </w:pPr>
      <w:hyperlink w:anchor="_Toc14683697" w:history="1">
        <w:r w:rsidR="00440AF3" w:rsidRPr="00633E7D">
          <w:rPr>
            <w:rStyle w:val="Hyperlink"/>
            <w:noProof/>
          </w:rPr>
          <w:t>Accountability</w:t>
        </w:r>
        <w:r w:rsidR="00440AF3">
          <w:rPr>
            <w:noProof/>
            <w:webHidden/>
          </w:rPr>
          <w:tab/>
        </w:r>
        <w:r w:rsidR="00440AF3">
          <w:rPr>
            <w:noProof/>
            <w:webHidden/>
          </w:rPr>
          <w:fldChar w:fldCharType="begin"/>
        </w:r>
        <w:r w:rsidR="00440AF3">
          <w:rPr>
            <w:noProof/>
            <w:webHidden/>
          </w:rPr>
          <w:instrText xml:space="preserve"> PAGEREF _Toc14683697 \h </w:instrText>
        </w:r>
        <w:r w:rsidR="00440AF3">
          <w:rPr>
            <w:noProof/>
            <w:webHidden/>
          </w:rPr>
        </w:r>
        <w:r w:rsidR="00440AF3">
          <w:rPr>
            <w:noProof/>
            <w:webHidden/>
          </w:rPr>
          <w:fldChar w:fldCharType="separate"/>
        </w:r>
        <w:r w:rsidR="00440AF3">
          <w:rPr>
            <w:noProof/>
            <w:webHidden/>
          </w:rPr>
          <w:t>9</w:t>
        </w:r>
        <w:r w:rsidR="00440AF3">
          <w:rPr>
            <w:noProof/>
            <w:webHidden/>
          </w:rPr>
          <w:fldChar w:fldCharType="end"/>
        </w:r>
      </w:hyperlink>
    </w:p>
    <w:p w14:paraId="7C4E7C88" w14:textId="6CA64F5A" w:rsidR="00440AF3" w:rsidRDefault="004A5A3D">
      <w:pPr>
        <w:pStyle w:val="TOC1"/>
        <w:rPr>
          <w:rFonts w:asciiTheme="minorHAnsi" w:eastAsiaTheme="minorEastAsia" w:hAnsiTheme="minorHAnsi" w:cstheme="minorBidi"/>
          <w:b w:val="0"/>
          <w:noProof/>
          <w:color w:val="auto"/>
          <w:sz w:val="22"/>
          <w:szCs w:val="22"/>
          <w:lang w:eastAsia="en-US"/>
        </w:rPr>
      </w:pPr>
      <w:hyperlink w:anchor="_Toc14683698" w:history="1">
        <w:r w:rsidR="00440AF3" w:rsidRPr="00633E7D">
          <w:rPr>
            <w:rStyle w:val="Hyperlink"/>
            <w:noProof/>
          </w:rPr>
          <w:t>PART B: Project-Level Standards</w:t>
        </w:r>
        <w:r w:rsidR="00440AF3">
          <w:rPr>
            <w:noProof/>
            <w:webHidden/>
          </w:rPr>
          <w:tab/>
        </w:r>
        <w:r w:rsidR="00440AF3">
          <w:rPr>
            <w:noProof/>
            <w:webHidden/>
          </w:rPr>
          <w:fldChar w:fldCharType="begin"/>
        </w:r>
        <w:r w:rsidR="00440AF3">
          <w:rPr>
            <w:noProof/>
            <w:webHidden/>
          </w:rPr>
          <w:instrText xml:space="preserve"> PAGEREF _Toc14683698 \h </w:instrText>
        </w:r>
        <w:r w:rsidR="00440AF3">
          <w:rPr>
            <w:noProof/>
            <w:webHidden/>
          </w:rPr>
        </w:r>
        <w:r w:rsidR="00440AF3">
          <w:rPr>
            <w:noProof/>
            <w:webHidden/>
          </w:rPr>
          <w:fldChar w:fldCharType="separate"/>
        </w:r>
        <w:r w:rsidR="00440AF3">
          <w:rPr>
            <w:noProof/>
            <w:webHidden/>
          </w:rPr>
          <w:t>11</w:t>
        </w:r>
        <w:r w:rsidR="00440AF3">
          <w:rPr>
            <w:noProof/>
            <w:webHidden/>
          </w:rPr>
          <w:fldChar w:fldCharType="end"/>
        </w:r>
      </w:hyperlink>
    </w:p>
    <w:p w14:paraId="6A0C63DE" w14:textId="3464A563" w:rsidR="00440AF3" w:rsidRDefault="004A5A3D">
      <w:pPr>
        <w:pStyle w:val="TOC2"/>
        <w:tabs>
          <w:tab w:val="right" w:leader="dot" w:pos="8630"/>
        </w:tabs>
        <w:rPr>
          <w:rFonts w:asciiTheme="minorHAnsi" w:eastAsiaTheme="minorEastAsia" w:hAnsiTheme="minorHAnsi" w:cstheme="minorBidi"/>
          <w:noProof/>
          <w:lang w:eastAsia="en-US"/>
        </w:rPr>
      </w:pPr>
      <w:hyperlink w:anchor="_Toc14683699" w:history="1">
        <w:r w:rsidR="00440AF3" w:rsidRPr="00633E7D">
          <w:rPr>
            <w:rStyle w:val="Hyperlink"/>
            <w:noProof/>
          </w:rPr>
          <w:t>Standard 1: Biodiversity Conservation and Sustainable Natural Resource Management</w:t>
        </w:r>
        <w:r w:rsidR="00440AF3">
          <w:rPr>
            <w:noProof/>
            <w:webHidden/>
          </w:rPr>
          <w:tab/>
        </w:r>
        <w:r w:rsidR="00440AF3">
          <w:rPr>
            <w:noProof/>
            <w:webHidden/>
          </w:rPr>
          <w:fldChar w:fldCharType="begin"/>
        </w:r>
        <w:r w:rsidR="00440AF3">
          <w:rPr>
            <w:noProof/>
            <w:webHidden/>
          </w:rPr>
          <w:instrText xml:space="preserve"> PAGEREF _Toc14683699 \h </w:instrText>
        </w:r>
        <w:r w:rsidR="00440AF3">
          <w:rPr>
            <w:noProof/>
            <w:webHidden/>
          </w:rPr>
        </w:r>
        <w:r w:rsidR="00440AF3">
          <w:rPr>
            <w:noProof/>
            <w:webHidden/>
          </w:rPr>
          <w:fldChar w:fldCharType="separate"/>
        </w:r>
        <w:r w:rsidR="00440AF3">
          <w:rPr>
            <w:noProof/>
            <w:webHidden/>
          </w:rPr>
          <w:t>12</w:t>
        </w:r>
        <w:r w:rsidR="00440AF3">
          <w:rPr>
            <w:noProof/>
            <w:webHidden/>
          </w:rPr>
          <w:fldChar w:fldCharType="end"/>
        </w:r>
      </w:hyperlink>
    </w:p>
    <w:p w14:paraId="78601C3A" w14:textId="0B5E849A" w:rsidR="00440AF3" w:rsidRDefault="004A5A3D">
      <w:pPr>
        <w:pStyle w:val="TOC2"/>
        <w:tabs>
          <w:tab w:val="right" w:leader="dot" w:pos="8630"/>
        </w:tabs>
        <w:rPr>
          <w:rFonts w:asciiTheme="minorHAnsi" w:eastAsiaTheme="minorEastAsia" w:hAnsiTheme="minorHAnsi" w:cstheme="minorBidi"/>
          <w:noProof/>
          <w:lang w:eastAsia="en-US"/>
        </w:rPr>
      </w:pPr>
      <w:hyperlink w:anchor="_Toc14683700" w:history="1">
        <w:r w:rsidR="00440AF3" w:rsidRPr="00633E7D">
          <w:rPr>
            <w:rStyle w:val="Hyperlink"/>
            <w:noProof/>
          </w:rPr>
          <w:t>Standard 2: Climate Change and Disaster Risks</w:t>
        </w:r>
        <w:r w:rsidR="00440AF3">
          <w:rPr>
            <w:noProof/>
            <w:webHidden/>
          </w:rPr>
          <w:tab/>
        </w:r>
        <w:r w:rsidR="00440AF3">
          <w:rPr>
            <w:noProof/>
            <w:webHidden/>
          </w:rPr>
          <w:fldChar w:fldCharType="begin"/>
        </w:r>
        <w:r w:rsidR="00440AF3">
          <w:rPr>
            <w:noProof/>
            <w:webHidden/>
          </w:rPr>
          <w:instrText xml:space="preserve"> PAGEREF _Toc14683700 \h </w:instrText>
        </w:r>
        <w:r w:rsidR="00440AF3">
          <w:rPr>
            <w:noProof/>
            <w:webHidden/>
          </w:rPr>
        </w:r>
        <w:r w:rsidR="00440AF3">
          <w:rPr>
            <w:noProof/>
            <w:webHidden/>
          </w:rPr>
          <w:fldChar w:fldCharType="separate"/>
        </w:r>
        <w:r w:rsidR="00440AF3">
          <w:rPr>
            <w:noProof/>
            <w:webHidden/>
          </w:rPr>
          <w:t>19</w:t>
        </w:r>
        <w:r w:rsidR="00440AF3">
          <w:rPr>
            <w:noProof/>
            <w:webHidden/>
          </w:rPr>
          <w:fldChar w:fldCharType="end"/>
        </w:r>
      </w:hyperlink>
    </w:p>
    <w:p w14:paraId="1A27E272" w14:textId="503E5036" w:rsidR="00440AF3" w:rsidRDefault="004A5A3D">
      <w:pPr>
        <w:pStyle w:val="TOC2"/>
        <w:tabs>
          <w:tab w:val="right" w:leader="dot" w:pos="8630"/>
        </w:tabs>
        <w:rPr>
          <w:rFonts w:asciiTheme="minorHAnsi" w:eastAsiaTheme="minorEastAsia" w:hAnsiTheme="minorHAnsi" w:cstheme="minorBidi"/>
          <w:noProof/>
          <w:lang w:eastAsia="en-US"/>
        </w:rPr>
      </w:pPr>
      <w:hyperlink w:anchor="_Toc14683701" w:history="1">
        <w:r w:rsidR="00440AF3" w:rsidRPr="00633E7D">
          <w:rPr>
            <w:rStyle w:val="Hyperlink"/>
            <w:noProof/>
          </w:rPr>
          <w:t>Standard 3: Community Health, Safety and Security</w:t>
        </w:r>
        <w:r w:rsidR="00440AF3">
          <w:rPr>
            <w:noProof/>
            <w:webHidden/>
          </w:rPr>
          <w:tab/>
        </w:r>
        <w:r w:rsidR="00440AF3">
          <w:rPr>
            <w:noProof/>
            <w:webHidden/>
          </w:rPr>
          <w:fldChar w:fldCharType="begin"/>
        </w:r>
        <w:r w:rsidR="00440AF3">
          <w:rPr>
            <w:noProof/>
            <w:webHidden/>
          </w:rPr>
          <w:instrText xml:space="preserve"> PAGEREF _Toc14683701 \h </w:instrText>
        </w:r>
        <w:r w:rsidR="00440AF3">
          <w:rPr>
            <w:noProof/>
            <w:webHidden/>
          </w:rPr>
        </w:r>
        <w:r w:rsidR="00440AF3">
          <w:rPr>
            <w:noProof/>
            <w:webHidden/>
          </w:rPr>
          <w:fldChar w:fldCharType="separate"/>
        </w:r>
        <w:r w:rsidR="00440AF3">
          <w:rPr>
            <w:noProof/>
            <w:webHidden/>
          </w:rPr>
          <w:t>23</w:t>
        </w:r>
        <w:r w:rsidR="00440AF3">
          <w:rPr>
            <w:noProof/>
            <w:webHidden/>
          </w:rPr>
          <w:fldChar w:fldCharType="end"/>
        </w:r>
      </w:hyperlink>
    </w:p>
    <w:p w14:paraId="0726EF2F" w14:textId="33C54EF8" w:rsidR="00440AF3" w:rsidRDefault="004A5A3D">
      <w:pPr>
        <w:pStyle w:val="TOC2"/>
        <w:tabs>
          <w:tab w:val="right" w:leader="dot" w:pos="8630"/>
        </w:tabs>
        <w:rPr>
          <w:rFonts w:asciiTheme="minorHAnsi" w:eastAsiaTheme="minorEastAsia" w:hAnsiTheme="minorHAnsi" w:cstheme="minorBidi"/>
          <w:noProof/>
          <w:lang w:eastAsia="en-US"/>
        </w:rPr>
      </w:pPr>
      <w:hyperlink w:anchor="_Toc14683702" w:history="1">
        <w:r w:rsidR="00440AF3" w:rsidRPr="00633E7D">
          <w:rPr>
            <w:rStyle w:val="Hyperlink"/>
            <w:noProof/>
          </w:rPr>
          <w:t>Standard 4: Cultural Heritage</w:t>
        </w:r>
        <w:r w:rsidR="00440AF3">
          <w:rPr>
            <w:noProof/>
            <w:webHidden/>
          </w:rPr>
          <w:tab/>
        </w:r>
        <w:r w:rsidR="00440AF3">
          <w:rPr>
            <w:noProof/>
            <w:webHidden/>
          </w:rPr>
          <w:fldChar w:fldCharType="begin"/>
        </w:r>
        <w:r w:rsidR="00440AF3">
          <w:rPr>
            <w:noProof/>
            <w:webHidden/>
          </w:rPr>
          <w:instrText xml:space="preserve"> PAGEREF _Toc14683702 \h </w:instrText>
        </w:r>
        <w:r w:rsidR="00440AF3">
          <w:rPr>
            <w:noProof/>
            <w:webHidden/>
          </w:rPr>
        </w:r>
        <w:r w:rsidR="00440AF3">
          <w:rPr>
            <w:noProof/>
            <w:webHidden/>
          </w:rPr>
          <w:fldChar w:fldCharType="separate"/>
        </w:r>
        <w:r w:rsidR="00440AF3">
          <w:rPr>
            <w:noProof/>
            <w:webHidden/>
          </w:rPr>
          <w:t>28</w:t>
        </w:r>
        <w:r w:rsidR="00440AF3">
          <w:rPr>
            <w:noProof/>
            <w:webHidden/>
          </w:rPr>
          <w:fldChar w:fldCharType="end"/>
        </w:r>
      </w:hyperlink>
    </w:p>
    <w:p w14:paraId="7BB2814A" w14:textId="45D1B278" w:rsidR="00440AF3" w:rsidRDefault="004A5A3D">
      <w:pPr>
        <w:pStyle w:val="TOC2"/>
        <w:tabs>
          <w:tab w:val="right" w:leader="dot" w:pos="8630"/>
        </w:tabs>
        <w:rPr>
          <w:rFonts w:asciiTheme="minorHAnsi" w:eastAsiaTheme="minorEastAsia" w:hAnsiTheme="minorHAnsi" w:cstheme="minorBidi"/>
          <w:noProof/>
          <w:lang w:eastAsia="en-US"/>
        </w:rPr>
      </w:pPr>
      <w:hyperlink w:anchor="_Toc14683703" w:history="1">
        <w:r w:rsidR="00440AF3" w:rsidRPr="00633E7D">
          <w:rPr>
            <w:rStyle w:val="Hyperlink"/>
            <w:noProof/>
          </w:rPr>
          <w:t>Standard 5: Displacement and Resettlement</w:t>
        </w:r>
        <w:r w:rsidR="00440AF3">
          <w:rPr>
            <w:noProof/>
            <w:webHidden/>
          </w:rPr>
          <w:tab/>
        </w:r>
        <w:r w:rsidR="00440AF3">
          <w:rPr>
            <w:noProof/>
            <w:webHidden/>
          </w:rPr>
          <w:fldChar w:fldCharType="begin"/>
        </w:r>
        <w:r w:rsidR="00440AF3">
          <w:rPr>
            <w:noProof/>
            <w:webHidden/>
          </w:rPr>
          <w:instrText xml:space="preserve"> PAGEREF _Toc14683703 \h </w:instrText>
        </w:r>
        <w:r w:rsidR="00440AF3">
          <w:rPr>
            <w:noProof/>
            <w:webHidden/>
          </w:rPr>
        </w:r>
        <w:r w:rsidR="00440AF3">
          <w:rPr>
            <w:noProof/>
            <w:webHidden/>
          </w:rPr>
          <w:fldChar w:fldCharType="separate"/>
        </w:r>
        <w:r w:rsidR="00440AF3">
          <w:rPr>
            <w:noProof/>
            <w:webHidden/>
          </w:rPr>
          <w:t>33</w:t>
        </w:r>
        <w:r w:rsidR="00440AF3">
          <w:rPr>
            <w:noProof/>
            <w:webHidden/>
          </w:rPr>
          <w:fldChar w:fldCharType="end"/>
        </w:r>
      </w:hyperlink>
    </w:p>
    <w:p w14:paraId="0A16DBF6" w14:textId="4F9816E1" w:rsidR="00440AF3" w:rsidRDefault="004A5A3D">
      <w:pPr>
        <w:pStyle w:val="TOC2"/>
        <w:tabs>
          <w:tab w:val="right" w:leader="dot" w:pos="8630"/>
        </w:tabs>
        <w:rPr>
          <w:rFonts w:asciiTheme="minorHAnsi" w:eastAsiaTheme="minorEastAsia" w:hAnsiTheme="minorHAnsi" w:cstheme="minorBidi"/>
          <w:noProof/>
          <w:lang w:eastAsia="en-US"/>
        </w:rPr>
      </w:pPr>
      <w:hyperlink w:anchor="_Toc14683704" w:history="1">
        <w:r w:rsidR="00440AF3" w:rsidRPr="00633E7D">
          <w:rPr>
            <w:rStyle w:val="Hyperlink"/>
            <w:noProof/>
          </w:rPr>
          <w:t>Standard 6: Indigenous Peoples</w:t>
        </w:r>
        <w:r w:rsidR="00440AF3">
          <w:rPr>
            <w:noProof/>
            <w:webHidden/>
          </w:rPr>
          <w:tab/>
        </w:r>
        <w:r w:rsidR="00440AF3">
          <w:rPr>
            <w:noProof/>
            <w:webHidden/>
          </w:rPr>
          <w:fldChar w:fldCharType="begin"/>
        </w:r>
        <w:r w:rsidR="00440AF3">
          <w:rPr>
            <w:noProof/>
            <w:webHidden/>
          </w:rPr>
          <w:instrText xml:space="preserve"> PAGEREF _Toc14683704 \h </w:instrText>
        </w:r>
        <w:r w:rsidR="00440AF3">
          <w:rPr>
            <w:noProof/>
            <w:webHidden/>
          </w:rPr>
        </w:r>
        <w:r w:rsidR="00440AF3">
          <w:rPr>
            <w:noProof/>
            <w:webHidden/>
          </w:rPr>
          <w:fldChar w:fldCharType="separate"/>
        </w:r>
        <w:r w:rsidR="00440AF3">
          <w:rPr>
            <w:noProof/>
            <w:webHidden/>
          </w:rPr>
          <w:t>39</w:t>
        </w:r>
        <w:r w:rsidR="00440AF3">
          <w:rPr>
            <w:noProof/>
            <w:webHidden/>
          </w:rPr>
          <w:fldChar w:fldCharType="end"/>
        </w:r>
      </w:hyperlink>
    </w:p>
    <w:p w14:paraId="2A012B62" w14:textId="039A1703" w:rsidR="00440AF3" w:rsidRDefault="004A5A3D">
      <w:pPr>
        <w:pStyle w:val="TOC2"/>
        <w:tabs>
          <w:tab w:val="right" w:leader="dot" w:pos="8630"/>
        </w:tabs>
        <w:rPr>
          <w:rFonts w:asciiTheme="minorHAnsi" w:eastAsiaTheme="minorEastAsia" w:hAnsiTheme="minorHAnsi" w:cstheme="minorBidi"/>
          <w:noProof/>
          <w:lang w:eastAsia="en-US"/>
        </w:rPr>
      </w:pPr>
      <w:hyperlink w:anchor="_Toc14683705" w:history="1">
        <w:r w:rsidR="00440AF3" w:rsidRPr="00633E7D">
          <w:rPr>
            <w:rStyle w:val="Hyperlink"/>
            <w:noProof/>
          </w:rPr>
          <w:t>Standard 7: Labour and Working Conditions</w:t>
        </w:r>
        <w:r w:rsidR="00440AF3">
          <w:rPr>
            <w:noProof/>
            <w:webHidden/>
          </w:rPr>
          <w:tab/>
        </w:r>
        <w:r w:rsidR="00440AF3">
          <w:rPr>
            <w:noProof/>
            <w:webHidden/>
          </w:rPr>
          <w:fldChar w:fldCharType="begin"/>
        </w:r>
        <w:r w:rsidR="00440AF3">
          <w:rPr>
            <w:noProof/>
            <w:webHidden/>
          </w:rPr>
          <w:instrText xml:space="preserve"> PAGEREF _Toc14683705 \h </w:instrText>
        </w:r>
        <w:r w:rsidR="00440AF3">
          <w:rPr>
            <w:noProof/>
            <w:webHidden/>
          </w:rPr>
        </w:r>
        <w:r w:rsidR="00440AF3">
          <w:rPr>
            <w:noProof/>
            <w:webHidden/>
          </w:rPr>
          <w:fldChar w:fldCharType="separate"/>
        </w:r>
        <w:r w:rsidR="00440AF3">
          <w:rPr>
            <w:noProof/>
            <w:webHidden/>
          </w:rPr>
          <w:t>45</w:t>
        </w:r>
        <w:r w:rsidR="00440AF3">
          <w:rPr>
            <w:noProof/>
            <w:webHidden/>
          </w:rPr>
          <w:fldChar w:fldCharType="end"/>
        </w:r>
      </w:hyperlink>
    </w:p>
    <w:p w14:paraId="09EA1F3A" w14:textId="1B0A758D" w:rsidR="00440AF3" w:rsidRDefault="004A5A3D">
      <w:pPr>
        <w:pStyle w:val="TOC2"/>
        <w:tabs>
          <w:tab w:val="right" w:leader="dot" w:pos="8630"/>
        </w:tabs>
        <w:rPr>
          <w:rFonts w:asciiTheme="minorHAnsi" w:eastAsiaTheme="minorEastAsia" w:hAnsiTheme="minorHAnsi" w:cstheme="minorBidi"/>
          <w:noProof/>
          <w:lang w:eastAsia="en-US"/>
        </w:rPr>
      </w:pPr>
      <w:hyperlink w:anchor="_Toc14683706" w:history="1">
        <w:r w:rsidR="00440AF3" w:rsidRPr="00633E7D">
          <w:rPr>
            <w:rStyle w:val="Hyperlink"/>
            <w:noProof/>
          </w:rPr>
          <w:t>Standard 8: Pollution Prevention and Resource Efficiency</w:t>
        </w:r>
        <w:r w:rsidR="00440AF3">
          <w:rPr>
            <w:noProof/>
            <w:webHidden/>
          </w:rPr>
          <w:tab/>
        </w:r>
        <w:r w:rsidR="00440AF3">
          <w:rPr>
            <w:noProof/>
            <w:webHidden/>
          </w:rPr>
          <w:fldChar w:fldCharType="begin"/>
        </w:r>
        <w:r w:rsidR="00440AF3">
          <w:rPr>
            <w:noProof/>
            <w:webHidden/>
          </w:rPr>
          <w:instrText xml:space="preserve"> PAGEREF _Toc14683706 \h </w:instrText>
        </w:r>
        <w:r w:rsidR="00440AF3">
          <w:rPr>
            <w:noProof/>
            <w:webHidden/>
          </w:rPr>
        </w:r>
        <w:r w:rsidR="00440AF3">
          <w:rPr>
            <w:noProof/>
            <w:webHidden/>
          </w:rPr>
          <w:fldChar w:fldCharType="separate"/>
        </w:r>
        <w:r w:rsidR="00440AF3">
          <w:rPr>
            <w:noProof/>
            <w:webHidden/>
          </w:rPr>
          <w:t>52</w:t>
        </w:r>
        <w:r w:rsidR="00440AF3">
          <w:rPr>
            <w:noProof/>
            <w:webHidden/>
          </w:rPr>
          <w:fldChar w:fldCharType="end"/>
        </w:r>
      </w:hyperlink>
    </w:p>
    <w:p w14:paraId="75BCB8A0" w14:textId="38486434" w:rsidR="00440AF3" w:rsidRDefault="004A5A3D">
      <w:pPr>
        <w:pStyle w:val="TOC1"/>
        <w:rPr>
          <w:rFonts w:asciiTheme="minorHAnsi" w:eastAsiaTheme="minorEastAsia" w:hAnsiTheme="minorHAnsi" w:cstheme="minorBidi"/>
          <w:b w:val="0"/>
          <w:noProof/>
          <w:color w:val="auto"/>
          <w:sz w:val="22"/>
          <w:szCs w:val="22"/>
          <w:lang w:eastAsia="en-US"/>
        </w:rPr>
      </w:pPr>
      <w:hyperlink w:anchor="_Toc14683707" w:history="1">
        <w:r w:rsidR="00440AF3" w:rsidRPr="00633E7D">
          <w:rPr>
            <w:rStyle w:val="Hyperlink"/>
            <w:noProof/>
          </w:rPr>
          <w:t>PART C: Social and Environmental Management System Requirements</w:t>
        </w:r>
        <w:r w:rsidR="00440AF3">
          <w:rPr>
            <w:noProof/>
            <w:webHidden/>
          </w:rPr>
          <w:tab/>
        </w:r>
        <w:r w:rsidR="00440AF3">
          <w:rPr>
            <w:noProof/>
            <w:webHidden/>
          </w:rPr>
          <w:fldChar w:fldCharType="begin"/>
        </w:r>
        <w:r w:rsidR="00440AF3">
          <w:rPr>
            <w:noProof/>
            <w:webHidden/>
          </w:rPr>
          <w:instrText xml:space="preserve"> PAGEREF _Toc14683707 \h </w:instrText>
        </w:r>
        <w:r w:rsidR="00440AF3">
          <w:rPr>
            <w:noProof/>
            <w:webHidden/>
          </w:rPr>
        </w:r>
        <w:r w:rsidR="00440AF3">
          <w:rPr>
            <w:noProof/>
            <w:webHidden/>
          </w:rPr>
          <w:fldChar w:fldCharType="separate"/>
        </w:r>
        <w:r w:rsidR="00440AF3">
          <w:rPr>
            <w:noProof/>
            <w:webHidden/>
          </w:rPr>
          <w:t>57</w:t>
        </w:r>
        <w:r w:rsidR="00440AF3">
          <w:rPr>
            <w:noProof/>
            <w:webHidden/>
          </w:rPr>
          <w:fldChar w:fldCharType="end"/>
        </w:r>
      </w:hyperlink>
    </w:p>
    <w:p w14:paraId="6403DA0B" w14:textId="1144B0CF" w:rsidR="00440AF3" w:rsidRDefault="004A5A3D">
      <w:pPr>
        <w:pStyle w:val="TOC2"/>
        <w:tabs>
          <w:tab w:val="right" w:leader="dot" w:pos="8630"/>
        </w:tabs>
        <w:rPr>
          <w:rFonts w:asciiTheme="minorHAnsi" w:eastAsiaTheme="minorEastAsia" w:hAnsiTheme="minorHAnsi" w:cstheme="minorBidi"/>
          <w:noProof/>
          <w:lang w:eastAsia="en-US"/>
        </w:rPr>
      </w:pPr>
      <w:hyperlink w:anchor="_Toc14683708" w:history="1">
        <w:r w:rsidR="00440AF3" w:rsidRPr="00633E7D">
          <w:rPr>
            <w:rStyle w:val="Hyperlink"/>
            <w:noProof/>
          </w:rPr>
          <w:t>Programming Quality Assurance and Risk Management</w:t>
        </w:r>
        <w:r w:rsidR="00440AF3">
          <w:rPr>
            <w:noProof/>
            <w:webHidden/>
          </w:rPr>
          <w:tab/>
        </w:r>
        <w:r w:rsidR="00440AF3">
          <w:rPr>
            <w:noProof/>
            <w:webHidden/>
          </w:rPr>
          <w:fldChar w:fldCharType="begin"/>
        </w:r>
        <w:r w:rsidR="00440AF3">
          <w:rPr>
            <w:noProof/>
            <w:webHidden/>
          </w:rPr>
          <w:instrText xml:space="preserve"> PAGEREF _Toc14683708 \h </w:instrText>
        </w:r>
        <w:r w:rsidR="00440AF3">
          <w:rPr>
            <w:noProof/>
            <w:webHidden/>
          </w:rPr>
        </w:r>
        <w:r w:rsidR="00440AF3">
          <w:rPr>
            <w:noProof/>
            <w:webHidden/>
          </w:rPr>
          <w:fldChar w:fldCharType="separate"/>
        </w:r>
        <w:r w:rsidR="00440AF3">
          <w:rPr>
            <w:noProof/>
            <w:webHidden/>
          </w:rPr>
          <w:t>57</w:t>
        </w:r>
        <w:r w:rsidR="00440AF3">
          <w:rPr>
            <w:noProof/>
            <w:webHidden/>
          </w:rPr>
          <w:fldChar w:fldCharType="end"/>
        </w:r>
      </w:hyperlink>
    </w:p>
    <w:p w14:paraId="02D0C505" w14:textId="6509C0F8" w:rsidR="00440AF3" w:rsidRDefault="004A5A3D">
      <w:pPr>
        <w:pStyle w:val="TOC2"/>
        <w:tabs>
          <w:tab w:val="right" w:leader="dot" w:pos="8630"/>
        </w:tabs>
        <w:rPr>
          <w:rFonts w:asciiTheme="minorHAnsi" w:eastAsiaTheme="minorEastAsia" w:hAnsiTheme="minorHAnsi" w:cstheme="minorBidi"/>
          <w:noProof/>
          <w:lang w:eastAsia="en-US"/>
        </w:rPr>
      </w:pPr>
      <w:hyperlink w:anchor="_Toc14683709" w:history="1">
        <w:r w:rsidR="00440AF3" w:rsidRPr="00633E7D">
          <w:rPr>
            <w:rStyle w:val="Hyperlink"/>
            <w:noProof/>
          </w:rPr>
          <w:t>Project-Level Screening, Assessment and Management of Social and Environmental Risks and Impacts</w:t>
        </w:r>
        <w:r w:rsidR="00440AF3">
          <w:rPr>
            <w:noProof/>
            <w:webHidden/>
          </w:rPr>
          <w:tab/>
        </w:r>
        <w:r w:rsidR="00440AF3">
          <w:rPr>
            <w:noProof/>
            <w:webHidden/>
          </w:rPr>
          <w:fldChar w:fldCharType="begin"/>
        </w:r>
        <w:r w:rsidR="00440AF3">
          <w:rPr>
            <w:noProof/>
            <w:webHidden/>
          </w:rPr>
          <w:instrText xml:space="preserve"> PAGEREF _Toc14683709 \h </w:instrText>
        </w:r>
        <w:r w:rsidR="00440AF3">
          <w:rPr>
            <w:noProof/>
            <w:webHidden/>
          </w:rPr>
        </w:r>
        <w:r w:rsidR="00440AF3">
          <w:rPr>
            <w:noProof/>
            <w:webHidden/>
          </w:rPr>
          <w:fldChar w:fldCharType="separate"/>
        </w:r>
        <w:r w:rsidR="00440AF3">
          <w:rPr>
            <w:noProof/>
            <w:webHidden/>
          </w:rPr>
          <w:t>57</w:t>
        </w:r>
        <w:r w:rsidR="00440AF3">
          <w:rPr>
            <w:noProof/>
            <w:webHidden/>
          </w:rPr>
          <w:fldChar w:fldCharType="end"/>
        </w:r>
      </w:hyperlink>
    </w:p>
    <w:p w14:paraId="1E230F4F" w14:textId="06CA323C" w:rsidR="00440AF3" w:rsidRDefault="004A5A3D">
      <w:pPr>
        <w:pStyle w:val="TOC2"/>
        <w:tabs>
          <w:tab w:val="right" w:leader="dot" w:pos="8630"/>
        </w:tabs>
        <w:rPr>
          <w:rFonts w:asciiTheme="minorHAnsi" w:eastAsiaTheme="minorEastAsia" w:hAnsiTheme="minorHAnsi" w:cstheme="minorBidi"/>
          <w:noProof/>
          <w:lang w:eastAsia="en-US"/>
        </w:rPr>
      </w:pPr>
      <w:hyperlink w:anchor="_Toc14683710" w:history="1">
        <w:r w:rsidR="00440AF3" w:rsidRPr="00633E7D">
          <w:rPr>
            <w:rStyle w:val="Hyperlink"/>
            <w:noProof/>
          </w:rPr>
          <w:t>Stakeholder Engagement and Response Mechanisms</w:t>
        </w:r>
        <w:r w:rsidR="00440AF3">
          <w:rPr>
            <w:noProof/>
            <w:webHidden/>
          </w:rPr>
          <w:tab/>
        </w:r>
        <w:r w:rsidR="00440AF3">
          <w:rPr>
            <w:noProof/>
            <w:webHidden/>
          </w:rPr>
          <w:fldChar w:fldCharType="begin"/>
        </w:r>
        <w:r w:rsidR="00440AF3">
          <w:rPr>
            <w:noProof/>
            <w:webHidden/>
          </w:rPr>
          <w:instrText xml:space="preserve"> PAGEREF _Toc14683710 \h </w:instrText>
        </w:r>
        <w:r w:rsidR="00440AF3">
          <w:rPr>
            <w:noProof/>
            <w:webHidden/>
          </w:rPr>
        </w:r>
        <w:r w:rsidR="00440AF3">
          <w:rPr>
            <w:noProof/>
            <w:webHidden/>
          </w:rPr>
          <w:fldChar w:fldCharType="separate"/>
        </w:r>
        <w:r w:rsidR="00440AF3">
          <w:rPr>
            <w:noProof/>
            <w:webHidden/>
          </w:rPr>
          <w:t>62</w:t>
        </w:r>
        <w:r w:rsidR="00440AF3">
          <w:rPr>
            <w:noProof/>
            <w:webHidden/>
          </w:rPr>
          <w:fldChar w:fldCharType="end"/>
        </w:r>
      </w:hyperlink>
    </w:p>
    <w:p w14:paraId="420F0FE9" w14:textId="6E6EDDD1" w:rsidR="00440AF3" w:rsidRDefault="004A5A3D">
      <w:pPr>
        <w:pStyle w:val="TOC2"/>
        <w:tabs>
          <w:tab w:val="right" w:leader="dot" w:pos="8630"/>
        </w:tabs>
        <w:rPr>
          <w:rFonts w:asciiTheme="minorHAnsi" w:eastAsiaTheme="minorEastAsia" w:hAnsiTheme="minorHAnsi" w:cstheme="minorBidi"/>
          <w:noProof/>
          <w:lang w:eastAsia="en-US"/>
        </w:rPr>
      </w:pPr>
      <w:hyperlink w:anchor="_Toc14683711" w:history="1">
        <w:r w:rsidR="00440AF3" w:rsidRPr="00633E7D">
          <w:rPr>
            <w:rStyle w:val="Hyperlink"/>
            <w:noProof/>
          </w:rPr>
          <w:t>Access to Information</w:t>
        </w:r>
        <w:r w:rsidR="00440AF3">
          <w:rPr>
            <w:noProof/>
            <w:webHidden/>
          </w:rPr>
          <w:tab/>
        </w:r>
        <w:r w:rsidR="00440AF3">
          <w:rPr>
            <w:noProof/>
            <w:webHidden/>
          </w:rPr>
          <w:fldChar w:fldCharType="begin"/>
        </w:r>
        <w:r w:rsidR="00440AF3">
          <w:rPr>
            <w:noProof/>
            <w:webHidden/>
          </w:rPr>
          <w:instrText xml:space="preserve"> PAGEREF _Toc14683711 \h </w:instrText>
        </w:r>
        <w:r w:rsidR="00440AF3">
          <w:rPr>
            <w:noProof/>
            <w:webHidden/>
          </w:rPr>
        </w:r>
        <w:r w:rsidR="00440AF3">
          <w:rPr>
            <w:noProof/>
            <w:webHidden/>
          </w:rPr>
          <w:fldChar w:fldCharType="separate"/>
        </w:r>
        <w:r w:rsidR="00440AF3">
          <w:rPr>
            <w:noProof/>
            <w:webHidden/>
          </w:rPr>
          <w:t>65</w:t>
        </w:r>
        <w:r w:rsidR="00440AF3">
          <w:rPr>
            <w:noProof/>
            <w:webHidden/>
          </w:rPr>
          <w:fldChar w:fldCharType="end"/>
        </w:r>
      </w:hyperlink>
    </w:p>
    <w:p w14:paraId="56E22FB1" w14:textId="1B1AA707" w:rsidR="00440AF3" w:rsidRDefault="004A5A3D">
      <w:pPr>
        <w:pStyle w:val="TOC2"/>
        <w:tabs>
          <w:tab w:val="right" w:leader="dot" w:pos="8630"/>
        </w:tabs>
        <w:rPr>
          <w:rFonts w:asciiTheme="minorHAnsi" w:eastAsiaTheme="minorEastAsia" w:hAnsiTheme="minorHAnsi" w:cstheme="minorBidi"/>
          <w:noProof/>
          <w:lang w:eastAsia="en-US"/>
        </w:rPr>
      </w:pPr>
      <w:hyperlink w:anchor="_Toc14683712" w:history="1">
        <w:r w:rsidR="00440AF3" w:rsidRPr="00633E7D">
          <w:rPr>
            <w:rStyle w:val="Hyperlink"/>
            <w:noProof/>
          </w:rPr>
          <w:t>Monitoring, Reporting and Compliance</w:t>
        </w:r>
        <w:r w:rsidR="00440AF3">
          <w:rPr>
            <w:noProof/>
            <w:webHidden/>
          </w:rPr>
          <w:tab/>
        </w:r>
        <w:r w:rsidR="00440AF3">
          <w:rPr>
            <w:noProof/>
            <w:webHidden/>
          </w:rPr>
          <w:fldChar w:fldCharType="begin"/>
        </w:r>
        <w:r w:rsidR="00440AF3">
          <w:rPr>
            <w:noProof/>
            <w:webHidden/>
          </w:rPr>
          <w:instrText xml:space="preserve"> PAGEREF _Toc14683712 \h </w:instrText>
        </w:r>
        <w:r w:rsidR="00440AF3">
          <w:rPr>
            <w:noProof/>
            <w:webHidden/>
          </w:rPr>
        </w:r>
        <w:r w:rsidR="00440AF3">
          <w:rPr>
            <w:noProof/>
            <w:webHidden/>
          </w:rPr>
          <w:fldChar w:fldCharType="separate"/>
        </w:r>
        <w:r w:rsidR="00440AF3">
          <w:rPr>
            <w:noProof/>
            <w:webHidden/>
          </w:rPr>
          <w:t>65</w:t>
        </w:r>
        <w:r w:rsidR="00440AF3">
          <w:rPr>
            <w:noProof/>
            <w:webHidden/>
          </w:rPr>
          <w:fldChar w:fldCharType="end"/>
        </w:r>
      </w:hyperlink>
    </w:p>
    <w:p w14:paraId="2993EFFA" w14:textId="7C1CDCCD" w:rsidR="0084444F" w:rsidRDefault="00402D14" w:rsidP="00BA3A5F">
      <w:r>
        <w:rPr>
          <w:b/>
          <w:bCs/>
          <w:noProof/>
        </w:rPr>
        <w:fldChar w:fldCharType="end"/>
      </w:r>
    </w:p>
    <w:p w14:paraId="2B6A13C7" w14:textId="77777777" w:rsidR="001C2F11" w:rsidRPr="00730E53" w:rsidRDefault="001C2F11" w:rsidP="00BA3A5F">
      <w:pPr>
        <w:spacing w:before="60" w:after="120" w:line="264" w:lineRule="auto"/>
        <w:rPr>
          <w:szCs w:val="20"/>
        </w:rPr>
      </w:pPr>
    </w:p>
    <w:p w14:paraId="1F85777C" w14:textId="77777777" w:rsidR="001C2F11" w:rsidRDefault="001C2F11" w:rsidP="00BA3A5F">
      <w:pPr>
        <w:spacing w:before="60" w:after="120" w:line="264" w:lineRule="auto"/>
        <w:rPr>
          <w:szCs w:val="20"/>
        </w:rPr>
      </w:pPr>
    </w:p>
    <w:p w14:paraId="5E45A0BE" w14:textId="77777777" w:rsidR="00FC3AEC" w:rsidRDefault="00FC3AEC" w:rsidP="00BA3A5F">
      <w:pPr>
        <w:spacing w:before="60" w:after="120" w:line="264" w:lineRule="auto"/>
        <w:rPr>
          <w:szCs w:val="20"/>
        </w:rPr>
        <w:sectPr w:rsidR="00FC3AEC" w:rsidSect="00927E9F">
          <w:footerReference w:type="default" r:id="rId13"/>
          <w:pgSz w:w="12240" w:h="15840"/>
          <w:pgMar w:top="1440" w:right="1800" w:bottom="1440" w:left="1800" w:header="720" w:footer="720" w:gutter="0"/>
          <w:pgNumType w:start="1"/>
          <w:cols w:space="720"/>
        </w:sectPr>
      </w:pPr>
    </w:p>
    <w:p w14:paraId="30348AEA" w14:textId="77777777" w:rsidR="00FA4AEE" w:rsidRDefault="00907E44" w:rsidP="00F420F0">
      <w:pPr>
        <w:pStyle w:val="Heading1"/>
      </w:pPr>
      <w:bookmarkStart w:id="1" w:name="_Toc14683690"/>
      <w:r w:rsidRPr="00236225">
        <w:lastRenderedPageBreak/>
        <w:t>Acronyms</w:t>
      </w:r>
      <w:bookmarkEnd w:id="1"/>
    </w:p>
    <w:p w14:paraId="6AC21071" w14:textId="2C6CFB49" w:rsidR="00F21DCF" w:rsidRDefault="00F21DCF" w:rsidP="00AF25D8">
      <w:pPr>
        <w:tabs>
          <w:tab w:val="left" w:pos="1080"/>
        </w:tabs>
      </w:pPr>
      <w:r>
        <w:t>CP</w:t>
      </w:r>
      <w:r w:rsidR="003B5530">
        <w:t>D</w:t>
      </w:r>
      <w:r>
        <w:tab/>
        <w:t xml:space="preserve">Country </w:t>
      </w:r>
      <w:r w:rsidR="00AC7958">
        <w:t>P</w:t>
      </w:r>
      <w:r w:rsidR="00E60CC0">
        <w:t>rogramme</w:t>
      </w:r>
      <w:r>
        <w:t xml:space="preserve"> </w:t>
      </w:r>
      <w:r w:rsidR="003B5530">
        <w:t>Document</w:t>
      </w:r>
    </w:p>
    <w:p w14:paraId="31FDAC4C" w14:textId="77777777" w:rsidR="002E7B53" w:rsidRDefault="002E7B53" w:rsidP="00AF25D8">
      <w:pPr>
        <w:tabs>
          <w:tab w:val="left" w:pos="1080"/>
        </w:tabs>
      </w:pPr>
      <w:r>
        <w:t>DIM</w:t>
      </w:r>
      <w:r>
        <w:tab/>
        <w:t>Direct Implementation Modality</w:t>
      </w:r>
    </w:p>
    <w:p w14:paraId="6BC7B301" w14:textId="77777777" w:rsidR="00FA4AEE" w:rsidRDefault="00FA4AEE" w:rsidP="00AF25D8">
      <w:pPr>
        <w:tabs>
          <w:tab w:val="left" w:pos="1080"/>
        </w:tabs>
      </w:pPr>
      <w:r>
        <w:t>ESIA</w:t>
      </w:r>
      <w:r>
        <w:tab/>
        <w:t>Environmental and Social Impact Assessment</w:t>
      </w:r>
    </w:p>
    <w:p w14:paraId="672B0D92" w14:textId="77777777" w:rsidR="00B973A2" w:rsidRDefault="00B973A2" w:rsidP="00AF25D8">
      <w:pPr>
        <w:tabs>
          <w:tab w:val="left" w:pos="1080"/>
        </w:tabs>
      </w:pPr>
      <w:r w:rsidRPr="00A93E28">
        <w:t>ESMF</w:t>
      </w:r>
      <w:r w:rsidRPr="00A93E28">
        <w:tab/>
        <w:t>Environmental and Social Management Framework</w:t>
      </w:r>
    </w:p>
    <w:p w14:paraId="79B47C91" w14:textId="77777777" w:rsidR="005F4BD4" w:rsidRDefault="005F4BD4" w:rsidP="00AF25D8">
      <w:pPr>
        <w:tabs>
          <w:tab w:val="left" w:pos="1080"/>
        </w:tabs>
      </w:pPr>
      <w:r>
        <w:t>ESMP</w:t>
      </w:r>
      <w:r>
        <w:tab/>
        <w:t>Environmental and Social Management Plan</w:t>
      </w:r>
    </w:p>
    <w:p w14:paraId="1C1BC169" w14:textId="77777777" w:rsidR="00236225" w:rsidRDefault="006A360A" w:rsidP="00AF25D8">
      <w:pPr>
        <w:tabs>
          <w:tab w:val="left" w:pos="1080"/>
        </w:tabs>
      </w:pPr>
      <w:r>
        <w:t>FPIC</w:t>
      </w:r>
      <w:r w:rsidR="00FA4AEE">
        <w:tab/>
        <w:t>Free Prior and Informed Consent</w:t>
      </w:r>
    </w:p>
    <w:p w14:paraId="6FD7A100" w14:textId="77777777" w:rsidR="000D3C52" w:rsidRDefault="000D3C52" w:rsidP="00AF25D8">
      <w:pPr>
        <w:tabs>
          <w:tab w:val="left" w:pos="1080"/>
        </w:tabs>
      </w:pPr>
      <w:r>
        <w:t>GBV</w:t>
      </w:r>
      <w:r>
        <w:tab/>
        <w:t>Gender-Based Violence</w:t>
      </w:r>
    </w:p>
    <w:p w14:paraId="3E485E42" w14:textId="77777777" w:rsidR="00225D29" w:rsidRDefault="00225D29" w:rsidP="00AF25D8">
      <w:pPr>
        <w:tabs>
          <w:tab w:val="left" w:pos="1080"/>
        </w:tabs>
      </w:pPr>
      <w:r>
        <w:t>GHG</w:t>
      </w:r>
      <w:r>
        <w:tab/>
        <w:t>Greenhouse Gas</w:t>
      </w:r>
    </w:p>
    <w:p w14:paraId="7954DB1F" w14:textId="77777777" w:rsidR="003F7370" w:rsidRDefault="003F7370" w:rsidP="003F7370">
      <w:pPr>
        <w:tabs>
          <w:tab w:val="left" w:pos="1080"/>
        </w:tabs>
      </w:pPr>
      <w:r>
        <w:t>GMO</w:t>
      </w:r>
      <w:r>
        <w:tab/>
        <w:t>Genetically Modified Organism</w:t>
      </w:r>
    </w:p>
    <w:p w14:paraId="47672999" w14:textId="77777777" w:rsidR="006C2F7D" w:rsidRDefault="006C2F7D" w:rsidP="00AF25D8">
      <w:pPr>
        <w:tabs>
          <w:tab w:val="left" w:pos="1080"/>
        </w:tabs>
      </w:pPr>
      <w:r>
        <w:t>GRM</w:t>
      </w:r>
      <w:r>
        <w:tab/>
        <w:t>Grievance Redress Mechanism</w:t>
      </w:r>
    </w:p>
    <w:p w14:paraId="5BB3BDCE" w14:textId="77777777" w:rsidR="007D4DF8" w:rsidRDefault="007D4DF8" w:rsidP="00AF25D8">
      <w:pPr>
        <w:tabs>
          <w:tab w:val="left" w:pos="1080"/>
        </w:tabs>
      </w:pPr>
      <w:r w:rsidRPr="00A93E28">
        <w:t>HRBA</w:t>
      </w:r>
      <w:r w:rsidRPr="00A93E28">
        <w:tab/>
        <w:t>Human Rights</w:t>
      </w:r>
      <w:r w:rsidR="00FF1773">
        <w:t>-</w:t>
      </w:r>
      <w:r w:rsidRPr="00A93E28">
        <w:t>based Approach to Development Programming</w:t>
      </w:r>
    </w:p>
    <w:p w14:paraId="19855EE8" w14:textId="77777777" w:rsidR="003F7370" w:rsidRDefault="003F7370" w:rsidP="003F7370">
      <w:pPr>
        <w:tabs>
          <w:tab w:val="left" w:pos="1080"/>
        </w:tabs>
      </w:pPr>
      <w:r>
        <w:t>ILO</w:t>
      </w:r>
      <w:r>
        <w:tab/>
        <w:t xml:space="preserve">International </w:t>
      </w:r>
      <w:proofErr w:type="spellStart"/>
      <w:r>
        <w:t>Labour</w:t>
      </w:r>
      <w:proofErr w:type="spellEnd"/>
      <w:r>
        <w:t xml:space="preserve"> Organization</w:t>
      </w:r>
    </w:p>
    <w:p w14:paraId="2C96A04E" w14:textId="77777777" w:rsidR="003F7370" w:rsidRDefault="003F7370" w:rsidP="003F7370">
      <w:pPr>
        <w:tabs>
          <w:tab w:val="left" w:pos="1080"/>
        </w:tabs>
      </w:pPr>
      <w:r>
        <w:t>IPCC</w:t>
      </w:r>
      <w:r>
        <w:tab/>
        <w:t>Intergovernmental Panel on Climate Change</w:t>
      </w:r>
    </w:p>
    <w:p w14:paraId="2990A8C1" w14:textId="77777777" w:rsidR="0079281B" w:rsidRDefault="0079281B" w:rsidP="0079281B">
      <w:pPr>
        <w:tabs>
          <w:tab w:val="left" w:pos="1080"/>
        </w:tabs>
      </w:pPr>
      <w:r>
        <w:t>IPP</w:t>
      </w:r>
      <w:r>
        <w:tab/>
        <w:t>Indigenous Peoples Plan</w:t>
      </w:r>
    </w:p>
    <w:p w14:paraId="2DA6B47A" w14:textId="77777777" w:rsidR="003903D7" w:rsidRDefault="003903D7" w:rsidP="0079281B">
      <w:pPr>
        <w:tabs>
          <w:tab w:val="left" w:pos="1080"/>
        </w:tabs>
      </w:pPr>
      <w:r>
        <w:t>IPM</w:t>
      </w:r>
      <w:r>
        <w:tab/>
        <w:t>Integrated Pest Management</w:t>
      </w:r>
    </w:p>
    <w:p w14:paraId="6F668748" w14:textId="77777777" w:rsidR="003903D7" w:rsidRDefault="003903D7" w:rsidP="0079281B">
      <w:pPr>
        <w:tabs>
          <w:tab w:val="left" w:pos="1080"/>
        </w:tabs>
      </w:pPr>
      <w:r>
        <w:t>IVM</w:t>
      </w:r>
      <w:r>
        <w:tab/>
        <w:t>Integrated Vector Management</w:t>
      </w:r>
    </w:p>
    <w:p w14:paraId="4B60C2A0" w14:textId="77777777" w:rsidR="003F7370" w:rsidRDefault="003F7370" w:rsidP="003F7370">
      <w:pPr>
        <w:tabs>
          <w:tab w:val="left" w:pos="1080"/>
        </w:tabs>
      </w:pPr>
      <w:r>
        <w:t>LAP</w:t>
      </w:r>
      <w:r>
        <w:tab/>
        <w:t>Livelihood Action Plan</w:t>
      </w:r>
    </w:p>
    <w:p w14:paraId="5A175C80" w14:textId="77777777" w:rsidR="003F7370" w:rsidRDefault="003F7370" w:rsidP="003F7370">
      <w:pPr>
        <w:tabs>
          <w:tab w:val="left" w:pos="1080"/>
        </w:tabs>
      </w:pPr>
      <w:r>
        <w:t>LMO</w:t>
      </w:r>
      <w:r>
        <w:tab/>
        <w:t>Living Modified Organism</w:t>
      </w:r>
    </w:p>
    <w:p w14:paraId="4D447550" w14:textId="77777777" w:rsidR="00D16AC8" w:rsidRDefault="00D16AC8" w:rsidP="00AF25D8">
      <w:pPr>
        <w:tabs>
          <w:tab w:val="left" w:pos="1080"/>
        </w:tabs>
      </w:pPr>
      <w:r>
        <w:t>NGO</w:t>
      </w:r>
      <w:r>
        <w:tab/>
        <w:t>Nongovernmental Organization</w:t>
      </w:r>
    </w:p>
    <w:p w14:paraId="56555D98" w14:textId="77777777" w:rsidR="002E7B53" w:rsidRDefault="002E7B53" w:rsidP="00AF25D8">
      <w:pPr>
        <w:tabs>
          <w:tab w:val="left" w:pos="1080"/>
        </w:tabs>
      </w:pPr>
      <w:r>
        <w:t>NIM</w:t>
      </w:r>
      <w:r>
        <w:tab/>
        <w:t>National Implementation Modality</w:t>
      </w:r>
    </w:p>
    <w:p w14:paraId="23F480C3" w14:textId="77777777" w:rsidR="0000707A" w:rsidRDefault="00175C51" w:rsidP="00AF25D8">
      <w:pPr>
        <w:tabs>
          <w:tab w:val="left" w:pos="1080"/>
        </w:tabs>
      </w:pPr>
      <w:r>
        <w:t>OAI</w:t>
      </w:r>
      <w:r>
        <w:tab/>
        <w:t>Office of Audit</w:t>
      </w:r>
      <w:r w:rsidR="0000707A">
        <w:t xml:space="preserve"> and Investigations</w:t>
      </w:r>
    </w:p>
    <w:p w14:paraId="75FC8BEF" w14:textId="6BF0DCCF" w:rsidR="00DE1E33" w:rsidRDefault="00DE1E33" w:rsidP="00DE1E33">
      <w:pPr>
        <w:tabs>
          <w:tab w:val="left" w:pos="1080"/>
        </w:tabs>
      </w:pPr>
      <w:r>
        <w:t>POPP</w:t>
      </w:r>
      <w:r>
        <w:tab/>
      </w:r>
      <w:r w:rsidR="00AC7958">
        <w:t>P</w:t>
      </w:r>
      <w:r w:rsidR="00E60CC0">
        <w:t>rogramme</w:t>
      </w:r>
      <w:r>
        <w:t xml:space="preserve"> and Operations Policies and Procedures</w:t>
      </w:r>
    </w:p>
    <w:p w14:paraId="74913A85" w14:textId="77777777" w:rsidR="003F7370" w:rsidRDefault="003F7370" w:rsidP="003F7370">
      <w:pPr>
        <w:tabs>
          <w:tab w:val="left" w:pos="1080"/>
        </w:tabs>
      </w:pPr>
      <w:r>
        <w:t>RAP</w:t>
      </w:r>
      <w:r>
        <w:tab/>
        <w:t>Resettlement Action Plan</w:t>
      </w:r>
    </w:p>
    <w:p w14:paraId="027EF356" w14:textId="77777777" w:rsidR="0000707A" w:rsidRDefault="0000707A" w:rsidP="00AF25D8">
      <w:pPr>
        <w:tabs>
          <w:tab w:val="left" w:pos="1080"/>
        </w:tabs>
      </w:pPr>
      <w:r>
        <w:t>SECU</w:t>
      </w:r>
      <w:r>
        <w:tab/>
        <w:t>Social and Environmental Compliance Unit</w:t>
      </w:r>
    </w:p>
    <w:p w14:paraId="5B49D6D3" w14:textId="77777777" w:rsidR="0079281B" w:rsidRDefault="0079281B" w:rsidP="0079281B">
      <w:pPr>
        <w:tabs>
          <w:tab w:val="left" w:pos="1080"/>
        </w:tabs>
      </w:pPr>
      <w:r>
        <w:t>SEA</w:t>
      </w:r>
      <w:r>
        <w:tab/>
        <w:t>Strategic Environmental Assessment</w:t>
      </w:r>
    </w:p>
    <w:p w14:paraId="3AC3396B" w14:textId="77777777" w:rsidR="00236225" w:rsidRDefault="006B28BD" w:rsidP="00AF25D8">
      <w:pPr>
        <w:tabs>
          <w:tab w:val="left" w:pos="1080"/>
        </w:tabs>
      </w:pPr>
      <w:r>
        <w:t>SES</w:t>
      </w:r>
      <w:r w:rsidR="00FC5689">
        <w:tab/>
        <w:t>Social and Environmental Standards</w:t>
      </w:r>
    </w:p>
    <w:p w14:paraId="6E7E8367" w14:textId="77777777" w:rsidR="008E712A" w:rsidRDefault="008E712A" w:rsidP="00AF25D8">
      <w:pPr>
        <w:tabs>
          <w:tab w:val="left" w:pos="1080"/>
        </w:tabs>
      </w:pPr>
      <w:r>
        <w:t>SESA</w:t>
      </w:r>
      <w:r>
        <w:tab/>
        <w:t>Strategic Environmental and Social Assessment</w:t>
      </w:r>
    </w:p>
    <w:p w14:paraId="0683F5D7" w14:textId="77777777" w:rsidR="00FC5689" w:rsidRDefault="00FC5689" w:rsidP="00AF25D8">
      <w:pPr>
        <w:tabs>
          <w:tab w:val="left" w:pos="1080"/>
        </w:tabs>
      </w:pPr>
      <w:r>
        <w:t>SESP</w:t>
      </w:r>
      <w:r>
        <w:tab/>
        <w:t>Social and Environmental Screening Procedure</w:t>
      </w:r>
    </w:p>
    <w:p w14:paraId="0F7AF07B" w14:textId="77777777" w:rsidR="00E61321" w:rsidRDefault="00E61321" w:rsidP="00AF25D8">
      <w:pPr>
        <w:tabs>
          <w:tab w:val="left" w:pos="1080"/>
        </w:tabs>
      </w:pPr>
      <w:r>
        <w:t>SRM</w:t>
      </w:r>
      <w:r>
        <w:tab/>
        <w:t>Stakeholder Response Mechanism</w:t>
      </w:r>
    </w:p>
    <w:p w14:paraId="7A685B13" w14:textId="77777777" w:rsidR="003F7370" w:rsidRDefault="003F7370" w:rsidP="003F7370">
      <w:pPr>
        <w:tabs>
          <w:tab w:val="left" w:pos="1080"/>
        </w:tabs>
      </w:pPr>
      <w:r>
        <w:t>UNFCCC</w:t>
      </w:r>
      <w:r>
        <w:tab/>
        <w:t>United Nations Framework Convention on Climate Change</w:t>
      </w:r>
    </w:p>
    <w:p w14:paraId="52B78D21" w14:textId="3827F398" w:rsidR="00FA4AEE" w:rsidRDefault="00FA4AEE" w:rsidP="00AF25D8">
      <w:pPr>
        <w:tabs>
          <w:tab w:val="left" w:pos="1080"/>
        </w:tabs>
      </w:pPr>
      <w:r>
        <w:t>UN</w:t>
      </w:r>
      <w:r w:rsidR="004E0AD8">
        <w:t>S</w:t>
      </w:r>
      <w:r>
        <w:t>DG</w:t>
      </w:r>
      <w:r>
        <w:tab/>
      </w:r>
      <w:r w:rsidRPr="00634473">
        <w:t xml:space="preserve">United Nations </w:t>
      </w:r>
      <w:r w:rsidR="004E0AD8">
        <w:t xml:space="preserve">Sustainable </w:t>
      </w:r>
      <w:r>
        <w:t xml:space="preserve">Development Group </w:t>
      </w:r>
    </w:p>
    <w:p w14:paraId="66AE0666" w14:textId="6FB8D506" w:rsidR="00FA4AEE" w:rsidRDefault="00FA4AEE" w:rsidP="00AF25D8">
      <w:pPr>
        <w:tabs>
          <w:tab w:val="left" w:pos="1080"/>
        </w:tabs>
      </w:pPr>
      <w:r>
        <w:t>UNDP</w:t>
      </w:r>
      <w:r>
        <w:tab/>
        <w:t xml:space="preserve">United Nations Development </w:t>
      </w:r>
      <w:r w:rsidR="00AC7958">
        <w:t>P</w:t>
      </w:r>
      <w:r w:rsidR="00E60CC0">
        <w:t>rogramme</w:t>
      </w:r>
    </w:p>
    <w:p w14:paraId="3D3867F9" w14:textId="77777777" w:rsidR="003F7370" w:rsidRDefault="003F7370" w:rsidP="003F7370">
      <w:pPr>
        <w:tabs>
          <w:tab w:val="left" w:pos="1080"/>
        </w:tabs>
      </w:pPr>
      <w:r>
        <w:t>UNDRIP</w:t>
      </w:r>
      <w:r>
        <w:tab/>
        <w:t>United Nations Declaration on the Rights of Indigenous Peoples</w:t>
      </w:r>
    </w:p>
    <w:p w14:paraId="37F98B08" w14:textId="77777777" w:rsidR="003F7370" w:rsidRDefault="003F7370" w:rsidP="003F7370">
      <w:pPr>
        <w:tabs>
          <w:tab w:val="left" w:pos="1080"/>
        </w:tabs>
      </w:pPr>
      <w:r>
        <w:t>WHO</w:t>
      </w:r>
      <w:r>
        <w:tab/>
        <w:t>World Health Organization</w:t>
      </w:r>
    </w:p>
    <w:p w14:paraId="7B5787FF" w14:textId="77777777" w:rsidR="000A573F" w:rsidRDefault="000A573F" w:rsidP="00FA4AEE"/>
    <w:p w14:paraId="68093686" w14:textId="77777777" w:rsidR="00AF463A" w:rsidRDefault="00AF463A" w:rsidP="00BA3A5F"/>
    <w:p w14:paraId="447D9A4E" w14:textId="77777777" w:rsidR="00E72936" w:rsidRDefault="00E72936" w:rsidP="00BA3A5F"/>
    <w:p w14:paraId="21958432" w14:textId="77777777" w:rsidR="00236225" w:rsidRDefault="00236225" w:rsidP="00BA3A5F"/>
    <w:p w14:paraId="7FFD2E2E" w14:textId="77777777" w:rsidR="00236225" w:rsidRDefault="00236225" w:rsidP="00BA3A5F">
      <w:pPr>
        <w:sectPr w:rsidR="00236225" w:rsidSect="00722C83">
          <w:headerReference w:type="default" r:id="rId14"/>
          <w:pgSz w:w="12240" w:h="15840"/>
          <w:pgMar w:top="1440" w:right="1800" w:bottom="1440" w:left="1800" w:header="720" w:footer="720" w:gutter="0"/>
          <w:cols w:space="720"/>
        </w:sectPr>
      </w:pPr>
    </w:p>
    <w:p w14:paraId="2EE18782" w14:textId="20D139F9" w:rsidR="00E72936" w:rsidRDefault="00B453F1" w:rsidP="00E72936">
      <w:pPr>
        <w:pStyle w:val="Heading1"/>
      </w:pPr>
      <w:bookmarkStart w:id="2" w:name="_Toc14683691"/>
      <w:r>
        <w:lastRenderedPageBreak/>
        <w:t>Policy Objectives</w:t>
      </w:r>
      <w:r w:rsidR="00AC795B">
        <w:t xml:space="preserve"> and Scope of Application</w:t>
      </w:r>
      <w:bookmarkEnd w:id="2"/>
    </w:p>
    <w:p w14:paraId="5244EDA7" w14:textId="71FEE2EB" w:rsidR="00D371E4" w:rsidRDefault="000A504C" w:rsidP="00D515A1">
      <w:pPr>
        <w:pStyle w:val="SEQSbodynumbered"/>
      </w:pPr>
      <w:r>
        <w:t>UNDP</w:t>
      </w:r>
      <w:r w:rsidR="0010692E">
        <w:t>’</w:t>
      </w:r>
      <w:r>
        <w:t>s Strategic P</w:t>
      </w:r>
      <w:r w:rsidR="007C52D7">
        <w:t>lan</w:t>
      </w:r>
      <w:r w:rsidR="006638D0">
        <w:rPr>
          <w:rStyle w:val="FootnoteReference"/>
        </w:rPr>
        <w:footnoteReference w:id="2"/>
      </w:r>
      <w:r w:rsidR="007C52D7">
        <w:t xml:space="preserve"> </w:t>
      </w:r>
      <w:r w:rsidR="006638D0">
        <w:t xml:space="preserve">and </w:t>
      </w:r>
      <w:r w:rsidR="007C52D7">
        <w:t>policy framework</w:t>
      </w:r>
      <w:r w:rsidR="00693932">
        <w:t xml:space="preserve"> </w:t>
      </w:r>
      <w:r w:rsidR="007C52D7">
        <w:t xml:space="preserve">articulate the organization’s strategic commitment to promoting </w:t>
      </w:r>
      <w:r w:rsidR="00C40E52">
        <w:t>the 2030 Agenda</w:t>
      </w:r>
      <w:r w:rsidR="00E76D32">
        <w:t xml:space="preserve"> for Sustainable Development</w:t>
      </w:r>
      <w:r w:rsidR="007C52D7">
        <w:t>.</w:t>
      </w:r>
      <w:r w:rsidR="005327A1">
        <w:rPr>
          <w:rStyle w:val="FootnoteReference"/>
        </w:rPr>
        <w:footnoteReference w:id="3"/>
      </w:r>
      <w:r w:rsidR="00A362E6">
        <w:t xml:space="preserve"> The </w:t>
      </w:r>
      <w:r w:rsidR="00AF6557">
        <w:t xml:space="preserve">SES </w:t>
      </w:r>
      <w:r w:rsidR="00A85472">
        <w:t>underpin</w:t>
      </w:r>
      <w:r w:rsidR="00056B39" w:rsidRPr="00127B63">
        <w:t xml:space="preserve"> </w:t>
      </w:r>
      <w:r w:rsidR="00A362E6">
        <w:t xml:space="preserve">this </w:t>
      </w:r>
      <w:r w:rsidR="00056B39" w:rsidRPr="00127B63">
        <w:t xml:space="preserve">commitment </w:t>
      </w:r>
      <w:r w:rsidR="00A362E6">
        <w:t>by ensuring</w:t>
      </w:r>
      <w:r w:rsidR="00A362E6" w:rsidRPr="00127B63">
        <w:t xml:space="preserve"> </w:t>
      </w:r>
      <w:r w:rsidR="002236AA" w:rsidRPr="00127B63">
        <w:t xml:space="preserve">social and </w:t>
      </w:r>
      <w:r w:rsidR="00867A1E" w:rsidRPr="00127B63">
        <w:t>environmental</w:t>
      </w:r>
      <w:r w:rsidR="002236AA" w:rsidRPr="00127B63">
        <w:t xml:space="preserve"> sustainability</w:t>
      </w:r>
      <w:r w:rsidR="00D7623D">
        <w:t xml:space="preserve"> </w:t>
      </w:r>
      <w:r w:rsidR="00A362E6">
        <w:t>is mainstreamed across all</w:t>
      </w:r>
      <w:r w:rsidR="00D7623D">
        <w:t xml:space="preserve"> </w:t>
      </w:r>
      <w:r w:rsidR="00F4467E">
        <w:t>p</w:t>
      </w:r>
      <w:r w:rsidR="00D7623D">
        <w:t>rogramm</w:t>
      </w:r>
      <w:r w:rsidR="00F4467E">
        <w:t>ing</w:t>
      </w:r>
      <w:r w:rsidR="00127B63" w:rsidRPr="00127B63">
        <w:t>.</w:t>
      </w:r>
      <w:r w:rsidR="006F5820">
        <w:t xml:space="preserve"> </w:t>
      </w:r>
      <w:r w:rsidR="00127B63" w:rsidRPr="00127B63">
        <w:t xml:space="preserve">The </w:t>
      </w:r>
      <w:r w:rsidR="006B28BD">
        <w:t>SES</w:t>
      </w:r>
      <w:r w:rsidR="00355783">
        <w:t xml:space="preserve"> </w:t>
      </w:r>
      <w:r w:rsidR="00B02D73" w:rsidRPr="0030111E">
        <w:t>are UNDP policy</w:t>
      </w:r>
      <w:r w:rsidR="00B02D73" w:rsidRPr="00A42F72">
        <w:t xml:space="preserve"> </w:t>
      </w:r>
      <w:r w:rsidR="00B02D73" w:rsidRPr="0030111E">
        <w:t xml:space="preserve">and </w:t>
      </w:r>
      <w:r w:rsidR="00127B63" w:rsidRPr="00127B63">
        <w:t xml:space="preserve">require that all UNDP </w:t>
      </w:r>
      <w:r w:rsidR="00A362E6">
        <w:t>programming</w:t>
      </w:r>
      <w:r w:rsidR="00127B63" w:rsidRPr="00127B63">
        <w:t xml:space="preserve"> </w:t>
      </w:r>
      <w:r w:rsidR="00A362E6">
        <w:t xml:space="preserve">maximizes </w:t>
      </w:r>
      <w:r w:rsidR="00127B63" w:rsidRPr="00127B63">
        <w:t xml:space="preserve">social </w:t>
      </w:r>
      <w:r>
        <w:t>and environmental</w:t>
      </w:r>
      <w:r w:rsidR="00467732">
        <w:rPr>
          <w:rStyle w:val="FootnoteReference"/>
        </w:rPr>
        <w:footnoteReference w:id="4"/>
      </w:r>
      <w:r>
        <w:t xml:space="preserve"> </w:t>
      </w:r>
      <w:r w:rsidR="00127B63" w:rsidRPr="00127B63">
        <w:t>opportunities and benefits as well as ensure</w:t>
      </w:r>
      <w:r w:rsidR="00A362E6">
        <w:t>s</w:t>
      </w:r>
      <w:r w:rsidR="00127B63" w:rsidRPr="00127B63">
        <w:t xml:space="preserve"> that adverse social </w:t>
      </w:r>
      <w:r>
        <w:t xml:space="preserve">and </w:t>
      </w:r>
      <w:r w:rsidRPr="00127B63">
        <w:t xml:space="preserve">environmental </w:t>
      </w:r>
      <w:r w:rsidR="00127B63" w:rsidRPr="00127B63">
        <w:t>risks and impacts are avoided, minimized, mitigated</w:t>
      </w:r>
      <w:r w:rsidR="00A15659">
        <w:t xml:space="preserve"> and managed</w:t>
      </w:r>
      <w:r w:rsidR="00127B63" w:rsidRPr="00127B63">
        <w:t xml:space="preserve">. The </w:t>
      </w:r>
      <w:r w:rsidR="006B28BD">
        <w:t>SES</w:t>
      </w:r>
      <w:r w:rsidR="00127B63" w:rsidRPr="00127B63">
        <w:t xml:space="preserve"> do not define the substantive development outcomes and results orientation of UNDP’s programming, as this is elaborated in </w:t>
      </w:r>
      <w:r w:rsidR="00D20B24">
        <w:t>UNDP’s</w:t>
      </w:r>
      <w:r w:rsidR="00127B63" w:rsidRPr="00127B63">
        <w:t xml:space="preserve"> Strategic Plan</w:t>
      </w:r>
      <w:r w:rsidR="0019479A">
        <w:t xml:space="preserve"> </w:t>
      </w:r>
      <w:r w:rsidR="0019479A" w:rsidRPr="0019479A">
        <w:t xml:space="preserve">and </w:t>
      </w:r>
      <w:r w:rsidR="00D84BBB">
        <w:t>programming instruments</w:t>
      </w:r>
      <w:r w:rsidR="00FD1D92">
        <w:t>.</w:t>
      </w:r>
    </w:p>
    <w:p w14:paraId="395E092B" w14:textId="67F3423B" w:rsidR="00A4073C" w:rsidRDefault="00A4073C" w:rsidP="00AC7F5D">
      <w:pPr>
        <w:pStyle w:val="SEQSbodynumbered"/>
      </w:pPr>
      <w:r w:rsidRPr="006D1930">
        <w:t xml:space="preserve">Through application of the </w:t>
      </w:r>
      <w:r w:rsidR="006B28BD">
        <w:t>SES</w:t>
      </w:r>
      <w:r w:rsidRPr="006D1930">
        <w:t xml:space="preserve">, UNDP enhances the </w:t>
      </w:r>
      <w:r w:rsidR="00B04590">
        <w:t>consistency</w:t>
      </w:r>
      <w:r w:rsidRPr="006D1930">
        <w:t>, transparency and accountability of its decision-making and acti</w:t>
      </w:r>
      <w:r w:rsidR="007D4132" w:rsidRPr="006D1930">
        <w:t>o</w:t>
      </w:r>
      <w:r w:rsidRPr="006D1930">
        <w:t>ns, improves performance</w:t>
      </w:r>
      <w:r w:rsidR="0065103D">
        <w:t>, and strengthens</w:t>
      </w:r>
      <w:r w:rsidRPr="006D1930">
        <w:t xml:space="preserve"> achievement of </w:t>
      </w:r>
      <w:r w:rsidR="00A362E6">
        <w:t>sustainable</w:t>
      </w:r>
      <w:r w:rsidR="00A362E6" w:rsidRPr="006D1930">
        <w:t xml:space="preserve"> </w:t>
      </w:r>
      <w:r w:rsidRPr="006D1930">
        <w:t xml:space="preserve">development outcomes. </w:t>
      </w:r>
      <w:r w:rsidR="003F5B24">
        <w:t xml:space="preserve">The </w:t>
      </w:r>
      <w:r w:rsidR="006B28BD">
        <w:t>SES</w:t>
      </w:r>
      <w:r w:rsidR="007D4132" w:rsidRPr="006D1930">
        <w:t xml:space="preserve"> </w:t>
      </w:r>
      <w:r w:rsidR="0065103D">
        <w:t>assist</w:t>
      </w:r>
      <w:r w:rsidR="007D4132" w:rsidRPr="006D1930">
        <w:t xml:space="preserve"> UNDP </w:t>
      </w:r>
      <w:r w:rsidR="00D010E0">
        <w:t>staff</w:t>
      </w:r>
      <w:r w:rsidR="00D84BBB">
        <w:t xml:space="preserve">, </w:t>
      </w:r>
      <w:r w:rsidR="00F712FA">
        <w:t>i</w:t>
      </w:r>
      <w:r w:rsidR="007D4132" w:rsidRPr="006D1930">
        <w:t xml:space="preserve">mplementing </w:t>
      </w:r>
      <w:r w:rsidR="00F712FA">
        <w:t>p</w:t>
      </w:r>
      <w:r w:rsidR="007D4132" w:rsidRPr="006D1930">
        <w:t xml:space="preserve">artners </w:t>
      </w:r>
      <w:r w:rsidR="00D84BBB">
        <w:t xml:space="preserve">and </w:t>
      </w:r>
      <w:r w:rsidR="00F712FA">
        <w:t>r</w:t>
      </w:r>
      <w:r w:rsidR="00D84BBB">
        <w:t>esponsible</w:t>
      </w:r>
      <w:r w:rsidR="00D84BBB" w:rsidRPr="006D1930">
        <w:t xml:space="preserve"> </w:t>
      </w:r>
      <w:r w:rsidR="00F712FA">
        <w:t>p</w:t>
      </w:r>
      <w:r w:rsidR="00D84BBB">
        <w:t xml:space="preserve">arties </w:t>
      </w:r>
      <w:r w:rsidR="007D4132" w:rsidRPr="006D1930">
        <w:t xml:space="preserve">to manage </w:t>
      </w:r>
      <w:r w:rsidR="005E02F2">
        <w:t>social and environmental</w:t>
      </w:r>
      <w:r w:rsidR="007D4132" w:rsidRPr="006D1930">
        <w:t xml:space="preserve"> risks and impacts </w:t>
      </w:r>
      <w:r w:rsidR="007D4132" w:rsidRPr="00A93E28">
        <w:t xml:space="preserve">of </w:t>
      </w:r>
      <w:r w:rsidR="007D4132" w:rsidRPr="00594BCD">
        <w:t>UNDP</w:t>
      </w:r>
      <w:r w:rsidR="007D4132" w:rsidRPr="006D1930">
        <w:t xml:space="preserve"> </w:t>
      </w:r>
      <w:proofErr w:type="spellStart"/>
      <w:r w:rsidR="00E60CC0">
        <w:t>programme</w:t>
      </w:r>
      <w:r w:rsidR="007D4132" w:rsidRPr="006D1930">
        <w:t>s</w:t>
      </w:r>
      <w:proofErr w:type="spellEnd"/>
      <w:r w:rsidR="007D4132" w:rsidRPr="006D1930">
        <w:t xml:space="preserve"> and </w:t>
      </w:r>
      <w:r w:rsidR="00E60CC0">
        <w:t>project</w:t>
      </w:r>
      <w:r w:rsidR="007D4132" w:rsidRPr="006D1930">
        <w:t>s.</w:t>
      </w:r>
      <w:r w:rsidR="00AC7F5D">
        <w:rPr>
          <w:rStyle w:val="FootnoteReference"/>
        </w:rPr>
        <w:footnoteReference w:id="5"/>
      </w:r>
    </w:p>
    <w:p w14:paraId="679286DE" w14:textId="1FAC5A72" w:rsidR="002355B3" w:rsidRDefault="002355B3">
      <w:pPr>
        <w:pStyle w:val="SEQSbodynumbered"/>
      </w:pPr>
      <w:r>
        <w:t xml:space="preserve">The SES objectives are to: (i) strengthen the </w:t>
      </w:r>
      <w:r w:rsidR="001D2CD0">
        <w:t>quality of programming by ensuring a principled approach</w:t>
      </w:r>
      <w:r>
        <w:t xml:space="preserve">; (ii) </w:t>
      </w:r>
      <w:r w:rsidR="007148D5">
        <w:t xml:space="preserve">maximize social and </w:t>
      </w:r>
      <w:r w:rsidR="00244F6A">
        <w:t>environmental</w:t>
      </w:r>
      <w:r w:rsidR="007148D5">
        <w:t xml:space="preserve"> opportunities and benefits; (iii) </w:t>
      </w:r>
      <w:r>
        <w:t>avoid adverse impacts to people and the environment; (i</w:t>
      </w:r>
      <w:r w:rsidR="007148D5">
        <w:t>v</w:t>
      </w:r>
      <w:r>
        <w:t xml:space="preserve">) minimize, mitigate, and manage adverse impacts where avoidance is not possible; </w:t>
      </w:r>
      <w:r w:rsidRPr="002C56D4">
        <w:t>(v) strengthen UNDP and partner capacities for managing social and environmental risks; and (v</w:t>
      </w:r>
      <w:r w:rsidR="007148D5">
        <w:t>i</w:t>
      </w:r>
      <w:r w:rsidRPr="002C56D4">
        <w:t>) ensure full and effective stakeholder engagement, including through a mechanism to respond to complaints from project-affected people.</w:t>
      </w:r>
    </w:p>
    <w:p w14:paraId="7B4CE117" w14:textId="77777777" w:rsidR="00B81291" w:rsidRDefault="00581C91">
      <w:pPr>
        <w:pStyle w:val="SEQSbodynumbered"/>
        <w:numPr>
          <w:ilvl w:val="0"/>
          <w:numId w:val="0"/>
        </w:numPr>
      </w:pPr>
      <w:r>
        <w:rPr>
          <w:lang w:bidi="th-TH"/>
        </w:rPr>
        <w:br w:type="page"/>
      </w:r>
      <w:r w:rsidR="0023629B" w:rsidRPr="007833E5">
        <w:lastRenderedPageBreak/>
        <w:t xml:space="preserve">Figure 1: </w:t>
      </w:r>
      <w:r w:rsidR="00520B53" w:rsidRPr="007833E5">
        <w:t>Key Elements of UNDP’s Social and Environmental Standards</w:t>
      </w:r>
      <w:r w:rsidR="00641044" w:rsidRPr="007833E5">
        <w:t xml:space="preserve"> (SES)</w:t>
      </w:r>
    </w:p>
    <w:p w14:paraId="4F642584" w14:textId="13194970" w:rsidR="008724BF" w:rsidRDefault="00B453F1" w:rsidP="00440AF3">
      <w:pPr>
        <w:pStyle w:val="SEQSbodynumbered"/>
        <w:numPr>
          <w:ilvl w:val="0"/>
          <w:numId w:val="0"/>
        </w:numPr>
        <w:ind w:left="432"/>
      </w:pPr>
      <w:r w:rsidRPr="00B453F1">
        <w:rPr>
          <w:noProof/>
        </w:rPr>
        <w:drawing>
          <wp:inline distT="0" distB="0" distL="0" distR="0" wp14:anchorId="11F84507" wp14:editId="51936F34">
            <wp:extent cx="4349578" cy="3914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9863" cy="3932877"/>
                    </a:xfrm>
                    <a:prstGeom prst="rect">
                      <a:avLst/>
                    </a:prstGeom>
                  </pic:spPr>
                </pic:pic>
              </a:graphicData>
            </a:graphic>
          </wp:inline>
        </w:drawing>
      </w:r>
    </w:p>
    <w:p w14:paraId="50002406" w14:textId="77777777" w:rsidR="005F1ADD" w:rsidRDefault="005F1ADD">
      <w:pPr>
        <w:pStyle w:val="SEQSbodynumbered"/>
        <w:numPr>
          <w:ilvl w:val="0"/>
          <w:numId w:val="0"/>
        </w:numPr>
      </w:pPr>
    </w:p>
    <w:p w14:paraId="437B501D" w14:textId="7AE8C25E" w:rsidR="0023629B" w:rsidRDefault="0023629B" w:rsidP="00D515A1">
      <w:pPr>
        <w:pStyle w:val="SEQSbodynumbered"/>
      </w:pPr>
      <w:r>
        <w:t xml:space="preserve">UNDP </w:t>
      </w:r>
      <w:r w:rsidR="000D3C52">
        <w:t>ensures</w:t>
      </w:r>
      <w:r w:rsidR="00D2796D">
        <w:t xml:space="preserve"> adherence to</w:t>
      </w:r>
      <w:r w:rsidR="00A13722">
        <w:t xml:space="preserve"> the SES for </w:t>
      </w:r>
      <w:r w:rsidR="00324EAE">
        <w:t>programming</w:t>
      </w:r>
      <w:r w:rsidR="00DB4E03">
        <w:t xml:space="preserve"> </w:t>
      </w:r>
      <w:r>
        <w:t xml:space="preserve">activities </w:t>
      </w:r>
      <w:r w:rsidR="00D2796D">
        <w:t>implemented using</w:t>
      </w:r>
      <w:r w:rsidR="001D2CD0">
        <w:t xml:space="preserve"> </w:t>
      </w:r>
      <w:r>
        <w:t>funds channeled through UNDP’s accounts</w:t>
      </w:r>
      <w:r w:rsidR="002D2713">
        <w:t>,</w:t>
      </w:r>
      <w:r w:rsidR="0071755D">
        <w:rPr>
          <w:rStyle w:val="FootnoteReference"/>
        </w:rPr>
        <w:footnoteReference w:id="6"/>
      </w:r>
      <w:r>
        <w:t xml:space="preserve"> regardless of </w:t>
      </w:r>
      <w:r w:rsidR="0029265F">
        <w:t>i</w:t>
      </w:r>
      <w:r>
        <w:t xml:space="preserve">mplementation </w:t>
      </w:r>
      <w:r w:rsidR="0029265F">
        <w:t>m</w:t>
      </w:r>
      <w:r>
        <w:t xml:space="preserve">odality. </w:t>
      </w:r>
      <w:r w:rsidR="00D64743">
        <w:t xml:space="preserve">In cases where implementation of the SES is found not </w:t>
      </w:r>
      <w:r w:rsidR="00D2796D">
        <w:t xml:space="preserve">to </w:t>
      </w:r>
      <w:r w:rsidR="00D64743">
        <w:t xml:space="preserve">be adequate, UNDP </w:t>
      </w:r>
      <w:r w:rsidR="00D41AB6">
        <w:t xml:space="preserve">will </w:t>
      </w:r>
      <w:r w:rsidR="002570FB">
        <w:t xml:space="preserve">undertake appropriate measures to address shortcomings. </w:t>
      </w:r>
    </w:p>
    <w:p w14:paraId="6CBD4033" w14:textId="08233400" w:rsidR="0023629B" w:rsidRDefault="00AB5946" w:rsidP="00AC7F5D">
      <w:pPr>
        <w:pStyle w:val="SEQSbodynumbered"/>
      </w:pPr>
      <w:r>
        <w:t xml:space="preserve">UNDP </w:t>
      </w:r>
      <w:proofErr w:type="spellStart"/>
      <w:r w:rsidR="00E60CC0">
        <w:t>programme</w:t>
      </w:r>
      <w:r>
        <w:t>s</w:t>
      </w:r>
      <w:proofErr w:type="spellEnd"/>
      <w:r>
        <w:t xml:space="preserve"> and </w:t>
      </w:r>
      <w:r w:rsidR="00E60CC0">
        <w:t>project</w:t>
      </w:r>
      <w:r w:rsidR="0023629B">
        <w:t xml:space="preserve">s </w:t>
      </w:r>
      <w:r w:rsidR="00A05474">
        <w:t xml:space="preserve">may </w:t>
      </w:r>
      <w:r w:rsidR="0023629B">
        <w:t xml:space="preserve">involve partners </w:t>
      </w:r>
      <w:r w:rsidR="00D64743">
        <w:t xml:space="preserve">that </w:t>
      </w:r>
      <w:r w:rsidR="0023629B">
        <w:t>contribut</w:t>
      </w:r>
      <w:r w:rsidR="00D64743">
        <w:t>e</w:t>
      </w:r>
      <w:r w:rsidR="0023629B">
        <w:t xml:space="preserve"> in-kind resources or parallel funding </w:t>
      </w:r>
      <w:r w:rsidR="00D64743">
        <w:t xml:space="preserve">and </w:t>
      </w:r>
      <w:r w:rsidR="0023629B">
        <w:t xml:space="preserve">apply their own policies and procedures to achieve common objectives. </w:t>
      </w:r>
      <w:r w:rsidR="00755BC6">
        <w:t>Therefore</w:t>
      </w:r>
      <w:r w:rsidR="00755BC6" w:rsidRPr="0046588F">
        <w:t xml:space="preserve">, </w:t>
      </w:r>
      <w:r w:rsidR="00604339">
        <w:t xml:space="preserve">while </w:t>
      </w:r>
      <w:r w:rsidR="00755BC6" w:rsidRPr="0046588F">
        <w:t xml:space="preserve">UNDP does not </w:t>
      </w:r>
      <w:r w:rsidR="003F1FEE">
        <w:t>ensure</w:t>
      </w:r>
      <w:r w:rsidR="00755BC6" w:rsidRPr="0046588F">
        <w:t xml:space="preserve"> </w:t>
      </w:r>
      <w:r w:rsidR="00755BC6">
        <w:t>compliance with</w:t>
      </w:r>
      <w:r w:rsidR="00755BC6" w:rsidRPr="0046588F">
        <w:t xml:space="preserve"> the SES beyond</w:t>
      </w:r>
      <w:r w:rsidR="00755BC6">
        <w:t xml:space="preserve"> those activities funded through UNDP’s accounts</w:t>
      </w:r>
      <w:r w:rsidR="00604339">
        <w:t xml:space="preserve">, the entire </w:t>
      </w:r>
      <w:proofErr w:type="spellStart"/>
      <w:r w:rsidR="00E60CC0">
        <w:t>programme</w:t>
      </w:r>
      <w:proofErr w:type="spellEnd"/>
      <w:r w:rsidR="00604339">
        <w:t xml:space="preserve"> or </w:t>
      </w:r>
      <w:r w:rsidR="00E60CC0">
        <w:t>project</w:t>
      </w:r>
      <w:r w:rsidR="00604339">
        <w:t xml:space="preserve"> </w:t>
      </w:r>
      <w:r w:rsidR="00867E94">
        <w:t xml:space="preserve">is reviewed </w:t>
      </w:r>
      <w:r w:rsidR="00604339">
        <w:t xml:space="preserve">for consistency with the </w:t>
      </w:r>
      <w:r w:rsidR="00604339" w:rsidRPr="00D43B02">
        <w:t>requirements</w:t>
      </w:r>
      <w:r w:rsidR="00604339">
        <w:t xml:space="preserve"> of the SES</w:t>
      </w:r>
      <w:r w:rsidR="008A6246">
        <w:t>.</w:t>
      </w:r>
      <w:r w:rsidR="00604339" w:rsidRPr="0046588F">
        <w:t xml:space="preserve"> </w:t>
      </w:r>
    </w:p>
    <w:p w14:paraId="3354D24C" w14:textId="636C144E" w:rsidR="0023629B" w:rsidRDefault="0023629B" w:rsidP="00AC7F5D">
      <w:pPr>
        <w:pStyle w:val="SEQSbodynumbered"/>
      </w:pPr>
      <w:r>
        <w:t xml:space="preserve">When the </w:t>
      </w:r>
      <w:r w:rsidR="00F712FA">
        <w:t>i</w:t>
      </w:r>
      <w:r>
        <w:t xml:space="preserve">mplementing </w:t>
      </w:r>
      <w:r w:rsidR="00F712FA">
        <w:t>p</w:t>
      </w:r>
      <w:r>
        <w:t>artner</w:t>
      </w:r>
      <w:r>
        <w:rPr>
          <w:rStyle w:val="FootnoteReference"/>
        </w:rPr>
        <w:footnoteReference w:id="7"/>
      </w:r>
      <w:r>
        <w:t xml:space="preserve"> is a government institution (National Implementation Modality</w:t>
      </w:r>
      <w:r w:rsidR="003F1FEE">
        <w:t xml:space="preserve"> or “NIM”</w:t>
      </w:r>
      <w:r>
        <w:t xml:space="preserve">), UN entity, inter-governmental organization, or </w:t>
      </w:r>
      <w:r w:rsidR="003F1FEE">
        <w:t>nongovernmental organization (NGO)</w:t>
      </w:r>
      <w:r>
        <w:t xml:space="preserve">, </w:t>
      </w:r>
      <w:r w:rsidR="00673120">
        <w:t>it is</w:t>
      </w:r>
      <w:r>
        <w:t xml:space="preserve"> </w:t>
      </w:r>
      <w:r>
        <w:lastRenderedPageBreak/>
        <w:t>responsible and accountable to UNDP</w:t>
      </w:r>
      <w:r w:rsidR="00A63F61">
        <w:t xml:space="preserve"> for overall management of the </w:t>
      </w:r>
      <w:r w:rsidR="00E60CC0">
        <w:t>project</w:t>
      </w:r>
      <w:r>
        <w:t>.</w:t>
      </w:r>
      <w:r w:rsidRPr="006878F8">
        <w:t xml:space="preserve"> </w:t>
      </w:r>
      <w:r>
        <w:t xml:space="preserve">UNDP remains ultimately accountable to </w:t>
      </w:r>
      <w:r w:rsidR="00673120">
        <w:t xml:space="preserve">its </w:t>
      </w:r>
      <w:r>
        <w:t>Executive Board and respective donor(s) for the sound use of financial resources channeled through UNDP accounts and must ensure the quality of its support. Implementation of the SES is</w:t>
      </w:r>
      <w:r w:rsidR="00604339">
        <w:t xml:space="preserve"> therefore</w:t>
      </w:r>
      <w:r>
        <w:t xml:space="preserve"> integral to UNDP’s quality assurance responsibilities. </w:t>
      </w:r>
    </w:p>
    <w:p w14:paraId="58148B7E" w14:textId="637CE384" w:rsidR="001E4AD8" w:rsidRPr="009D07A0" w:rsidRDefault="00752858" w:rsidP="00787CB3">
      <w:pPr>
        <w:pStyle w:val="SEQSbodynumbered"/>
      </w:pPr>
      <w:r w:rsidRPr="009D07A0">
        <w:t xml:space="preserve">UNDP </w:t>
      </w:r>
      <w:r w:rsidR="008E6B29" w:rsidRPr="009D07A0">
        <w:t>supports sustainab</w:t>
      </w:r>
      <w:r w:rsidR="00E909AA" w:rsidRPr="009D07A0">
        <w:t xml:space="preserve">le practices </w:t>
      </w:r>
      <w:r w:rsidR="00974126" w:rsidRPr="009D07A0">
        <w:t>in</w:t>
      </w:r>
      <w:r w:rsidR="008E6B29" w:rsidRPr="009D07A0">
        <w:t xml:space="preserve"> </w:t>
      </w:r>
      <w:r w:rsidR="00974126" w:rsidRPr="009D07A0">
        <w:t>contracting and</w:t>
      </w:r>
      <w:r w:rsidR="008E6B29" w:rsidRPr="009D07A0">
        <w:t xml:space="preserve"> procuring goods and services. </w:t>
      </w:r>
      <w:r w:rsidR="000C6CED">
        <w:t xml:space="preserve">Procurement of </w:t>
      </w:r>
      <w:r w:rsidR="005B5F38">
        <w:t xml:space="preserve">certain </w:t>
      </w:r>
      <w:r w:rsidR="000C6CED">
        <w:t>goods and services</w:t>
      </w:r>
      <w:r w:rsidR="005B5F38">
        <w:t xml:space="preserve"> may at times present social and environmental risks. </w:t>
      </w:r>
      <w:r w:rsidR="00445176" w:rsidRPr="00445176">
        <w:t>UNDP’s Sustainable Procurement Policy</w:t>
      </w:r>
      <w:r w:rsidR="00445176" w:rsidRPr="00445176">
        <w:rPr>
          <w:vertAlign w:val="superscript"/>
        </w:rPr>
        <w:footnoteReference w:id="8"/>
      </w:r>
      <w:r w:rsidR="00445176" w:rsidRPr="00445176">
        <w:t xml:space="preserve"> seeks to </w:t>
      </w:r>
      <w:r w:rsidR="001A4071">
        <w:t xml:space="preserve">identify such risks and to </w:t>
      </w:r>
      <w:r w:rsidR="00445176" w:rsidRPr="00445176">
        <w:t>maximize environmental, social and economic considerations in the procurement process whenever possibl</w:t>
      </w:r>
      <w:r w:rsidR="00445176">
        <w:t>e.</w:t>
      </w:r>
      <w:r w:rsidR="000C6CED">
        <w:t xml:space="preserve"> </w:t>
      </w:r>
      <w:r w:rsidR="00445176" w:rsidRPr="009D07A0">
        <w:t xml:space="preserve">UNDP </w:t>
      </w:r>
      <w:r w:rsidR="001A4071">
        <w:t xml:space="preserve">promotes sourcing from responsible suppliers and </w:t>
      </w:r>
      <w:r w:rsidR="00445176" w:rsidRPr="009D07A0">
        <w:t>requires contractors to comply with</w:t>
      </w:r>
      <w:r w:rsidR="00445176">
        <w:t>,</w:t>
      </w:r>
      <w:r w:rsidR="00445176" w:rsidRPr="009D07A0">
        <w:t xml:space="preserve"> among other policies</w:t>
      </w:r>
      <w:r w:rsidR="00445176">
        <w:t>,</w:t>
      </w:r>
      <w:r w:rsidR="00445176" w:rsidRPr="009D07A0">
        <w:t xml:space="preserve"> the SES</w:t>
      </w:r>
      <w:r w:rsidR="00445176" w:rsidRPr="00445176">
        <w:t>.</w:t>
      </w:r>
      <w:r w:rsidR="00445176" w:rsidRPr="00445176">
        <w:rPr>
          <w:vertAlign w:val="superscript"/>
        </w:rPr>
        <w:footnoteReference w:id="9"/>
      </w:r>
      <w:r w:rsidR="00445176" w:rsidRPr="00445176">
        <w:t xml:space="preserve"> </w:t>
      </w:r>
    </w:p>
    <w:p w14:paraId="27385178" w14:textId="39423EFE" w:rsidR="00553DDD" w:rsidRPr="003903D7" w:rsidRDefault="001E4AD8" w:rsidP="007834FA">
      <w:pPr>
        <w:pStyle w:val="SEQSbodynumbered"/>
      </w:pPr>
      <w:r w:rsidRPr="003903D7">
        <w:t xml:space="preserve">UNDP is responsible for informing all </w:t>
      </w:r>
      <w:r w:rsidR="00F712FA">
        <w:t>i</w:t>
      </w:r>
      <w:r w:rsidR="003903D7" w:rsidRPr="003903D7">
        <w:t xml:space="preserve">mplementing </w:t>
      </w:r>
      <w:r w:rsidR="00F712FA">
        <w:t>p</w:t>
      </w:r>
      <w:r w:rsidR="003903D7" w:rsidRPr="003903D7">
        <w:t xml:space="preserve">artners, </w:t>
      </w:r>
      <w:r w:rsidR="00F712FA">
        <w:t>r</w:t>
      </w:r>
      <w:r w:rsidRPr="003903D7">
        <w:t xml:space="preserve">esponsible </w:t>
      </w:r>
      <w:r w:rsidR="00F712FA">
        <w:t>p</w:t>
      </w:r>
      <w:r w:rsidRPr="003903D7">
        <w:t>arties</w:t>
      </w:r>
      <w:r w:rsidR="00F712FA">
        <w:rPr>
          <w:rStyle w:val="FootnoteReference"/>
        </w:rPr>
        <w:footnoteReference w:id="10"/>
      </w:r>
      <w:r w:rsidR="003903D7" w:rsidRPr="003903D7">
        <w:t xml:space="preserve"> and relevant contract holders</w:t>
      </w:r>
      <w:r w:rsidRPr="003903D7">
        <w:t xml:space="preserve"> of their obligations to address the SES</w:t>
      </w:r>
      <w:r w:rsidR="00EE477C">
        <w:t xml:space="preserve"> in their respective activities</w:t>
      </w:r>
      <w:r w:rsidR="00723DFD" w:rsidRPr="003903D7">
        <w:t>.</w:t>
      </w:r>
      <w:r w:rsidR="00723DFD">
        <w:t xml:space="preserve"> </w:t>
      </w:r>
    </w:p>
    <w:p w14:paraId="5247A3CB" w14:textId="77777777" w:rsidR="002355B3" w:rsidRPr="00593B06" w:rsidRDefault="00B453F1" w:rsidP="00A42F72">
      <w:pPr>
        <w:pStyle w:val="Heading1"/>
        <w:rPr>
          <w:highlight w:val="yellow"/>
        </w:rPr>
      </w:pPr>
      <w:bookmarkStart w:id="3" w:name="_Toc14683692"/>
      <w:r>
        <w:t xml:space="preserve">PART A: </w:t>
      </w:r>
      <w:r w:rsidR="00CA1A24" w:rsidRPr="00A42F72">
        <w:t xml:space="preserve">Programming </w:t>
      </w:r>
      <w:r w:rsidR="002355B3" w:rsidRPr="00A42F72">
        <w:t>Principles</w:t>
      </w:r>
      <w:bookmarkEnd w:id="3"/>
    </w:p>
    <w:p w14:paraId="21639683" w14:textId="62E9AAF9" w:rsidR="001D2CD0" w:rsidRPr="00CA3551" w:rsidRDefault="001D2CD0" w:rsidP="00D515A1">
      <w:pPr>
        <w:pStyle w:val="SEQSbodynumbered"/>
      </w:pPr>
      <w:r w:rsidRPr="00CA3551">
        <w:t xml:space="preserve">UNDP applies the United Nations </w:t>
      </w:r>
      <w:r w:rsidR="00551F64">
        <w:t xml:space="preserve">Sustainable </w:t>
      </w:r>
      <w:r w:rsidRPr="00CA3551">
        <w:t>Development Group (UN</w:t>
      </w:r>
      <w:r w:rsidR="00551F64">
        <w:t>S</w:t>
      </w:r>
      <w:r w:rsidRPr="00CA3551">
        <w:t xml:space="preserve">DG) </w:t>
      </w:r>
      <w:r w:rsidR="00D37E22">
        <w:t>guiding</w:t>
      </w:r>
      <w:r>
        <w:t xml:space="preserve"> principles for UN </w:t>
      </w:r>
      <w:r w:rsidR="00D37E22">
        <w:t xml:space="preserve">Sustainable </w:t>
      </w:r>
      <w:r>
        <w:t xml:space="preserve">Development </w:t>
      </w:r>
      <w:r w:rsidR="00D37E22">
        <w:t xml:space="preserve">Cooperation </w:t>
      </w:r>
      <w:r>
        <w:t>Frameworks (</w:t>
      </w:r>
      <w:r w:rsidR="00AC7958">
        <w:t>Cooperation Frameworks</w:t>
      </w:r>
      <w:r>
        <w:t>)</w:t>
      </w:r>
      <w:r w:rsidRPr="00CA3551">
        <w:t>.</w:t>
      </w:r>
      <w:r w:rsidRPr="00CA3551">
        <w:rPr>
          <w:rStyle w:val="FootnoteReference"/>
          <w:szCs w:val="20"/>
        </w:rPr>
        <w:footnoteReference w:id="11"/>
      </w:r>
      <w:r w:rsidRPr="00CA3551">
        <w:t xml:space="preserve"> </w:t>
      </w:r>
      <w:r>
        <w:t>These principles form t</w:t>
      </w:r>
      <w:r w:rsidRPr="001263FE">
        <w:t xml:space="preserve">he normative foundation for the </w:t>
      </w:r>
      <w:r w:rsidR="00AC7958">
        <w:t xml:space="preserve">Cooperation Framework </w:t>
      </w:r>
      <w:r w:rsidRPr="001263FE">
        <w:t>and integrated programming in all country contexts, wit</w:t>
      </w:r>
      <w:r>
        <w:t>h</w:t>
      </w:r>
      <w:r w:rsidRPr="00593B06">
        <w:rPr>
          <w:b/>
        </w:rPr>
        <w:t xml:space="preserve"> “leave no one behind</w:t>
      </w:r>
      <w:r>
        <w:rPr>
          <w:b/>
        </w:rPr>
        <w:t>”</w:t>
      </w:r>
      <w:r w:rsidRPr="001263FE">
        <w:t xml:space="preserve"> as the overarching and unifying principle</w:t>
      </w:r>
      <w:r>
        <w:t xml:space="preserve">. Leaving no one behind and reaching the furthest behind first is at the core of programming and advocacy efforts across all UN agendas. This principle is </w:t>
      </w:r>
      <w:r w:rsidR="00D37E22">
        <w:t xml:space="preserve">further </w:t>
      </w:r>
      <w:r>
        <w:t xml:space="preserve">elaborated through the </w:t>
      </w:r>
      <w:r w:rsidR="00D37E22">
        <w:t>guiding</w:t>
      </w:r>
      <w:r>
        <w:t xml:space="preserve"> principles of</w:t>
      </w:r>
      <w:r w:rsidRPr="001263FE">
        <w:t xml:space="preserve"> </w:t>
      </w:r>
      <w:r>
        <w:t>human rights</w:t>
      </w:r>
      <w:r w:rsidR="007B6A5A">
        <w:t>;</w:t>
      </w:r>
      <w:r>
        <w:t xml:space="preserve"> </w:t>
      </w:r>
      <w:r w:rsidRPr="001263FE">
        <w:t>gender equality and women’s empowerment; sustainability and resilience; and</w:t>
      </w:r>
      <w:r>
        <w:t xml:space="preserve"> </w:t>
      </w:r>
      <w:r w:rsidRPr="001263FE">
        <w:t>accountability</w:t>
      </w:r>
      <w:r>
        <w:t>. The</w:t>
      </w:r>
      <w:r w:rsidRPr="00CA3551">
        <w:t xml:space="preserve"> </w:t>
      </w:r>
      <w:r>
        <w:t>SES</w:t>
      </w:r>
      <w:r w:rsidRPr="00CA3551">
        <w:t xml:space="preserve"> reinforce </w:t>
      </w:r>
      <w:r w:rsidR="001C4565">
        <w:t>a “principled</w:t>
      </w:r>
      <w:r w:rsidR="003360A0">
        <w:t>”</w:t>
      </w:r>
      <w:r w:rsidR="001C4565">
        <w:rPr>
          <w:rStyle w:val="FootnoteReference"/>
        </w:rPr>
        <w:footnoteReference w:id="12"/>
      </w:r>
      <w:r w:rsidR="001C4565">
        <w:t xml:space="preserve"> approach to all UNDP programming.</w:t>
      </w:r>
      <w:r>
        <w:t xml:space="preserve"> </w:t>
      </w:r>
    </w:p>
    <w:p w14:paraId="0491EB6C" w14:textId="39510194" w:rsidR="008B093B" w:rsidRDefault="008B093B" w:rsidP="00BA3A5F">
      <w:pPr>
        <w:pStyle w:val="Heading2"/>
      </w:pPr>
      <w:bookmarkStart w:id="4" w:name="_Toc14683693"/>
      <w:r w:rsidRPr="00593B06">
        <w:t>Leave No One Behind</w:t>
      </w:r>
      <w:bookmarkEnd w:id="4"/>
    </w:p>
    <w:p w14:paraId="6D013AD0" w14:textId="1BAA3F4F" w:rsidR="0014394D" w:rsidRPr="009D2731" w:rsidRDefault="00D4233E" w:rsidP="00D515A1">
      <w:pPr>
        <w:pStyle w:val="SEQSbodynumbered"/>
      </w:pPr>
      <w:r w:rsidRPr="00D4233E">
        <w:t xml:space="preserve">Leaving no one behind and reaching the furthest behind first is the central promise of the 2030 Agenda. As an overarching programming principle, leaving no one behind requires </w:t>
      </w:r>
      <w:r w:rsidR="001C4565">
        <w:t>UNDP</w:t>
      </w:r>
      <w:r w:rsidRPr="00D4233E">
        <w:t xml:space="preserve"> to prioritize its programmatic interventions to address the situation of those most marginalized, discriminated and excluded, and to empower them as active agents of the development process. </w:t>
      </w:r>
      <w:r w:rsidR="00191B92" w:rsidRPr="00191B92">
        <w:t xml:space="preserve">All persons living in extreme poverty, in any form, are left behind, together with those enduring disadvantage(s) that </w:t>
      </w:r>
      <w:r w:rsidR="00191B92" w:rsidRPr="00191B92">
        <w:lastRenderedPageBreak/>
        <w:t>deny or limit their choices and opportunities relative to others in society.</w:t>
      </w:r>
      <w:r w:rsidR="00233D28">
        <w:t xml:space="preserve"> </w:t>
      </w:r>
      <w:r w:rsidR="00233D28" w:rsidRPr="00673808">
        <w:t xml:space="preserve">In </w:t>
      </w:r>
      <w:r w:rsidR="00CA39E1">
        <w:t>identifying who is being left behind,</w:t>
      </w:r>
      <w:r w:rsidR="00233D28" w:rsidRPr="00673808">
        <w:t xml:space="preserve"> UNDP </w:t>
      </w:r>
      <w:r w:rsidR="00233D28">
        <w:t>considers</w:t>
      </w:r>
      <w:r w:rsidR="00233D28" w:rsidRPr="00673808">
        <w:t xml:space="preserve"> five </w:t>
      </w:r>
      <w:r w:rsidR="00BE143F">
        <w:t xml:space="preserve">key </w:t>
      </w:r>
      <w:r w:rsidR="00233D28" w:rsidRPr="00673808">
        <w:t>factors:</w:t>
      </w:r>
      <w:r w:rsidR="00233D28">
        <w:t xml:space="preserve"> </w:t>
      </w:r>
      <w:r w:rsidR="003F092A">
        <w:t xml:space="preserve">discrimination, </w:t>
      </w:r>
      <w:r w:rsidR="00233D28" w:rsidRPr="00191B92">
        <w:t xml:space="preserve">geography, </w:t>
      </w:r>
      <w:r w:rsidR="003F092A">
        <w:t xml:space="preserve">vulnerability to shocks, </w:t>
      </w:r>
      <w:r w:rsidR="00233D28" w:rsidRPr="00191B92">
        <w:t>governance</w:t>
      </w:r>
      <w:r w:rsidR="003F092A">
        <w:t xml:space="preserve"> and </w:t>
      </w:r>
      <w:r w:rsidR="00233D28" w:rsidRPr="00191B92">
        <w:t>socio-economic status</w:t>
      </w:r>
      <w:r w:rsidR="00233D28">
        <w:t>.</w:t>
      </w:r>
      <w:r w:rsidR="00233D28" w:rsidRPr="00191B92">
        <w:rPr>
          <w:vertAlign w:val="superscript"/>
        </w:rPr>
        <w:footnoteReference w:id="13"/>
      </w:r>
      <w:r w:rsidR="00191B92" w:rsidRPr="00191B92">
        <w:t xml:space="preserve"> </w:t>
      </w:r>
      <w:r w:rsidR="005934F6">
        <w:t>At the intersection of these factors, people face multiple reinforcing sources of deprivation and inequalities</w:t>
      </w:r>
      <w:r w:rsidR="00701991">
        <w:t>.</w:t>
      </w:r>
      <w:r w:rsidR="003F092A">
        <w:t xml:space="preserve"> </w:t>
      </w:r>
      <w:r w:rsidR="003F092A" w:rsidRPr="003F092A">
        <w:t>Programming to leave no one behind should follow the rights-based approach to development, including the application of a gender perspective</w:t>
      </w:r>
      <w:r w:rsidR="003F092A">
        <w:t>. A</w:t>
      </w:r>
      <w:r w:rsidR="003F092A" w:rsidRPr="003F092A">
        <w:t xml:space="preserve">ctions and decisions that improve the lives of poor, excluded and marginalized groups and that address inequalities and discrimination </w:t>
      </w:r>
      <w:r w:rsidR="003F092A">
        <w:t>include advocacy</w:t>
      </w:r>
      <w:r w:rsidR="00B73B5F">
        <w:t xml:space="preserve">, </w:t>
      </w:r>
      <w:r w:rsidR="003F092A">
        <w:t>creating enabling environments, capacity development and support for civil society, community empowerment, and enhancing the quality and accessibility of services.</w:t>
      </w:r>
      <w:r w:rsidR="0076008B">
        <w:rPr>
          <w:rStyle w:val="FootnoteReference"/>
        </w:rPr>
        <w:footnoteReference w:id="14"/>
      </w:r>
      <w:r w:rsidR="003F092A">
        <w:t xml:space="preserve"> </w:t>
      </w:r>
    </w:p>
    <w:p w14:paraId="633A40AF" w14:textId="4EFC2420" w:rsidR="00F20202" w:rsidRDefault="00F20202" w:rsidP="0014394D">
      <w:pPr>
        <w:pStyle w:val="Heading2"/>
      </w:pPr>
      <w:bookmarkStart w:id="5" w:name="_Toc14683694"/>
      <w:r w:rsidRPr="00593B06">
        <w:t>Human Rights</w:t>
      </w:r>
      <w:bookmarkEnd w:id="5"/>
    </w:p>
    <w:p w14:paraId="7424A13D" w14:textId="77777777" w:rsidR="00B743DE" w:rsidRDefault="008462E4" w:rsidP="00D515A1">
      <w:pPr>
        <w:pStyle w:val="SEQSbodynumbered"/>
      </w:pPr>
      <w:r>
        <w:t xml:space="preserve">UNDP </w:t>
      </w:r>
      <w:r w:rsidRPr="008462E4">
        <w:t xml:space="preserve">recognizes the centrality of human rights to </w:t>
      </w:r>
      <w:r w:rsidR="002F7EB6">
        <w:t>sustainable development, poverty alleviation</w:t>
      </w:r>
      <w:r w:rsidR="00B73B5F">
        <w:t>, sustaining peace</w:t>
      </w:r>
      <w:r w:rsidR="002F7EB6">
        <w:t xml:space="preserve"> and </w:t>
      </w:r>
      <w:r w:rsidRPr="008462E4">
        <w:t>ensurin</w:t>
      </w:r>
      <w:r w:rsidR="0013187C">
        <w:t>g fair distribution of development opportunities and benefits</w:t>
      </w:r>
      <w:r w:rsidR="00040F78">
        <w:t xml:space="preserve"> and</w:t>
      </w:r>
      <w:r w:rsidR="00F613A2">
        <w:t xml:space="preserve"> is committed to </w:t>
      </w:r>
      <w:r w:rsidR="00644F51">
        <w:t xml:space="preserve">supporting </w:t>
      </w:r>
      <w:r w:rsidR="00F613A2">
        <w:t>“</w:t>
      </w:r>
      <w:r w:rsidR="00634473" w:rsidRPr="00634473">
        <w:t>universal respect for, and observance of, human rights and fundamental freedoms for all</w:t>
      </w:r>
      <w:r w:rsidR="00F613A2">
        <w:t>.</w:t>
      </w:r>
      <w:r w:rsidR="00683608">
        <w:t>”</w:t>
      </w:r>
      <w:r w:rsidR="002154E1">
        <w:rPr>
          <w:rStyle w:val="FootnoteReference"/>
        </w:rPr>
        <w:footnoteReference w:id="15"/>
      </w:r>
      <w:r w:rsidR="00F613A2">
        <w:t xml:space="preserve"> </w:t>
      </w:r>
    </w:p>
    <w:p w14:paraId="3C4A9C1E" w14:textId="6200D895" w:rsidR="00634473" w:rsidRPr="00634473" w:rsidRDefault="00AF2BEE" w:rsidP="00AC7F5D">
      <w:pPr>
        <w:pStyle w:val="SEQSbodynumbered"/>
      </w:pPr>
      <w:r>
        <w:t xml:space="preserve">UNDP </w:t>
      </w:r>
      <w:r w:rsidR="00644F51">
        <w:t xml:space="preserve">adheres to </w:t>
      </w:r>
      <w:r>
        <w:t>the</w:t>
      </w:r>
      <w:r w:rsidR="00634473" w:rsidRPr="00634473">
        <w:t xml:space="preserve"> United Nations </w:t>
      </w:r>
      <w:r w:rsidR="007478D5">
        <w:t>Development Group (UN</w:t>
      </w:r>
      <w:r w:rsidR="00154494">
        <w:t xml:space="preserve">DG) </w:t>
      </w:r>
      <w:r w:rsidR="00634473" w:rsidRPr="00634473">
        <w:t>Statement of Common Understanding of the Human Rights-Based Approach to Development</w:t>
      </w:r>
      <w:r w:rsidR="00964029">
        <w:t xml:space="preserve"> Cooperation and Programming</w:t>
      </w:r>
      <w:r w:rsidR="00634473" w:rsidRPr="00634473">
        <w:t xml:space="preserve"> (UN Common Understanding)</w:t>
      </w:r>
      <w:r w:rsidR="0043619F">
        <w:rPr>
          <w:rStyle w:val="FootnoteReference"/>
        </w:rPr>
        <w:footnoteReference w:id="16"/>
      </w:r>
      <w:r w:rsidR="00634473" w:rsidRPr="00634473">
        <w:t xml:space="preserve"> </w:t>
      </w:r>
      <w:r w:rsidR="00B743DE">
        <w:rPr>
          <w:spacing w:val="-1"/>
        </w:rPr>
        <w:t xml:space="preserve">which outlines that development </w:t>
      </w:r>
      <w:proofErr w:type="spellStart"/>
      <w:r w:rsidR="00B743DE">
        <w:rPr>
          <w:spacing w:val="-1"/>
        </w:rPr>
        <w:t>programmes</w:t>
      </w:r>
      <w:proofErr w:type="spellEnd"/>
      <w:r w:rsidR="00B743DE">
        <w:rPr>
          <w:spacing w:val="-1"/>
        </w:rPr>
        <w:t xml:space="preserve"> and policies should further the realization of human rights as laid down in the Universal Declaration of Human Rights and other human rights instruments</w:t>
      </w:r>
      <w:r w:rsidR="00D06574">
        <w:rPr>
          <w:spacing w:val="-1"/>
        </w:rPr>
        <w:t xml:space="preserve">. </w:t>
      </w:r>
      <w:r w:rsidR="00D06574" w:rsidRPr="00B743DE">
        <w:t>UNDP’s Strategic Plan 201</w:t>
      </w:r>
      <w:r w:rsidR="00D82C53">
        <w:t>8</w:t>
      </w:r>
      <w:r w:rsidR="00D06574" w:rsidRPr="00B743DE">
        <w:t>-20</w:t>
      </w:r>
      <w:r w:rsidR="00D82C53">
        <w:t>21</w:t>
      </w:r>
      <w:r w:rsidR="00D06574" w:rsidRPr="00B743DE">
        <w:t xml:space="preserve"> also recognizes the </w:t>
      </w:r>
      <w:r w:rsidR="002353E2">
        <w:t xml:space="preserve">protection of human rights as </w:t>
      </w:r>
      <w:r w:rsidR="002B7291" w:rsidRPr="002B7291">
        <w:t xml:space="preserve">a core development need </w:t>
      </w:r>
      <w:r w:rsidR="002353E2">
        <w:t xml:space="preserve">central to addressing </w:t>
      </w:r>
      <w:r w:rsidR="002B7291">
        <w:t xml:space="preserve">key </w:t>
      </w:r>
      <w:r w:rsidR="002353E2">
        <w:t>development challenges</w:t>
      </w:r>
      <w:r w:rsidR="00D06574" w:rsidRPr="00B743DE">
        <w:t>.</w:t>
      </w:r>
      <w:r w:rsidR="00831BB8">
        <w:rPr>
          <w:rStyle w:val="FootnoteReference"/>
        </w:rPr>
        <w:footnoteReference w:id="17"/>
      </w:r>
      <w:r w:rsidR="00DC5E96">
        <w:t xml:space="preserve"> </w:t>
      </w:r>
    </w:p>
    <w:p w14:paraId="15540796" w14:textId="36788CFE" w:rsidR="00AA3876" w:rsidRPr="00A5638E" w:rsidRDefault="00726F3C" w:rsidP="007834FA">
      <w:pPr>
        <w:pStyle w:val="SEQSbodynumbered"/>
      </w:pPr>
      <w:r>
        <w:t>In furthering the realization of rights, UNDP refrain</w:t>
      </w:r>
      <w:r w:rsidR="00867E94">
        <w:t>s</w:t>
      </w:r>
      <w:r>
        <w:t xml:space="preserve"> from providing support for activities that may contribute to violations of a </w:t>
      </w:r>
      <w:r w:rsidRPr="001E256A">
        <w:t>State’s human rights obligations</w:t>
      </w:r>
      <w:r w:rsidRPr="00A5500D">
        <w:t xml:space="preserve"> and the </w:t>
      </w:r>
      <w:r w:rsidRPr="001E256A">
        <w:t>core international human rights treaties</w:t>
      </w:r>
      <w:r>
        <w:t>,</w:t>
      </w:r>
      <w:r w:rsidR="00E9241A">
        <w:rPr>
          <w:rStyle w:val="FootnoteReference"/>
          <w:spacing w:val="-1"/>
        </w:rPr>
        <w:footnoteReference w:id="18"/>
      </w:r>
      <w:r w:rsidR="00E9241A">
        <w:t xml:space="preserve"> </w:t>
      </w:r>
      <w:r>
        <w:t>and seek</w:t>
      </w:r>
      <w:r w:rsidR="00867E94">
        <w:t>s</w:t>
      </w:r>
      <w:r>
        <w:t xml:space="preserve"> to support the protection and fulfillment</w:t>
      </w:r>
      <w:r w:rsidRPr="001E256A">
        <w:t xml:space="preserve"> of human rights</w:t>
      </w:r>
      <w:r>
        <w:t xml:space="preserve">. </w:t>
      </w:r>
      <w:r w:rsidR="002B7291">
        <w:t xml:space="preserve">UNDP </w:t>
      </w:r>
      <w:proofErr w:type="spellStart"/>
      <w:r w:rsidR="00E60CC0">
        <w:t>programme</w:t>
      </w:r>
      <w:r w:rsidR="002B7291" w:rsidRPr="00B00537">
        <w:t>s</w:t>
      </w:r>
      <w:proofErr w:type="spellEnd"/>
      <w:r w:rsidR="002B7291" w:rsidRPr="00B00537">
        <w:t xml:space="preserve"> and </w:t>
      </w:r>
      <w:r w:rsidR="00E60CC0">
        <w:t>project</w:t>
      </w:r>
      <w:r w:rsidR="002B7291" w:rsidRPr="00B00537">
        <w:t>s are required to be informed by human rights analysis, including from the UN human rights mechanisms (the relevant human rights treaty bodies, the Universal Periodic Review process and Special Procedures).</w:t>
      </w:r>
    </w:p>
    <w:p w14:paraId="53B3D36B" w14:textId="4004B79F" w:rsidR="008907C8" w:rsidRDefault="00F2696F" w:rsidP="007834FA">
      <w:pPr>
        <w:pStyle w:val="SEQSbodynumbered"/>
        <w:rPr>
          <w:lang w:val="en-CA"/>
        </w:rPr>
      </w:pPr>
      <w:r>
        <w:lastRenderedPageBreak/>
        <w:t xml:space="preserve">In its </w:t>
      </w:r>
      <w:proofErr w:type="spellStart"/>
      <w:r w:rsidR="00E60CC0">
        <w:t>programme</w:t>
      </w:r>
      <w:r>
        <w:t>s</w:t>
      </w:r>
      <w:proofErr w:type="spellEnd"/>
      <w:r>
        <w:t xml:space="preserve"> and </w:t>
      </w:r>
      <w:r w:rsidR="00E60CC0">
        <w:t>project</w:t>
      </w:r>
      <w:r>
        <w:t xml:space="preserve">s, </w:t>
      </w:r>
      <w:r w:rsidR="008907C8">
        <w:t>UNDP uphold</w:t>
      </w:r>
      <w:r w:rsidR="00867E94">
        <w:t>s</w:t>
      </w:r>
      <w:r w:rsidR="008907C8">
        <w:t xml:space="preserve"> the </w:t>
      </w:r>
      <w:r w:rsidR="008907C8" w:rsidRPr="00246133">
        <w:rPr>
          <w:lang w:val="en-CA"/>
        </w:rPr>
        <w:t>principles of accountability</w:t>
      </w:r>
      <w:r w:rsidR="008907C8">
        <w:rPr>
          <w:lang w:val="en-CA"/>
        </w:rPr>
        <w:t xml:space="preserve"> and </w:t>
      </w:r>
      <w:r w:rsidR="008907C8" w:rsidRPr="00246133">
        <w:rPr>
          <w:lang w:val="en-CA"/>
        </w:rPr>
        <w:t xml:space="preserve">the rule of law, </w:t>
      </w:r>
      <w:r w:rsidR="008907C8">
        <w:rPr>
          <w:lang w:val="en-CA"/>
        </w:rPr>
        <w:t xml:space="preserve">participation and </w:t>
      </w:r>
      <w:r w:rsidR="008907C8" w:rsidRPr="00246133">
        <w:rPr>
          <w:lang w:val="en-CA"/>
        </w:rPr>
        <w:t>inclusion</w:t>
      </w:r>
      <w:r w:rsidR="008907C8">
        <w:rPr>
          <w:lang w:val="en-CA"/>
        </w:rPr>
        <w:t>, and</w:t>
      </w:r>
      <w:r w:rsidR="008907C8" w:rsidRPr="00246133">
        <w:rPr>
          <w:lang w:val="en-CA"/>
        </w:rPr>
        <w:t xml:space="preserve"> </w:t>
      </w:r>
      <w:r w:rsidR="008907C8">
        <w:rPr>
          <w:lang w:val="en-CA"/>
        </w:rPr>
        <w:t>equality</w:t>
      </w:r>
      <w:r w:rsidR="008907C8" w:rsidRPr="00246133">
        <w:rPr>
          <w:lang w:val="en-CA"/>
        </w:rPr>
        <w:t xml:space="preserve"> </w:t>
      </w:r>
      <w:r w:rsidR="008907C8">
        <w:rPr>
          <w:lang w:val="en-CA"/>
        </w:rPr>
        <w:t xml:space="preserve">and </w:t>
      </w:r>
      <w:r w:rsidR="008907C8" w:rsidRPr="00246133">
        <w:rPr>
          <w:lang w:val="en-CA"/>
        </w:rPr>
        <w:t>non-discrimination,</w:t>
      </w:r>
      <w:r w:rsidR="008907C8">
        <w:rPr>
          <w:rStyle w:val="FootnoteReference"/>
          <w:lang w:val="en-CA"/>
        </w:rPr>
        <w:t xml:space="preserve"> </w:t>
      </w:r>
      <w:r w:rsidR="008907C8">
        <w:rPr>
          <w:lang w:val="en-CA"/>
        </w:rPr>
        <w:t xml:space="preserve">noting that prohibited grounds of discrimination include race, ethnicity, </w:t>
      </w:r>
      <w:r w:rsidR="00DE6059" w:rsidRPr="00F67675">
        <w:rPr>
          <w:lang w:val="en-CA"/>
        </w:rPr>
        <w:t>sex</w:t>
      </w:r>
      <w:r w:rsidR="008907C8" w:rsidRPr="004902B7">
        <w:rPr>
          <w:lang w:val="en-CA"/>
        </w:rPr>
        <w:t>,</w:t>
      </w:r>
      <w:r w:rsidR="008907C8">
        <w:rPr>
          <w:lang w:val="en-CA"/>
        </w:rPr>
        <w:t xml:space="preserve"> age, language, disability, sexual </w:t>
      </w:r>
      <w:r w:rsidR="008907C8" w:rsidRPr="003903D7">
        <w:rPr>
          <w:lang w:val="en-CA"/>
        </w:rPr>
        <w:t xml:space="preserve">orientation, </w:t>
      </w:r>
      <w:r w:rsidR="00CE7D18" w:rsidRPr="003903D7">
        <w:rPr>
          <w:lang w:val="en-CA"/>
        </w:rPr>
        <w:t>gender identity</w:t>
      </w:r>
      <w:r w:rsidR="003E3FF8" w:rsidRPr="003903D7">
        <w:rPr>
          <w:lang w:val="en-CA"/>
        </w:rPr>
        <w:t xml:space="preserve">, </w:t>
      </w:r>
      <w:r w:rsidR="008907C8" w:rsidRPr="003903D7">
        <w:rPr>
          <w:lang w:val="en-CA"/>
        </w:rPr>
        <w:t>religion, polit</w:t>
      </w:r>
      <w:r w:rsidR="00283254" w:rsidRPr="003903D7">
        <w:rPr>
          <w:lang w:val="en-CA"/>
        </w:rPr>
        <w:t>ical or other opinion, national or</w:t>
      </w:r>
      <w:r w:rsidR="008907C8" w:rsidRPr="003903D7">
        <w:rPr>
          <w:lang w:val="en-CA"/>
        </w:rPr>
        <w:t xml:space="preserve"> social or geographical origin, pro</w:t>
      </w:r>
      <w:r w:rsidR="008907C8">
        <w:rPr>
          <w:lang w:val="en-CA"/>
        </w:rPr>
        <w:t>perty, birth</w:t>
      </w:r>
      <w:r w:rsidR="00AC7958">
        <w:rPr>
          <w:lang w:val="en-CA"/>
        </w:rPr>
        <w:t>,</w:t>
      </w:r>
      <w:r w:rsidR="008907C8">
        <w:rPr>
          <w:lang w:val="en-CA"/>
        </w:rPr>
        <w:t xml:space="preserve"> </w:t>
      </w:r>
      <w:r w:rsidR="00015F90">
        <w:rPr>
          <w:lang w:val="en-CA"/>
        </w:rPr>
        <w:t xml:space="preserve">health status </w:t>
      </w:r>
      <w:r w:rsidR="008907C8">
        <w:rPr>
          <w:lang w:val="en-CA"/>
        </w:rPr>
        <w:t xml:space="preserve">or other status including as an indigenous person or as a member of a minority. </w:t>
      </w:r>
      <w:r w:rsidR="008907C8" w:rsidRPr="00A04960">
        <w:rPr>
          <w:lang w:val="en-CA"/>
        </w:rPr>
        <w:t>UNDP also ensure</w:t>
      </w:r>
      <w:r w:rsidR="00867E94">
        <w:rPr>
          <w:lang w:val="en-CA"/>
        </w:rPr>
        <w:t>s</w:t>
      </w:r>
      <w:r w:rsidR="008907C8" w:rsidRPr="00A04960">
        <w:rPr>
          <w:lang w:val="en-CA"/>
        </w:rPr>
        <w:t xml:space="preserve"> </w:t>
      </w:r>
      <w:r w:rsidR="008907C8">
        <w:rPr>
          <w:lang w:val="en-CA"/>
        </w:rPr>
        <w:t xml:space="preserve">the </w:t>
      </w:r>
      <w:r w:rsidR="008907C8" w:rsidRPr="00A04960">
        <w:rPr>
          <w:lang w:val="en-CA"/>
        </w:rPr>
        <w:t>meaningful, effective and informed participation of stakeholders in the formulation, implementation</w:t>
      </w:r>
      <w:r>
        <w:rPr>
          <w:lang w:val="en-CA"/>
        </w:rPr>
        <w:t xml:space="preserve">, monitoring and evaluation of </w:t>
      </w:r>
      <w:r w:rsidR="00E60CC0">
        <w:rPr>
          <w:lang w:val="en-CA"/>
        </w:rPr>
        <w:t>programme</w:t>
      </w:r>
      <w:r>
        <w:rPr>
          <w:lang w:val="en-CA"/>
        </w:rPr>
        <w:t xml:space="preserve">s and </w:t>
      </w:r>
      <w:r w:rsidR="00E60CC0">
        <w:rPr>
          <w:lang w:val="en-CA"/>
        </w:rPr>
        <w:t>project</w:t>
      </w:r>
      <w:r w:rsidR="008907C8" w:rsidRPr="00A04960">
        <w:rPr>
          <w:lang w:val="en-CA"/>
        </w:rPr>
        <w:t>s.</w:t>
      </w:r>
    </w:p>
    <w:p w14:paraId="34C2861D" w14:textId="2EABE7DF" w:rsidR="00B00537" w:rsidRPr="008D7477" w:rsidRDefault="00A05EC0">
      <w:pPr>
        <w:pStyle w:val="SEQSbodynumbered"/>
        <w:rPr>
          <w:lang w:val="en-CA"/>
        </w:rPr>
      </w:pPr>
      <w:r>
        <w:rPr>
          <w:lang w:val="en-CA"/>
        </w:rPr>
        <w:t>UND</w:t>
      </w:r>
      <w:r w:rsidR="0045250B">
        <w:rPr>
          <w:lang w:val="en-CA"/>
        </w:rPr>
        <w:t xml:space="preserve">P </w:t>
      </w:r>
      <w:r w:rsidR="00E60CC0">
        <w:rPr>
          <w:lang w:val="en-CA"/>
        </w:rPr>
        <w:t>programme</w:t>
      </w:r>
      <w:r w:rsidR="0045250B">
        <w:rPr>
          <w:lang w:val="en-CA"/>
        </w:rPr>
        <w:t xml:space="preserve">s and </w:t>
      </w:r>
      <w:r w:rsidR="00E60CC0">
        <w:rPr>
          <w:lang w:val="en-CA"/>
        </w:rPr>
        <w:t>project</w:t>
      </w:r>
      <w:r w:rsidR="0045250B">
        <w:rPr>
          <w:lang w:val="en-CA"/>
        </w:rPr>
        <w:t xml:space="preserve">s </w:t>
      </w:r>
      <w:r w:rsidR="00867E94">
        <w:rPr>
          <w:lang w:val="en-CA"/>
        </w:rPr>
        <w:t>are</w:t>
      </w:r>
      <w:r w:rsidR="0045250B" w:rsidRPr="0045250B">
        <w:t xml:space="preserve"> inclusive of and accessible to persons with disabilities</w:t>
      </w:r>
      <w:r w:rsidR="00A63047">
        <w:t xml:space="preserve">, </w:t>
      </w:r>
      <w:r w:rsidR="00613116">
        <w:t xml:space="preserve">with </w:t>
      </w:r>
      <w:r w:rsidR="00AA765A">
        <w:t>reasonable accommodations</w:t>
      </w:r>
      <w:r w:rsidR="00AA765A">
        <w:rPr>
          <w:rStyle w:val="FootnoteReference"/>
        </w:rPr>
        <w:footnoteReference w:id="19"/>
      </w:r>
      <w:r w:rsidR="00AA765A">
        <w:t xml:space="preserve"> </w:t>
      </w:r>
      <w:r w:rsidR="00613116">
        <w:t>provided</w:t>
      </w:r>
      <w:r w:rsidR="00AA765A" w:rsidRPr="00AA765A">
        <w:t xml:space="preserve"> to ensure </w:t>
      </w:r>
      <w:r w:rsidR="008B1D09">
        <w:t xml:space="preserve">that </w:t>
      </w:r>
      <w:r w:rsidR="00AA765A" w:rsidRPr="00AA765A">
        <w:t>persons with disabilities</w:t>
      </w:r>
      <w:r w:rsidR="008B1D09">
        <w:t xml:space="preserve"> </w:t>
      </w:r>
      <w:r w:rsidR="00613116">
        <w:t>can</w:t>
      </w:r>
      <w:r w:rsidR="00613116" w:rsidRPr="00AA765A">
        <w:t xml:space="preserve"> </w:t>
      </w:r>
      <w:r w:rsidR="00AA765A" w:rsidRPr="00AA765A">
        <w:t>exercise all human rights and fundamental freedoms</w:t>
      </w:r>
      <w:r w:rsidR="008B1D09">
        <w:t xml:space="preserve"> </w:t>
      </w:r>
      <w:r w:rsidR="008B1D09" w:rsidRPr="00AA765A">
        <w:t>on an equal basis with others</w:t>
      </w:r>
      <w:r w:rsidR="008B1D09">
        <w:t>.</w:t>
      </w:r>
    </w:p>
    <w:p w14:paraId="259FE300" w14:textId="6250785D" w:rsidR="005C13D4" w:rsidRPr="00246133" w:rsidRDefault="00C6386D">
      <w:pPr>
        <w:pStyle w:val="SEQSbodynumbered"/>
        <w:rPr>
          <w:lang w:val="en-CA"/>
        </w:rPr>
      </w:pPr>
      <w:r>
        <w:rPr>
          <w:lang w:bidi="th-TH"/>
        </w:rPr>
        <w:t>UNDP seeks to support governments to adhere to their human rights obligations and empower individuals and groups, particularly the most marginalized, to realize their rights and to ensure that they fully participate throughout UNDP’s programming cycle.</w:t>
      </w:r>
      <w:r w:rsidR="003903D7">
        <w:rPr>
          <w:lang w:bidi="th-TH"/>
        </w:rPr>
        <w:t xml:space="preserve"> </w:t>
      </w:r>
      <w:r w:rsidR="00B67B8A">
        <w:t>UNDP seeks to support State efforts to meet their human rights obligations as requested</w:t>
      </w:r>
      <w:r w:rsidR="00B00537">
        <w:t xml:space="preserve">. </w:t>
      </w:r>
      <w:r w:rsidR="00B67B8A">
        <w:t xml:space="preserve">UNDP does not have a monitoring role with respect to human </w:t>
      </w:r>
      <w:r w:rsidR="009E6F9F">
        <w:t xml:space="preserve">rights. In the context of UNDP </w:t>
      </w:r>
      <w:proofErr w:type="spellStart"/>
      <w:r w:rsidR="00E60CC0">
        <w:t>programme</w:t>
      </w:r>
      <w:r w:rsidR="009E6F9F">
        <w:t>s</w:t>
      </w:r>
      <w:proofErr w:type="spellEnd"/>
      <w:r w:rsidR="009E6F9F">
        <w:t xml:space="preserve"> and </w:t>
      </w:r>
      <w:r w:rsidR="00E60CC0">
        <w:t>project</w:t>
      </w:r>
      <w:r w:rsidR="00B67B8A">
        <w:t xml:space="preserve">s, </w:t>
      </w:r>
      <w:r w:rsidR="00B67B8A" w:rsidRPr="00257796">
        <w:t>UNDP’s due diligence obligations require UNDP to monitor compliance with its policies</w:t>
      </w:r>
      <w:r w:rsidR="007726CB">
        <w:t>.</w:t>
      </w:r>
    </w:p>
    <w:p w14:paraId="01D43006" w14:textId="442681B2" w:rsidR="00430BF9" w:rsidRPr="00B73B5F" w:rsidRDefault="00430BF9" w:rsidP="00B73B5F">
      <w:pPr>
        <w:pStyle w:val="Heading2"/>
      </w:pPr>
      <w:bookmarkStart w:id="6" w:name="_Toc14683695"/>
      <w:r w:rsidRPr="00B73B5F">
        <w:t>Gender Equality and Women’s Empowerment</w:t>
      </w:r>
      <w:bookmarkEnd w:id="6"/>
    </w:p>
    <w:p w14:paraId="4443126C" w14:textId="77777777" w:rsidR="002F16F7" w:rsidRDefault="00F059A5" w:rsidP="00D515A1">
      <w:pPr>
        <w:pStyle w:val="SEQSbodynumbered"/>
        <w:rPr>
          <w:lang w:val="en-GB"/>
        </w:rPr>
      </w:pPr>
      <w:r w:rsidRPr="00F059A5">
        <w:t>Ge</w:t>
      </w:r>
      <w:proofErr w:type="spellStart"/>
      <w:r w:rsidRPr="00F059A5">
        <w:rPr>
          <w:lang w:val="en-GB"/>
        </w:rPr>
        <w:t>nder</w:t>
      </w:r>
      <w:proofErr w:type="spellEnd"/>
      <w:r w:rsidRPr="00F059A5">
        <w:rPr>
          <w:lang w:val="en-GB"/>
        </w:rPr>
        <w:t xml:space="preserve"> equality is a fundamental human right and a necessary foundation for a peaceful, prosperous and sustainable world. Gender equality is central to UNDP support to countries to implement and achieve the 2030 Agenda for Sustainable Development and the Sustainable Development Goals as well as other commitments agreed by Member States</w:t>
      </w:r>
      <w:r w:rsidR="00771053">
        <w:rPr>
          <w:lang w:val="en-GB"/>
        </w:rPr>
        <w:t xml:space="preserve">. </w:t>
      </w:r>
      <w:r w:rsidR="002F16F7" w:rsidRPr="006023AA">
        <w:rPr>
          <w:lang w:val="en-GB"/>
        </w:rPr>
        <w:t xml:space="preserve">The promotion of gender equality and the empowerment of women </w:t>
      </w:r>
      <w:r w:rsidR="00AD3E6D">
        <w:rPr>
          <w:lang w:val="en-GB"/>
        </w:rPr>
        <w:t>are</w:t>
      </w:r>
      <w:r w:rsidR="002F16F7" w:rsidRPr="006023AA">
        <w:rPr>
          <w:lang w:val="en-GB"/>
        </w:rPr>
        <w:t xml:space="preserve"> intrinsic to </w:t>
      </w:r>
      <w:r w:rsidR="0055322C">
        <w:rPr>
          <w:lang w:val="en-GB"/>
        </w:rPr>
        <w:t>UNDP’s</w:t>
      </w:r>
      <w:r w:rsidR="002F16F7" w:rsidRPr="006023AA">
        <w:rPr>
          <w:lang w:val="en-GB"/>
        </w:rPr>
        <w:t xml:space="preserve"> </w:t>
      </w:r>
      <w:r w:rsidR="00B47C81">
        <w:rPr>
          <w:lang w:val="en-GB"/>
        </w:rPr>
        <w:t>human rights</w:t>
      </w:r>
      <w:r w:rsidR="004F0720">
        <w:rPr>
          <w:lang w:val="en-GB"/>
        </w:rPr>
        <w:t>-</w:t>
      </w:r>
      <w:r w:rsidR="00B47C81">
        <w:rPr>
          <w:lang w:val="en-GB"/>
        </w:rPr>
        <w:t xml:space="preserve">based approach to </w:t>
      </w:r>
      <w:r w:rsidR="002F16F7" w:rsidRPr="006023AA">
        <w:rPr>
          <w:lang w:val="en-GB"/>
        </w:rPr>
        <w:t>development</w:t>
      </w:r>
      <w:r w:rsidR="00B47C81">
        <w:rPr>
          <w:lang w:val="en-GB"/>
        </w:rPr>
        <w:t xml:space="preserve"> programming</w:t>
      </w:r>
      <w:r w:rsidR="002F16F7" w:rsidRPr="006023AA">
        <w:rPr>
          <w:lang w:val="en-GB"/>
        </w:rPr>
        <w:t xml:space="preserve">. This effort includes advocating for women’s and girls’ </w:t>
      </w:r>
      <w:r w:rsidR="005A4BA5">
        <w:rPr>
          <w:lang w:val="en-GB"/>
        </w:rPr>
        <w:t>human</w:t>
      </w:r>
      <w:r w:rsidR="005A4BA5" w:rsidRPr="006023AA">
        <w:rPr>
          <w:lang w:val="en-GB"/>
        </w:rPr>
        <w:t xml:space="preserve"> </w:t>
      </w:r>
      <w:r w:rsidR="002F16F7" w:rsidRPr="006023AA">
        <w:rPr>
          <w:lang w:val="en-GB"/>
        </w:rPr>
        <w:t>rights, combating discriminatory practices</w:t>
      </w:r>
      <w:r w:rsidR="00AB1827">
        <w:rPr>
          <w:lang w:val="en-GB"/>
        </w:rPr>
        <w:t xml:space="preserve">, </w:t>
      </w:r>
      <w:r w:rsidR="002F16F7" w:rsidRPr="006023AA">
        <w:rPr>
          <w:lang w:val="en-GB"/>
        </w:rPr>
        <w:t xml:space="preserve">and challenging the roles and stereotypes that </w:t>
      </w:r>
      <w:r w:rsidR="00522452">
        <w:rPr>
          <w:lang w:val="en-GB"/>
        </w:rPr>
        <w:t>create</w:t>
      </w:r>
      <w:r w:rsidR="00522452" w:rsidRPr="006023AA">
        <w:rPr>
          <w:lang w:val="en-GB"/>
        </w:rPr>
        <w:t xml:space="preserve"> </w:t>
      </w:r>
      <w:r w:rsidR="002F16F7" w:rsidRPr="006023AA">
        <w:rPr>
          <w:lang w:val="en-GB"/>
        </w:rPr>
        <w:t>inequalities and exclusion.</w:t>
      </w:r>
      <w:r w:rsidR="008B3B9F">
        <w:rPr>
          <w:rStyle w:val="FootnoteReference"/>
        </w:rPr>
        <w:footnoteReference w:id="20"/>
      </w:r>
    </w:p>
    <w:p w14:paraId="5C269493" w14:textId="308E65EC" w:rsidR="002F16F7" w:rsidRPr="00A37A8B" w:rsidRDefault="00663701" w:rsidP="00AC7F5D">
      <w:pPr>
        <w:pStyle w:val="SEQSbodynumbered"/>
      </w:pPr>
      <w:r>
        <w:t xml:space="preserve">UNDP </w:t>
      </w:r>
      <w:proofErr w:type="spellStart"/>
      <w:r w:rsidR="00E60CC0">
        <w:t>programme</w:t>
      </w:r>
      <w:r>
        <w:t>s</w:t>
      </w:r>
      <w:proofErr w:type="spellEnd"/>
      <w:r>
        <w:t xml:space="preserve"> and </w:t>
      </w:r>
      <w:r w:rsidR="00E60CC0">
        <w:t>project</w:t>
      </w:r>
      <w:r>
        <w:t xml:space="preserve">s </w:t>
      </w:r>
      <w:r w:rsidR="00540167" w:rsidRPr="00540167">
        <w:t xml:space="preserve">are informed by gender analysis </w:t>
      </w:r>
      <w:r>
        <w:t xml:space="preserve">in their design and implementation. </w:t>
      </w:r>
      <w:r w:rsidR="002F16F7">
        <w:t>UNDP</w:t>
      </w:r>
      <w:r w:rsidR="00723DFD">
        <w:t xml:space="preserve"> </w:t>
      </w:r>
      <w:r w:rsidR="002F16F7">
        <w:t>seek</w:t>
      </w:r>
      <w:r w:rsidR="008D1D63">
        <w:t>s</w:t>
      </w:r>
      <w:r w:rsidR="002F16F7">
        <w:t xml:space="preserve"> to identify and integrate the different needs, constraints, contributions and priorities of women</w:t>
      </w:r>
      <w:r w:rsidR="004F0720">
        <w:t xml:space="preserve">, </w:t>
      </w:r>
      <w:r w:rsidR="002F16F7">
        <w:t>men</w:t>
      </w:r>
      <w:r w:rsidR="00B323F6">
        <w:t xml:space="preserve">, girls </w:t>
      </w:r>
      <w:r w:rsidR="00857344">
        <w:t>and boys</w:t>
      </w:r>
      <w:r w:rsidR="002F16F7">
        <w:t xml:space="preserve"> into its programming.</w:t>
      </w:r>
      <w:r w:rsidR="001460AF">
        <w:rPr>
          <w:rStyle w:val="FootnoteReference"/>
        </w:rPr>
        <w:footnoteReference w:id="21"/>
      </w:r>
      <w:r w:rsidR="00EA3FCD" w:rsidRPr="00EA3FCD">
        <w:t xml:space="preserve"> </w:t>
      </w:r>
      <w:r w:rsidR="008D1D63">
        <w:t>B</w:t>
      </w:r>
      <w:r w:rsidR="00EA3FCD" w:rsidRPr="00793C38">
        <w:t>oth women and me</w:t>
      </w:r>
      <w:r w:rsidR="00C41F79">
        <w:t xml:space="preserve">n </w:t>
      </w:r>
      <w:r w:rsidR="00EA3FCD">
        <w:t xml:space="preserve">are able to participate meaningfully and equitably, have </w:t>
      </w:r>
      <w:r w:rsidR="004C3BF9">
        <w:t xml:space="preserve">equal </w:t>
      </w:r>
      <w:r w:rsidR="00EA3FCD">
        <w:t xml:space="preserve">access to </w:t>
      </w:r>
      <w:proofErr w:type="spellStart"/>
      <w:r w:rsidR="00E60CC0">
        <w:t>programme</w:t>
      </w:r>
      <w:proofErr w:type="spellEnd"/>
      <w:r w:rsidR="00EA3FCD">
        <w:t xml:space="preserve"> and </w:t>
      </w:r>
      <w:r w:rsidR="00E60CC0">
        <w:t>project</w:t>
      </w:r>
      <w:r w:rsidR="00EA3FCD">
        <w:t xml:space="preserve"> resources, and receive comparable social and economic benefits.</w:t>
      </w:r>
    </w:p>
    <w:p w14:paraId="4F1EA5FD" w14:textId="40144FAA" w:rsidR="002F16F7" w:rsidRPr="005B1E00" w:rsidRDefault="002F16F7" w:rsidP="00AC7F5D">
      <w:pPr>
        <w:pStyle w:val="SEQSbodynumbered"/>
        <w:rPr>
          <w:lang w:val="en-GB"/>
        </w:rPr>
      </w:pPr>
      <w:r>
        <w:t>U</w:t>
      </w:r>
      <w:r w:rsidRPr="00970E75">
        <w:t xml:space="preserve">NDP </w:t>
      </w:r>
      <w:proofErr w:type="spellStart"/>
      <w:r w:rsidR="00E60CC0">
        <w:t>programme</w:t>
      </w:r>
      <w:r>
        <w:t>s</w:t>
      </w:r>
      <w:proofErr w:type="spellEnd"/>
      <w:r>
        <w:t xml:space="preserve"> and </w:t>
      </w:r>
      <w:r w:rsidR="00E60CC0">
        <w:t>project</w:t>
      </w:r>
      <w:r>
        <w:t>s</w:t>
      </w:r>
      <w:r w:rsidRPr="00970E75">
        <w:t xml:space="preserve"> promote gender equality and </w:t>
      </w:r>
      <w:r>
        <w:t xml:space="preserve">the empowerment of </w:t>
      </w:r>
      <w:r w:rsidRPr="00970E75">
        <w:t>women</w:t>
      </w:r>
      <w:r>
        <w:t xml:space="preserve">. </w:t>
      </w:r>
      <w:r w:rsidR="00663701">
        <w:t>UNDP</w:t>
      </w:r>
      <w:r>
        <w:t xml:space="preserve"> </w:t>
      </w:r>
      <w:r w:rsidR="00EA3FCD">
        <w:t>strengthen</w:t>
      </w:r>
      <w:r w:rsidR="008D1D63">
        <w:t>s</w:t>
      </w:r>
      <w:r w:rsidR="00EA3FCD">
        <w:t xml:space="preserve"> interventions tackling structural changes and remove the institutional, societal, political </w:t>
      </w:r>
      <w:r w:rsidR="00EA3FCD">
        <w:lastRenderedPageBreak/>
        <w:t>and legal barriers to accelerate gender equality and women’s empowerment and will go beyond counting numbers of beneficiaries by sex. UNDP focus</w:t>
      </w:r>
      <w:r w:rsidR="008D1D63">
        <w:t>es</w:t>
      </w:r>
      <w:r w:rsidR="00EA3FCD">
        <w:t xml:space="preserve"> on empowering and creating agency for women and men and closing gender gaps.</w:t>
      </w:r>
    </w:p>
    <w:p w14:paraId="65D2CBE6" w14:textId="7ADAA251" w:rsidR="00540167" w:rsidRDefault="002F16F7" w:rsidP="007834FA">
      <w:pPr>
        <w:pStyle w:val="SEQSbodynumbered"/>
      </w:pPr>
      <w:r>
        <w:t>UNDP ensure</w:t>
      </w:r>
      <w:r w:rsidR="008D1D63">
        <w:t>s</w:t>
      </w:r>
      <w:r>
        <w:t xml:space="preserve"> that its</w:t>
      </w:r>
      <w:r w:rsidRPr="00970E75">
        <w:t xml:space="preserve"> </w:t>
      </w:r>
      <w:proofErr w:type="spellStart"/>
      <w:r w:rsidR="00E60CC0">
        <w:t>programme</w:t>
      </w:r>
      <w:r>
        <w:t>s</w:t>
      </w:r>
      <w:proofErr w:type="spellEnd"/>
      <w:r>
        <w:t xml:space="preserve"> and </w:t>
      </w:r>
      <w:r w:rsidR="00E60CC0">
        <w:t>project</w:t>
      </w:r>
      <w:r w:rsidRPr="00970E75">
        <w:t xml:space="preserve">s </w:t>
      </w:r>
      <w:r>
        <w:t>do</w:t>
      </w:r>
      <w:r w:rsidRPr="00970E75">
        <w:t xml:space="preserve"> not discriminate against women</w:t>
      </w:r>
      <w:r>
        <w:t xml:space="preserve"> or </w:t>
      </w:r>
      <w:r w:rsidR="00663701">
        <w:t xml:space="preserve">girls or </w:t>
      </w:r>
      <w:r>
        <w:t>reinforce gender-based discrimination and/or inequalities</w:t>
      </w:r>
      <w:r w:rsidR="00DC6CC5">
        <w:t>.</w:t>
      </w:r>
    </w:p>
    <w:p w14:paraId="62E53375" w14:textId="2EC51B02" w:rsidR="00E13ED5" w:rsidRDefault="00E13ED5">
      <w:pPr>
        <w:pStyle w:val="SEQSbodynumbered"/>
      </w:pPr>
      <w:r>
        <w:t xml:space="preserve">UNDP </w:t>
      </w:r>
      <w:proofErr w:type="spellStart"/>
      <w:r w:rsidR="00E60CC0">
        <w:t>programme</w:t>
      </w:r>
      <w:r>
        <w:t>s</w:t>
      </w:r>
      <w:proofErr w:type="spellEnd"/>
      <w:r>
        <w:t xml:space="preserve"> and </w:t>
      </w:r>
      <w:r w:rsidR="00E60CC0">
        <w:t>project</w:t>
      </w:r>
      <w:r>
        <w:t xml:space="preserve">s ensure allocation of financial resources for gender </w:t>
      </w:r>
      <w:r w:rsidR="00C453F4">
        <w:t>equality</w:t>
      </w:r>
      <w:r>
        <w:t xml:space="preserve"> accordingly with its corporate target established in its Gender Equality Strategy 2018-2021</w:t>
      </w:r>
      <w:r w:rsidR="00C453F4">
        <w:t>.</w:t>
      </w:r>
    </w:p>
    <w:p w14:paraId="0DF407D8" w14:textId="77777777" w:rsidR="004A4421" w:rsidRDefault="004A4421">
      <w:pPr>
        <w:pStyle w:val="SEQSbodynumbered"/>
      </w:pPr>
      <w:r>
        <w:t xml:space="preserve">UNDP </w:t>
      </w:r>
      <w:r w:rsidRPr="004A4421">
        <w:t>use</w:t>
      </w:r>
      <w:r w:rsidR="00867E94">
        <w:t>s</w:t>
      </w:r>
      <w:r w:rsidRPr="004A4421">
        <w:t xml:space="preserve"> sex-disaggregated data and gender sensitive indicators</w:t>
      </w:r>
      <w:r w:rsidR="00867E94">
        <w:t xml:space="preserve"> in its programming</w:t>
      </w:r>
      <w:r>
        <w:t>.</w:t>
      </w:r>
    </w:p>
    <w:p w14:paraId="65DD9201" w14:textId="18A18A47" w:rsidR="00540167" w:rsidRPr="00540167" w:rsidRDefault="003903D7">
      <w:pPr>
        <w:pStyle w:val="SEQSbodynumbered"/>
      </w:pPr>
      <w:r w:rsidRPr="003903D7">
        <w:t xml:space="preserve">UNDP seeks to identify and address any risk of potential exposure of affected people to gender-based violence (GBV) </w:t>
      </w:r>
      <w:r w:rsidR="001915DD">
        <w:t xml:space="preserve">and other abuse </w:t>
      </w:r>
      <w:r w:rsidRPr="003903D7">
        <w:t>that may occur in connection with any of its supported activities. This includes a zero</w:t>
      </w:r>
      <w:r>
        <w:t>-</w:t>
      </w:r>
      <w:r w:rsidRPr="003903D7">
        <w:t>tolerance policy for sexual exploitation and abuse involving UNDP personnel</w:t>
      </w:r>
      <w:r w:rsidR="001915DD">
        <w:t xml:space="preserve"> as well as personnel of the UNDP </w:t>
      </w:r>
      <w:r w:rsidR="00F712FA">
        <w:t>i</w:t>
      </w:r>
      <w:r w:rsidR="001915DD">
        <w:t xml:space="preserve">mplementing </w:t>
      </w:r>
      <w:r w:rsidR="00F712FA">
        <w:t>p</w:t>
      </w:r>
      <w:r w:rsidR="001915DD">
        <w:t>artner</w:t>
      </w:r>
      <w:r w:rsidR="00723DFD">
        <w:t xml:space="preserve"> and responsible parties</w:t>
      </w:r>
      <w:r w:rsidRPr="003903D7">
        <w:t xml:space="preserve">. UNDP requires </w:t>
      </w:r>
      <w:r w:rsidR="001915DD">
        <w:t xml:space="preserve">that </w:t>
      </w:r>
      <w:r w:rsidRPr="003903D7">
        <w:t xml:space="preserve">appropriate </w:t>
      </w:r>
      <w:r w:rsidR="001915DD">
        <w:t xml:space="preserve">prevention and response </w:t>
      </w:r>
      <w:r w:rsidRPr="003903D7">
        <w:t xml:space="preserve">measures </w:t>
      </w:r>
      <w:r w:rsidR="001915DD">
        <w:t>be adopted</w:t>
      </w:r>
      <w:r w:rsidRPr="003903D7">
        <w:t xml:space="preserve"> to prevent and to respond effectively to GBV, including design</w:t>
      </w:r>
      <w:r w:rsidR="001915DD">
        <w:t>ing</w:t>
      </w:r>
      <w:r w:rsidRPr="003903D7">
        <w:t xml:space="preserve"> activities to prevent and address potential exposure of </w:t>
      </w:r>
      <w:r w:rsidR="00E60CC0">
        <w:t>project</w:t>
      </w:r>
      <w:r w:rsidR="007A51B3">
        <w:t>-</w:t>
      </w:r>
      <w:r w:rsidRPr="003903D7">
        <w:t>affected people to GBV risk</w:t>
      </w:r>
      <w:r w:rsidR="001915DD">
        <w:t>s</w:t>
      </w:r>
      <w:r w:rsidRPr="003903D7">
        <w:t xml:space="preserve">; screening of personnel; provision of training on prevention and response to GBV; effective reporting and response protocols; referrals for safe and confidential survivor assistance; and prompt investigation of allegations of GBV related to </w:t>
      </w:r>
      <w:r w:rsidR="00E60CC0">
        <w:t>project</w:t>
      </w:r>
      <w:r w:rsidRPr="003903D7">
        <w:t xml:space="preserve"> activities</w:t>
      </w:r>
      <w:r w:rsidR="007A51B3">
        <w:t>.</w:t>
      </w:r>
    </w:p>
    <w:p w14:paraId="00371479" w14:textId="3B0EB639" w:rsidR="00F20202" w:rsidRPr="00B52809" w:rsidRDefault="008141D9" w:rsidP="00BA3A5F">
      <w:pPr>
        <w:pStyle w:val="Heading2"/>
      </w:pPr>
      <w:bookmarkStart w:id="7" w:name="_Toc14683696"/>
      <w:r w:rsidRPr="00A37A8B">
        <w:t>Sustainability and Resilience</w:t>
      </w:r>
      <w:bookmarkEnd w:id="7"/>
    </w:p>
    <w:p w14:paraId="5C190CD8" w14:textId="76E52414" w:rsidR="00F24D70" w:rsidRDefault="003E6DCE" w:rsidP="00D515A1">
      <w:pPr>
        <w:pStyle w:val="SEQSbodynumbered"/>
      </w:pPr>
      <w:r>
        <w:rPr>
          <w:lang w:val="en-CA"/>
        </w:rPr>
        <w:t xml:space="preserve">Strengthening </w:t>
      </w:r>
      <w:r w:rsidR="00CD329E">
        <w:rPr>
          <w:lang w:val="en-CA"/>
        </w:rPr>
        <w:t xml:space="preserve">the </w:t>
      </w:r>
      <w:r>
        <w:rPr>
          <w:lang w:val="en-CA"/>
        </w:rPr>
        <w:t>r</w:t>
      </w:r>
      <w:r w:rsidR="00E9577B">
        <w:rPr>
          <w:lang w:val="en-CA"/>
        </w:rPr>
        <w:t>esilience</w:t>
      </w:r>
      <w:r w:rsidR="00CD329E">
        <w:rPr>
          <w:lang w:val="en-CA"/>
        </w:rPr>
        <w:t xml:space="preserve"> of societies </w:t>
      </w:r>
      <w:r w:rsidR="00E9577B">
        <w:rPr>
          <w:lang w:val="en-CA"/>
        </w:rPr>
        <w:t xml:space="preserve">to </w:t>
      </w:r>
      <w:r w:rsidR="006114B5">
        <w:rPr>
          <w:lang w:val="en-CA"/>
        </w:rPr>
        <w:t xml:space="preserve">the </w:t>
      </w:r>
      <w:r w:rsidR="006114B5" w:rsidRPr="00000157">
        <w:t xml:space="preserve">impact of </w:t>
      </w:r>
      <w:r>
        <w:t xml:space="preserve">shocks, </w:t>
      </w:r>
      <w:r w:rsidR="006114B5" w:rsidRPr="00000157">
        <w:t>disasters</w:t>
      </w:r>
      <w:r w:rsidR="00823162">
        <w:t>, conflict</w:t>
      </w:r>
      <w:r w:rsidR="006114B5" w:rsidRPr="00000157">
        <w:t xml:space="preserve"> and emergency situations</w:t>
      </w:r>
      <w:r w:rsidR="0055322C">
        <w:t>,</w:t>
      </w:r>
      <w:r w:rsidR="00823162">
        <w:rPr>
          <w:lang w:val="en-CA"/>
        </w:rPr>
        <w:t xml:space="preserve"> </w:t>
      </w:r>
      <w:r w:rsidR="006114B5">
        <w:rPr>
          <w:lang w:val="en-CA"/>
        </w:rPr>
        <w:t xml:space="preserve">and </w:t>
      </w:r>
      <w:r w:rsidR="006F3D39">
        <w:rPr>
          <w:lang w:val="en-CA"/>
        </w:rPr>
        <w:t xml:space="preserve">the </w:t>
      </w:r>
      <w:r w:rsidR="006114B5">
        <w:rPr>
          <w:lang w:val="en-CA"/>
        </w:rPr>
        <w:t>s</w:t>
      </w:r>
      <w:r w:rsidR="001A5C10" w:rsidRPr="00D81203">
        <w:rPr>
          <w:lang w:val="en-CA"/>
        </w:rPr>
        <w:t>ustainable management, conservation</w:t>
      </w:r>
      <w:r>
        <w:rPr>
          <w:lang w:val="en-CA"/>
        </w:rPr>
        <w:t xml:space="preserve"> </w:t>
      </w:r>
      <w:r w:rsidR="001A5C10" w:rsidRPr="00D81203">
        <w:rPr>
          <w:lang w:val="en-CA"/>
        </w:rPr>
        <w:t xml:space="preserve">and rehabilitation of natural habitats </w:t>
      </w:r>
      <w:r w:rsidR="006C2BDD">
        <w:rPr>
          <w:lang w:val="en-CA"/>
        </w:rPr>
        <w:t>(</w:t>
      </w:r>
      <w:r w:rsidR="001A5C10" w:rsidRPr="00D81203">
        <w:rPr>
          <w:lang w:val="en-CA"/>
        </w:rPr>
        <w:t>and their associated biodi</w:t>
      </w:r>
      <w:r w:rsidR="001A5C10">
        <w:rPr>
          <w:lang w:val="en-CA"/>
        </w:rPr>
        <w:t>versity and ecosystem functions</w:t>
      </w:r>
      <w:r w:rsidR="006C2BDD">
        <w:rPr>
          <w:lang w:val="en-CA"/>
        </w:rPr>
        <w:t>)</w:t>
      </w:r>
      <w:r w:rsidR="001A5C10" w:rsidRPr="00E62E81">
        <w:t xml:space="preserve"> </w:t>
      </w:r>
      <w:r w:rsidR="00F24D70" w:rsidRPr="00E62E81">
        <w:t xml:space="preserve">are fundamental </w:t>
      </w:r>
      <w:r w:rsidR="00F2346A">
        <w:t>to</w:t>
      </w:r>
      <w:r w:rsidR="001A5C10">
        <w:t xml:space="preserve"> </w:t>
      </w:r>
      <w:r w:rsidR="00FF699E">
        <w:t xml:space="preserve">UNDP’s </w:t>
      </w:r>
      <w:r w:rsidR="001C3777">
        <w:t xml:space="preserve">efforts to </w:t>
      </w:r>
      <w:r w:rsidR="002E77CF">
        <w:t xml:space="preserve">develop and implement </w:t>
      </w:r>
      <w:r w:rsidR="00EA0CA8">
        <w:t xml:space="preserve">sustainable </w:t>
      </w:r>
      <w:r w:rsidR="002E77CF">
        <w:t>development pathways</w:t>
      </w:r>
      <w:r w:rsidR="001A5C10">
        <w:t xml:space="preserve">. UNDP seeks to </w:t>
      </w:r>
      <w:r w:rsidR="002E77CF">
        <w:t xml:space="preserve">address poverty and inequality </w:t>
      </w:r>
      <w:r w:rsidR="008753FB">
        <w:t xml:space="preserve">and to reduce vulnerabilities </w:t>
      </w:r>
      <w:r w:rsidR="002E77CF">
        <w:t xml:space="preserve">while </w:t>
      </w:r>
      <w:r w:rsidR="00D51A74">
        <w:t>maintaining and enhancing</w:t>
      </w:r>
      <w:r w:rsidR="002E77CF">
        <w:t xml:space="preserve"> natural capital. </w:t>
      </w:r>
    </w:p>
    <w:p w14:paraId="480E9EB9" w14:textId="64D7D2EF" w:rsidR="00E9577B" w:rsidRDefault="002D22F7" w:rsidP="00AC7F5D">
      <w:pPr>
        <w:pStyle w:val="SEQSbodynumbered"/>
      </w:pPr>
      <w:r>
        <w:t xml:space="preserve">UNDP </w:t>
      </w:r>
      <w:r w:rsidR="00111447">
        <w:t xml:space="preserve">acknowledges that </w:t>
      </w:r>
      <w:r w:rsidR="00823162">
        <w:t xml:space="preserve">conflicts and </w:t>
      </w:r>
      <w:r w:rsidR="00CA0E39">
        <w:t>environmental and disaster</w:t>
      </w:r>
      <w:r w:rsidR="003B02AD">
        <w:t xml:space="preserve"> </w:t>
      </w:r>
      <w:r w:rsidR="00CA0E39">
        <w:t>related</w:t>
      </w:r>
      <w:r w:rsidR="00E5528A">
        <w:t xml:space="preserve"> </w:t>
      </w:r>
      <w:r w:rsidR="00111447">
        <w:t xml:space="preserve">risks and their effects hinder the implementation of the 2030 Agenda and </w:t>
      </w:r>
      <w:r>
        <w:t xml:space="preserve">integrates </w:t>
      </w:r>
      <w:r w:rsidRPr="00C67C7B">
        <w:t>social</w:t>
      </w:r>
      <w:r>
        <w:t xml:space="preserve">, </w:t>
      </w:r>
      <w:r w:rsidRPr="00C67C7B">
        <w:t>environmental</w:t>
      </w:r>
      <w:r>
        <w:t xml:space="preserve"> and economic</w:t>
      </w:r>
      <w:r w:rsidRPr="00C67C7B">
        <w:t xml:space="preserve"> </w:t>
      </w:r>
      <w:r w:rsidR="0055322C">
        <w:t xml:space="preserve">resilience and </w:t>
      </w:r>
      <w:r>
        <w:t xml:space="preserve">sustainability considerations into its </w:t>
      </w:r>
      <w:proofErr w:type="spellStart"/>
      <w:r w:rsidR="00E60CC0">
        <w:t>programme</w:t>
      </w:r>
      <w:r>
        <w:t>s</w:t>
      </w:r>
      <w:proofErr w:type="spellEnd"/>
      <w:r>
        <w:t xml:space="preserve"> and </w:t>
      </w:r>
      <w:r w:rsidR="00E60CC0">
        <w:t>project</w:t>
      </w:r>
      <w:r>
        <w:t>s</w:t>
      </w:r>
      <w:r w:rsidR="00111447">
        <w:t xml:space="preserve"> to build resilience and achieve sustainable development</w:t>
      </w:r>
      <w:r>
        <w:t xml:space="preserve">. </w:t>
      </w:r>
      <w:r w:rsidR="007D44C1">
        <w:t xml:space="preserve">In line with its Strategic Plan, </w:t>
      </w:r>
      <w:r w:rsidR="00743942">
        <w:t xml:space="preserve">UNDP supports </w:t>
      </w:r>
      <w:proofErr w:type="spellStart"/>
      <w:r w:rsidR="00E60CC0">
        <w:t>programme</w:t>
      </w:r>
      <w:proofErr w:type="spellEnd"/>
      <w:r w:rsidR="00743942">
        <w:t xml:space="preserve"> Country </w:t>
      </w:r>
      <w:r w:rsidR="00E9577B">
        <w:t xml:space="preserve">efforts to </w:t>
      </w:r>
      <w:r w:rsidR="00E9577B" w:rsidRPr="00E9577B">
        <w:rPr>
          <w:rFonts w:eastAsia="Times New Roman" w:cs="Calibri"/>
        </w:rPr>
        <w:t xml:space="preserve">reduce risks and vulnerabilities associated with </w:t>
      </w:r>
      <w:r w:rsidR="00CD329E">
        <w:rPr>
          <w:rFonts w:eastAsia="Times New Roman" w:cs="Calibri"/>
        </w:rPr>
        <w:t xml:space="preserve">shocks and </w:t>
      </w:r>
      <w:r w:rsidR="00E9577B" w:rsidRPr="00E9577B">
        <w:rPr>
          <w:rFonts w:eastAsia="Times New Roman" w:cs="Calibri"/>
        </w:rPr>
        <w:t>hazards</w:t>
      </w:r>
      <w:r w:rsidR="008753FB">
        <w:rPr>
          <w:rFonts w:eastAsia="Times New Roman" w:cs="Calibri"/>
        </w:rPr>
        <w:t xml:space="preserve"> </w:t>
      </w:r>
      <w:r w:rsidR="008753FB">
        <w:rPr>
          <w:lang w:val="en-CA"/>
        </w:rPr>
        <w:t>(whether from socioeconomic or natural causes)</w:t>
      </w:r>
      <w:r w:rsidR="00E9577B" w:rsidRPr="00E9577B">
        <w:rPr>
          <w:rFonts w:eastAsia="Times New Roman" w:cs="Calibri"/>
        </w:rPr>
        <w:t>, climate change, violence, conflict, political and social instability</w:t>
      </w:r>
      <w:r w:rsidR="0055322C">
        <w:rPr>
          <w:rFonts w:eastAsia="Times New Roman" w:cs="Calibri"/>
        </w:rPr>
        <w:t>,</w:t>
      </w:r>
      <w:r w:rsidR="00E9577B" w:rsidRPr="00E9577B">
        <w:rPr>
          <w:rFonts w:eastAsia="Times New Roman" w:cs="Calibri"/>
        </w:rPr>
        <w:t xml:space="preserve"> or economic volatility.</w:t>
      </w:r>
      <w:r w:rsidR="00743942">
        <w:rPr>
          <w:rFonts w:eastAsia="Times New Roman" w:cs="Calibri"/>
        </w:rPr>
        <w:t xml:space="preserve"> </w:t>
      </w:r>
    </w:p>
    <w:p w14:paraId="73EC08C7" w14:textId="5ACCDA7E" w:rsidR="00E007AF" w:rsidRDefault="006E1F36" w:rsidP="00AC7F5D">
      <w:pPr>
        <w:pStyle w:val="SEQSbodynumbered"/>
      </w:pPr>
      <w:r>
        <w:t xml:space="preserve">In </w:t>
      </w:r>
      <w:r w:rsidR="00826FBA">
        <w:t>designing development cooperation activities</w:t>
      </w:r>
      <w:r>
        <w:t xml:space="preserve">, UNDP </w:t>
      </w:r>
      <w:r w:rsidR="007E7404">
        <w:t>seek</w:t>
      </w:r>
      <w:r w:rsidR="00C75C0E">
        <w:t>s</w:t>
      </w:r>
      <w:r w:rsidR="007E7404">
        <w:t xml:space="preserve"> to support </w:t>
      </w:r>
      <w:proofErr w:type="spellStart"/>
      <w:r w:rsidR="00E60CC0">
        <w:t>programme</w:t>
      </w:r>
      <w:proofErr w:type="spellEnd"/>
      <w:r w:rsidR="00B62837">
        <w:t xml:space="preserve"> </w:t>
      </w:r>
      <w:r w:rsidR="00C87D48">
        <w:t>C</w:t>
      </w:r>
      <w:r w:rsidR="001C3777">
        <w:t xml:space="preserve">ountries and </w:t>
      </w:r>
      <w:r w:rsidR="00F712FA">
        <w:t>i</w:t>
      </w:r>
      <w:r w:rsidR="00E04EDE">
        <w:t>mplementing</w:t>
      </w:r>
      <w:r w:rsidR="007E7404">
        <w:t xml:space="preserve"> </w:t>
      </w:r>
      <w:r w:rsidR="00F712FA">
        <w:t>p</w:t>
      </w:r>
      <w:r w:rsidR="007E7404">
        <w:t xml:space="preserve">artners to </w:t>
      </w:r>
      <w:r w:rsidR="00D75BCF">
        <w:t xml:space="preserve">identify opportunities to advance </w:t>
      </w:r>
      <w:r w:rsidR="002D22F7">
        <w:t>sustainability and</w:t>
      </w:r>
      <w:r w:rsidR="007E7404">
        <w:t xml:space="preserve"> </w:t>
      </w:r>
      <w:r w:rsidR="00791E84">
        <w:t>resiliency</w:t>
      </w:r>
      <w:r w:rsidR="007E7404">
        <w:t xml:space="preserve"> dimensions</w:t>
      </w:r>
      <w:r w:rsidR="00855E2F">
        <w:t xml:space="preserve"> </w:t>
      </w:r>
      <w:r w:rsidR="007E7404">
        <w:t>of</w:t>
      </w:r>
      <w:r w:rsidR="00D75BCF">
        <w:t xml:space="preserve"> </w:t>
      </w:r>
      <w:r w:rsidR="007E7404">
        <w:t xml:space="preserve">development </w:t>
      </w:r>
      <w:r w:rsidR="00D75BCF">
        <w:t xml:space="preserve">initiatives </w:t>
      </w:r>
      <w:r w:rsidR="007E7404">
        <w:t>and to strengthen environme</w:t>
      </w:r>
      <w:r w:rsidR="00E007AF">
        <w:t>ntal management and protection.</w:t>
      </w:r>
    </w:p>
    <w:p w14:paraId="4119B7DF" w14:textId="5706E59E" w:rsidR="00434DD1" w:rsidRDefault="00434DD1" w:rsidP="00AC7F5D">
      <w:pPr>
        <w:pStyle w:val="SEQSbodynumbered"/>
      </w:pPr>
      <w:r>
        <w:t xml:space="preserve">UNDP </w:t>
      </w:r>
      <w:r w:rsidR="00474210">
        <w:t xml:space="preserve">uses and </w:t>
      </w:r>
      <w:r w:rsidR="00D114DD">
        <w:t>promotes a precautionary approach</w:t>
      </w:r>
      <w:r w:rsidR="00312F1B">
        <w:rPr>
          <w:rStyle w:val="FootnoteReference"/>
        </w:rPr>
        <w:footnoteReference w:id="22"/>
      </w:r>
      <w:r w:rsidR="00D114DD">
        <w:t xml:space="preserve"> to </w:t>
      </w:r>
      <w:r w:rsidR="00CF7CE7">
        <w:t xml:space="preserve">significant </w:t>
      </w:r>
      <w:r w:rsidR="002D22F7">
        <w:t xml:space="preserve">social and </w:t>
      </w:r>
      <w:r w:rsidR="00CF7CE7">
        <w:t>environmental challenges</w:t>
      </w:r>
      <w:r w:rsidR="00812553">
        <w:t xml:space="preserve"> and</w:t>
      </w:r>
      <w:r w:rsidR="004E67CA">
        <w:t xml:space="preserve"> requir</w:t>
      </w:r>
      <w:r w:rsidR="00C15606">
        <w:t>es</w:t>
      </w:r>
      <w:r>
        <w:t xml:space="preserve"> </w:t>
      </w:r>
      <w:r w:rsidR="0005317A">
        <w:t xml:space="preserve">application of </w:t>
      </w:r>
      <w:r w:rsidR="00F37808">
        <w:t xml:space="preserve">the mitigation hierarchy to first </w:t>
      </w:r>
      <w:r w:rsidR="0005317A">
        <w:t>avoid</w:t>
      </w:r>
      <w:r w:rsidR="00C15606">
        <w:t xml:space="preserve"> </w:t>
      </w:r>
      <w:r w:rsidR="00CF7CE7">
        <w:t xml:space="preserve">potential </w:t>
      </w:r>
      <w:r w:rsidR="00C15606">
        <w:t xml:space="preserve">adverse </w:t>
      </w:r>
      <w:r w:rsidR="00C15606">
        <w:lastRenderedPageBreak/>
        <w:t>impacts</w:t>
      </w:r>
      <w:r w:rsidR="00F16696">
        <w:t xml:space="preserve"> to people and the </w:t>
      </w:r>
      <w:r w:rsidR="00F26070">
        <w:t>environment</w:t>
      </w:r>
      <w:r w:rsidR="0005317A">
        <w:t xml:space="preserve">, or where avoidance is not possible, </w:t>
      </w:r>
      <w:r w:rsidR="00C15606">
        <w:t xml:space="preserve">to </w:t>
      </w:r>
      <w:r w:rsidR="00F37808">
        <w:t xml:space="preserve">then </w:t>
      </w:r>
      <w:r w:rsidR="0005317A">
        <w:t>minimize</w:t>
      </w:r>
      <w:r w:rsidR="00C15606">
        <w:t xml:space="preserve">, </w:t>
      </w:r>
      <w:r w:rsidR="0005317A">
        <w:t>mitigate</w:t>
      </w:r>
      <w:r w:rsidR="00C15606">
        <w:t>, and as a last resort, offset and compensate</w:t>
      </w:r>
      <w:r w:rsidR="0005317A">
        <w:t xml:space="preserve"> </w:t>
      </w:r>
      <w:r w:rsidR="00C15606">
        <w:t xml:space="preserve">for potential residual adverse </w:t>
      </w:r>
      <w:r w:rsidR="00BB1788">
        <w:t>impacts</w:t>
      </w:r>
      <w:r w:rsidR="00F37808">
        <w:t>.</w:t>
      </w:r>
      <w:r w:rsidR="00655E67">
        <w:t xml:space="preserve"> </w:t>
      </w:r>
    </w:p>
    <w:p w14:paraId="12AFD057" w14:textId="00C23952" w:rsidR="006114B5" w:rsidRPr="008D7477" w:rsidRDefault="00E007AF" w:rsidP="007834FA">
      <w:pPr>
        <w:pStyle w:val="SEQSbodynumbered"/>
      </w:pPr>
      <w:r>
        <w:t xml:space="preserve">UNDP </w:t>
      </w:r>
      <w:r w:rsidR="00AD3E6D">
        <w:t>assist</w:t>
      </w:r>
      <w:r w:rsidR="003903D7">
        <w:t>s</w:t>
      </w:r>
      <w:r w:rsidR="001C3777">
        <w:t xml:space="preserve"> </w:t>
      </w:r>
      <w:proofErr w:type="spellStart"/>
      <w:r w:rsidR="00E60CC0">
        <w:t>programme</w:t>
      </w:r>
      <w:proofErr w:type="spellEnd"/>
      <w:r w:rsidR="00BA058B">
        <w:t xml:space="preserve"> C</w:t>
      </w:r>
      <w:r w:rsidR="001C3777">
        <w:t>ountries</w:t>
      </w:r>
      <w:r w:rsidR="000F141A">
        <w:t xml:space="preserve">, </w:t>
      </w:r>
      <w:r w:rsidR="00F712FA">
        <w:t>i</w:t>
      </w:r>
      <w:r w:rsidR="00E04EDE">
        <w:t>mplementing</w:t>
      </w:r>
      <w:r>
        <w:t xml:space="preserve"> </w:t>
      </w:r>
      <w:r w:rsidR="00F712FA">
        <w:t>p</w:t>
      </w:r>
      <w:r>
        <w:t xml:space="preserve">artners </w:t>
      </w:r>
      <w:r w:rsidR="000F141A">
        <w:t xml:space="preserve">and responsible parties </w:t>
      </w:r>
      <w:r>
        <w:t>to integrate low-emission, climate</w:t>
      </w:r>
      <w:r w:rsidR="00474210">
        <w:t>-</w:t>
      </w:r>
      <w:r>
        <w:t>resilient objectives into national and sectoral development plans</w:t>
      </w:r>
      <w:r w:rsidR="00BC15E6">
        <w:t>,</w:t>
      </w:r>
      <w:r>
        <w:t xml:space="preserve"> and ensure</w:t>
      </w:r>
      <w:r w:rsidR="003903D7">
        <w:t>s</w:t>
      </w:r>
      <w:r>
        <w:t xml:space="preserve"> that supported </w:t>
      </w:r>
      <w:proofErr w:type="spellStart"/>
      <w:r w:rsidR="00E60CC0">
        <w:t>programme</w:t>
      </w:r>
      <w:r>
        <w:t>s</w:t>
      </w:r>
      <w:proofErr w:type="spellEnd"/>
      <w:r>
        <w:t xml:space="preserve"> and </w:t>
      </w:r>
      <w:r w:rsidR="00E60CC0">
        <w:t>project</w:t>
      </w:r>
      <w:r w:rsidR="00446DB3">
        <w:t xml:space="preserve">s </w:t>
      </w:r>
      <w:r w:rsidR="00446DB3">
        <w:rPr>
          <w:lang w:val="en-CA"/>
        </w:rPr>
        <w:t>enhance</w:t>
      </w:r>
      <w:r>
        <w:rPr>
          <w:lang w:val="en-CA"/>
        </w:rPr>
        <w:t xml:space="preserve"> climate resiliency</w:t>
      </w:r>
      <w:r w:rsidR="003A214B">
        <w:rPr>
          <w:lang w:val="en-CA"/>
        </w:rPr>
        <w:t xml:space="preserve"> and</w:t>
      </w:r>
      <w:r w:rsidR="00E00212">
        <w:rPr>
          <w:lang w:val="en-CA"/>
        </w:rPr>
        <w:t xml:space="preserve"> </w:t>
      </w:r>
      <w:r w:rsidRPr="00BC106F">
        <w:rPr>
          <w:lang w:val="en-CA"/>
        </w:rPr>
        <w:t xml:space="preserve">avoid unwarranted increases in greenhouse gas </w:t>
      </w:r>
      <w:r w:rsidR="003A214B">
        <w:rPr>
          <w:lang w:val="en-CA"/>
        </w:rPr>
        <w:t xml:space="preserve">(GHG) </w:t>
      </w:r>
      <w:r w:rsidRPr="00BC106F">
        <w:rPr>
          <w:lang w:val="en-CA"/>
        </w:rPr>
        <w:t>emissions</w:t>
      </w:r>
      <w:r w:rsidR="003A214B">
        <w:rPr>
          <w:lang w:val="en-CA"/>
        </w:rPr>
        <w:t>, instead enhancing efficiency and reducing GHG intensity</w:t>
      </w:r>
      <w:r>
        <w:rPr>
          <w:lang w:val="en-CA"/>
        </w:rPr>
        <w:t>.</w:t>
      </w:r>
    </w:p>
    <w:p w14:paraId="7DD84369" w14:textId="361D9C63" w:rsidR="00111447" w:rsidRDefault="00111447">
      <w:pPr>
        <w:pStyle w:val="SEQSbodynumbered"/>
      </w:pPr>
      <w:r>
        <w:t>UNDP’s disaster risk reduction and recovery work aims to deliver risk-informed development through actionable risk information, risk governance, early warning systems and preparedness, recovery and local (urban and community level) action. By working with Governments and partners towards ‘risk-</w:t>
      </w:r>
      <w:r w:rsidR="003B02AD">
        <w:t xml:space="preserve">informed’ </w:t>
      </w:r>
      <w:r>
        <w:t>national, local and sectoral development planning processes, UNDP helps build the resilience of communities and nations.</w:t>
      </w:r>
      <w:r w:rsidR="00823162">
        <w:t xml:space="preserve"> This includes identifying and addressing the interconnections among issues related to the environment, human rights, conflict, crises and vulnerability, where relevant.</w:t>
      </w:r>
    </w:p>
    <w:p w14:paraId="6C9F20FB" w14:textId="74BF27EE" w:rsidR="006114B5" w:rsidRDefault="006114B5" w:rsidP="00A37A8B">
      <w:pPr>
        <w:pStyle w:val="Heading2"/>
      </w:pPr>
      <w:bookmarkStart w:id="8" w:name="_Toc14683697"/>
      <w:r w:rsidRPr="00A37A8B">
        <w:t>Accountability</w:t>
      </w:r>
      <w:bookmarkEnd w:id="8"/>
    </w:p>
    <w:p w14:paraId="2FC1378B" w14:textId="77777777" w:rsidR="00C6386D" w:rsidRDefault="00C6386D" w:rsidP="00D515A1">
      <w:pPr>
        <w:pStyle w:val="SEQSbodynumbered"/>
        <w:rPr>
          <w:lang w:bidi="th-TH"/>
        </w:rPr>
      </w:pPr>
      <w:r w:rsidRPr="00825A82">
        <w:t xml:space="preserve">UNDP </w:t>
      </w:r>
      <w:r>
        <w:t>does</w:t>
      </w:r>
      <w:r w:rsidRPr="00825A82">
        <w:t xml:space="preserve"> not support activities that do not comply with</w:t>
      </w:r>
      <w:r>
        <w:t xml:space="preserve"> national law and </w:t>
      </w:r>
      <w:r w:rsidRPr="00825A82">
        <w:t xml:space="preserve">obligations under international </w:t>
      </w:r>
      <w:r w:rsidRPr="006F6F97">
        <w:t>law</w:t>
      </w:r>
      <w:r>
        <w:t>, whichever is the higher standard</w:t>
      </w:r>
      <w:r w:rsidRPr="006F6F97">
        <w:t xml:space="preserve"> </w:t>
      </w:r>
      <w:r>
        <w:t>(</w:t>
      </w:r>
      <w:r w:rsidRPr="006F6F97">
        <w:t>hereinafter "Applicable Law"</w:t>
      </w:r>
      <w:r>
        <w:t xml:space="preserve">). </w:t>
      </w:r>
    </w:p>
    <w:p w14:paraId="227C9ACD" w14:textId="31B60A54" w:rsidR="00223B7D" w:rsidRPr="00A37A8B" w:rsidRDefault="002C0851" w:rsidP="00AC7F5D">
      <w:pPr>
        <w:pStyle w:val="SEQSbodynumbered"/>
        <w:rPr>
          <w:lang w:val="en-CA"/>
        </w:rPr>
      </w:pPr>
      <w:r>
        <w:t xml:space="preserve">UNDP </w:t>
      </w:r>
      <w:r w:rsidR="00EC5C00">
        <w:t xml:space="preserve">promotes accountability to </w:t>
      </w:r>
      <w:proofErr w:type="spellStart"/>
      <w:r w:rsidR="00E60CC0">
        <w:t>programme</w:t>
      </w:r>
      <w:proofErr w:type="spellEnd"/>
      <w:r w:rsidR="00EC5C00">
        <w:t xml:space="preserve"> and </w:t>
      </w:r>
      <w:r w:rsidR="00E60CC0">
        <w:t>project</w:t>
      </w:r>
      <w:r w:rsidR="00EC5C00">
        <w:t xml:space="preserve"> stakeholders by (i) e</w:t>
      </w:r>
      <w:r w:rsidR="00927774" w:rsidRPr="00927774">
        <w:t>nabling active local community engagement and participation in decision-making</w:t>
      </w:r>
      <w:r w:rsidR="006D32E2">
        <w:t xml:space="preserve">, </w:t>
      </w:r>
      <w:r w:rsidR="00927774" w:rsidRPr="00927774">
        <w:t>particularly those at risk of being left behind</w:t>
      </w:r>
      <w:r w:rsidR="00EC5C00">
        <w:t>; (ii) ensuring</w:t>
      </w:r>
      <w:r w:rsidR="00223B7D" w:rsidRPr="00223B7D">
        <w:t xml:space="preserve"> transparency of programming interventions through provision of timely, accessible and functional information regarding supported activities, </w:t>
      </w:r>
      <w:r w:rsidR="00F431EE">
        <w:t>including on</w:t>
      </w:r>
      <w:r w:rsidR="00223B7D" w:rsidRPr="00223B7D">
        <w:t xml:space="preserve"> potential environmental and social risks and impacts and management measures;</w:t>
      </w:r>
      <w:r w:rsidR="00EC5C00">
        <w:t xml:space="preserve"> </w:t>
      </w:r>
      <w:r w:rsidR="00EC5C00">
        <w:rPr>
          <w:lang w:val="en-CA"/>
        </w:rPr>
        <w:t xml:space="preserve">(iii) </w:t>
      </w:r>
      <w:r w:rsidR="00423107">
        <w:rPr>
          <w:lang w:val="en-CA"/>
        </w:rPr>
        <w:t xml:space="preserve">ensuring </w:t>
      </w:r>
      <w:r w:rsidR="00351F08">
        <w:rPr>
          <w:lang w:val="en-CA"/>
        </w:rPr>
        <w:t xml:space="preserve">stakeholders can communicate their concerns and have access to </w:t>
      </w:r>
      <w:r w:rsidR="00223B7D" w:rsidRPr="00223B7D">
        <w:t>rights-compatible complaints redress processes and mechanisms; and</w:t>
      </w:r>
      <w:r w:rsidR="00EC5C00">
        <w:t xml:space="preserve"> (iv)</w:t>
      </w:r>
      <w:r w:rsidR="00EC5C00">
        <w:rPr>
          <w:lang w:val="en-CA"/>
        </w:rPr>
        <w:t xml:space="preserve"> </w:t>
      </w:r>
      <w:r w:rsidR="00972DAD">
        <w:rPr>
          <w:lang w:val="en-CA"/>
        </w:rPr>
        <w:t xml:space="preserve">ensuring effective </w:t>
      </w:r>
      <w:r w:rsidR="00223B7D" w:rsidRPr="00223B7D">
        <w:t>monitoring</w:t>
      </w:r>
      <w:r w:rsidR="00110196">
        <w:t>—</w:t>
      </w:r>
      <w:r w:rsidR="00223B7D" w:rsidRPr="00223B7D">
        <w:t>and where appropriate, participatory monitoring with stakeholders</w:t>
      </w:r>
      <w:r w:rsidR="00110196">
        <w:t>—</w:t>
      </w:r>
      <w:r w:rsidR="00223B7D" w:rsidRPr="00223B7D">
        <w:t xml:space="preserve">and reporting on implementation of </w:t>
      </w:r>
      <w:r>
        <w:t xml:space="preserve">social and </w:t>
      </w:r>
      <w:r w:rsidR="00223B7D" w:rsidRPr="00223B7D">
        <w:t>environmental risk management measures.</w:t>
      </w:r>
    </w:p>
    <w:p w14:paraId="214B7301" w14:textId="04174FD8" w:rsidR="00CA0E39" w:rsidRPr="00CA0E39" w:rsidRDefault="00D10063" w:rsidP="007834FA">
      <w:pPr>
        <w:pStyle w:val="SEQSbodynumbered"/>
      </w:pPr>
      <w:r>
        <w:t xml:space="preserve">UNDP’s SES are underpinned by an </w:t>
      </w:r>
      <w:r w:rsidRPr="009B2198">
        <w:t>Accountability Mechanism with two key components:</w:t>
      </w:r>
      <w:r>
        <w:t xml:space="preserve"> (i) the Stakeholder Response Mechanism (SRM) </w:t>
      </w:r>
      <w:r w:rsidRPr="009B2198">
        <w:t xml:space="preserve">that ensures individuals, peoples, and communities affected by </w:t>
      </w:r>
      <w:r w:rsidR="00E60CC0">
        <w:t>project</w:t>
      </w:r>
      <w:r w:rsidRPr="009B2198">
        <w:t xml:space="preserve">s have access to appropriate grievance resolution procedures for hearing and </w:t>
      </w:r>
      <w:r>
        <w:t xml:space="preserve">jointly </w:t>
      </w:r>
      <w:r w:rsidRPr="009B2198">
        <w:t>addressing complaints and disputes</w:t>
      </w:r>
      <w:r>
        <w:t xml:space="preserve"> </w:t>
      </w:r>
      <w:r w:rsidRPr="009B2198">
        <w:t xml:space="preserve">related to the social and/or environmental impacts of UNDP-supported </w:t>
      </w:r>
      <w:r w:rsidR="00E60CC0">
        <w:t>project</w:t>
      </w:r>
      <w:r>
        <w:t>s; and (ii) t</w:t>
      </w:r>
      <w:r w:rsidRPr="009B2198">
        <w:t>h</w:t>
      </w:r>
      <w:r>
        <w:t>e Social and Environmental Compliance Unit (SECU) which i</w:t>
      </w:r>
      <w:r w:rsidRPr="009B2198">
        <w:t xml:space="preserve">nvestigates alleged non-compliance with UNDP’s Social and Environmental Standards and </w:t>
      </w:r>
      <w:r w:rsidR="003B02AD">
        <w:t>s</w:t>
      </w:r>
      <w:r w:rsidRPr="009B2198">
        <w:t xml:space="preserve">creening </w:t>
      </w:r>
      <w:r w:rsidR="003B02AD">
        <w:t>p</w:t>
      </w:r>
      <w:r w:rsidRPr="009B2198">
        <w:t>rocedure from project-affected stakeholders and recommends measures to address findings of non-compliance.</w:t>
      </w:r>
      <w:r>
        <w:rPr>
          <w:rStyle w:val="FootnoteReference"/>
        </w:rPr>
        <w:footnoteReference w:id="23"/>
      </w:r>
      <w:r w:rsidR="00723DFD">
        <w:t xml:space="preserve"> </w:t>
      </w:r>
    </w:p>
    <w:p w14:paraId="6687C09B" w14:textId="77777777" w:rsidR="007833E5" w:rsidRDefault="007833E5" w:rsidP="00BA3A5F">
      <w:pPr>
        <w:pStyle w:val="Heading1"/>
        <w:sectPr w:rsidR="007833E5" w:rsidSect="00722C83">
          <w:pgSz w:w="12240" w:h="15840"/>
          <w:pgMar w:top="1440" w:right="1800" w:bottom="1440" w:left="1800" w:header="720" w:footer="720" w:gutter="0"/>
          <w:cols w:space="720"/>
        </w:sectPr>
      </w:pPr>
    </w:p>
    <w:p w14:paraId="00F4F2F3" w14:textId="0D5EB67D" w:rsidR="0078682A" w:rsidRDefault="00B453F1" w:rsidP="00BA3A5F">
      <w:pPr>
        <w:pStyle w:val="Heading1"/>
      </w:pPr>
      <w:bookmarkStart w:id="9" w:name="_Toc14683698"/>
      <w:r>
        <w:lastRenderedPageBreak/>
        <w:t xml:space="preserve">PART B: </w:t>
      </w:r>
      <w:r w:rsidR="00E60CC0">
        <w:t>Project</w:t>
      </w:r>
      <w:r w:rsidR="0078682A">
        <w:t>-Level Standards</w:t>
      </w:r>
      <w:bookmarkEnd w:id="9"/>
    </w:p>
    <w:p w14:paraId="5018F253" w14:textId="77777777" w:rsidR="00C5585D" w:rsidRDefault="00C5585D" w:rsidP="00061DB0">
      <w:pPr>
        <w:pStyle w:val="Heading4"/>
      </w:pPr>
      <w:r>
        <w:t>Introduction</w:t>
      </w:r>
    </w:p>
    <w:p w14:paraId="68152DC5" w14:textId="38FC2A42" w:rsidR="00D93527" w:rsidRDefault="00023D93" w:rsidP="00D515A1">
      <w:pPr>
        <w:pStyle w:val="SEQSbodynumbered"/>
        <w:numPr>
          <w:ilvl w:val="0"/>
          <w:numId w:val="13"/>
        </w:numPr>
      </w:pPr>
      <w:r>
        <w:t xml:space="preserve">At the </w:t>
      </w:r>
      <w:r w:rsidR="00E60CC0">
        <w:t>project</w:t>
      </w:r>
      <w:r w:rsidR="00DD0F1E">
        <w:t xml:space="preserve"> </w:t>
      </w:r>
      <w:r>
        <w:t xml:space="preserve">level, UNDP </w:t>
      </w:r>
      <w:r w:rsidR="0085556C">
        <w:t>Standards 1-</w:t>
      </w:r>
      <w:r w:rsidR="00311D79">
        <w:t>8</w:t>
      </w:r>
      <w:r w:rsidR="0085556C">
        <w:t xml:space="preserve"> </w:t>
      </w:r>
      <w:r w:rsidR="00D93527">
        <w:t xml:space="preserve">further </w:t>
      </w:r>
      <w:r w:rsidR="0085556C">
        <w:t>support implementation of UNDP’s commitments to</w:t>
      </w:r>
      <w:r w:rsidR="00EE0C10">
        <w:t xml:space="preserve"> </w:t>
      </w:r>
      <w:r w:rsidR="00070CF0">
        <w:t>promoting that</w:t>
      </w:r>
      <w:r w:rsidR="00867B6F">
        <w:t xml:space="preserve"> no one is left behind</w:t>
      </w:r>
      <w:r w:rsidR="00070CF0">
        <w:t>;</w:t>
      </w:r>
      <w:r w:rsidR="0085556C">
        <w:t xml:space="preserve"> human rights</w:t>
      </w:r>
      <w:r w:rsidR="00915593">
        <w:t xml:space="preserve">; </w:t>
      </w:r>
      <w:r w:rsidR="0085556C">
        <w:t>gender equality</w:t>
      </w:r>
      <w:r w:rsidR="00867B6F">
        <w:t xml:space="preserve"> and women’s empowerment; sustainability and resilience; and accountability</w:t>
      </w:r>
      <w:r w:rsidR="009734DB">
        <w:t xml:space="preserve"> (</w:t>
      </w:r>
      <w:r w:rsidR="00754977">
        <w:t xml:space="preserve">collectively, </w:t>
      </w:r>
      <w:r w:rsidR="009734DB">
        <w:t>the SES Programming Principles)</w:t>
      </w:r>
      <w:r w:rsidR="00867B6F">
        <w:t>.</w:t>
      </w:r>
      <w:r w:rsidR="00B44DF4">
        <w:t xml:space="preserve"> The Standards set out specific requirements relating to different social and environmental issues</w:t>
      </w:r>
      <w:r w:rsidR="009D62A5">
        <w:t xml:space="preserve">. </w:t>
      </w:r>
    </w:p>
    <w:p w14:paraId="0F89DF26" w14:textId="0EA48752" w:rsidR="0085556C" w:rsidRDefault="009D62A5" w:rsidP="00AC7F5D">
      <w:pPr>
        <w:pStyle w:val="SEQSbodynumbered"/>
        <w:numPr>
          <w:ilvl w:val="0"/>
          <w:numId w:val="13"/>
        </w:numPr>
      </w:pPr>
      <w:r>
        <w:t xml:space="preserve">UNDP’s </w:t>
      </w:r>
      <w:r w:rsidR="00C11721">
        <w:t>P</w:t>
      </w:r>
      <w:r w:rsidR="00E60CC0">
        <w:t>roject</w:t>
      </w:r>
      <w:r>
        <w:t xml:space="preserve">-level Standards </w:t>
      </w:r>
      <w:r w:rsidR="00E834AF">
        <w:t xml:space="preserve">relate to </w:t>
      </w:r>
      <w:r>
        <w:t>the following</w:t>
      </w:r>
      <w:r w:rsidR="00E834AF">
        <w:t xml:space="preserve"> areas</w:t>
      </w:r>
      <w:r>
        <w:t xml:space="preserve">: </w:t>
      </w:r>
    </w:p>
    <w:p w14:paraId="37425C98" w14:textId="77777777" w:rsidR="00BB2E73" w:rsidRPr="00411435" w:rsidRDefault="00BB2E73" w:rsidP="00BB2E73">
      <w:pPr>
        <w:tabs>
          <w:tab w:val="left" w:pos="1980"/>
        </w:tabs>
        <w:ind w:left="1980" w:hanging="1440"/>
      </w:pPr>
      <w:r>
        <w:t>Standard 1</w:t>
      </w:r>
      <w:r w:rsidRPr="00411435">
        <w:t>:</w:t>
      </w:r>
      <w:r w:rsidRPr="00411435">
        <w:tab/>
        <w:t xml:space="preserve">Biodiversity Conservation and Sustainable </w:t>
      </w:r>
      <w:r w:rsidR="00B86EBA">
        <w:t xml:space="preserve">Natural Resource </w:t>
      </w:r>
      <w:r w:rsidR="003B4A42">
        <w:t>Management</w:t>
      </w:r>
    </w:p>
    <w:p w14:paraId="07E6F802" w14:textId="77777777" w:rsidR="00BB2E73" w:rsidRDefault="00BB2E73" w:rsidP="00BB2E73">
      <w:pPr>
        <w:tabs>
          <w:tab w:val="left" w:pos="1980"/>
        </w:tabs>
        <w:ind w:left="1980" w:hanging="1440"/>
      </w:pPr>
      <w:r>
        <w:t>Standard 2</w:t>
      </w:r>
      <w:r w:rsidRPr="00411435">
        <w:t>:</w:t>
      </w:r>
      <w:r w:rsidRPr="00411435">
        <w:tab/>
        <w:t>Climate Change</w:t>
      </w:r>
      <w:r w:rsidR="0000108E">
        <w:t xml:space="preserve"> </w:t>
      </w:r>
      <w:r w:rsidR="00B550DC">
        <w:t>and Disaster Risks</w:t>
      </w:r>
    </w:p>
    <w:p w14:paraId="42C50E76" w14:textId="77777777" w:rsidR="00BB2E73" w:rsidRPr="00411435" w:rsidRDefault="00BB2E73" w:rsidP="00BB2E73">
      <w:pPr>
        <w:tabs>
          <w:tab w:val="left" w:pos="1980"/>
        </w:tabs>
        <w:ind w:left="1980" w:hanging="1440"/>
      </w:pPr>
      <w:r>
        <w:t>Standard 3</w:t>
      </w:r>
      <w:r w:rsidRPr="00411435">
        <w:t>:</w:t>
      </w:r>
      <w:r w:rsidRPr="00411435">
        <w:tab/>
        <w:t>Community Health</w:t>
      </w:r>
      <w:r w:rsidR="00264B29">
        <w:t xml:space="preserve">, </w:t>
      </w:r>
      <w:r w:rsidRPr="00411435">
        <w:t>Safety</w:t>
      </w:r>
      <w:r w:rsidR="009D5CB4">
        <w:t xml:space="preserve"> and </w:t>
      </w:r>
      <w:r w:rsidR="00B550DC">
        <w:t>Security</w:t>
      </w:r>
    </w:p>
    <w:p w14:paraId="1CC8A561" w14:textId="77777777" w:rsidR="00BB2E73" w:rsidRPr="00411435" w:rsidRDefault="00BB2E73" w:rsidP="00BB2E73">
      <w:pPr>
        <w:tabs>
          <w:tab w:val="left" w:pos="1980"/>
        </w:tabs>
        <w:ind w:left="1980" w:hanging="1440"/>
      </w:pPr>
      <w:r w:rsidRPr="00411435">
        <w:t>Standard</w:t>
      </w:r>
      <w:r>
        <w:t xml:space="preserve"> 4</w:t>
      </w:r>
      <w:r w:rsidRPr="00411435">
        <w:t>:</w:t>
      </w:r>
      <w:r w:rsidRPr="00411435">
        <w:tab/>
        <w:t>Cultural Heritage</w:t>
      </w:r>
    </w:p>
    <w:p w14:paraId="587D2BEA" w14:textId="77777777" w:rsidR="00BB2E73" w:rsidRPr="00411435" w:rsidRDefault="00BB2E73" w:rsidP="00BB2E73">
      <w:pPr>
        <w:tabs>
          <w:tab w:val="left" w:pos="1980"/>
        </w:tabs>
        <w:ind w:left="1980" w:hanging="1440"/>
      </w:pPr>
      <w:r>
        <w:t>Standard 5</w:t>
      </w:r>
      <w:r w:rsidRPr="00411435">
        <w:t>:</w:t>
      </w:r>
      <w:r w:rsidRPr="00411435">
        <w:tab/>
        <w:t>Displacement</w:t>
      </w:r>
      <w:r w:rsidR="00B3210C">
        <w:t xml:space="preserve"> and Resettlement</w:t>
      </w:r>
    </w:p>
    <w:p w14:paraId="550A9A41" w14:textId="77777777" w:rsidR="00BB2E73" w:rsidRDefault="00BB2E73" w:rsidP="00061DB0">
      <w:pPr>
        <w:tabs>
          <w:tab w:val="left" w:pos="1980"/>
        </w:tabs>
        <w:ind w:left="1980" w:hanging="1440"/>
      </w:pPr>
      <w:r>
        <w:t>Standard 6</w:t>
      </w:r>
      <w:r w:rsidRPr="00411435">
        <w:t>:</w:t>
      </w:r>
      <w:r w:rsidRPr="00411435">
        <w:tab/>
        <w:t>Indigenous Peoples</w:t>
      </w:r>
    </w:p>
    <w:p w14:paraId="12CC9F2F" w14:textId="77777777" w:rsidR="009129DC" w:rsidRDefault="00BB2E73" w:rsidP="00061DB0">
      <w:pPr>
        <w:tabs>
          <w:tab w:val="left" w:pos="1980"/>
        </w:tabs>
        <w:ind w:left="1980" w:hanging="1440"/>
      </w:pPr>
      <w:r>
        <w:t>Standard 7</w:t>
      </w:r>
      <w:r w:rsidRPr="00411435">
        <w:t>:</w:t>
      </w:r>
      <w:r w:rsidRPr="00411435">
        <w:tab/>
      </w:r>
      <w:proofErr w:type="spellStart"/>
      <w:r w:rsidR="00B550DC">
        <w:t>Labour</w:t>
      </w:r>
      <w:proofErr w:type="spellEnd"/>
      <w:r w:rsidR="00B550DC">
        <w:t xml:space="preserve"> and Working Conditions</w:t>
      </w:r>
    </w:p>
    <w:p w14:paraId="4F03934F" w14:textId="77777777" w:rsidR="00BB2E73" w:rsidRDefault="009129DC" w:rsidP="00061DB0">
      <w:pPr>
        <w:tabs>
          <w:tab w:val="left" w:pos="1980"/>
        </w:tabs>
        <w:ind w:left="1980" w:hanging="1440"/>
      </w:pPr>
      <w:r>
        <w:t>Standard 8</w:t>
      </w:r>
      <w:r w:rsidRPr="00411435">
        <w:t>:</w:t>
      </w:r>
      <w:r w:rsidRPr="00411435">
        <w:tab/>
      </w:r>
      <w:r w:rsidR="00BB2E73" w:rsidRPr="00411435">
        <w:t>Pollution Prevention and Resource Efficiency</w:t>
      </w:r>
    </w:p>
    <w:p w14:paraId="5737113E" w14:textId="718D2629" w:rsidR="00926FA3" w:rsidRDefault="0085556C" w:rsidP="00D515A1">
      <w:pPr>
        <w:pStyle w:val="SEQSbodynumbered"/>
      </w:pPr>
      <w:r>
        <w:t xml:space="preserve">Application of </w:t>
      </w:r>
      <w:r w:rsidR="009734DB">
        <w:t xml:space="preserve">relevant </w:t>
      </w:r>
      <w:r w:rsidR="00C6386D">
        <w:t xml:space="preserve">SES </w:t>
      </w:r>
      <w:r w:rsidR="009734DB">
        <w:t>requirements</w:t>
      </w:r>
      <w:r>
        <w:t xml:space="preserve"> is determined during </w:t>
      </w:r>
      <w:r w:rsidR="009734DB">
        <w:t xml:space="preserve">application of </w:t>
      </w:r>
      <w:r>
        <w:t xml:space="preserve">UNDP’s </w:t>
      </w:r>
      <w:r w:rsidR="00C11721">
        <w:t>S</w:t>
      </w:r>
      <w:r w:rsidR="00E834AF">
        <w:t xml:space="preserve">ocial and </w:t>
      </w:r>
      <w:r w:rsidR="00C11721">
        <w:t>E</w:t>
      </w:r>
      <w:r w:rsidR="00E834AF">
        <w:t xml:space="preserve">nvironmental </w:t>
      </w:r>
      <w:r w:rsidR="00C11721">
        <w:t>S</w:t>
      </w:r>
      <w:r w:rsidR="0000108E">
        <w:t xml:space="preserve">creening </w:t>
      </w:r>
      <w:r w:rsidR="00C11721">
        <w:t>P</w:t>
      </w:r>
      <w:r w:rsidR="00121AE4">
        <w:t>rocedure (SESP)</w:t>
      </w:r>
      <w:r w:rsidR="009734DB">
        <w:t xml:space="preserve"> and social and environmental assessment requirements</w:t>
      </w:r>
      <w:r>
        <w:t>.</w:t>
      </w:r>
    </w:p>
    <w:p w14:paraId="769D65AA" w14:textId="7E69C300" w:rsidR="00B44DF4" w:rsidRDefault="00AA4A5A" w:rsidP="00AC7F5D">
      <w:pPr>
        <w:pStyle w:val="SEQSbodynumbered"/>
      </w:pPr>
      <w:r>
        <w:t xml:space="preserve">The </w:t>
      </w:r>
      <w:r w:rsidR="009734DB">
        <w:t xml:space="preserve">SES </w:t>
      </w:r>
      <w:r w:rsidR="001C4565">
        <w:t>Social and Environmental Management System</w:t>
      </w:r>
      <w:r>
        <w:t xml:space="preserve"> (see </w:t>
      </w:r>
      <w:r w:rsidR="00AC795B">
        <w:t>Part C</w:t>
      </w:r>
      <w:r>
        <w:t>) describes the requirements regarding (i) screening, assessment and management of social and environmental risks and impacts; (ii) stakeholder engagement and response mechanisms; (iii) access to information; and (iv) monitoring, reporting and compliance.</w:t>
      </w:r>
    </w:p>
    <w:p w14:paraId="0F522B6A" w14:textId="77777777" w:rsidR="002843C3" w:rsidRPr="00F00DDC" w:rsidRDefault="00D93527" w:rsidP="00BA3A5F">
      <w:pPr>
        <w:pStyle w:val="Heading2"/>
      </w:pPr>
      <w:r>
        <w:rPr>
          <w:b w:val="0"/>
          <w:bCs w:val="0"/>
        </w:rPr>
        <w:br w:type="page"/>
      </w:r>
      <w:bookmarkStart w:id="10" w:name="_Toc14683699"/>
      <w:r w:rsidR="003B75EA">
        <w:lastRenderedPageBreak/>
        <w:t xml:space="preserve">Standard </w:t>
      </w:r>
      <w:r w:rsidR="0080194E">
        <w:t>1:</w:t>
      </w:r>
      <w:r w:rsidR="00600150">
        <w:t xml:space="preserve"> </w:t>
      </w:r>
      <w:r w:rsidR="002843C3" w:rsidRPr="00F00DDC">
        <w:t xml:space="preserve">Biodiversity Conservation and Sustainable </w:t>
      </w:r>
      <w:r w:rsidR="00634B15">
        <w:t xml:space="preserve">Natural Resource </w:t>
      </w:r>
      <w:r w:rsidR="00043B84">
        <w:t>Management</w:t>
      </w:r>
      <w:bookmarkEnd w:id="10"/>
    </w:p>
    <w:p w14:paraId="5E583056" w14:textId="77777777" w:rsidR="002843C3" w:rsidRPr="00F00DDC" w:rsidRDefault="002843C3" w:rsidP="00B53617">
      <w:pPr>
        <w:pStyle w:val="Heading4"/>
      </w:pPr>
      <w:r w:rsidRPr="002B0C47">
        <w:t>Introduction</w:t>
      </w:r>
    </w:p>
    <w:p w14:paraId="7843413C" w14:textId="77777777" w:rsidR="002843C3" w:rsidRPr="00E62E81" w:rsidRDefault="005D6121" w:rsidP="00D515A1">
      <w:pPr>
        <w:pStyle w:val="SEQSbodynumbered"/>
        <w:numPr>
          <w:ilvl w:val="0"/>
          <w:numId w:val="53"/>
        </w:numPr>
      </w:pPr>
      <w:r>
        <w:t>C</w:t>
      </w:r>
      <w:r w:rsidR="002843C3" w:rsidRPr="00E62E81">
        <w:t>onserving biodiversity</w:t>
      </w:r>
      <w:r w:rsidR="00E543F7">
        <w:t>,</w:t>
      </w:r>
      <w:r w:rsidR="002843C3">
        <w:rPr>
          <w:rStyle w:val="FootnoteReference"/>
        </w:rPr>
        <w:footnoteReference w:id="24"/>
      </w:r>
      <w:r w:rsidR="002843C3" w:rsidRPr="00E62E81">
        <w:t xml:space="preserve"> maintaining ecosystem services,</w:t>
      </w:r>
      <w:r w:rsidR="002843C3" w:rsidRPr="00571B11">
        <w:rPr>
          <w:rStyle w:val="FootnoteReference"/>
        </w:rPr>
        <w:t xml:space="preserve"> </w:t>
      </w:r>
      <w:r w:rsidR="002843C3">
        <w:rPr>
          <w:rStyle w:val="FootnoteReference"/>
        </w:rPr>
        <w:footnoteReference w:id="25"/>
      </w:r>
      <w:r w:rsidR="002843C3" w:rsidRPr="00F00DDC">
        <w:t xml:space="preserve"> </w:t>
      </w:r>
      <w:r w:rsidR="002843C3" w:rsidRPr="00E62E81">
        <w:t xml:space="preserve">and sustainably managing natural resources are fundamental to sustainable development. </w:t>
      </w:r>
      <w:r w:rsidR="006950CE" w:rsidRPr="00D515A1">
        <w:rPr>
          <w:rFonts w:eastAsia="Times New Roman" w:cs="Calibri"/>
        </w:rPr>
        <w:t>Biodiversity and healthy ecosystems strengthen our resilience to ad</w:t>
      </w:r>
      <w:r w:rsidR="006950CE" w:rsidRPr="00AC7F5D">
        <w:rPr>
          <w:rFonts w:eastAsia="Times New Roman" w:cs="Calibri"/>
        </w:rPr>
        <w:t xml:space="preserve">dress environmental and social changes and shocks, including climate change impacts and disaster risks. </w:t>
      </w:r>
      <w:r w:rsidR="002843C3" w:rsidRPr="00E62E81">
        <w:t>UNDP seeks to maintain and enhance the goods and services provided by biodiversity and ecosystems in order to secure livelihoods, food, water and health, enhance resilience, conserve threatened species and their habitats, and increase carbon storage and sequestration</w:t>
      </w:r>
      <w:r w:rsidR="00F72CD0">
        <w:t>.</w:t>
      </w:r>
      <w:r w:rsidR="006950CE">
        <w:t xml:space="preserve"> </w:t>
      </w:r>
    </w:p>
    <w:p w14:paraId="472A8D83" w14:textId="77777777" w:rsidR="002843C3" w:rsidRPr="00F5085C" w:rsidRDefault="002843C3" w:rsidP="00AC7F5D">
      <w:pPr>
        <w:pStyle w:val="SEQSbodynumbered"/>
      </w:pPr>
      <w:r w:rsidRPr="003C39D8">
        <w:t>UNDP</w:t>
      </w:r>
      <w:r>
        <w:t xml:space="preserve"> is committed to integrating biodiversity and ecosystem management into development planning and production sector activities, strengthening protected areas systems, and managing and rehabilitating ecosystems for adaptation to and mitigation of climate change. UNDP seeks to strengthen effective governance and decision-making systems affecting biodiversity and ecosystems, including strengthening </w:t>
      </w:r>
      <w:r w:rsidR="006757D6">
        <w:t xml:space="preserve">the </w:t>
      </w:r>
      <w:r>
        <w:t xml:space="preserve">rights of </w:t>
      </w:r>
      <w:r w:rsidR="00263F8C">
        <w:t xml:space="preserve">affected populations including </w:t>
      </w:r>
      <w:r w:rsidR="006710DD">
        <w:t>women,</w:t>
      </w:r>
      <w:r w:rsidR="006710DD">
        <w:rPr>
          <w:rStyle w:val="FootnoteReference"/>
        </w:rPr>
        <w:footnoteReference w:id="26"/>
      </w:r>
      <w:r w:rsidR="006710DD">
        <w:t xml:space="preserve"> </w:t>
      </w:r>
      <w:r w:rsidR="00E26A12">
        <w:t>i</w:t>
      </w:r>
      <w:r>
        <w:t xml:space="preserve">ndigenous </w:t>
      </w:r>
      <w:r w:rsidR="00E26A12">
        <w:t>p</w:t>
      </w:r>
      <w:r>
        <w:t>eoples and local communities to sustainable use of resources</w:t>
      </w:r>
      <w:r w:rsidR="00446790">
        <w:t>.</w:t>
      </w:r>
    </w:p>
    <w:p w14:paraId="4683B806" w14:textId="77777777" w:rsidR="002843C3" w:rsidRDefault="006757D6" w:rsidP="007834FA">
      <w:pPr>
        <w:pStyle w:val="SEQSbodynumbered"/>
      </w:pPr>
      <w:r>
        <w:t>This</w:t>
      </w:r>
      <w:r w:rsidR="002843C3">
        <w:t xml:space="preserve"> </w:t>
      </w:r>
      <w:r w:rsidR="00511D59">
        <w:t>Standard</w:t>
      </w:r>
      <w:r w:rsidR="002843C3">
        <w:t xml:space="preserve"> reflects the objectives of the Convention on Biological Diversity</w:t>
      </w:r>
      <w:r w:rsidR="00944374" w:rsidRPr="00944374">
        <w:rPr>
          <w:rStyle w:val="FootnoteReference"/>
        </w:rPr>
        <w:t xml:space="preserve"> </w:t>
      </w:r>
      <w:r w:rsidR="00944374">
        <w:rPr>
          <w:rStyle w:val="FootnoteReference"/>
        </w:rPr>
        <w:footnoteReference w:id="27"/>
      </w:r>
      <w:r w:rsidR="00110196">
        <w:t>—</w:t>
      </w:r>
      <w:r>
        <w:t>including the conservation</w:t>
      </w:r>
      <w:r w:rsidR="002843C3">
        <w:t xml:space="preserve"> </w:t>
      </w:r>
      <w:r>
        <w:t xml:space="preserve">of </w:t>
      </w:r>
      <w:r w:rsidR="002843C3">
        <w:t>biological diversity</w:t>
      </w:r>
      <w:r>
        <w:t>,</w:t>
      </w:r>
      <w:r w:rsidR="002843C3">
        <w:t xml:space="preserve"> </w:t>
      </w:r>
      <w:r>
        <w:t>the</w:t>
      </w:r>
      <w:r w:rsidR="002843C3">
        <w:t xml:space="preserve"> sustainable use of </w:t>
      </w:r>
      <w:r w:rsidR="00DB6FB2">
        <w:t>its components and the fair and equitable sharing of the benefits arising out of the use of genetic resources</w:t>
      </w:r>
      <w:r w:rsidR="00110196">
        <w:t>—</w:t>
      </w:r>
      <w:r w:rsidR="00944374">
        <w:t xml:space="preserve">and </w:t>
      </w:r>
      <w:r w:rsidR="00944374" w:rsidRPr="00944374">
        <w:rPr>
          <w:rFonts w:eastAsia="Times New Roman" w:cs="Calibri"/>
        </w:rPr>
        <w:t xml:space="preserve">other international </w:t>
      </w:r>
      <w:r w:rsidR="00944374" w:rsidRPr="00944374">
        <w:rPr>
          <w:rFonts w:eastAsia="Times New Roman" w:cs="Calibri"/>
        </w:rPr>
        <w:lastRenderedPageBreak/>
        <w:t>conventions and agreements</w:t>
      </w:r>
      <w:r w:rsidR="00944374">
        <w:rPr>
          <w:rFonts w:eastAsia="Times New Roman" w:cs="Calibri"/>
        </w:rPr>
        <w:t>.</w:t>
      </w:r>
      <w:r w:rsidR="00944374" w:rsidRPr="00944374">
        <w:rPr>
          <w:rStyle w:val="FootnoteReference"/>
          <w:rFonts w:eastAsia="Times New Roman" w:cs="Calibri"/>
        </w:rPr>
        <w:footnoteReference w:id="28"/>
      </w:r>
      <w:r w:rsidR="002843C3">
        <w:t xml:space="preserve"> </w:t>
      </w:r>
      <w:r w:rsidR="005B2C6B">
        <w:t>UNDP promotes an ecosystem approach to biodiversity conservation and sustainable management of natural resources.</w:t>
      </w:r>
      <w:r w:rsidR="005B2C6B">
        <w:rPr>
          <w:rStyle w:val="FootnoteReference"/>
        </w:rPr>
        <w:footnoteReference w:id="29"/>
      </w:r>
    </w:p>
    <w:p w14:paraId="4637AB6D" w14:textId="77777777" w:rsidR="002843C3" w:rsidRPr="00F00DDC" w:rsidRDefault="002843C3" w:rsidP="008F1066">
      <w:pPr>
        <w:pStyle w:val="Heading4"/>
      </w:pPr>
      <w:r w:rsidRPr="00F00DDC">
        <w:t>Objectives</w:t>
      </w:r>
    </w:p>
    <w:p w14:paraId="60B847FE" w14:textId="77777777" w:rsidR="002843C3" w:rsidRDefault="002843C3" w:rsidP="000828D8">
      <w:pPr>
        <w:pStyle w:val="listbullets1"/>
      </w:pPr>
      <w:r>
        <w:t>To conserve biodiversity</w:t>
      </w:r>
    </w:p>
    <w:p w14:paraId="18AEBB7C" w14:textId="77777777" w:rsidR="002843C3" w:rsidRDefault="002843C3" w:rsidP="000828D8">
      <w:pPr>
        <w:pStyle w:val="listbullets1"/>
      </w:pPr>
      <w:r>
        <w:t>To m</w:t>
      </w:r>
      <w:r w:rsidRPr="00325DFA">
        <w:t xml:space="preserve">aintain </w:t>
      </w:r>
      <w:r w:rsidR="00D23C23">
        <w:t xml:space="preserve">and enhance </w:t>
      </w:r>
      <w:r w:rsidRPr="00325DFA">
        <w:t>the ben</w:t>
      </w:r>
      <w:r>
        <w:t>efits of ecosystem services</w:t>
      </w:r>
    </w:p>
    <w:p w14:paraId="025B4038" w14:textId="77777777" w:rsidR="002843C3" w:rsidRDefault="002843C3" w:rsidP="000828D8">
      <w:pPr>
        <w:pStyle w:val="listbullets1"/>
      </w:pPr>
      <w:r>
        <w:t>To p</w:t>
      </w:r>
      <w:r w:rsidRPr="00325DFA">
        <w:t xml:space="preserve">romote sustainable management </w:t>
      </w:r>
      <w:r w:rsidR="00944374">
        <w:t xml:space="preserve">and use </w:t>
      </w:r>
      <w:r w:rsidRPr="00325DFA">
        <w:t xml:space="preserve">of </w:t>
      </w:r>
      <w:r w:rsidR="0011179A">
        <w:t>living</w:t>
      </w:r>
      <w:r w:rsidR="0011179A" w:rsidRPr="00325DFA">
        <w:t xml:space="preserve"> </w:t>
      </w:r>
      <w:r>
        <w:t>natural resources</w:t>
      </w:r>
    </w:p>
    <w:p w14:paraId="01BB525B" w14:textId="77777777" w:rsidR="00944374" w:rsidRPr="00944374" w:rsidRDefault="00944374" w:rsidP="000828D8">
      <w:pPr>
        <w:pStyle w:val="listbullets1"/>
      </w:pPr>
      <w:r>
        <w:t>To e</w:t>
      </w:r>
      <w:r w:rsidRPr="00944374">
        <w:t>nsure the fair and equitable sharing of the benefits from the utilization of genetic resources</w:t>
      </w:r>
    </w:p>
    <w:p w14:paraId="0A530E68" w14:textId="77777777" w:rsidR="00944374" w:rsidRPr="00325DFA" w:rsidRDefault="00944374" w:rsidP="000828D8">
      <w:pPr>
        <w:pStyle w:val="listbullets1"/>
      </w:pPr>
      <w:r>
        <w:t>To r</w:t>
      </w:r>
      <w:r w:rsidRPr="00944374">
        <w:t>espect, preserve, maintain and encourage knowledge, innovations and practices of indigenous peoples and local communities relevant for the conservation and sustainable use of biodiversity and their customary use of biological resources.</w:t>
      </w:r>
    </w:p>
    <w:p w14:paraId="2F5C6FBD" w14:textId="77777777" w:rsidR="002843C3" w:rsidRPr="00F00DDC" w:rsidRDefault="002843C3" w:rsidP="00992E60">
      <w:pPr>
        <w:pStyle w:val="Heading4"/>
      </w:pPr>
      <w:r w:rsidRPr="00F00DDC">
        <w:t>Scope of Application</w:t>
      </w:r>
    </w:p>
    <w:p w14:paraId="08376E37" w14:textId="31BA4199" w:rsidR="002843C3" w:rsidRDefault="002843C3" w:rsidP="00D515A1">
      <w:pPr>
        <w:pStyle w:val="SEQSbodynumbered"/>
      </w:pPr>
      <w:r w:rsidRPr="00F00DDC">
        <w:t xml:space="preserve">The applicability of </w:t>
      </w:r>
      <w:r w:rsidR="008A235C">
        <w:t>this</w:t>
      </w:r>
      <w:r w:rsidR="003445B2" w:rsidRPr="003445B2">
        <w:t xml:space="preserve"> </w:t>
      </w:r>
      <w:r w:rsidR="00763B80">
        <w:t>Standard</w:t>
      </w:r>
      <w:r w:rsidRPr="00F00DDC">
        <w:t xml:space="preserve"> is established during the </w:t>
      </w:r>
      <w:r w:rsidR="00D7769D">
        <w:t>social and environmental</w:t>
      </w:r>
      <w:r w:rsidRPr="00F00DDC">
        <w:t xml:space="preserve"> screening and </w:t>
      </w:r>
      <w:r w:rsidR="0004089B">
        <w:t>categorization</w:t>
      </w:r>
      <w:r w:rsidR="0004089B" w:rsidRPr="00F00DDC">
        <w:t xml:space="preserve"> </w:t>
      </w:r>
      <w:r w:rsidRPr="00F00DDC">
        <w:t xml:space="preserve">process. Requirements of </w:t>
      </w:r>
      <w:r w:rsidR="00763B80">
        <w:t>this Standard</w:t>
      </w:r>
      <w:r w:rsidRPr="00F00DDC">
        <w:t xml:space="preserve"> apply to </w:t>
      </w:r>
      <w:r w:rsidR="00E60CC0">
        <w:t>project</w:t>
      </w:r>
      <w:r w:rsidRPr="00F00DDC">
        <w:t xml:space="preserve">s </w:t>
      </w:r>
      <w:r w:rsidR="008A235C">
        <w:t xml:space="preserve">that </w:t>
      </w:r>
      <w:r w:rsidRPr="00F00DDC">
        <w:t xml:space="preserve">(i) </w:t>
      </w:r>
      <w:r w:rsidR="00C720FC">
        <w:t>are located in modified, natural, and critical habitats;</w:t>
      </w:r>
      <w:r w:rsidR="004740EA">
        <w:t xml:space="preserve"> </w:t>
      </w:r>
      <w:r w:rsidR="00605D1A">
        <w:t xml:space="preserve">and/or </w:t>
      </w:r>
      <w:r w:rsidR="00C720FC">
        <w:t xml:space="preserve">(ii) </w:t>
      </w:r>
      <w:r w:rsidRPr="00F00DDC">
        <w:t xml:space="preserve">potentially impact or are dependent on </w:t>
      </w:r>
      <w:r w:rsidR="008A235C">
        <w:t xml:space="preserve">the </w:t>
      </w:r>
      <w:r w:rsidRPr="00F00DDC">
        <w:t>ecosystem services</w:t>
      </w:r>
      <w:r>
        <w:t xml:space="preserve"> </w:t>
      </w:r>
      <w:r w:rsidRPr="00F00DDC">
        <w:t>of modified, natural, or critical habitats; and</w:t>
      </w:r>
      <w:r w:rsidR="00A84340">
        <w:t>/or</w:t>
      </w:r>
      <w:r w:rsidRPr="00F00DDC">
        <w:t xml:space="preserve"> </w:t>
      </w:r>
      <w:r>
        <w:t>(i</w:t>
      </w:r>
      <w:r w:rsidRPr="00F00DDC">
        <w:t>i</w:t>
      </w:r>
      <w:r w:rsidR="004740EA">
        <w:t>i</w:t>
      </w:r>
      <w:r w:rsidRPr="00F00DDC">
        <w:t xml:space="preserve">) include production of </w:t>
      </w:r>
      <w:r w:rsidR="0011179A">
        <w:t xml:space="preserve">living </w:t>
      </w:r>
      <w:r w:rsidRPr="00F00DDC">
        <w:t>natural resources (e.g. agriculture, animal h</w:t>
      </w:r>
      <w:r w:rsidR="00763B80">
        <w:t>usbandry, fisheries, forestry)</w:t>
      </w:r>
      <w:r w:rsidR="00A51F78">
        <w:t>.</w:t>
      </w:r>
    </w:p>
    <w:p w14:paraId="518BD8FF" w14:textId="77777777" w:rsidR="002843C3" w:rsidRDefault="002843C3" w:rsidP="00992E60">
      <w:pPr>
        <w:pStyle w:val="Heading4"/>
      </w:pPr>
      <w:r w:rsidRPr="00F00DDC">
        <w:t>Requirements</w:t>
      </w:r>
    </w:p>
    <w:p w14:paraId="7D107E22" w14:textId="77777777" w:rsidR="002843C3" w:rsidRPr="00F00DDC" w:rsidRDefault="002843C3" w:rsidP="00D515A1">
      <w:pPr>
        <w:pStyle w:val="SEQSbodynumbered"/>
      </w:pPr>
      <w:r w:rsidRPr="00D87944">
        <w:rPr>
          <w:b/>
        </w:rPr>
        <w:t xml:space="preserve">Precautionary </w:t>
      </w:r>
      <w:r w:rsidR="008A235C">
        <w:rPr>
          <w:b/>
        </w:rPr>
        <w:t>a</w:t>
      </w:r>
      <w:r w:rsidRPr="00D87944">
        <w:rPr>
          <w:b/>
        </w:rPr>
        <w:t>pproach</w:t>
      </w:r>
      <w:r w:rsidRPr="00F00DDC">
        <w:t xml:space="preserve">: UNDP </w:t>
      </w:r>
      <w:r w:rsidR="0019479A">
        <w:t>ensure</w:t>
      </w:r>
      <w:r w:rsidR="00C6386D">
        <w:t>s</w:t>
      </w:r>
      <w:r w:rsidR="0019479A">
        <w:t xml:space="preserve"> that</w:t>
      </w:r>
      <w:r w:rsidRPr="00F00DDC">
        <w:t xml:space="preserve"> a precautionary approach </w:t>
      </w:r>
      <w:r w:rsidR="0019479A">
        <w:t xml:space="preserve">is applied </w:t>
      </w:r>
      <w:r w:rsidRPr="00F00DDC">
        <w:t>to the use, development, and management of natural habitats</w:t>
      </w:r>
      <w:r>
        <w:t>, the ecosystem services of such habitats,</w:t>
      </w:r>
      <w:r w:rsidRPr="00F00DDC">
        <w:t xml:space="preserve"> and </w:t>
      </w:r>
      <w:r w:rsidR="0011179A">
        <w:t>living</w:t>
      </w:r>
      <w:r w:rsidR="0011179A" w:rsidRPr="00F00DDC">
        <w:t xml:space="preserve"> </w:t>
      </w:r>
      <w:r w:rsidRPr="00F00DDC">
        <w:t>natural resources</w:t>
      </w:r>
      <w:r w:rsidR="00935403">
        <w:t>.</w:t>
      </w:r>
      <w:r w:rsidR="007E506A">
        <w:t xml:space="preserve"> </w:t>
      </w:r>
    </w:p>
    <w:p w14:paraId="7CC3D3D6" w14:textId="22AC68A8" w:rsidR="002843C3" w:rsidRPr="00F00DDC" w:rsidRDefault="00BB7834" w:rsidP="00AC7F5D">
      <w:pPr>
        <w:pStyle w:val="SEQSbodynumbered"/>
      </w:pPr>
      <w:r>
        <w:rPr>
          <w:b/>
        </w:rPr>
        <w:t>Risk identification and a</w:t>
      </w:r>
      <w:r w:rsidR="002843C3" w:rsidRPr="00D87944">
        <w:rPr>
          <w:b/>
        </w:rPr>
        <w:t>ssessment</w:t>
      </w:r>
      <w:r w:rsidR="002843C3" w:rsidRPr="00F00DDC">
        <w:t xml:space="preserve">: As an integral part of the </w:t>
      </w:r>
      <w:r w:rsidR="00E543F7">
        <w:t xml:space="preserve">social and </w:t>
      </w:r>
      <w:r w:rsidR="002843C3" w:rsidRPr="00F00DDC">
        <w:t xml:space="preserve">environmental assessment process, UNDP </w:t>
      </w:r>
      <w:r w:rsidR="005D28C0">
        <w:t>will</w:t>
      </w:r>
      <w:r w:rsidR="005D28C0" w:rsidRPr="00F00DDC">
        <w:t xml:space="preserve"> </w:t>
      </w:r>
      <w:r w:rsidR="002843C3" w:rsidRPr="00F00DDC">
        <w:t>ensure that direct and indirect impacts on natural resources, biodiversity</w:t>
      </w:r>
      <w:r>
        <w:t>, ecosystems</w:t>
      </w:r>
      <w:r w:rsidR="002843C3" w:rsidRPr="00F00DDC">
        <w:t xml:space="preserve"> and ecosystem services</w:t>
      </w:r>
      <w:r w:rsidR="007001BE">
        <w:t xml:space="preserve"> in the </w:t>
      </w:r>
      <w:r w:rsidR="00E60CC0">
        <w:t>project</w:t>
      </w:r>
      <w:r w:rsidR="007001BE">
        <w:t>’s area of influence</w:t>
      </w:r>
      <w:r w:rsidR="003A10E5">
        <w:rPr>
          <w:rStyle w:val="FootnoteReference"/>
        </w:rPr>
        <w:footnoteReference w:id="30"/>
      </w:r>
      <w:r w:rsidR="002843C3" w:rsidRPr="00F00DDC">
        <w:t xml:space="preserve"> are identified and addressed</w:t>
      </w:r>
      <w:r>
        <w:t xml:space="preserve"> as early as possible</w:t>
      </w:r>
      <w:r w:rsidR="002843C3" w:rsidRPr="00F00DDC">
        <w:t>. The assessment process will consider</w:t>
      </w:r>
      <w:r w:rsidR="00CB3882">
        <w:t>,</w:t>
      </w:r>
      <w:r w:rsidR="004666F1">
        <w:t xml:space="preserve"> </w:t>
      </w:r>
      <w:r w:rsidR="004666F1" w:rsidRPr="003456A8">
        <w:rPr>
          <w:i/>
        </w:rPr>
        <w:t>inter alia</w:t>
      </w:r>
      <w:r w:rsidR="002843C3" w:rsidRPr="00F00DDC">
        <w:t xml:space="preserve"> (i) risks of habitat </w:t>
      </w:r>
      <w:r w:rsidR="00D93960">
        <w:t xml:space="preserve">and species </w:t>
      </w:r>
      <w:r w:rsidR="002843C3" w:rsidRPr="00F00DDC">
        <w:t xml:space="preserve">loss, degradation and fragmentation, invasive species, overexploitation, hydrological changes, nutrient loading, pollution, </w:t>
      </w:r>
      <w:r w:rsidRPr="00136B9E">
        <w:t>incidental take, potential climate change impacts</w:t>
      </w:r>
      <w:r>
        <w:t>,</w:t>
      </w:r>
      <w:r w:rsidRPr="00F00DDC">
        <w:t xml:space="preserve"> </w:t>
      </w:r>
      <w:r w:rsidR="002843C3" w:rsidRPr="00F00DDC">
        <w:t xml:space="preserve">and (ii) differing values </w:t>
      </w:r>
      <w:r w:rsidR="00D93960">
        <w:t xml:space="preserve">(e.g. social, cultural, economic) </w:t>
      </w:r>
      <w:r w:rsidR="002843C3" w:rsidRPr="00F00DDC">
        <w:t>attached to biodiversity and ecosystem services by potentially affected communities.</w:t>
      </w:r>
      <w:r w:rsidR="00446790">
        <w:t xml:space="preserve"> </w:t>
      </w:r>
      <w:r w:rsidR="00605D1A">
        <w:t>Potential cumulative</w:t>
      </w:r>
      <w:r w:rsidR="00E458F7">
        <w:t>, indirect</w:t>
      </w:r>
      <w:r w:rsidR="00605D1A">
        <w:t xml:space="preserve"> and induced impacts will be assessed. </w:t>
      </w:r>
      <w:r w:rsidR="00E458F7">
        <w:t>P</w:t>
      </w:r>
      <w:r w:rsidRPr="00BB7834">
        <w:t xml:space="preserve">otential impacts across landscapes and seascapes </w:t>
      </w:r>
      <w:r w:rsidR="00E458F7">
        <w:t>w</w:t>
      </w:r>
      <w:r w:rsidR="00641A27">
        <w:t xml:space="preserve">ill be considered </w:t>
      </w:r>
      <w:r w:rsidRPr="00BB7834">
        <w:t>to ensure that any adopted mitigation strategy aligns with regional conservation goals</w:t>
      </w:r>
      <w:r w:rsidR="002843C3" w:rsidRPr="00F00DDC">
        <w:t xml:space="preserve">. </w:t>
      </w:r>
    </w:p>
    <w:p w14:paraId="7FA2B1BF" w14:textId="34C92C8D" w:rsidR="002843C3" w:rsidRPr="00F00DDC" w:rsidRDefault="00C5653E" w:rsidP="00AC7F5D">
      <w:pPr>
        <w:pStyle w:val="SEQSbodynumbered"/>
      </w:pPr>
      <w:r w:rsidRPr="00C5653E">
        <w:rPr>
          <w:b/>
        </w:rPr>
        <w:lastRenderedPageBreak/>
        <w:t xml:space="preserve">Use of </w:t>
      </w:r>
      <w:r w:rsidR="00CB3882">
        <w:rPr>
          <w:b/>
        </w:rPr>
        <w:t>e</w:t>
      </w:r>
      <w:r w:rsidR="002843C3" w:rsidRPr="00C5653E">
        <w:rPr>
          <w:b/>
        </w:rPr>
        <w:t>xperts</w:t>
      </w:r>
      <w:r w:rsidR="002843C3" w:rsidRPr="00F00DDC">
        <w:t xml:space="preserve">: For </w:t>
      </w:r>
      <w:r w:rsidR="00E60CC0">
        <w:t>project</w:t>
      </w:r>
      <w:r w:rsidR="002843C3" w:rsidRPr="00F00DDC">
        <w:t xml:space="preserve">s </w:t>
      </w:r>
      <w:r w:rsidR="002843C3">
        <w:t>that may adversely affect</w:t>
      </w:r>
      <w:r w:rsidR="002843C3" w:rsidRPr="00F00DDC">
        <w:t xml:space="preserve"> </w:t>
      </w:r>
      <w:r w:rsidR="005202E3">
        <w:t>biodiversity and ecosystems</w:t>
      </w:r>
      <w:r w:rsidR="002843C3" w:rsidRPr="00F00DDC">
        <w:t xml:space="preserve">, </w:t>
      </w:r>
      <w:r w:rsidR="00C81066">
        <w:t>UNDP ensure</w:t>
      </w:r>
      <w:r w:rsidR="00C6386D">
        <w:t>s</w:t>
      </w:r>
      <w:r w:rsidR="00C81066">
        <w:t xml:space="preserve"> that </w:t>
      </w:r>
      <w:r w:rsidR="002843C3" w:rsidRPr="00F00DDC">
        <w:t>qualified professionals assi</w:t>
      </w:r>
      <w:r w:rsidR="002843C3">
        <w:t>st in conducting assessments and in the design and implementation of mitigation and monitoring plans</w:t>
      </w:r>
      <w:r w:rsidR="002843C3" w:rsidRPr="00F00DDC">
        <w:t xml:space="preserve">. </w:t>
      </w:r>
    </w:p>
    <w:p w14:paraId="1F89FA14" w14:textId="77C0FCE9" w:rsidR="002843C3" w:rsidRPr="00F00DDC" w:rsidRDefault="002843C3" w:rsidP="007834FA">
      <w:pPr>
        <w:pStyle w:val="SEQSbodynumbered"/>
      </w:pPr>
      <w:r w:rsidRPr="00C5653E">
        <w:rPr>
          <w:b/>
        </w:rPr>
        <w:t xml:space="preserve">Siting </w:t>
      </w:r>
      <w:r w:rsidR="00CB3882">
        <w:rPr>
          <w:b/>
        </w:rPr>
        <w:t>p</w:t>
      </w:r>
      <w:r w:rsidRPr="00C5653E">
        <w:rPr>
          <w:b/>
        </w:rPr>
        <w:t>reference:</w:t>
      </w:r>
      <w:r w:rsidRPr="00F00DDC">
        <w:t xml:space="preserve"> </w:t>
      </w:r>
      <w:r w:rsidR="002549E8" w:rsidRPr="00C93FA6">
        <w:t xml:space="preserve">As far as possible, UNDP </w:t>
      </w:r>
      <w:r w:rsidR="00E60CC0">
        <w:t>project</w:t>
      </w:r>
      <w:r w:rsidR="002549E8" w:rsidRPr="00C93FA6">
        <w:t>s that may have adverse impacts</w:t>
      </w:r>
      <w:r w:rsidR="00641A27">
        <w:t xml:space="preserve"> under this Standard</w:t>
      </w:r>
      <w:r w:rsidR="002549E8" w:rsidRPr="00C93FA6">
        <w:t xml:space="preserve"> </w:t>
      </w:r>
      <w:r w:rsidR="00C6386D">
        <w:t>are</w:t>
      </w:r>
      <w:r w:rsidR="002549E8" w:rsidRPr="00C93FA6">
        <w:t xml:space="preserve"> sited in areas of low value for biodiversity and ecosystem services, and of low sensitivity to the anticipated impacts. In particular, whenever feasible, such </w:t>
      </w:r>
      <w:r w:rsidR="00E60CC0">
        <w:t>project</w:t>
      </w:r>
      <w:r w:rsidR="002549E8" w:rsidRPr="00C93FA6">
        <w:t xml:space="preserve">s </w:t>
      </w:r>
      <w:r w:rsidR="00C6386D">
        <w:t>are</w:t>
      </w:r>
      <w:r w:rsidR="002549E8" w:rsidRPr="00C93FA6">
        <w:t xml:space="preserve"> sited on lands where natural habitats have already been converted to other land uses</w:t>
      </w:r>
      <w:r w:rsidR="0056707D">
        <w:t>.</w:t>
      </w:r>
      <w:r w:rsidR="001674B6">
        <w:t xml:space="preserve"> </w:t>
      </w:r>
      <w:r w:rsidR="0056707D">
        <w:t xml:space="preserve">However, </w:t>
      </w:r>
      <w:r w:rsidR="00E22B8D">
        <w:t xml:space="preserve">UNDP </w:t>
      </w:r>
      <w:r w:rsidR="00C6386D">
        <w:t>seeks</w:t>
      </w:r>
      <w:r w:rsidR="00E22B8D">
        <w:t xml:space="preserve"> to avoid siting </w:t>
      </w:r>
      <w:r w:rsidR="00E60CC0">
        <w:t>project</w:t>
      </w:r>
      <w:r w:rsidR="00E22B8D">
        <w:t xml:space="preserve">s on </w:t>
      </w:r>
      <w:r w:rsidRPr="00F00DDC">
        <w:t>lands that</w:t>
      </w:r>
      <w:r w:rsidR="00AC08CE">
        <w:t xml:space="preserve"> </w:t>
      </w:r>
      <w:r w:rsidRPr="00F00DDC">
        <w:t xml:space="preserve">were converted in anticipation of the </w:t>
      </w:r>
      <w:r w:rsidR="00E60CC0">
        <w:t>project</w:t>
      </w:r>
      <w:r w:rsidR="006E1E4B">
        <w:t>.</w:t>
      </w:r>
    </w:p>
    <w:p w14:paraId="0B4B9754" w14:textId="1CCF1569" w:rsidR="002843C3" w:rsidRPr="00F00DDC" w:rsidRDefault="002843C3">
      <w:pPr>
        <w:pStyle w:val="SEQSbodynumbered"/>
      </w:pPr>
      <w:r w:rsidRPr="00C5653E">
        <w:rPr>
          <w:b/>
        </w:rPr>
        <w:t>Modified habitat</w:t>
      </w:r>
      <w:r w:rsidR="008C6F14">
        <w:rPr>
          <w:b/>
        </w:rPr>
        <w:t>s</w:t>
      </w:r>
      <w:r w:rsidRPr="00C5653E">
        <w:rPr>
          <w:b/>
        </w:rPr>
        <w:t>:</w:t>
      </w:r>
      <w:r w:rsidRPr="00F00DDC">
        <w:t xml:space="preserve"> In areas of modified habitat,</w:t>
      </w:r>
      <w:r w:rsidRPr="00F00DDC">
        <w:rPr>
          <w:rStyle w:val="FootnoteReference"/>
        </w:rPr>
        <w:footnoteReference w:id="31"/>
      </w:r>
      <w:r>
        <w:t xml:space="preserve"> UNDP </w:t>
      </w:r>
      <w:r w:rsidR="00D770E9">
        <w:t>ensure</w:t>
      </w:r>
      <w:r w:rsidR="00C6386D">
        <w:t>s</w:t>
      </w:r>
      <w:r w:rsidR="00D770E9">
        <w:t xml:space="preserve"> that</w:t>
      </w:r>
      <w:r w:rsidR="007A765A">
        <w:t xml:space="preserve"> </w:t>
      </w:r>
      <w:r w:rsidR="00D770E9">
        <w:t xml:space="preserve">measures are adopted to </w:t>
      </w:r>
      <w:r w:rsidR="007A765A">
        <w:t>minimize</w:t>
      </w:r>
      <w:r>
        <w:t xml:space="preserve"> </w:t>
      </w:r>
      <w:r w:rsidRPr="00F00DDC">
        <w:t xml:space="preserve">further </w:t>
      </w:r>
      <w:r w:rsidR="00D770E9">
        <w:t xml:space="preserve">unwarranted </w:t>
      </w:r>
      <w:r w:rsidRPr="00F00DDC">
        <w:t>conversion or degradation of the</w:t>
      </w:r>
      <w:r>
        <w:t xml:space="preserve"> habitat </w:t>
      </w:r>
      <w:r w:rsidR="00820E29">
        <w:t xml:space="preserve">and resident species populations </w:t>
      </w:r>
      <w:r w:rsidR="00D770E9">
        <w:t xml:space="preserve">and </w:t>
      </w:r>
      <w:r>
        <w:t>identif</w:t>
      </w:r>
      <w:r w:rsidR="00C6386D">
        <w:t>ies</w:t>
      </w:r>
      <w:r w:rsidRPr="00F00DDC">
        <w:t xml:space="preserve"> opportunities to enhance the habitat</w:t>
      </w:r>
      <w:r w:rsidR="00CD68FC">
        <w:t xml:space="preserve"> as part of the </w:t>
      </w:r>
      <w:r w:rsidR="00E60CC0">
        <w:t>project</w:t>
      </w:r>
      <w:r w:rsidR="00CD68FC">
        <w:t xml:space="preserve">. </w:t>
      </w:r>
    </w:p>
    <w:p w14:paraId="6DF91E9F" w14:textId="77777777" w:rsidR="002843C3" w:rsidRPr="00403285" w:rsidRDefault="002843C3">
      <w:pPr>
        <w:pStyle w:val="SEQSbodynumbered"/>
      </w:pPr>
      <w:r w:rsidRPr="00C5653E">
        <w:rPr>
          <w:b/>
        </w:rPr>
        <w:t>Natural habitats:</w:t>
      </w:r>
      <w:r w:rsidRPr="00F00DDC">
        <w:t xml:space="preserve"> </w:t>
      </w:r>
      <w:r w:rsidRPr="00403285">
        <w:t xml:space="preserve">Where </w:t>
      </w:r>
      <w:r w:rsidR="00297543">
        <w:t>avoidance of</w:t>
      </w:r>
      <w:r w:rsidR="00297543" w:rsidRPr="00403285">
        <w:t xml:space="preserve"> </w:t>
      </w:r>
      <w:r w:rsidRPr="00403285">
        <w:t xml:space="preserve">adverse </w:t>
      </w:r>
      <w:r w:rsidR="00297543">
        <w:t>impacts on</w:t>
      </w:r>
      <w:r w:rsidR="00297543" w:rsidRPr="00403285">
        <w:t xml:space="preserve"> </w:t>
      </w:r>
      <w:r w:rsidRPr="00403285">
        <w:t>natural habitats</w:t>
      </w:r>
      <w:r w:rsidR="000C7FA5" w:rsidRPr="00F00DDC">
        <w:rPr>
          <w:rStyle w:val="FootnoteReference"/>
        </w:rPr>
        <w:footnoteReference w:id="32"/>
      </w:r>
      <w:r w:rsidR="00297543">
        <w:t xml:space="preserve"> is not possible</w:t>
      </w:r>
      <w:r w:rsidRPr="00403285">
        <w:t>, UNDP proceed</w:t>
      </w:r>
      <w:r w:rsidR="00C6386D">
        <w:t>s</w:t>
      </w:r>
      <w:r w:rsidRPr="00403285">
        <w:t xml:space="preserve"> only if viable alternatives are not available</w:t>
      </w:r>
      <w:r w:rsidR="000C7FA5">
        <w:t xml:space="preserve"> </w:t>
      </w:r>
      <w:r w:rsidRPr="00403285">
        <w:t>and</w:t>
      </w:r>
      <w:r w:rsidR="00DA1955">
        <w:t xml:space="preserve"> </w:t>
      </w:r>
      <w:r w:rsidRPr="00403285">
        <w:t>if appropriate conservation and mitigation measures</w:t>
      </w:r>
      <w:r w:rsidR="006B577F">
        <w:t xml:space="preserve"> or plans</w:t>
      </w:r>
      <w:r w:rsidR="006B577F">
        <w:rPr>
          <w:rStyle w:val="FootnoteReference"/>
        </w:rPr>
        <w:footnoteReference w:id="33"/>
      </w:r>
      <w:r w:rsidR="00DA1955" w:rsidRPr="00DA1955">
        <w:t xml:space="preserve"> </w:t>
      </w:r>
      <w:r w:rsidR="00DA1955" w:rsidRPr="00403285">
        <w:t>are in place</w:t>
      </w:r>
      <w:r w:rsidR="006B577F">
        <w:t xml:space="preserve"> that describe the conservation outcomes, implementation</w:t>
      </w:r>
      <w:r w:rsidR="00B95F20">
        <w:t xml:space="preserve"> actions</w:t>
      </w:r>
      <w:r w:rsidR="006B577F">
        <w:t>,</w:t>
      </w:r>
      <w:r w:rsidR="00B95F20">
        <w:t xml:space="preserve"> and</w:t>
      </w:r>
      <w:r w:rsidR="006B577F">
        <w:t xml:space="preserve"> monitoring and evaluation</w:t>
      </w:r>
      <w:r w:rsidR="00B95F20">
        <w:t xml:space="preserve"> arrangements</w:t>
      </w:r>
      <w:r w:rsidR="006B577F">
        <w:t xml:space="preserve"> (e.g. a Biodiversity Action Plan)</w:t>
      </w:r>
      <w:r w:rsidR="00DA1955">
        <w:t>.</w:t>
      </w:r>
      <w:r w:rsidRPr="00403285">
        <w:t xml:space="preserve"> </w:t>
      </w:r>
    </w:p>
    <w:p w14:paraId="0918A0F1" w14:textId="3F6829BF" w:rsidR="002843C3" w:rsidRPr="000A5212" w:rsidRDefault="00DA1955">
      <w:pPr>
        <w:pStyle w:val="SEQSbodynumbered"/>
      </w:pPr>
      <w:r w:rsidRPr="00DA1955">
        <w:rPr>
          <w:b/>
        </w:rPr>
        <w:t xml:space="preserve">Mitigation hierarchy: </w:t>
      </w:r>
      <w:r w:rsidR="00AA29C7">
        <w:t xml:space="preserve">Risk reduction measures follow a mitigation hierarchy that </w:t>
      </w:r>
      <w:proofErr w:type="spellStart"/>
      <w:r w:rsidR="00AA29C7">
        <w:t>favours</w:t>
      </w:r>
      <w:proofErr w:type="spellEnd"/>
      <w:r w:rsidR="00AA29C7">
        <w:t xml:space="preserve"> avoidance of potential adverse impacts over minimization, </w:t>
      </w:r>
      <w:r w:rsidR="00327E70">
        <w:t xml:space="preserve">mitigation </w:t>
      </w:r>
      <w:r w:rsidR="00AA29C7">
        <w:t xml:space="preserve">where adverse residual impacts remain, and, as a last resort, </w:t>
      </w:r>
      <w:r w:rsidR="007C3333">
        <w:t xml:space="preserve">application of </w:t>
      </w:r>
      <w:r w:rsidR="00AA29C7">
        <w:t>offset and compensation measures.</w:t>
      </w:r>
      <w:r w:rsidR="00A4504D">
        <w:rPr>
          <w:rStyle w:val="FootnoteReference"/>
        </w:rPr>
        <w:footnoteReference w:id="34"/>
      </w:r>
      <w:r w:rsidR="00AA29C7">
        <w:t xml:space="preserve"> </w:t>
      </w:r>
      <w:r w:rsidR="002843C3" w:rsidRPr="00F00DDC">
        <w:t xml:space="preserve">Mitigation measures </w:t>
      </w:r>
      <w:r w:rsidR="008D7EF4">
        <w:t>are</w:t>
      </w:r>
      <w:r w:rsidR="002843C3" w:rsidRPr="00F00DDC">
        <w:t xml:space="preserve"> designed to achieve </w:t>
      </w:r>
      <w:r w:rsidR="002843C3">
        <w:t xml:space="preserve">at least </w:t>
      </w:r>
      <w:r w:rsidR="002843C3" w:rsidRPr="00F00DDC">
        <w:t>no net loss of biodiversity</w:t>
      </w:r>
      <w:r w:rsidR="002B0394" w:rsidRPr="002B0394">
        <w:rPr>
          <w:rStyle w:val="FootnoteReference"/>
        </w:rPr>
        <w:t xml:space="preserve"> </w:t>
      </w:r>
      <w:r w:rsidR="002B0394">
        <w:rPr>
          <w:rStyle w:val="FootnoteReference"/>
        </w:rPr>
        <w:footnoteReference w:id="35"/>
      </w:r>
      <w:r w:rsidR="002843C3">
        <w:t xml:space="preserve"> </w:t>
      </w:r>
      <w:r w:rsidR="000C7FA5">
        <w:t>and preferably a net gain</w:t>
      </w:r>
      <w:r w:rsidR="006B577F">
        <w:t xml:space="preserve"> over the long term</w:t>
      </w:r>
      <w:r w:rsidR="000C7FA5">
        <w:t xml:space="preserve">, </w:t>
      </w:r>
      <w:r w:rsidR="002843C3">
        <w:t>where possible</w:t>
      </w:r>
      <w:r w:rsidR="0013639B" w:rsidRPr="00F00DDC">
        <w:t>.</w:t>
      </w:r>
      <w:r w:rsidR="0013639B">
        <w:rPr>
          <w:rStyle w:val="FootnoteReference"/>
        </w:rPr>
        <w:footnoteReference w:id="36"/>
      </w:r>
      <w:r w:rsidR="0013639B">
        <w:t xml:space="preserve"> </w:t>
      </w:r>
      <w:r w:rsidR="002843C3" w:rsidRPr="00141F6F">
        <w:t xml:space="preserve">However, it must be recognized that no net loss is not possible in all cases, </w:t>
      </w:r>
      <w:r w:rsidR="00E45271">
        <w:t>e.g.</w:t>
      </w:r>
      <w:r w:rsidR="002843C3" w:rsidRPr="00141F6F">
        <w:t xml:space="preserve"> where endemic species have highly restricted distributions. </w:t>
      </w:r>
      <w:r w:rsidR="002843C3" w:rsidRPr="000A5212">
        <w:t xml:space="preserve">In such instances, </w:t>
      </w:r>
      <w:r w:rsidR="000A5212">
        <w:t>UNDP explore</w:t>
      </w:r>
      <w:r w:rsidR="008D7EF4">
        <w:t>s</w:t>
      </w:r>
      <w:r w:rsidR="000A5212">
        <w:t xml:space="preserve"> alternative designs to</w:t>
      </w:r>
      <w:r w:rsidR="002843C3" w:rsidRPr="000A5212">
        <w:t xml:space="preserve"> avoid </w:t>
      </w:r>
      <w:r w:rsidR="000A5212">
        <w:t xml:space="preserve">the adverse </w:t>
      </w:r>
      <w:r w:rsidR="002843C3" w:rsidRPr="000A5212">
        <w:t xml:space="preserve">impacts </w:t>
      </w:r>
      <w:r w:rsidR="000A5212">
        <w:t>on biodiversity</w:t>
      </w:r>
      <w:r w:rsidR="002843C3" w:rsidRPr="000A5212">
        <w:t>.</w:t>
      </w:r>
    </w:p>
    <w:p w14:paraId="10E2F5AD" w14:textId="77777777" w:rsidR="002843C3" w:rsidRPr="00F00DDC" w:rsidRDefault="008C6F14">
      <w:pPr>
        <w:pStyle w:val="SEQSbodynumbered"/>
      </w:pPr>
      <w:r w:rsidRPr="008C6F14">
        <w:rPr>
          <w:b/>
        </w:rPr>
        <w:t xml:space="preserve">Use of </w:t>
      </w:r>
      <w:r w:rsidR="005D4A05">
        <w:rPr>
          <w:b/>
        </w:rPr>
        <w:t xml:space="preserve">biodiversity </w:t>
      </w:r>
      <w:r w:rsidRPr="008C6F14">
        <w:rPr>
          <w:b/>
        </w:rPr>
        <w:t>offsets:</w:t>
      </w:r>
      <w:r>
        <w:t xml:space="preserve"> </w:t>
      </w:r>
      <w:r w:rsidR="002D19AE">
        <w:t>B</w:t>
      </w:r>
      <w:r w:rsidR="002843C3">
        <w:t>iodiversity offsets</w:t>
      </w:r>
      <w:r w:rsidR="002843C3">
        <w:rPr>
          <w:rStyle w:val="FootnoteReference"/>
        </w:rPr>
        <w:footnoteReference w:id="37"/>
      </w:r>
      <w:r w:rsidR="002843C3">
        <w:t xml:space="preserve"> may be considered only after appropriate avoidance, minimization, and restoration measures have been applied. A biodiversity offset </w:t>
      </w:r>
      <w:r w:rsidR="00960437" w:rsidRPr="00D528B3">
        <w:t>must</w:t>
      </w:r>
      <w:r w:rsidR="00960437">
        <w:t xml:space="preserve"> </w:t>
      </w:r>
      <w:r w:rsidR="002843C3">
        <w:t xml:space="preserve">be </w:t>
      </w:r>
      <w:r w:rsidR="002843C3">
        <w:lastRenderedPageBreak/>
        <w:t xml:space="preserve">designed and implemented to achieve measurable conservation outcomes (demonstrated </w:t>
      </w:r>
      <w:r w:rsidR="002843C3" w:rsidRPr="00180DF3">
        <w:rPr>
          <w:i/>
        </w:rPr>
        <w:t>in situ</w:t>
      </w:r>
      <w:r w:rsidR="002843C3">
        <w:t xml:space="preserve"> and on an appropriate geographic scale) that can reasonably be expected to result in no net loss and preferably a net gain</w:t>
      </w:r>
      <w:r w:rsidR="00480AAE">
        <w:rPr>
          <w:rStyle w:val="FootnoteReference"/>
        </w:rPr>
        <w:footnoteReference w:id="38"/>
      </w:r>
      <w:r w:rsidR="002843C3">
        <w:t xml:space="preserve"> of biodiversity</w:t>
      </w:r>
      <w:r w:rsidR="009C05FD" w:rsidRPr="003D248F">
        <w:t xml:space="preserve">. </w:t>
      </w:r>
      <w:r w:rsidR="00D2003E" w:rsidRPr="003D248F">
        <w:t xml:space="preserve">In </w:t>
      </w:r>
      <w:r>
        <w:t>the case of</w:t>
      </w:r>
      <w:r w:rsidR="00D2003E" w:rsidRPr="003D248F">
        <w:t xml:space="preserve"> critical habitats, b</w:t>
      </w:r>
      <w:r w:rsidR="009C05FD" w:rsidRPr="003D248F">
        <w:t>iodiversity offsets are considered only in exceptional circumstances</w:t>
      </w:r>
      <w:r w:rsidR="00D2003E" w:rsidRPr="003D248F">
        <w:t>,</w:t>
      </w:r>
      <w:r w:rsidR="009C05FD" w:rsidRPr="003D248F">
        <w:t xml:space="preserve"> and</w:t>
      </w:r>
      <w:r w:rsidR="00150308" w:rsidRPr="003D248F">
        <w:t xml:space="preserve"> in such cir</w:t>
      </w:r>
      <w:r w:rsidR="00EE215C" w:rsidRPr="003D248F">
        <w:t>cu</w:t>
      </w:r>
      <w:r w:rsidR="00150308" w:rsidRPr="003D248F">
        <w:t>mstances</w:t>
      </w:r>
      <w:r w:rsidR="009C05FD" w:rsidRPr="003D248F">
        <w:t xml:space="preserve"> </w:t>
      </w:r>
      <w:r w:rsidR="002843C3" w:rsidRPr="003D248F">
        <w:t>a net gain is required</w:t>
      </w:r>
      <w:r w:rsidR="003D248F">
        <w:t xml:space="preserve">. </w:t>
      </w:r>
      <w:r w:rsidR="002843C3" w:rsidRPr="003D248F">
        <w:t>T</w:t>
      </w:r>
      <w:r w:rsidR="002843C3">
        <w:t>he design of a biodiversity offset adhere</w:t>
      </w:r>
      <w:r w:rsidR="008D7EF4">
        <w:t>s</w:t>
      </w:r>
      <w:r w:rsidR="002843C3">
        <w:t xml:space="preserve"> to the “like-for-like or better” principle</w:t>
      </w:r>
      <w:r w:rsidR="002843C3">
        <w:rPr>
          <w:rStyle w:val="FootnoteReference"/>
        </w:rPr>
        <w:footnoteReference w:id="39"/>
      </w:r>
      <w:r w:rsidR="002843C3">
        <w:t xml:space="preserve"> and </w:t>
      </w:r>
      <w:r w:rsidR="008D7EF4">
        <w:t xml:space="preserve">is </w:t>
      </w:r>
      <w:r w:rsidR="002843C3">
        <w:t>carried out with best available information and current best practices. External experts with knowledge in offset design and im</w:t>
      </w:r>
      <w:r w:rsidR="001E62A2">
        <w:t xml:space="preserve">plementation </w:t>
      </w:r>
      <w:r w:rsidR="008D7EF4">
        <w:t>are</w:t>
      </w:r>
      <w:r w:rsidR="001E62A2">
        <w:t xml:space="preserve"> involved.</w:t>
      </w:r>
      <w:r w:rsidR="00CB2C56">
        <w:rPr>
          <w:rStyle w:val="FootnoteReference"/>
        </w:rPr>
        <w:footnoteReference w:id="40"/>
      </w:r>
      <w:r w:rsidR="001E62A2">
        <w:t xml:space="preserve"> </w:t>
      </w:r>
    </w:p>
    <w:p w14:paraId="6DF7A332" w14:textId="27A2927F" w:rsidR="00B95F20" w:rsidRDefault="002843C3">
      <w:pPr>
        <w:pStyle w:val="SEQSbodynumbered"/>
      </w:pPr>
      <w:r w:rsidRPr="00C5653E">
        <w:rPr>
          <w:b/>
        </w:rPr>
        <w:t>Critical habitats:</w:t>
      </w:r>
      <w:r>
        <w:t xml:space="preserve"> </w:t>
      </w:r>
      <w:r w:rsidR="007110FD">
        <w:t xml:space="preserve">UNDP seeks to ensure that </w:t>
      </w:r>
      <w:r w:rsidR="00E60CC0">
        <w:t>project</w:t>
      </w:r>
      <w:r w:rsidR="007110FD">
        <w:t xml:space="preserve"> activities have no adverse impacts on critical habitats.</w:t>
      </w:r>
      <w:r w:rsidR="00F94089" w:rsidRPr="00F00DDC">
        <w:rPr>
          <w:rStyle w:val="FootnoteReference"/>
        </w:rPr>
        <w:footnoteReference w:id="41"/>
      </w:r>
      <w:r w:rsidR="00F94089" w:rsidRPr="00F00DDC">
        <w:t xml:space="preserve"> </w:t>
      </w:r>
      <w:r w:rsidRPr="00F00DDC">
        <w:t xml:space="preserve">No </w:t>
      </w:r>
      <w:r w:rsidR="00E60CC0">
        <w:t>project</w:t>
      </w:r>
      <w:r w:rsidRPr="00F00DDC">
        <w:t xml:space="preserve"> </w:t>
      </w:r>
      <w:r w:rsidR="008D7EF4">
        <w:t>activities are</w:t>
      </w:r>
      <w:r w:rsidRPr="00F00DDC">
        <w:t xml:space="preserve"> implemented in areas of critical habitats,</w:t>
      </w:r>
      <w:r w:rsidR="00480AAE" w:rsidRPr="00F00DDC">
        <w:t xml:space="preserve"> </w:t>
      </w:r>
      <w:r w:rsidRPr="00F00DDC">
        <w:t xml:space="preserve">unless all of the following are demonstrated: (i) there are no measurable adverse impacts on the </w:t>
      </w:r>
      <w:r w:rsidR="00E35FBA">
        <w:t xml:space="preserve">criteria or </w:t>
      </w:r>
      <w:r w:rsidRPr="00F00DDC">
        <w:t>biodiversity values for which the critical habitat was designated, and on the ecological processes supporting those biodiversity values (determined on an ecologically</w:t>
      </w:r>
      <w:r w:rsidR="00D721BD">
        <w:t>-</w:t>
      </w:r>
      <w:r w:rsidRPr="00F00DDC">
        <w:t>relevant scale); (ii) there is no reduction of any recognized Endangered</w:t>
      </w:r>
      <w:r w:rsidR="00A530C8">
        <w:t xml:space="preserve">, </w:t>
      </w:r>
      <w:r w:rsidR="00A530C8" w:rsidRPr="003D248F">
        <w:t>Vulnerable</w:t>
      </w:r>
      <w:r w:rsidRPr="00F00DDC">
        <w:t xml:space="preserve"> or Critically Endangered species,</w:t>
      </w:r>
      <w:r w:rsidRPr="00F00DDC">
        <w:rPr>
          <w:rStyle w:val="FootnoteReference"/>
        </w:rPr>
        <w:footnoteReference w:id="42"/>
      </w:r>
      <w:r w:rsidRPr="00F00DDC">
        <w:t xml:space="preserve"> (iii) any lesser impacts are mitigated</w:t>
      </w:r>
      <w:r>
        <w:t xml:space="preserve">, and </w:t>
      </w:r>
      <w:r w:rsidRPr="00CC228E">
        <w:t xml:space="preserve">(iv) a robust, appropriately designed, and long-term Biodiversity Action Plan </w:t>
      </w:r>
      <w:r>
        <w:t>is in place</w:t>
      </w:r>
      <w:r w:rsidRPr="00CC228E">
        <w:t xml:space="preserve"> to achieve net gains</w:t>
      </w:r>
      <w:r w:rsidR="00480AAE">
        <w:t xml:space="preserve"> </w:t>
      </w:r>
      <w:r w:rsidRPr="00CC228E">
        <w:t>of those biodiversity values for which the cr</w:t>
      </w:r>
      <w:r w:rsidR="00480AAE">
        <w:t xml:space="preserve">itical habitat was designated. </w:t>
      </w:r>
      <w:r>
        <w:t xml:space="preserve">Existing protected area management plans </w:t>
      </w:r>
      <w:r w:rsidR="008D7EF4">
        <w:t>are</w:t>
      </w:r>
      <w:r>
        <w:t xml:space="preserve"> reviewed to ensure alignment with this requirement.</w:t>
      </w:r>
      <w:r w:rsidR="00FB2FDA">
        <w:t xml:space="preserve"> </w:t>
      </w:r>
    </w:p>
    <w:p w14:paraId="503C9B97" w14:textId="1ED0035A" w:rsidR="002843C3" w:rsidRPr="00CC228E" w:rsidRDefault="00B95F20">
      <w:pPr>
        <w:pStyle w:val="SEQSbodynumbered"/>
      </w:pPr>
      <w:r>
        <w:rPr>
          <w:b/>
        </w:rPr>
        <w:t>Illegal trade:</w:t>
      </w:r>
      <w:r w:rsidR="00FD7FE1" w:rsidRPr="00FD7FE1">
        <w:t xml:space="preserve"> </w:t>
      </w:r>
      <w:r w:rsidR="00FD7FE1">
        <w:t xml:space="preserve">UNDP seeks </w:t>
      </w:r>
      <w:r w:rsidR="00FB2FDA">
        <w:t xml:space="preserve">to ensure that supported activities do not increase the risk of illegal trade of </w:t>
      </w:r>
      <w:r w:rsidR="00974DB1">
        <w:t xml:space="preserve">protected </w:t>
      </w:r>
      <w:r w:rsidR="00FB2FDA">
        <w:t>species.</w:t>
      </w:r>
      <w:r w:rsidR="00FB2FDA">
        <w:rPr>
          <w:rStyle w:val="FootnoteReference"/>
        </w:rPr>
        <w:footnoteReference w:id="43"/>
      </w:r>
      <w:r w:rsidR="00FB2FDA">
        <w:t xml:space="preserve"> </w:t>
      </w:r>
    </w:p>
    <w:p w14:paraId="4029D562" w14:textId="5C143D0B" w:rsidR="002843C3" w:rsidRDefault="002843C3">
      <w:pPr>
        <w:pStyle w:val="SEQSbodynumbered"/>
      </w:pPr>
      <w:r w:rsidRPr="00C5653E">
        <w:rPr>
          <w:b/>
        </w:rPr>
        <w:lastRenderedPageBreak/>
        <w:t>Protected areas:</w:t>
      </w:r>
      <w:r w:rsidRPr="00F00DDC">
        <w:t xml:space="preserve"> In circumstances where some </w:t>
      </w:r>
      <w:r w:rsidR="00E60CC0">
        <w:t>project</w:t>
      </w:r>
      <w:r w:rsidRPr="00F00DDC">
        <w:t xml:space="preserve"> activities are located within a legally protected area</w:t>
      </w:r>
      <w:r w:rsidRPr="00F00DDC">
        <w:rPr>
          <w:rStyle w:val="FootnoteReference"/>
        </w:rPr>
        <w:footnoteReference w:id="44"/>
      </w:r>
      <w:r w:rsidRPr="00F00DDC">
        <w:t xml:space="preserve"> or an internationally recognized area</w:t>
      </w:r>
      <w:r>
        <w:t>,</w:t>
      </w:r>
      <w:r w:rsidRPr="00F00DDC">
        <w:rPr>
          <w:rStyle w:val="FootnoteReference"/>
        </w:rPr>
        <w:footnoteReference w:id="45"/>
      </w:r>
      <w:r w:rsidRPr="00F00DDC">
        <w:t xml:space="preserve"> UNDP ensure</w:t>
      </w:r>
      <w:r w:rsidR="008D7EF4">
        <w:t>s</w:t>
      </w:r>
      <w:r w:rsidRPr="00F00DDC">
        <w:t xml:space="preserve"> that, in addition to the requirements specified in paragraph </w:t>
      </w:r>
      <w:r w:rsidR="00AD3E6D" w:rsidRPr="002364A7">
        <w:t>1</w:t>
      </w:r>
      <w:r w:rsidR="0057297E" w:rsidRPr="002364A7">
        <w:t>3</w:t>
      </w:r>
      <w:r w:rsidR="00C023B3">
        <w:t xml:space="preserve"> of this </w:t>
      </w:r>
      <w:r w:rsidR="005045D1">
        <w:t>S</w:t>
      </w:r>
      <w:r w:rsidR="00C023B3">
        <w:t>tandard</w:t>
      </w:r>
      <w:r w:rsidR="00AD3E6D">
        <w:t>,</w:t>
      </w:r>
      <w:r w:rsidRPr="00F00DDC">
        <w:t xml:space="preserve"> the following requirements also apply</w:t>
      </w:r>
      <w:r>
        <w:t>:</w:t>
      </w:r>
      <w:r w:rsidRPr="00F00DDC">
        <w:t xml:space="preserve"> (i) act in a manner consistent with </w:t>
      </w:r>
      <w:r w:rsidR="00225755">
        <w:t>any existing</w:t>
      </w:r>
      <w:r w:rsidR="00225755" w:rsidRPr="00F00DDC">
        <w:t xml:space="preserve"> </w:t>
      </w:r>
      <w:r w:rsidRPr="00F00DDC">
        <w:t xml:space="preserve">protected area management plans; (ii) consult protected area sponsors and managers, local communities, and other key stakeholders on the proposed activities; (iii) implement additional </w:t>
      </w:r>
      <w:r w:rsidR="00BC06D0">
        <w:t>activities</w:t>
      </w:r>
      <w:r w:rsidRPr="00F00DDC">
        <w:t xml:space="preserve">, as appropriate, to promote and enhance the conservation aims and effective management of the area. </w:t>
      </w:r>
      <w:r w:rsidR="007019A2">
        <w:t>Where restrictions of</w:t>
      </w:r>
      <w:r w:rsidR="008077B2">
        <w:t xml:space="preserve"> access to protected areas may have </w:t>
      </w:r>
      <w:r w:rsidR="007019A2">
        <w:t xml:space="preserve">potential </w:t>
      </w:r>
      <w:r w:rsidR="008077B2">
        <w:t xml:space="preserve">adverse impacts on livelihoods of local communities, </w:t>
      </w:r>
      <w:r w:rsidR="005045D1">
        <w:t xml:space="preserve">the </w:t>
      </w:r>
      <w:r w:rsidR="007019A2">
        <w:t xml:space="preserve">requirements of </w:t>
      </w:r>
      <w:r w:rsidR="007B0031">
        <w:t xml:space="preserve">Standard 5: </w:t>
      </w:r>
      <w:r w:rsidR="007019A2">
        <w:t>Displacement and Resettlement apply.</w:t>
      </w:r>
    </w:p>
    <w:p w14:paraId="1FEBEF2A" w14:textId="0F76C769" w:rsidR="00815F45" w:rsidRDefault="00815F45">
      <w:pPr>
        <w:pStyle w:val="SEQSbodynumbered"/>
      </w:pPr>
      <w:r w:rsidRPr="00815F45">
        <w:rPr>
          <w:b/>
        </w:rPr>
        <w:t>Management of ecosystem services</w:t>
      </w:r>
      <w:r>
        <w:rPr>
          <w:b/>
        </w:rPr>
        <w:t>:</w:t>
      </w:r>
      <w:r w:rsidRPr="00815F45">
        <w:rPr>
          <w:b/>
        </w:rPr>
        <w:t xml:space="preserve"> </w:t>
      </w:r>
      <w:r w:rsidR="00FD7FE1">
        <w:t>UNDP requires that supported activities seek to a</w:t>
      </w:r>
      <w:r w:rsidRPr="00815F45">
        <w:t xml:space="preserve">void adverse impacts on ecosystem services of relevance to affected communities. If avoidance of adverse impacts is not possible, </w:t>
      </w:r>
      <w:r w:rsidR="00FB438E">
        <w:t xml:space="preserve">then </w:t>
      </w:r>
      <w:r w:rsidRPr="00815F45">
        <w:t xml:space="preserve">mitigation and management measures aim to maintain the value and functionality of affected ecosystem services. </w:t>
      </w:r>
      <w:r w:rsidR="00FB438E">
        <w:t>A</w:t>
      </w:r>
      <w:r w:rsidRPr="00815F45">
        <w:t xml:space="preserve">ffected communities </w:t>
      </w:r>
      <w:r w:rsidR="008D7EF4">
        <w:t>are</w:t>
      </w:r>
      <w:r w:rsidR="00FB438E">
        <w:t xml:space="preserve"> involved and consulted </w:t>
      </w:r>
      <w:r w:rsidRPr="00815F45">
        <w:t>on activities that may affect their ecosystem services.</w:t>
      </w:r>
    </w:p>
    <w:p w14:paraId="3942DA93" w14:textId="4CA20CF3" w:rsidR="002843C3" w:rsidRDefault="002843C3">
      <w:pPr>
        <w:pStyle w:val="SEQSbodynumbered"/>
      </w:pPr>
      <w:r w:rsidRPr="00C5653E">
        <w:rPr>
          <w:b/>
        </w:rPr>
        <w:t>Invasive species:</w:t>
      </w:r>
      <w:r w:rsidRPr="00F00DDC">
        <w:t xml:space="preserve"> UNDP requires that </w:t>
      </w:r>
      <w:r w:rsidR="009C2F79">
        <w:t xml:space="preserve">under no circumstances will </w:t>
      </w:r>
      <w:r w:rsidR="009C2F79" w:rsidRPr="00F00DDC">
        <w:t>species known to be invasive be introduced into new environments</w:t>
      </w:r>
      <w:r w:rsidR="00FB438E">
        <w:t>.</w:t>
      </w:r>
      <w:r w:rsidR="000B23DF">
        <w:t xml:space="preserve"> </w:t>
      </w:r>
      <w:r w:rsidR="00FB438E">
        <w:t>Further, UNDP requires that</w:t>
      </w:r>
      <w:r w:rsidR="000B23DF">
        <w:t xml:space="preserve"> no</w:t>
      </w:r>
      <w:r w:rsidRPr="00F00DDC">
        <w:t xml:space="preserve"> new alien species (</w:t>
      </w:r>
      <w:r w:rsidR="000B23DF">
        <w:t>i.e.</w:t>
      </w:r>
      <w:r w:rsidRPr="00F00DDC">
        <w:t xml:space="preserve"> species not currently established in the country or region of the </w:t>
      </w:r>
      <w:r w:rsidR="00E60CC0">
        <w:t>project</w:t>
      </w:r>
      <w:r w:rsidRPr="00F00DDC">
        <w:t xml:space="preserve">) will be intentionally introduced unless </w:t>
      </w:r>
      <w:r w:rsidR="00433DAD">
        <w:t>it is subject</w:t>
      </w:r>
      <w:r w:rsidR="000C7540">
        <w:t>ed</w:t>
      </w:r>
      <w:r w:rsidR="00433DAD">
        <w:t xml:space="preserve"> to a risk assessment to determine the potential for invasive behavior</w:t>
      </w:r>
      <w:r w:rsidR="00FB438E">
        <w:t>,</w:t>
      </w:r>
      <w:r w:rsidRPr="00F00DDC">
        <w:t xml:space="preserve"> in accordance with the existing regulatory framework, if such a framework </w:t>
      </w:r>
      <w:r w:rsidR="000C7540">
        <w:t>exists</w:t>
      </w:r>
      <w:r w:rsidR="00433DAD">
        <w:t>.</w:t>
      </w:r>
      <w:r w:rsidRPr="00F00DDC">
        <w:t xml:space="preserve"> </w:t>
      </w:r>
      <w:r w:rsidR="000F6AE5">
        <w:t>Prior a</w:t>
      </w:r>
      <w:r w:rsidRPr="00F00DDC">
        <w:t xml:space="preserve">ssessment of the possibility of accidental or unintended introduction of invasive species </w:t>
      </w:r>
      <w:r w:rsidR="008D7EF4">
        <w:t>is</w:t>
      </w:r>
      <w:r w:rsidRPr="00F00DDC">
        <w:t xml:space="preserve"> undertaken, and appropriate mitigation measures adopted.</w:t>
      </w:r>
      <w:r w:rsidR="008F32C9">
        <w:t xml:space="preserve"> </w:t>
      </w:r>
    </w:p>
    <w:p w14:paraId="54C81BB5" w14:textId="5D4DB722" w:rsidR="002147C5" w:rsidRPr="00EF6A93" w:rsidRDefault="002147C5">
      <w:pPr>
        <w:pStyle w:val="SEQSbodynumbered"/>
      </w:pPr>
      <w:r w:rsidRPr="00AA5527">
        <w:rPr>
          <w:b/>
        </w:rPr>
        <w:t>Biosafety</w:t>
      </w:r>
      <w:r w:rsidR="005F73DF">
        <w:rPr>
          <w:b/>
        </w:rPr>
        <w:t xml:space="preserve"> and genetic resources</w:t>
      </w:r>
      <w:r w:rsidRPr="00AA5527">
        <w:rPr>
          <w:b/>
        </w:rPr>
        <w:t>:</w:t>
      </w:r>
      <w:r w:rsidRPr="00AA5527">
        <w:t xml:space="preserve"> For </w:t>
      </w:r>
      <w:r w:rsidR="00E60CC0">
        <w:t>project</w:t>
      </w:r>
      <w:r w:rsidRPr="00AA5527">
        <w:t xml:space="preserve">s that may involve the </w:t>
      </w:r>
      <w:r w:rsidR="008B3322" w:rsidRPr="00AA5527">
        <w:t>transfer, handling and</w:t>
      </w:r>
      <w:r w:rsidR="000D28E0" w:rsidRPr="00AA5527">
        <w:t xml:space="preserve"> use of </w:t>
      </w:r>
      <w:r w:rsidR="008B3322" w:rsidRPr="00AA5527">
        <w:t xml:space="preserve">genetically </w:t>
      </w:r>
      <w:r w:rsidR="000D28E0" w:rsidRPr="00AA5527">
        <w:t>modified organisms</w:t>
      </w:r>
      <w:r w:rsidR="008B3322" w:rsidRPr="00AA5527">
        <w:t>/living modified organisms</w:t>
      </w:r>
      <w:r w:rsidR="000D28E0" w:rsidRPr="00AA5527">
        <w:t xml:space="preserve"> (</w:t>
      </w:r>
      <w:r w:rsidR="008B3322" w:rsidRPr="00AA5527">
        <w:t>GMOs/</w:t>
      </w:r>
      <w:r w:rsidR="000D28E0" w:rsidRPr="00AA5527">
        <w:t>LMO</w:t>
      </w:r>
      <w:r w:rsidR="008B3322" w:rsidRPr="00AA5527">
        <w:t>s</w:t>
      </w:r>
      <w:r w:rsidR="000D28E0" w:rsidRPr="00AA5527">
        <w:t>)</w:t>
      </w:r>
      <w:r w:rsidR="008B3322" w:rsidRPr="00AA5527">
        <w:t xml:space="preserve"> that result from modern bio</w:t>
      </w:r>
      <w:r w:rsidR="00B354DE" w:rsidRPr="00AA5527">
        <w:t>technology and that may have ad</w:t>
      </w:r>
      <w:r w:rsidR="008B3322" w:rsidRPr="00AA5527">
        <w:t>verse effects</w:t>
      </w:r>
      <w:r w:rsidR="00B354DE" w:rsidRPr="00AA5527">
        <w:t xml:space="preserve"> on biological diversity</w:t>
      </w:r>
      <w:r w:rsidR="000D28E0" w:rsidRPr="00AA5527">
        <w:t>, UNDP ensure</w:t>
      </w:r>
      <w:r w:rsidR="008D7EF4">
        <w:t>s</w:t>
      </w:r>
      <w:r w:rsidR="000D28E0" w:rsidRPr="00AA5527">
        <w:t xml:space="preserve"> that a risk assessment </w:t>
      </w:r>
      <w:r w:rsidR="000C7540">
        <w:t xml:space="preserve">is carried out </w:t>
      </w:r>
      <w:r w:rsidR="000D28E0" w:rsidRPr="00AA5527">
        <w:t>in accordance with Annex III of the Cartagena Protocol on Biosafety to the Conve</w:t>
      </w:r>
      <w:r w:rsidR="00B354DE" w:rsidRPr="00AA5527">
        <w:t xml:space="preserve">ntion on </w:t>
      </w:r>
      <w:r w:rsidR="00061E13">
        <w:t>Biological Diversity</w:t>
      </w:r>
      <w:r w:rsidR="000D28E0" w:rsidRPr="00AA5527">
        <w:t>.</w:t>
      </w:r>
      <w:r w:rsidR="008B3322" w:rsidRPr="00AA5527">
        <w:t xml:space="preserve"> </w:t>
      </w:r>
      <w:r w:rsidR="00853D12" w:rsidRPr="00AA5527">
        <w:t>UNDP ensure</w:t>
      </w:r>
      <w:r w:rsidR="008D7EF4">
        <w:t>s</w:t>
      </w:r>
      <w:r w:rsidR="00853D12" w:rsidRPr="00AA5527">
        <w:t xml:space="preserve"> that </w:t>
      </w:r>
      <w:r w:rsidR="00E60CC0">
        <w:t>project</w:t>
      </w:r>
      <w:r w:rsidR="00853D12" w:rsidRPr="00AA5527">
        <w:t xml:space="preserve">s involving </w:t>
      </w:r>
      <w:r w:rsidR="00B354DE" w:rsidRPr="00AA5527">
        <w:t>GMOs/</w:t>
      </w:r>
      <w:r w:rsidR="00853D12" w:rsidRPr="00AA5527">
        <w:t>LMOs include measures to manage any risks identified in the risk assessment.</w:t>
      </w:r>
      <w:r w:rsidR="00870DF7" w:rsidRPr="00EF6A93">
        <w:t xml:space="preserve"> </w:t>
      </w:r>
    </w:p>
    <w:p w14:paraId="1BDBD496" w14:textId="0977871F" w:rsidR="00AB34CB" w:rsidRDefault="002843C3">
      <w:pPr>
        <w:pStyle w:val="SEQSbodynumbered"/>
      </w:pPr>
      <w:r w:rsidRPr="00AB34CB">
        <w:rPr>
          <w:b/>
        </w:rPr>
        <w:t>Forests:</w:t>
      </w:r>
      <w:r>
        <w:rPr>
          <w:b/>
        </w:rPr>
        <w:t xml:space="preserve"> </w:t>
      </w:r>
      <w:r w:rsidR="00E60CC0">
        <w:t>project</w:t>
      </w:r>
      <w:r w:rsidR="00AB34CB" w:rsidRPr="00793A15">
        <w:t xml:space="preserve"> </w:t>
      </w:r>
      <w:r w:rsidR="0000638B" w:rsidRPr="00793A15">
        <w:t>activities:</w:t>
      </w:r>
      <w:r w:rsidR="00AB34CB" w:rsidRPr="00793A15">
        <w:t xml:space="preserve"> </w:t>
      </w:r>
    </w:p>
    <w:p w14:paraId="5B772C32" w14:textId="77777777" w:rsidR="00AB34CB" w:rsidRDefault="008D7EF4" w:rsidP="000828D8">
      <w:pPr>
        <w:pStyle w:val="listlettered"/>
        <w:numPr>
          <w:ilvl w:val="0"/>
          <w:numId w:val="31"/>
        </w:numPr>
      </w:pPr>
      <w:r>
        <w:t xml:space="preserve">are </w:t>
      </w:r>
      <w:r w:rsidR="00AB34CB" w:rsidRPr="00793A15">
        <w:t>consistent with the conservation of natural forests and biological diversity</w:t>
      </w:r>
      <w:r w:rsidR="00E45271">
        <w:t>,</w:t>
      </w:r>
      <w:r w:rsidR="00AB34CB" w:rsidRPr="00793A15">
        <w:t xml:space="preserve"> ensuring that they are not used for the conversion of natural forests; </w:t>
      </w:r>
    </w:p>
    <w:p w14:paraId="05E772BA" w14:textId="77777777" w:rsidR="00AB34CB" w:rsidRDefault="00AB34CB" w:rsidP="000828D8">
      <w:pPr>
        <w:pStyle w:val="listlettered"/>
      </w:pPr>
      <w:r w:rsidRPr="00793A15">
        <w:t xml:space="preserve">incentivize the protection and conservation of natural forests and their ecosystem services, and enhance other social and environmental benefits; </w:t>
      </w:r>
    </w:p>
    <w:p w14:paraId="1B290704" w14:textId="77777777" w:rsidR="00AB34CB" w:rsidRDefault="00AB34CB" w:rsidP="000828D8">
      <w:pPr>
        <w:pStyle w:val="listlettered"/>
      </w:pPr>
      <w:r w:rsidRPr="00793A15">
        <w:lastRenderedPageBreak/>
        <w:t>enhance the sustainable management of forests, including the application of independent, credible certification for commercial, industrial</w:t>
      </w:r>
      <w:r w:rsidR="00E45271">
        <w:t>-</w:t>
      </w:r>
      <w:r w:rsidRPr="00793A15">
        <w:t xml:space="preserve">scale timber harvesting; </w:t>
      </w:r>
    </w:p>
    <w:p w14:paraId="0FFED5D6" w14:textId="77777777" w:rsidR="00AB34CB" w:rsidRDefault="00AB34CB" w:rsidP="000828D8">
      <w:pPr>
        <w:pStyle w:val="listlettered"/>
      </w:pPr>
      <w:r w:rsidRPr="00793A15">
        <w:t xml:space="preserve">maintain or enhance biodiversity and ecosystem functionality in areas where forest restoration is undertaken; </w:t>
      </w:r>
      <w:r w:rsidR="00E45271">
        <w:t>and/or</w:t>
      </w:r>
    </w:p>
    <w:p w14:paraId="3E5E1AC1" w14:textId="77777777" w:rsidR="00AB34CB" w:rsidRDefault="00AB34CB" w:rsidP="000828D8">
      <w:pPr>
        <w:pStyle w:val="listlettered"/>
      </w:pPr>
      <w:r w:rsidRPr="00793A15">
        <w:t xml:space="preserve">ensure that plantations are environmentally appropriate, socially beneficial and economically viable, </w:t>
      </w:r>
      <w:r w:rsidR="00E45271">
        <w:t xml:space="preserve">and </w:t>
      </w:r>
      <w:r w:rsidRPr="00793A15">
        <w:t>utilize native species wherever feasible.</w:t>
      </w:r>
    </w:p>
    <w:p w14:paraId="3B3537CE" w14:textId="77777777" w:rsidR="00AB34CB" w:rsidRPr="0008428C" w:rsidRDefault="0008428C" w:rsidP="00D515A1">
      <w:pPr>
        <w:pStyle w:val="SEQSbodynumbered"/>
        <w:numPr>
          <w:ilvl w:val="0"/>
          <w:numId w:val="0"/>
        </w:numPr>
        <w:ind w:left="432"/>
      </w:pPr>
      <w:r w:rsidRPr="005A0B7F">
        <w:t xml:space="preserve">UNDP </w:t>
      </w:r>
      <w:r w:rsidR="008D7EF4">
        <w:t>gives</w:t>
      </w:r>
      <w:r w:rsidRPr="005A0B7F">
        <w:t xml:space="preserve"> preference to small-scale community-level management approaches where they best reduce po</w:t>
      </w:r>
      <w:r w:rsidR="009D5AD3">
        <w:t>verty in a sustainable manner.</w:t>
      </w:r>
    </w:p>
    <w:p w14:paraId="03AA9D93" w14:textId="33C64060" w:rsidR="00BE167A" w:rsidRDefault="0040048D" w:rsidP="00AC7F5D">
      <w:pPr>
        <w:pStyle w:val="SEQSbodynumbered"/>
      </w:pPr>
      <w:r w:rsidRPr="00AA5527">
        <w:rPr>
          <w:b/>
        </w:rPr>
        <w:t xml:space="preserve">Water </w:t>
      </w:r>
      <w:r w:rsidR="00061E13">
        <w:rPr>
          <w:b/>
        </w:rPr>
        <w:t>r</w:t>
      </w:r>
      <w:r w:rsidRPr="00AA5527">
        <w:rPr>
          <w:b/>
        </w:rPr>
        <w:t>esources:</w:t>
      </w:r>
      <w:r w:rsidRPr="00AA5527">
        <w:t xml:space="preserve"> For </w:t>
      </w:r>
      <w:r w:rsidR="00E60CC0">
        <w:t>project</w:t>
      </w:r>
      <w:r w:rsidRPr="00AA5527">
        <w:t xml:space="preserve">s that affect water resources, UNDP promotes </w:t>
      </w:r>
      <w:r w:rsidR="00623962" w:rsidRPr="00AA5527">
        <w:t xml:space="preserve">an </w:t>
      </w:r>
      <w:r w:rsidRPr="00AA5527">
        <w:t xml:space="preserve">integrated water resources management approach </w:t>
      </w:r>
      <w:r w:rsidR="00623962" w:rsidRPr="00AA5527">
        <w:t xml:space="preserve">that seeks </w:t>
      </w:r>
      <w:r w:rsidR="00D306A4">
        <w:t xml:space="preserve">the </w:t>
      </w:r>
      <w:r w:rsidR="00623962" w:rsidRPr="00AA5527">
        <w:t xml:space="preserve">coordinated development and management of water, land and related resources in order to maximize the economic and social welfare in an equitable manner </w:t>
      </w:r>
      <w:r w:rsidR="00D306A4">
        <w:t xml:space="preserve">and </w:t>
      </w:r>
      <w:r w:rsidR="00623962" w:rsidRPr="00AA5527">
        <w:t xml:space="preserve">without compromising the sustainability of ecosystems. UNDP </w:t>
      </w:r>
      <w:r w:rsidR="002624FA" w:rsidRPr="00AA5527">
        <w:t>seeks to ensure</w:t>
      </w:r>
      <w:r w:rsidR="00623962" w:rsidRPr="00AA5527">
        <w:t xml:space="preserve"> that </w:t>
      </w:r>
      <w:r w:rsidR="00E60CC0">
        <w:t>project</w:t>
      </w:r>
      <w:r w:rsidR="00623962" w:rsidRPr="00AA5527">
        <w:t>s avoid significantly altering flow regimes in ways that prevent water resources from fulfilling their functions for upstream and downstream ecosystems and their services to local communities.</w:t>
      </w:r>
      <w:r w:rsidR="00F51D4F">
        <w:rPr>
          <w:rStyle w:val="FootnoteReference"/>
        </w:rPr>
        <w:footnoteReference w:id="46"/>
      </w:r>
      <w:r w:rsidR="00623962" w:rsidRPr="00AA5527">
        <w:t xml:space="preserve"> </w:t>
      </w:r>
      <w:r w:rsidR="00D306A4">
        <w:t>Social and environmental</w:t>
      </w:r>
      <w:r w:rsidR="00F51D4F">
        <w:t xml:space="preserve"> r</w:t>
      </w:r>
      <w:r w:rsidR="00926455" w:rsidRPr="00AA5527">
        <w:t>isk assessments should address</w:t>
      </w:r>
      <w:r w:rsidR="00746307" w:rsidRPr="00AA5527">
        <w:t>, among other</w:t>
      </w:r>
      <w:r w:rsidR="00926455" w:rsidRPr="00AA5527">
        <w:t xml:space="preserve"> issues</w:t>
      </w:r>
      <w:r w:rsidR="00746307" w:rsidRPr="00AA5527">
        <w:t xml:space="preserve">, potential </w:t>
      </w:r>
      <w:r w:rsidR="002522F1">
        <w:t xml:space="preserve">effects and </w:t>
      </w:r>
      <w:r w:rsidR="00746307" w:rsidRPr="00AA5527">
        <w:t>impacts related to</w:t>
      </w:r>
      <w:r w:rsidR="00926455" w:rsidRPr="00AA5527">
        <w:t xml:space="preserve"> climate </w:t>
      </w:r>
      <w:r w:rsidR="00542342" w:rsidRPr="00AA5527">
        <w:t>variability</w:t>
      </w:r>
      <w:r w:rsidR="00926455" w:rsidRPr="00AA5527">
        <w:t xml:space="preserve">, water pollution, </w:t>
      </w:r>
      <w:r w:rsidR="00542342" w:rsidRPr="00AA5527">
        <w:t xml:space="preserve">sedimentation, </w:t>
      </w:r>
      <w:r w:rsidR="00926455" w:rsidRPr="00AA5527">
        <w:t>water-related disasters,</w:t>
      </w:r>
      <w:r w:rsidR="00746307" w:rsidRPr="00AA5527">
        <w:t xml:space="preserve"> </w:t>
      </w:r>
      <w:r w:rsidR="0015325A" w:rsidRPr="00AA5527">
        <w:t xml:space="preserve">drinking water supply, energy production, agriculture, and </w:t>
      </w:r>
      <w:r w:rsidR="00746307" w:rsidRPr="00AA5527">
        <w:t>fisheries. E</w:t>
      </w:r>
      <w:r w:rsidR="002624FA" w:rsidRPr="00AA5527">
        <w:t>nvironmental flow analysis and management should be carried out to the extent feasible in the context of river basin planning.</w:t>
      </w:r>
      <w:r w:rsidR="00C75AAE" w:rsidRPr="00AA5527">
        <w:rPr>
          <w:rStyle w:val="FootnoteReference"/>
        </w:rPr>
        <w:footnoteReference w:id="47"/>
      </w:r>
      <w:r w:rsidR="00B95F20">
        <w:t xml:space="preserve"> See also Standard 8 regarding </w:t>
      </w:r>
      <w:r w:rsidR="00600711">
        <w:t>efficient use of water resources.</w:t>
      </w:r>
    </w:p>
    <w:p w14:paraId="197152F7" w14:textId="72C2E30E" w:rsidR="00B86F86" w:rsidRPr="00AA5527" w:rsidRDefault="004751C6" w:rsidP="007834FA">
      <w:pPr>
        <w:pStyle w:val="SEQSbodynumbered"/>
      </w:pPr>
      <w:r w:rsidRPr="00136B9E">
        <w:rPr>
          <w:b/>
        </w:rPr>
        <w:t>Soil Management</w:t>
      </w:r>
      <w:r>
        <w:rPr>
          <w:b/>
        </w:rPr>
        <w:t>:</w:t>
      </w:r>
      <w:r w:rsidRPr="00136B9E">
        <w:t xml:space="preserve"> </w:t>
      </w:r>
      <w:r w:rsidR="00DB5FFB">
        <w:t>P</w:t>
      </w:r>
      <w:r w:rsidR="00E60CC0">
        <w:t>roject</w:t>
      </w:r>
      <w:r>
        <w:t>s a</w:t>
      </w:r>
      <w:r w:rsidRPr="00136B9E">
        <w:t>void,</w:t>
      </w:r>
      <w:r w:rsidRPr="00136B9E">
        <w:rPr>
          <w:lang w:val="en-GB"/>
        </w:rPr>
        <w:t xml:space="preserve"> and where </w:t>
      </w:r>
      <w:r>
        <w:rPr>
          <w:lang w:val="en-GB"/>
        </w:rPr>
        <w:t xml:space="preserve">avoidance is </w:t>
      </w:r>
      <w:r w:rsidRPr="00136B9E">
        <w:rPr>
          <w:lang w:val="en-GB"/>
        </w:rPr>
        <w:t>not possible, minimize</w:t>
      </w:r>
      <w:r w:rsidRPr="00136B9E">
        <w:t xml:space="preserve"> adverse impacts on soils, their </w:t>
      </w:r>
      <w:r>
        <w:t xml:space="preserve">biodiversity, </w:t>
      </w:r>
      <w:r w:rsidRPr="00136B9E">
        <w:t xml:space="preserve">organic content, productivity, structure, water-retention capacity. </w:t>
      </w:r>
    </w:p>
    <w:p w14:paraId="2B887A2A" w14:textId="77777777" w:rsidR="002843C3" w:rsidRDefault="002843C3">
      <w:pPr>
        <w:pStyle w:val="SEQSbodynumbered"/>
      </w:pPr>
      <w:r w:rsidRPr="00C5653E">
        <w:rPr>
          <w:b/>
        </w:rPr>
        <w:t xml:space="preserve">Sustainable </w:t>
      </w:r>
      <w:r w:rsidR="003C669D">
        <w:rPr>
          <w:b/>
        </w:rPr>
        <w:t>m</w:t>
      </w:r>
      <w:r w:rsidRPr="00C5653E">
        <w:rPr>
          <w:b/>
        </w:rPr>
        <w:t xml:space="preserve">anagement of </w:t>
      </w:r>
      <w:r w:rsidR="003C669D">
        <w:rPr>
          <w:b/>
        </w:rPr>
        <w:t>l</w:t>
      </w:r>
      <w:r w:rsidR="004058B7">
        <w:rPr>
          <w:b/>
        </w:rPr>
        <w:t xml:space="preserve">iving </w:t>
      </w:r>
      <w:r w:rsidR="003C669D">
        <w:rPr>
          <w:b/>
        </w:rPr>
        <w:t>n</w:t>
      </w:r>
      <w:r w:rsidRPr="00C5653E">
        <w:rPr>
          <w:b/>
        </w:rPr>
        <w:t xml:space="preserve">atural </w:t>
      </w:r>
      <w:r w:rsidR="003C669D">
        <w:rPr>
          <w:b/>
        </w:rPr>
        <w:t>r</w:t>
      </w:r>
      <w:r w:rsidRPr="00C5653E">
        <w:rPr>
          <w:b/>
        </w:rPr>
        <w:t>esources:</w:t>
      </w:r>
      <w:r w:rsidRPr="00F00DDC">
        <w:t xml:space="preserve"> </w:t>
      </w:r>
      <w:r w:rsidR="004058B7">
        <w:t>Living</w:t>
      </w:r>
      <w:r w:rsidR="004058B7" w:rsidRPr="00F00DDC">
        <w:t xml:space="preserve"> </w:t>
      </w:r>
      <w:r w:rsidR="00B23E00">
        <w:t xml:space="preserve">natural </w:t>
      </w:r>
      <w:r w:rsidRPr="00F00DDC">
        <w:t>resources</w:t>
      </w:r>
      <w:r w:rsidR="004058B7">
        <w:rPr>
          <w:rStyle w:val="FootnoteReference"/>
        </w:rPr>
        <w:footnoteReference w:id="48"/>
      </w:r>
      <w:r w:rsidRPr="00F00DDC">
        <w:t xml:space="preserve"> </w:t>
      </w:r>
      <w:r w:rsidR="008D7EF4">
        <w:t>are</w:t>
      </w:r>
      <w:r w:rsidRPr="00F00DDC">
        <w:t xml:space="preserve"> managed in a sustainable manner</w:t>
      </w:r>
      <w:r>
        <w:t xml:space="preserve">. </w:t>
      </w:r>
      <w:r w:rsidRPr="00650342">
        <w:t xml:space="preserve">Sustainable resource management is the management of the use, development, and protection of resources in a way, or at a rate, that enables people and communities, including </w:t>
      </w:r>
      <w:r w:rsidR="00B86EBA">
        <w:t>i</w:t>
      </w:r>
      <w:r w:rsidRPr="00650342">
        <w:t xml:space="preserve">ndigenous </w:t>
      </w:r>
      <w:r w:rsidR="00B86EBA">
        <w:t>p</w:t>
      </w:r>
      <w:r w:rsidRPr="00650342">
        <w:t xml:space="preserve">eoples, to provide for their social, economic, and cultural well-being while also sustaining the potential for those resources to meet the needs </w:t>
      </w:r>
      <w:r w:rsidR="00E45271">
        <w:t>of</w:t>
      </w:r>
      <w:r w:rsidR="00E45271" w:rsidRPr="00650342">
        <w:t xml:space="preserve"> </w:t>
      </w:r>
      <w:r w:rsidRPr="00650342">
        <w:t xml:space="preserve">future generations. This includes safeguarding </w:t>
      </w:r>
      <w:r>
        <w:t xml:space="preserve">biodiversity and </w:t>
      </w:r>
      <w:r w:rsidRPr="00650342">
        <w:t>the life-supporting capacity of air, water, and soil ecosystems.</w:t>
      </w:r>
      <w:r w:rsidR="00883C94">
        <w:t xml:space="preserve"> </w:t>
      </w:r>
      <w:r w:rsidR="00883C94" w:rsidRPr="00883C94">
        <w:t xml:space="preserve">Sustainable management also ensures that people who are dependent on these </w:t>
      </w:r>
      <w:r w:rsidR="00883C94" w:rsidRPr="00883C94">
        <w:lastRenderedPageBreak/>
        <w:t xml:space="preserve">resources are properly consulted, </w:t>
      </w:r>
      <w:r w:rsidR="002A4D3C">
        <w:t xml:space="preserve">women and men </w:t>
      </w:r>
      <w:r w:rsidR="00E543F7">
        <w:t xml:space="preserve">have opportunities </w:t>
      </w:r>
      <w:r w:rsidR="002A4D3C">
        <w:t xml:space="preserve">to equally </w:t>
      </w:r>
      <w:r w:rsidR="00883C94" w:rsidRPr="00883C94">
        <w:t xml:space="preserve">participate in development, and </w:t>
      </w:r>
      <w:r w:rsidR="00F74328">
        <w:t xml:space="preserve">benefits are </w:t>
      </w:r>
      <w:r w:rsidR="00883C94" w:rsidRPr="00883C94">
        <w:t>share</w:t>
      </w:r>
      <w:r w:rsidR="00F74328">
        <w:t>d</w:t>
      </w:r>
      <w:r w:rsidR="00883C94" w:rsidRPr="00883C94">
        <w:t xml:space="preserve"> equitably.</w:t>
      </w:r>
    </w:p>
    <w:p w14:paraId="2DC36C15" w14:textId="77777777" w:rsidR="002843C3" w:rsidRDefault="002843C3">
      <w:pPr>
        <w:pStyle w:val="SEQSbodynumbered"/>
      </w:pPr>
      <w:r>
        <w:t>UNDP ensure</w:t>
      </w:r>
      <w:r w:rsidR="008D7EF4">
        <w:t>s</w:t>
      </w:r>
      <w:r>
        <w:t xml:space="preserve"> sustainable resource management </w:t>
      </w:r>
      <w:r w:rsidRPr="00F00DDC">
        <w:t xml:space="preserve">through the application of </w:t>
      </w:r>
      <w:r w:rsidR="00BB5C53">
        <w:t xml:space="preserve">appropriate, </w:t>
      </w:r>
      <w:r w:rsidRPr="00F00DDC">
        <w:t xml:space="preserve">industry-specific </w:t>
      </w:r>
      <w:r w:rsidR="00EA6599">
        <w:t>best</w:t>
      </w:r>
      <w:r w:rsidR="00EA6599" w:rsidRPr="00F00DDC">
        <w:t xml:space="preserve"> </w:t>
      </w:r>
      <w:r w:rsidRPr="00F00DDC">
        <w:t>management practices, and where codified, through application of one or more relevant credible standards as demonstrated by</w:t>
      </w:r>
      <w:r w:rsidR="00E45271">
        <w:t xml:space="preserve"> an</w:t>
      </w:r>
      <w:r w:rsidRPr="00F00DDC">
        <w:t xml:space="preserve"> independent verification or certification system.</w:t>
      </w:r>
      <w:r w:rsidRPr="00F00DDC">
        <w:rPr>
          <w:rStyle w:val="FootnoteReference"/>
        </w:rPr>
        <w:footnoteReference w:id="49"/>
      </w:r>
      <w:r w:rsidR="00297482">
        <w:t xml:space="preserve"> </w:t>
      </w:r>
      <w:r w:rsidR="00313C16" w:rsidRPr="009A6BA5">
        <w:t>Adopt appropriate measures, where relevant, to promote animal welfare, control for potential invasiveness or escape of production species, and minimization of antimicrobial resistance.</w:t>
      </w:r>
    </w:p>
    <w:p w14:paraId="3D163EC4" w14:textId="07C84E7E" w:rsidR="002843C3" w:rsidRDefault="002843C3">
      <w:pPr>
        <w:pStyle w:val="SEQSbodynumbered"/>
      </w:pPr>
      <w:r>
        <w:t xml:space="preserve">For </w:t>
      </w:r>
      <w:r w:rsidR="00E60CC0">
        <w:t>project</w:t>
      </w:r>
      <w:r>
        <w:t xml:space="preserve">s </w:t>
      </w:r>
      <w:r w:rsidR="00DF7179">
        <w:t xml:space="preserve">that involve the </w:t>
      </w:r>
      <w:r>
        <w:t xml:space="preserve">production, harvesting, and/or management of </w:t>
      </w:r>
      <w:r w:rsidR="0007423E">
        <w:t xml:space="preserve">living </w:t>
      </w:r>
      <w:r>
        <w:t>natural resources by small-scale landholders and/or local communities, UNDP support</w:t>
      </w:r>
      <w:r w:rsidR="008D7EF4">
        <w:t>s</w:t>
      </w:r>
      <w:r>
        <w:t xml:space="preserve"> adoption of </w:t>
      </w:r>
      <w:r w:rsidR="00F74328">
        <w:t xml:space="preserve">appropriate </w:t>
      </w:r>
      <w:r w:rsidR="005B407B">
        <w:t xml:space="preserve">and culturally sensitive </w:t>
      </w:r>
      <w:r>
        <w:t>sustainable resource management practices.</w:t>
      </w:r>
    </w:p>
    <w:p w14:paraId="1972B694" w14:textId="5C7D35DC" w:rsidR="002843C3" w:rsidRDefault="00FB438E">
      <w:pPr>
        <w:pStyle w:val="SEQSbodynumbered"/>
      </w:pPr>
      <w:r w:rsidRPr="00A42F72">
        <w:rPr>
          <w:b/>
        </w:rPr>
        <w:t>Access and Benefits Sharing:</w:t>
      </w:r>
      <w:r>
        <w:t xml:space="preserve"> </w:t>
      </w:r>
      <w:r w:rsidR="002843C3">
        <w:t xml:space="preserve">For </w:t>
      </w:r>
      <w:r w:rsidR="00E60CC0">
        <w:t>project</w:t>
      </w:r>
      <w:r w:rsidR="002843C3">
        <w:t>s that involve</w:t>
      </w:r>
      <w:r w:rsidR="00DF7179">
        <w:t xml:space="preserve"> the</w:t>
      </w:r>
      <w:r w:rsidR="002843C3">
        <w:t xml:space="preserve"> utilization of genetic resources, UNDP ensure</w:t>
      </w:r>
      <w:r w:rsidR="008D7EF4">
        <w:t>s</w:t>
      </w:r>
      <w:r w:rsidR="002843C3">
        <w:t xml:space="preserve"> that </w:t>
      </w:r>
      <w:r w:rsidR="000C00C6">
        <w:t xml:space="preserve">the </w:t>
      </w:r>
      <w:r w:rsidR="00421455">
        <w:t>collection</w:t>
      </w:r>
      <w:r w:rsidR="0020274F">
        <w:t xml:space="preserve"> of such resources</w:t>
      </w:r>
      <w:r w:rsidR="00421455">
        <w:t xml:space="preserve"> </w:t>
      </w:r>
      <w:r w:rsidR="002843C3">
        <w:t>is conducted sustainabl</w:t>
      </w:r>
      <w:r w:rsidR="00421455">
        <w:t>y</w:t>
      </w:r>
      <w:r w:rsidR="002843C3">
        <w:t xml:space="preserve"> and that benefits </w:t>
      </w:r>
      <w:r w:rsidR="0020274F">
        <w:t xml:space="preserve">derived from their utilization </w:t>
      </w:r>
      <w:r w:rsidR="002843C3">
        <w:t>are shared in a fair and equitable manner. UNDP ensure</w:t>
      </w:r>
      <w:r w:rsidR="008D7EF4">
        <w:t>s</w:t>
      </w:r>
      <w:r w:rsidR="002843C3">
        <w:t xml:space="preserve"> such </w:t>
      </w:r>
      <w:r w:rsidR="00E60CC0">
        <w:t>project</w:t>
      </w:r>
      <w:r w:rsidR="002843C3">
        <w:t xml:space="preserve">s are consistent with the Convention on Biological Diversity and </w:t>
      </w:r>
      <w:r w:rsidR="002E388A">
        <w:t xml:space="preserve">its </w:t>
      </w:r>
      <w:r w:rsidR="002843C3">
        <w:t>Nagoya Protocol.</w:t>
      </w:r>
      <w:r w:rsidR="002843C3">
        <w:rPr>
          <w:rStyle w:val="FootnoteReference"/>
        </w:rPr>
        <w:footnoteReference w:id="50"/>
      </w:r>
      <w:r w:rsidR="002843C3">
        <w:t xml:space="preserve"> Where genetic resources </w:t>
      </w:r>
      <w:r w:rsidR="0020274F">
        <w:t xml:space="preserve">are collected </w:t>
      </w:r>
      <w:r w:rsidR="002843C3">
        <w:t xml:space="preserve">from traditional or customary lands of </w:t>
      </w:r>
      <w:r w:rsidR="00AA2D99">
        <w:t>i</w:t>
      </w:r>
      <w:r w:rsidR="002843C3">
        <w:t xml:space="preserve">ndigenous </w:t>
      </w:r>
      <w:r w:rsidR="00AA2D99">
        <w:t>p</w:t>
      </w:r>
      <w:r w:rsidR="002843C3">
        <w:t xml:space="preserve">eoples, the provisions of </w:t>
      </w:r>
      <w:r w:rsidR="00217908">
        <w:t xml:space="preserve">Standard 6: </w:t>
      </w:r>
      <w:r w:rsidR="002843C3">
        <w:t xml:space="preserve">Indigenous Peoples apply, including the requirement </w:t>
      </w:r>
      <w:r w:rsidR="0097525E">
        <w:t xml:space="preserve">of </w:t>
      </w:r>
      <w:r w:rsidR="00481DC5">
        <w:t>f</w:t>
      </w:r>
      <w:r w:rsidR="0097525E">
        <w:t xml:space="preserve">ree, </w:t>
      </w:r>
      <w:r w:rsidR="00481DC5">
        <w:t>p</w:t>
      </w:r>
      <w:r w:rsidR="0097525E">
        <w:t xml:space="preserve">rior </w:t>
      </w:r>
      <w:r w:rsidR="006711BA">
        <w:t xml:space="preserve">and </w:t>
      </w:r>
      <w:r w:rsidR="00481DC5">
        <w:t>i</w:t>
      </w:r>
      <w:r w:rsidR="0097525E">
        <w:t xml:space="preserve">nformed </w:t>
      </w:r>
      <w:r w:rsidR="00481DC5">
        <w:t>c</w:t>
      </w:r>
      <w:r w:rsidR="0097525E">
        <w:t>onsent</w:t>
      </w:r>
      <w:r w:rsidR="00481DC5">
        <w:t xml:space="preserve"> (FPIC)</w:t>
      </w:r>
      <w:r w:rsidR="00AD0E54">
        <w:t>.</w:t>
      </w:r>
    </w:p>
    <w:p w14:paraId="1B17EDDE" w14:textId="77777777" w:rsidR="005F73DF" w:rsidRPr="009A0567" w:rsidRDefault="005F73DF">
      <w:pPr>
        <w:pStyle w:val="SEQSbodynumbered"/>
      </w:pPr>
      <w:r>
        <w:rPr>
          <w:b/>
        </w:rPr>
        <w:t xml:space="preserve">Primary </w:t>
      </w:r>
      <w:r w:rsidRPr="00575BBB">
        <w:rPr>
          <w:b/>
        </w:rPr>
        <w:t>Suppl</w:t>
      </w:r>
      <w:r>
        <w:rPr>
          <w:b/>
        </w:rPr>
        <w:t>iers</w:t>
      </w:r>
      <w:r>
        <w:t>:</w:t>
      </w:r>
      <w:r w:rsidRPr="00575BBB">
        <w:t xml:space="preserve"> When purchasing natural resource commodities, where possible, </w:t>
      </w:r>
      <w:r w:rsidR="001735BF">
        <w:t xml:space="preserve">UNDP </w:t>
      </w:r>
      <w:r w:rsidRPr="00575BBB">
        <w:t>limit</w:t>
      </w:r>
      <w:r w:rsidR="008D7EF4">
        <w:t>s</w:t>
      </w:r>
      <w:r w:rsidRPr="00575BBB">
        <w:t xml:space="preserve"> procurement to those primary suppliers that can demonstrate that they are not contributing to significant conversion or degradation of natural or critical habitats, and if necessary within a reasonable period, shift to primary suppliers that can demonstrate that they are not significantly adversely impacting these areas.</w:t>
      </w:r>
      <w:r>
        <w:t xml:space="preserve"> </w:t>
      </w:r>
      <w:r w:rsidR="001735BF">
        <w:t>UNDP e</w:t>
      </w:r>
      <w:r>
        <w:t>ncourage</w:t>
      </w:r>
      <w:r w:rsidR="008D7EF4">
        <w:t>s</w:t>
      </w:r>
      <w:r>
        <w:t xml:space="preserve"> application of </w:t>
      </w:r>
      <w:r w:rsidR="00FA4DC0">
        <w:t xml:space="preserve">eco-labels and </w:t>
      </w:r>
      <w:r>
        <w:t>Environmental Product Descriptions (EPDs)</w:t>
      </w:r>
      <w:r>
        <w:rPr>
          <w:rStyle w:val="FootnoteReference"/>
        </w:rPr>
        <w:footnoteReference w:id="51"/>
      </w:r>
      <w:r>
        <w:t xml:space="preserve"> where available.</w:t>
      </w:r>
    </w:p>
    <w:p w14:paraId="000D27E8" w14:textId="77777777" w:rsidR="002843C3" w:rsidRPr="00F00DDC" w:rsidRDefault="002843C3" w:rsidP="00BA3A5F">
      <w:pPr>
        <w:spacing w:before="60" w:after="120" w:line="264" w:lineRule="auto"/>
      </w:pPr>
    </w:p>
    <w:p w14:paraId="13C0A2FC" w14:textId="77777777" w:rsidR="00D217DA" w:rsidRDefault="00D217DA" w:rsidP="00BA3A5F">
      <w:pPr>
        <w:spacing w:after="120" w:line="264" w:lineRule="auto"/>
        <w:rPr>
          <w:szCs w:val="20"/>
        </w:rPr>
        <w:sectPr w:rsidR="00D217DA" w:rsidSect="00722C83">
          <w:pgSz w:w="12240" w:h="15840"/>
          <w:pgMar w:top="1440" w:right="1800" w:bottom="1440" w:left="1800" w:header="720" w:footer="720" w:gutter="0"/>
          <w:cols w:space="720"/>
        </w:sectPr>
      </w:pPr>
    </w:p>
    <w:p w14:paraId="60395DC3" w14:textId="77777777" w:rsidR="002843C3" w:rsidRDefault="00E03C09" w:rsidP="00BA3A5F">
      <w:pPr>
        <w:pStyle w:val="Heading2"/>
      </w:pPr>
      <w:bookmarkStart w:id="11" w:name="_Toc14683700"/>
      <w:r>
        <w:lastRenderedPageBreak/>
        <w:t>Standard 2:</w:t>
      </w:r>
      <w:r w:rsidR="00600150">
        <w:t xml:space="preserve"> </w:t>
      </w:r>
      <w:r w:rsidR="00CA3191">
        <w:t>Climate Change</w:t>
      </w:r>
      <w:r w:rsidR="006D527E">
        <w:t xml:space="preserve"> </w:t>
      </w:r>
      <w:r w:rsidR="00253B1D" w:rsidRPr="008B1D09">
        <w:t>and Disaster Risk</w:t>
      </w:r>
      <w:r w:rsidR="003F5CBE" w:rsidRPr="008B1D09">
        <w:t>s</w:t>
      </w:r>
      <w:bookmarkEnd w:id="11"/>
    </w:p>
    <w:p w14:paraId="13CEDC86" w14:textId="77777777" w:rsidR="00736351" w:rsidRPr="009F6C2E" w:rsidRDefault="00736351" w:rsidP="00404F32">
      <w:pPr>
        <w:pStyle w:val="Heading4"/>
      </w:pPr>
      <w:r w:rsidRPr="009F6C2E">
        <w:t>Introduction</w:t>
      </w:r>
    </w:p>
    <w:p w14:paraId="01EECA6A" w14:textId="1D7B985D" w:rsidR="00736351" w:rsidRDefault="00736351" w:rsidP="00D515A1">
      <w:pPr>
        <w:pStyle w:val="SEQSbodynumbered"/>
        <w:numPr>
          <w:ilvl w:val="0"/>
          <w:numId w:val="5"/>
        </w:numPr>
      </w:pPr>
      <w:r>
        <w:t xml:space="preserve">Climate change </w:t>
      </w:r>
      <w:r w:rsidR="002A66A8">
        <w:t xml:space="preserve">and disaster risks pose an increasing </w:t>
      </w:r>
      <w:r>
        <w:t xml:space="preserve">threat to sustainable development and the fight against poverty. </w:t>
      </w:r>
      <w:r w:rsidR="002A66A8">
        <w:t>They have</w:t>
      </w:r>
      <w:r>
        <w:t xml:space="preserve"> the potential to stall and even reverse human development through</w:t>
      </w:r>
      <w:r w:rsidR="00352A54">
        <w:t xml:space="preserve"> </w:t>
      </w:r>
      <w:r>
        <w:t xml:space="preserve">impacts on key development sectors and activities, including agriculture and food production, </w:t>
      </w:r>
      <w:r w:rsidR="00865E99">
        <w:t>water</w:t>
      </w:r>
      <w:r w:rsidR="007265F4">
        <w:t xml:space="preserve">, ecosystems and </w:t>
      </w:r>
      <w:r w:rsidR="00865E99">
        <w:t xml:space="preserve">other </w:t>
      </w:r>
      <w:r w:rsidR="00D16F60">
        <w:t xml:space="preserve">natural </w:t>
      </w:r>
      <w:r>
        <w:t xml:space="preserve">resources, and health. </w:t>
      </w:r>
      <w:r w:rsidR="00F13BCB" w:rsidRPr="00F13BCB">
        <w:t xml:space="preserve">Climate change </w:t>
      </w:r>
      <w:r w:rsidR="00FA29D8">
        <w:t xml:space="preserve">has become a key driver of hydro-meteorological disasters and has the potential to </w:t>
      </w:r>
      <w:r w:rsidR="00F13BCB" w:rsidRPr="00F13BCB">
        <w:t xml:space="preserve">produce negative impacts through gradual environmental changes and may exacerbate extreme weather events, increasing the risk of </w:t>
      </w:r>
      <w:r w:rsidR="00D938E6">
        <w:t xml:space="preserve">slow and </w:t>
      </w:r>
      <w:r w:rsidR="00F13BCB" w:rsidRPr="00F13BCB">
        <w:t>sudden-onset, high-impact disasters</w:t>
      </w:r>
      <w:r w:rsidR="00923B88">
        <w:t>.</w:t>
      </w:r>
      <w:r w:rsidR="00923B88" w:rsidRPr="009F6C2E">
        <w:t xml:space="preserve"> </w:t>
      </w:r>
      <w:r w:rsidR="00D938E6">
        <w:t xml:space="preserve">Climate variability is contributing to the increasing frequency and impact of small-scale localized disasters with far-reaching long-term socio-economic and developmental impacts. </w:t>
      </w:r>
      <w:r w:rsidR="005253F1">
        <w:t>C</w:t>
      </w:r>
      <w:r w:rsidR="005253F1" w:rsidRPr="009F6C2E">
        <w:t>ommunities</w:t>
      </w:r>
      <w:r w:rsidRPr="009F6C2E">
        <w:t xml:space="preserve"> that are already subjected to impacts from climate change may experience an acceleration and/or intensification of impacts due to </w:t>
      </w:r>
      <w:r w:rsidR="00E60CC0">
        <w:t>project</w:t>
      </w:r>
      <w:r w:rsidRPr="009F6C2E">
        <w:t xml:space="preserve"> activities</w:t>
      </w:r>
      <w:r>
        <w:t xml:space="preserve"> that do not integrate and an</w:t>
      </w:r>
      <w:r w:rsidR="00305742">
        <w:t xml:space="preserve">ticipate climate change </w:t>
      </w:r>
      <w:r w:rsidR="00EB6CC8">
        <w:t xml:space="preserve">and disaster </w:t>
      </w:r>
      <w:r w:rsidR="00305742">
        <w:t>risks.</w:t>
      </w:r>
    </w:p>
    <w:p w14:paraId="40D7EDCB" w14:textId="77777777" w:rsidR="00710075" w:rsidRDefault="00736351" w:rsidP="00AC7F5D">
      <w:pPr>
        <w:pStyle w:val="SEQSbodynumbered"/>
      </w:pPr>
      <w:r>
        <w:t xml:space="preserve">UNDP supports countries to integrate </w:t>
      </w:r>
      <w:r w:rsidR="00D938E6">
        <w:t>disaster and climate risk concerns</w:t>
      </w:r>
      <w:r>
        <w:t xml:space="preserve"> into national and sectoral development plans</w:t>
      </w:r>
      <w:r w:rsidR="0052393D">
        <w:t>;</w:t>
      </w:r>
      <w:r>
        <w:t xml:space="preserve"> </w:t>
      </w:r>
      <w:r w:rsidR="0052393D">
        <w:t xml:space="preserve">advance low-emission and risk-informed development pathways; </w:t>
      </w:r>
      <w:r>
        <w:t xml:space="preserve">identify priority </w:t>
      </w:r>
      <w:r w:rsidR="0052393D">
        <w:t xml:space="preserve">disaster risk reduction, risk governance, climate </w:t>
      </w:r>
      <w:r>
        <w:t>mitigation and adaptation</w:t>
      </w:r>
      <w:r>
        <w:rPr>
          <w:rStyle w:val="FootnoteReference"/>
        </w:rPr>
        <w:footnoteReference w:id="52"/>
      </w:r>
      <w:r>
        <w:t xml:space="preserve"> measures</w:t>
      </w:r>
      <w:r w:rsidR="0052393D">
        <w:t>; and</w:t>
      </w:r>
      <w:r>
        <w:t xml:space="preserve"> implement measures to reduce </w:t>
      </w:r>
      <w:r w:rsidR="0052393D">
        <w:t xml:space="preserve">exposure and </w:t>
      </w:r>
      <w:r>
        <w:t>vulnerabilit</w:t>
      </w:r>
      <w:r w:rsidR="0052393D">
        <w:t>ies</w:t>
      </w:r>
      <w:r>
        <w:t xml:space="preserve"> and</w:t>
      </w:r>
      <w:r w:rsidR="0052393D">
        <w:t xml:space="preserve"> to</w:t>
      </w:r>
      <w:r>
        <w:t xml:space="preserve"> increase ada</w:t>
      </w:r>
      <w:r w:rsidR="003E0D42">
        <w:t xml:space="preserve">ptive capacity and </w:t>
      </w:r>
      <w:r w:rsidR="0052393D">
        <w:t xml:space="preserve">build </w:t>
      </w:r>
      <w:r w:rsidR="003E0D42">
        <w:t xml:space="preserve">resilience. </w:t>
      </w:r>
    </w:p>
    <w:p w14:paraId="36CA61CF" w14:textId="3601A1F6" w:rsidR="00736351" w:rsidRDefault="00736351" w:rsidP="007834FA">
      <w:pPr>
        <w:pStyle w:val="SEQSbodynumbered"/>
      </w:pPr>
      <w:r>
        <w:t>UNDP ensure</w:t>
      </w:r>
      <w:r w:rsidR="008D7EF4">
        <w:t>s</w:t>
      </w:r>
      <w:r>
        <w:t xml:space="preserve"> that its </w:t>
      </w:r>
      <w:r w:rsidR="00E60CC0">
        <w:t>project</w:t>
      </w:r>
      <w:r>
        <w:t xml:space="preserve">s are sensitive to climate change </w:t>
      </w:r>
      <w:r w:rsidR="00253B1D">
        <w:t xml:space="preserve">and disaster </w:t>
      </w:r>
      <w:r>
        <w:t xml:space="preserve">risks and do not contribute to </w:t>
      </w:r>
      <w:r w:rsidR="00452A85">
        <w:t>increased vulnerability to</w:t>
      </w:r>
      <w:r w:rsidR="00264D79">
        <w:t xml:space="preserve"> </w:t>
      </w:r>
      <w:r w:rsidR="00452A85">
        <w:t>climate</w:t>
      </w:r>
      <w:r w:rsidR="00264D79">
        <w:t xml:space="preserve"> change</w:t>
      </w:r>
      <w:r w:rsidR="00253B1D">
        <w:t xml:space="preserve"> and natural hazards</w:t>
      </w:r>
      <w:r>
        <w:t>.</w:t>
      </w:r>
      <w:r>
        <w:rPr>
          <w:rStyle w:val="FootnoteReference"/>
        </w:rPr>
        <w:footnoteReference w:id="53"/>
      </w:r>
      <w:r>
        <w:t xml:space="preserve"> UNDP mobilizes resources to support </w:t>
      </w:r>
      <w:proofErr w:type="spellStart"/>
      <w:r w:rsidR="009B15D5">
        <w:t>p</w:t>
      </w:r>
      <w:r>
        <w:t>rogramme</w:t>
      </w:r>
      <w:proofErr w:type="spellEnd"/>
      <w:r>
        <w:t xml:space="preserve"> countries to</w:t>
      </w:r>
      <w:r w:rsidR="009B15D5">
        <w:t xml:space="preserve"> address the whole spectrum of issues related to climate change and disaster risk reduction including</w:t>
      </w:r>
      <w:r>
        <w:t xml:space="preserve"> financ</w:t>
      </w:r>
      <w:r w:rsidR="009B15D5">
        <w:t>ing</w:t>
      </w:r>
      <w:r>
        <w:t xml:space="preserve"> their national adaptation costs</w:t>
      </w:r>
      <w:r w:rsidR="00253B1D">
        <w:t xml:space="preserve"> and to </w:t>
      </w:r>
      <w:r w:rsidR="009B15D5">
        <w:t xml:space="preserve">advance risk-informed development in order to </w:t>
      </w:r>
      <w:r w:rsidR="00253B1D">
        <w:t>reduce disaster risks</w:t>
      </w:r>
      <w:r>
        <w:t>.</w:t>
      </w:r>
    </w:p>
    <w:p w14:paraId="0D17239C" w14:textId="77777777" w:rsidR="001B2226" w:rsidRDefault="001B2226">
      <w:pPr>
        <w:pStyle w:val="SEQSbodynumbered"/>
      </w:pPr>
      <w:r w:rsidRPr="001B2226">
        <w:t>Reducing the negative impacts of climate change is pursued through two complementary strategies: mitigation (reducing greenhouse gas emissions</w:t>
      </w:r>
      <w:r w:rsidRPr="001B2226">
        <w:rPr>
          <w:vertAlign w:val="superscript"/>
        </w:rPr>
        <w:footnoteReference w:id="54"/>
      </w:r>
      <w:r w:rsidRPr="001B2226">
        <w:t xml:space="preserve"> that are an anthropogenic root cause of climate change) and adaptation (adjusting human systems to moderate harm and/or exploit beneficial opportunities from climate change).</w:t>
      </w:r>
    </w:p>
    <w:p w14:paraId="4BBDD03E" w14:textId="77777777" w:rsidR="00F13BCB" w:rsidRDefault="00F13BCB">
      <w:pPr>
        <w:pStyle w:val="SEQSbodynumbered"/>
      </w:pPr>
      <w:r w:rsidRPr="00F13BCB">
        <w:lastRenderedPageBreak/>
        <w:t xml:space="preserve">Disaster risks encompass a broad range of potential hazards, including biological, environmental, geological, hydrometeorological, and technological processes and phenomena. The Sendai Framework </w:t>
      </w:r>
      <w:r w:rsidR="00B91BD5">
        <w:t>for Disaster Risk Reduction</w:t>
      </w:r>
      <w:r w:rsidR="00B91BD5">
        <w:rPr>
          <w:rStyle w:val="FootnoteReference"/>
        </w:rPr>
        <w:footnoteReference w:id="55"/>
      </w:r>
      <w:r w:rsidR="00B91BD5">
        <w:t xml:space="preserve"> </w:t>
      </w:r>
      <w:r w:rsidRPr="00F13BCB">
        <w:t>calls for decision-making to</w:t>
      </w:r>
      <w:r w:rsidR="00D97312">
        <w:rPr>
          <w:rFonts w:ascii="MS Gothic" w:eastAsia="MS Gothic" w:hAnsi="MS Gothic" w:cs="MS Gothic"/>
        </w:rPr>
        <w:t xml:space="preserve"> </w:t>
      </w:r>
      <w:r w:rsidRPr="00F13BCB">
        <w:t xml:space="preserve">be inclusive and risk-informed while using a multi-hazard approach. </w:t>
      </w:r>
      <w:r w:rsidR="001B2226" w:rsidRPr="001B2226">
        <w:t xml:space="preserve">Disaster risk reduction requires integrated analysis and planning to </w:t>
      </w:r>
      <w:r w:rsidR="009B15D5">
        <w:t>prevent, reduce</w:t>
      </w:r>
      <w:r w:rsidR="001B2226" w:rsidRPr="001B2226">
        <w:t>, manage and strengthen resilience to potential hazards, including applying the concept of “build back better” after a disaster to increase the resilienc</w:t>
      </w:r>
      <w:r w:rsidR="009B15D5">
        <w:t>e</w:t>
      </w:r>
      <w:r w:rsidR="001B2226" w:rsidRPr="001B2226">
        <w:t xml:space="preserve"> of communities.</w:t>
      </w:r>
      <w:r w:rsidR="001B2226">
        <w:t xml:space="preserve"> Disaster risk reduction measures are integrated across the sections of the SES</w:t>
      </w:r>
      <w:r w:rsidR="0002774A">
        <w:t>.</w:t>
      </w:r>
      <w:r w:rsidR="0002774A">
        <w:rPr>
          <w:rStyle w:val="FootnoteReference"/>
        </w:rPr>
        <w:footnoteReference w:id="56"/>
      </w:r>
      <w:r w:rsidR="0002774A">
        <w:t xml:space="preserve"> Under Standard 2</w:t>
      </w:r>
      <w:r w:rsidR="0002774A" w:rsidRPr="00F13BCB">
        <w:t xml:space="preserve">, risks associated primarily with weather-related or hydrometeorological hazards are addressed. </w:t>
      </w:r>
    </w:p>
    <w:p w14:paraId="4BEAB9AF" w14:textId="77777777" w:rsidR="002A4D3C" w:rsidRDefault="002A4D3C">
      <w:pPr>
        <w:pStyle w:val="SEQSbodynumbered"/>
      </w:pPr>
      <w:r>
        <w:t>UNDP strengthens the participation of women in decision-making processes on climate adaptation, mitigation and disaster risk reduction</w:t>
      </w:r>
      <w:r w:rsidR="00D16F60">
        <w:t>. UNDP</w:t>
      </w:r>
      <w:r>
        <w:t xml:space="preserve"> supports countries </w:t>
      </w:r>
      <w:r w:rsidR="00D16F60">
        <w:t xml:space="preserve">to </w:t>
      </w:r>
      <w:r>
        <w:t>ensur</w:t>
      </w:r>
      <w:r w:rsidR="00D16F60">
        <w:t>e</w:t>
      </w:r>
      <w:r>
        <w:t xml:space="preserve"> that disaster risk reduction, climate mitigation and adaptation </w:t>
      </w:r>
      <w:proofErr w:type="spellStart"/>
      <w:r>
        <w:t>programmes</w:t>
      </w:r>
      <w:proofErr w:type="spellEnd"/>
      <w:r>
        <w:t xml:space="preserve"> specifically support women </w:t>
      </w:r>
      <w:r w:rsidR="00AA7349">
        <w:t xml:space="preserve">to strengthen </w:t>
      </w:r>
      <w:r>
        <w:t>their resilience</w:t>
      </w:r>
      <w:r w:rsidR="00AA7349">
        <w:t>, in part by s</w:t>
      </w:r>
      <w:r>
        <w:t>ecur</w:t>
      </w:r>
      <w:r w:rsidR="00AA7349">
        <w:t>ing</w:t>
      </w:r>
      <w:r>
        <w:t xml:space="preserve"> rights and tenure to land</w:t>
      </w:r>
      <w:r w:rsidR="009B15D5">
        <w:t xml:space="preserve"> and access to finance,</w:t>
      </w:r>
      <w:r>
        <w:t xml:space="preserve"> housing </w:t>
      </w:r>
      <w:r w:rsidR="009B15D5">
        <w:t xml:space="preserve">livelihood diversification </w:t>
      </w:r>
      <w:r>
        <w:t xml:space="preserve">and other </w:t>
      </w:r>
      <w:r w:rsidR="009B15D5">
        <w:t xml:space="preserve">socio-economic </w:t>
      </w:r>
      <w:r>
        <w:t>assets</w:t>
      </w:r>
      <w:r w:rsidR="009B15D5">
        <w:t xml:space="preserve"> and skills</w:t>
      </w:r>
      <w:r w:rsidR="00AA7349">
        <w:t>.</w:t>
      </w:r>
      <w:r>
        <w:t xml:space="preserve"> </w:t>
      </w:r>
    </w:p>
    <w:p w14:paraId="06E23C47" w14:textId="77777777" w:rsidR="00736351" w:rsidRPr="009F6C2E" w:rsidRDefault="00736351" w:rsidP="000F4B34">
      <w:pPr>
        <w:pStyle w:val="Heading4"/>
      </w:pPr>
      <w:r w:rsidRPr="009F6C2E">
        <w:t>Objectives</w:t>
      </w:r>
    </w:p>
    <w:p w14:paraId="302F3122" w14:textId="1464CA1B" w:rsidR="00AA7349" w:rsidRDefault="00AA7349" w:rsidP="000828D8">
      <w:pPr>
        <w:pStyle w:val="listbullets1"/>
      </w:pPr>
      <w:r>
        <w:t xml:space="preserve">To ensure that UNDP </w:t>
      </w:r>
      <w:r w:rsidR="00E60CC0">
        <w:t>project</w:t>
      </w:r>
      <w:r>
        <w:t xml:space="preserve">s are sensitive to climate change </w:t>
      </w:r>
      <w:r w:rsidR="00253B1D">
        <w:t xml:space="preserve">and disaster </w:t>
      </w:r>
      <w:r>
        <w:t xml:space="preserve">risks in order to </w:t>
      </w:r>
      <w:r w:rsidR="00BC019A">
        <w:t xml:space="preserve">strengthen resilience and to </w:t>
      </w:r>
      <w:r w:rsidR="005D4DA2">
        <w:t xml:space="preserve">achieve </w:t>
      </w:r>
      <w:r>
        <w:t>sustainable development outcomes</w:t>
      </w:r>
    </w:p>
    <w:p w14:paraId="1D7CA7D1" w14:textId="1002313A" w:rsidR="00736351" w:rsidRDefault="00736351" w:rsidP="000828D8">
      <w:pPr>
        <w:pStyle w:val="listbullets1"/>
      </w:pPr>
      <w:r w:rsidRPr="00114F37">
        <w:t xml:space="preserve">To </w:t>
      </w:r>
      <w:r w:rsidRPr="00CE1E9F">
        <w:t>reduce</w:t>
      </w:r>
      <w:r w:rsidRPr="00114F37">
        <w:t xml:space="preserve"> </w:t>
      </w:r>
      <w:r w:rsidR="00E60CC0">
        <w:t>project</w:t>
      </w:r>
      <w:r w:rsidRPr="00114F37">
        <w:t xml:space="preserve">-related </w:t>
      </w:r>
      <w:r w:rsidR="00D01E0C">
        <w:t>g</w:t>
      </w:r>
      <w:r w:rsidR="00515595">
        <w:t xml:space="preserve">reenhouse </w:t>
      </w:r>
      <w:r w:rsidR="00D01E0C">
        <w:t>g</w:t>
      </w:r>
      <w:r w:rsidR="00515595">
        <w:t>as (GHG)</w:t>
      </w:r>
      <w:r w:rsidRPr="00114F37">
        <w:t xml:space="preserve"> emissions</w:t>
      </w:r>
      <w:r w:rsidR="00853B82">
        <w:t xml:space="preserve"> and intensity</w:t>
      </w:r>
    </w:p>
    <w:p w14:paraId="523EB4D2" w14:textId="77777777" w:rsidR="00736351" w:rsidRPr="009F6C2E" w:rsidRDefault="00736351" w:rsidP="000F4B34">
      <w:pPr>
        <w:pStyle w:val="Heading4"/>
      </w:pPr>
      <w:r w:rsidRPr="009F6C2E">
        <w:t>Scope of Application</w:t>
      </w:r>
    </w:p>
    <w:p w14:paraId="4AABC976" w14:textId="5FE37FAA" w:rsidR="00736351" w:rsidRDefault="00736351" w:rsidP="00D515A1">
      <w:pPr>
        <w:pStyle w:val="SEQSbodynumbered"/>
      </w:pPr>
      <w:r w:rsidRPr="00F00DDC">
        <w:t xml:space="preserve">The applicability of </w:t>
      </w:r>
      <w:r w:rsidR="00A37F1B">
        <w:t>this</w:t>
      </w:r>
      <w:r>
        <w:t xml:space="preserve"> </w:t>
      </w:r>
      <w:r w:rsidR="006E0193">
        <w:t>Standard</w:t>
      </w:r>
      <w:r w:rsidRPr="00F00DDC">
        <w:t xml:space="preserve"> is established during the </w:t>
      </w:r>
      <w:r w:rsidR="00515595">
        <w:t xml:space="preserve">social and </w:t>
      </w:r>
      <w:r w:rsidRPr="00F00DDC">
        <w:t xml:space="preserve">environmental screening </w:t>
      </w:r>
      <w:r w:rsidR="00B41159">
        <w:t xml:space="preserve">and </w:t>
      </w:r>
      <w:r w:rsidR="00EB6080">
        <w:t>categorization</w:t>
      </w:r>
      <w:r w:rsidR="00EB6080" w:rsidRPr="00F00DDC">
        <w:t xml:space="preserve"> </w:t>
      </w:r>
      <w:r w:rsidRPr="00F00DDC">
        <w:t>proce</w:t>
      </w:r>
      <w:r w:rsidR="00B41159">
        <w:t>ss</w:t>
      </w:r>
      <w:r w:rsidRPr="00F00DDC">
        <w:t xml:space="preserve">. Requirements of </w:t>
      </w:r>
      <w:r w:rsidR="006E0193">
        <w:t>this Standard</w:t>
      </w:r>
      <w:r>
        <w:t xml:space="preserve"> apply to all </w:t>
      </w:r>
      <w:r w:rsidR="00E60CC0">
        <w:t>project</w:t>
      </w:r>
      <w:r>
        <w:t>s that (i) have development outcomes that may be threatened by climate change</w:t>
      </w:r>
      <w:r w:rsidR="00253B1D">
        <w:t xml:space="preserve"> or disaster risks</w:t>
      </w:r>
      <w:r>
        <w:t>;</w:t>
      </w:r>
      <w:r w:rsidR="00E45271">
        <w:t xml:space="preserve"> </w:t>
      </w:r>
      <w:r>
        <w:t xml:space="preserve">(ii) may contribute to </w:t>
      </w:r>
      <w:r w:rsidR="00FF6ED3">
        <w:t xml:space="preserve">increased exposure and/or vulnerability </w:t>
      </w:r>
      <w:r w:rsidR="00452A85">
        <w:t>to climate change</w:t>
      </w:r>
      <w:r w:rsidR="00253B1D">
        <w:t xml:space="preserve"> </w:t>
      </w:r>
      <w:r w:rsidR="00EB6CC8">
        <w:t>or</w:t>
      </w:r>
      <w:r w:rsidR="00253B1D">
        <w:t xml:space="preserve"> disaster risks</w:t>
      </w:r>
      <w:r w:rsidR="008D5615">
        <w:t>; or (iii)</w:t>
      </w:r>
      <w:r w:rsidR="008D5615" w:rsidRPr="008D5615">
        <w:t xml:space="preserve"> </w:t>
      </w:r>
      <w:r w:rsidR="008D5615">
        <w:t>may produce significant GHG emissions.</w:t>
      </w:r>
    </w:p>
    <w:p w14:paraId="3B5C804B" w14:textId="77777777" w:rsidR="00736351" w:rsidRDefault="00736351" w:rsidP="000F4B34">
      <w:pPr>
        <w:pStyle w:val="Heading4"/>
      </w:pPr>
      <w:r w:rsidRPr="009F6C2E">
        <w:t>Requirements</w:t>
      </w:r>
    </w:p>
    <w:p w14:paraId="66B2A193" w14:textId="396B57CB" w:rsidR="00A62B14" w:rsidRDefault="00736351" w:rsidP="00D515A1">
      <w:pPr>
        <w:pStyle w:val="SEQSbodynumbered"/>
      </w:pPr>
      <w:r w:rsidRPr="00C5653E">
        <w:rPr>
          <w:b/>
        </w:rPr>
        <w:t xml:space="preserve">Climate </w:t>
      </w:r>
      <w:r w:rsidR="0017380F">
        <w:rPr>
          <w:b/>
        </w:rPr>
        <w:t>c</w:t>
      </w:r>
      <w:r w:rsidRPr="00C5653E">
        <w:rPr>
          <w:b/>
        </w:rPr>
        <w:t xml:space="preserve">hange </w:t>
      </w:r>
      <w:r w:rsidR="00EB6CC8">
        <w:rPr>
          <w:b/>
        </w:rPr>
        <w:t xml:space="preserve">and disaster </w:t>
      </w:r>
      <w:r w:rsidR="0017380F">
        <w:rPr>
          <w:b/>
        </w:rPr>
        <w:t>r</w:t>
      </w:r>
      <w:r w:rsidRPr="00C5653E">
        <w:rPr>
          <w:b/>
        </w:rPr>
        <w:t xml:space="preserve">isk </w:t>
      </w:r>
      <w:r w:rsidR="003D1CA5" w:rsidRPr="003D1CA5">
        <w:rPr>
          <w:b/>
        </w:rPr>
        <w:t>analysis, planning</w:t>
      </w:r>
      <w:r w:rsidR="001D43C0">
        <w:rPr>
          <w:b/>
        </w:rPr>
        <w:t xml:space="preserve"> and</w:t>
      </w:r>
      <w:r w:rsidR="003D1CA5" w:rsidRPr="003D1CA5">
        <w:rPr>
          <w:b/>
        </w:rPr>
        <w:t xml:space="preserve"> implementation</w:t>
      </w:r>
      <w:r w:rsidRPr="00C5653E">
        <w:rPr>
          <w:b/>
        </w:rPr>
        <w:t xml:space="preserve">: </w:t>
      </w:r>
      <w:r w:rsidRPr="00F00DDC">
        <w:t xml:space="preserve">As an integral part of the </w:t>
      </w:r>
      <w:r w:rsidR="00907358">
        <w:t xml:space="preserve">social and </w:t>
      </w:r>
      <w:r w:rsidRPr="00F00DDC">
        <w:t xml:space="preserve">environmental assessment process, </w:t>
      </w:r>
      <w:r>
        <w:t>UNDP ensure</w:t>
      </w:r>
      <w:r w:rsidR="008D7EF4">
        <w:t>s</w:t>
      </w:r>
      <w:r>
        <w:t xml:space="preserve"> that </w:t>
      </w:r>
      <w:r w:rsidR="00404F32">
        <w:t>proposed activities are</w:t>
      </w:r>
      <w:r>
        <w:t xml:space="preserve"> screen</w:t>
      </w:r>
      <w:r w:rsidR="00404F32">
        <w:t>ed</w:t>
      </w:r>
      <w:r>
        <w:t xml:space="preserve"> and a</w:t>
      </w:r>
      <w:r w:rsidR="00907358">
        <w:t>ssess</w:t>
      </w:r>
      <w:r w:rsidR="00404F32">
        <w:t>ed for</w:t>
      </w:r>
      <w:r w:rsidR="00907358">
        <w:t xml:space="preserve"> climate change</w:t>
      </w:r>
      <w:r w:rsidR="00EB6CC8">
        <w:t xml:space="preserve"> and disaster</w:t>
      </w:r>
      <w:r w:rsidRPr="009F6C2E">
        <w:t xml:space="preserve"> risks </w:t>
      </w:r>
      <w:r>
        <w:t xml:space="preserve">and </w:t>
      </w:r>
      <w:r w:rsidR="00045A27">
        <w:t xml:space="preserve">their </w:t>
      </w:r>
      <w:r>
        <w:t>impacts</w:t>
      </w:r>
      <w:r w:rsidR="00A62B14">
        <w:t xml:space="preserve"> to </w:t>
      </w:r>
      <w:r w:rsidR="00E60CC0">
        <w:t>project</w:t>
      </w:r>
      <w:r w:rsidR="00045A27">
        <w:t xml:space="preserve"> activities and outputs</w:t>
      </w:r>
      <w:r w:rsidR="00F67FB0">
        <w:t xml:space="preserve"> as well as </w:t>
      </w:r>
      <w:r w:rsidR="000D57AC">
        <w:t>the possibility</w:t>
      </w:r>
      <w:r w:rsidR="00F67FB0">
        <w:t xml:space="preserve"> </w:t>
      </w:r>
      <w:r w:rsidR="000D57AC">
        <w:t xml:space="preserve">that </w:t>
      </w:r>
      <w:r w:rsidR="00E60CC0">
        <w:t>project</w:t>
      </w:r>
      <w:r w:rsidR="000D57AC">
        <w:t xml:space="preserve"> activities could increase exposure to such </w:t>
      </w:r>
      <w:r w:rsidR="0000638B">
        <w:t>risks.</w:t>
      </w:r>
      <w:r w:rsidR="00404F32">
        <w:t xml:space="preserve"> UNDP ensure</w:t>
      </w:r>
      <w:r w:rsidR="008D7EF4">
        <w:t>s</w:t>
      </w:r>
      <w:r w:rsidR="00404F32">
        <w:t xml:space="preserve"> that the </w:t>
      </w:r>
      <w:r w:rsidR="003F2940">
        <w:t xml:space="preserve">status and adequacy </w:t>
      </w:r>
      <w:r w:rsidR="000D57AC">
        <w:t xml:space="preserve">and applicability </w:t>
      </w:r>
      <w:r w:rsidR="003F2940">
        <w:t>of relevant climatic</w:t>
      </w:r>
      <w:r w:rsidR="000D57AC">
        <w:t xml:space="preserve"> and disaster risk</w:t>
      </w:r>
      <w:r w:rsidR="003F2940">
        <w:t xml:space="preserve"> information</w:t>
      </w:r>
      <w:r w:rsidR="00404F32">
        <w:t xml:space="preserve"> is identified</w:t>
      </w:r>
      <w:r w:rsidR="003F2940">
        <w:t xml:space="preserve">. </w:t>
      </w:r>
      <w:r w:rsidR="00515595">
        <w:t xml:space="preserve">If significant potential risks are identified, </w:t>
      </w:r>
      <w:r w:rsidR="00752BF2">
        <w:t xml:space="preserve">then </w:t>
      </w:r>
      <w:r w:rsidR="00515595">
        <w:t>further scoping and assessment of vulnerability, potential impacts, and avoidance and mitigation measures</w:t>
      </w:r>
      <w:r w:rsidR="00D65D75">
        <w:t xml:space="preserve">, including consideration of alternatives to reduce potential risks, </w:t>
      </w:r>
      <w:r w:rsidR="00B534E0">
        <w:t xml:space="preserve">will be </w:t>
      </w:r>
      <w:r w:rsidR="00515595">
        <w:t xml:space="preserve">required. </w:t>
      </w:r>
      <w:r w:rsidR="00A62B14">
        <w:t xml:space="preserve">The climate change </w:t>
      </w:r>
      <w:r w:rsidR="00EB6CC8">
        <w:t xml:space="preserve">and disaster </w:t>
      </w:r>
      <w:r w:rsidR="00A62B14">
        <w:t xml:space="preserve">risk assessment </w:t>
      </w:r>
      <w:r w:rsidR="00313C16">
        <w:t xml:space="preserve">and related management planning </w:t>
      </w:r>
      <w:r w:rsidR="00A62B14">
        <w:t>will:</w:t>
      </w:r>
    </w:p>
    <w:p w14:paraId="6DED668E" w14:textId="77777777" w:rsidR="001D43C0" w:rsidRDefault="00752BF2" w:rsidP="000828D8">
      <w:pPr>
        <w:pStyle w:val="listlettered"/>
        <w:numPr>
          <w:ilvl w:val="0"/>
          <w:numId w:val="12"/>
        </w:numPr>
      </w:pPr>
      <w:r>
        <w:lastRenderedPageBreak/>
        <w:t>Examine p</w:t>
      </w:r>
      <w:r w:rsidR="000C620E">
        <w:t>otential e</w:t>
      </w:r>
      <w:r w:rsidR="000C620E" w:rsidRPr="00041FEF">
        <w:t xml:space="preserve">xposure and sensitivity of relevant communities, ecosystems, </w:t>
      </w:r>
      <w:r w:rsidR="000C620E">
        <w:t>and critical infrastructure</w:t>
      </w:r>
      <w:r w:rsidR="000C620E" w:rsidRPr="00041FEF">
        <w:t xml:space="preserve"> to climate </w:t>
      </w:r>
      <w:r w:rsidR="000C620E">
        <w:t xml:space="preserve">change impacts and </w:t>
      </w:r>
      <w:r w:rsidR="000C620E" w:rsidRPr="00041FEF">
        <w:t>hazards</w:t>
      </w:r>
      <w:r w:rsidR="000C620E">
        <w:t>, both natural and human-made, including extreme weather events</w:t>
      </w:r>
      <w:r w:rsidR="0066037F">
        <w:t xml:space="preserve"> and </w:t>
      </w:r>
      <w:r w:rsidR="0066037F" w:rsidRPr="00177063">
        <w:t xml:space="preserve">natural hazard-triggered technological </w:t>
      </w:r>
      <w:r w:rsidR="0066037F">
        <w:t>(</w:t>
      </w:r>
      <w:r w:rsidR="0066037F" w:rsidRPr="00177063">
        <w:t>or “</w:t>
      </w:r>
      <w:proofErr w:type="spellStart"/>
      <w:r w:rsidR="0066037F" w:rsidRPr="00177063">
        <w:t>Natech</w:t>
      </w:r>
      <w:proofErr w:type="spellEnd"/>
      <w:r w:rsidR="0066037F" w:rsidRPr="00177063">
        <w:t>”</w:t>
      </w:r>
      <w:r w:rsidR="0066037F">
        <w:t>)</w:t>
      </w:r>
      <w:r w:rsidR="0066037F" w:rsidRPr="00177063">
        <w:t xml:space="preserve"> accidents</w:t>
      </w:r>
      <w:r w:rsidR="0066037F">
        <w:t>.</w:t>
      </w:r>
      <w:r w:rsidR="0066037F">
        <w:rPr>
          <w:rStyle w:val="FootnoteReference"/>
        </w:rPr>
        <w:footnoteReference w:id="57"/>
      </w:r>
      <w:r w:rsidR="001D43C0">
        <w:t xml:space="preserve"> </w:t>
      </w:r>
    </w:p>
    <w:p w14:paraId="478453D7" w14:textId="77777777" w:rsidR="001D43C0" w:rsidRDefault="001D43C0" w:rsidP="000828D8">
      <w:pPr>
        <w:pStyle w:val="listlettered"/>
        <w:numPr>
          <w:ilvl w:val="0"/>
          <w:numId w:val="12"/>
        </w:numPr>
      </w:pPr>
      <w:proofErr w:type="spellStart"/>
      <w:r>
        <w:t>Analyse</w:t>
      </w:r>
      <w:proofErr w:type="spellEnd"/>
      <w:r>
        <w:t xml:space="preserve"> </w:t>
      </w:r>
      <w:r w:rsidRPr="00DE5D10">
        <w:t xml:space="preserve">physical, social, economic and environmental factors or processes which increase the susceptibility </w:t>
      </w:r>
      <w:r>
        <w:t xml:space="preserve">and vulnerability </w:t>
      </w:r>
      <w:r w:rsidRPr="00DE5D10">
        <w:t xml:space="preserve">of </w:t>
      </w:r>
      <w:r>
        <w:t>relevant</w:t>
      </w:r>
      <w:r w:rsidRPr="00DE5D10">
        <w:t xml:space="preserve"> communit</w:t>
      </w:r>
      <w:r>
        <w:t>ies to potential</w:t>
      </w:r>
      <w:r w:rsidRPr="00DE5D10">
        <w:t xml:space="preserve"> </w:t>
      </w:r>
      <w:r>
        <w:t xml:space="preserve">climate change impacts and </w:t>
      </w:r>
      <w:r w:rsidRPr="00DE5D10">
        <w:t>hazards</w:t>
      </w:r>
      <w:r w:rsidR="00110196">
        <w:t>—</w:t>
      </w:r>
      <w:r>
        <w:t>with a particular focus on marginalized and disadvantaged groups and individuals. Consider</w:t>
      </w:r>
      <w:r w:rsidR="000C620E">
        <w:t xml:space="preserve"> potential s</w:t>
      </w:r>
      <w:r w:rsidR="000C620E" w:rsidRPr="00776A32">
        <w:t xml:space="preserve">pecific gender-, age- and social vulnerabilities </w:t>
      </w:r>
      <w:r w:rsidR="000C620E">
        <w:t>and differentiated impacts</w:t>
      </w:r>
      <w:r>
        <w:t>.</w:t>
      </w:r>
    </w:p>
    <w:p w14:paraId="3A913B7E" w14:textId="6613E8E6" w:rsidR="001D43C0" w:rsidRDefault="001D43C0" w:rsidP="000828D8">
      <w:pPr>
        <w:pStyle w:val="listlettered"/>
        <w:numPr>
          <w:ilvl w:val="0"/>
          <w:numId w:val="12"/>
        </w:numPr>
      </w:pPr>
      <w:r>
        <w:t xml:space="preserve">Examine the viability or longer-term sustainability of </w:t>
      </w:r>
      <w:r w:rsidR="00E60CC0">
        <w:t>project</w:t>
      </w:r>
      <w:r>
        <w:t xml:space="preserve"> outcomes due to potential climate change </w:t>
      </w:r>
      <w:r w:rsidR="000D57AC">
        <w:t xml:space="preserve">impacts </w:t>
      </w:r>
      <w:r>
        <w:t>and disaster</w:t>
      </w:r>
      <w:r w:rsidR="000D57AC">
        <w:t xml:space="preserve"> risks</w:t>
      </w:r>
      <w:r>
        <w:t>. This will involve the identification of components that are sensitive or vulnerable to emerging or anticipated manifestations of climate change.</w:t>
      </w:r>
    </w:p>
    <w:p w14:paraId="70A42930" w14:textId="76B08A82" w:rsidR="001D43C0" w:rsidRDefault="001D43C0" w:rsidP="000828D8">
      <w:pPr>
        <w:pStyle w:val="listlettered"/>
        <w:numPr>
          <w:ilvl w:val="0"/>
          <w:numId w:val="12"/>
        </w:numPr>
      </w:pPr>
      <w:r>
        <w:t xml:space="preserve">Assess whether activities may increase exposure or exacerbate vulnerability of communities to climate change impacts or disasters (e.g. maladaptation) and avoid activities that may exacerbate such risks. </w:t>
      </w:r>
      <w:r w:rsidR="005A40D8">
        <w:t>P</w:t>
      </w:r>
      <w:r w:rsidR="00E60CC0">
        <w:t>roject</w:t>
      </w:r>
      <w:r>
        <w:t xml:space="preserve"> components must be assessed for potential unintended or unforeseen increases in vulnerability to impacts of climate change and potential hazards.</w:t>
      </w:r>
    </w:p>
    <w:p w14:paraId="64CCFD2A" w14:textId="43686531" w:rsidR="00A62B14" w:rsidRDefault="001D43C0" w:rsidP="000828D8">
      <w:pPr>
        <w:pStyle w:val="listlettered"/>
        <w:numPr>
          <w:ilvl w:val="0"/>
          <w:numId w:val="12"/>
        </w:numPr>
      </w:pPr>
      <w:r>
        <w:t>Identify p</w:t>
      </w:r>
      <w:r w:rsidR="00515595">
        <w:t xml:space="preserve">otential </w:t>
      </w:r>
      <w:r w:rsidR="00E60CC0">
        <w:t>project</w:t>
      </w:r>
      <w:r w:rsidR="00E437F0">
        <w:t xml:space="preserve">-related </w:t>
      </w:r>
      <w:r w:rsidR="00515595">
        <w:t>increases in emissions</w:t>
      </w:r>
      <w:r w:rsidR="00C607A2">
        <w:t xml:space="preserve"> </w:t>
      </w:r>
      <w:r w:rsidR="004B1440">
        <w:t>that may exacerbate climat</w:t>
      </w:r>
      <w:r w:rsidR="00DC1ED6">
        <w:t>e change, such as GHG emissions and</w:t>
      </w:r>
      <w:r w:rsidR="004B1440">
        <w:t xml:space="preserve"> black carbon emissions</w:t>
      </w:r>
      <w:r w:rsidR="00DC1ED6">
        <w:t>.</w:t>
      </w:r>
      <w:r w:rsidR="005E0392">
        <w:rPr>
          <w:rStyle w:val="FootnoteReference"/>
        </w:rPr>
        <w:footnoteReference w:id="58"/>
      </w:r>
    </w:p>
    <w:p w14:paraId="27190F4C" w14:textId="77777777" w:rsidR="00E437F0" w:rsidRDefault="00EB2C2E" w:rsidP="000828D8">
      <w:pPr>
        <w:pStyle w:val="listlettered"/>
      </w:pPr>
      <w:r w:rsidRPr="00EB2C2E">
        <w:t xml:space="preserve">Ensure </w:t>
      </w:r>
      <w:r>
        <w:t xml:space="preserve">that </w:t>
      </w:r>
      <w:r w:rsidRPr="00EB2C2E">
        <w:t>appropriate climate and disaster risk management plans are in place, including but not limited to emergency and response plans and ensure appropriate monitoring and, where necessary, adoption of corrective measures</w:t>
      </w:r>
      <w:r>
        <w:t>.</w:t>
      </w:r>
    </w:p>
    <w:p w14:paraId="076CA4B0" w14:textId="77777777" w:rsidR="00855927" w:rsidRDefault="00EB2C2E" w:rsidP="000828D8">
      <w:pPr>
        <w:pStyle w:val="listlettered"/>
      </w:pPr>
      <w:r w:rsidRPr="00B704BB">
        <w:t xml:space="preserve">Integrate where relevant climate change adaptation </w:t>
      </w:r>
      <w:r w:rsidR="000D57AC">
        <w:t>and disaster risk reduction</w:t>
      </w:r>
      <w:r w:rsidR="000D57AC" w:rsidRPr="00B704BB">
        <w:t xml:space="preserve"> </w:t>
      </w:r>
      <w:r w:rsidRPr="00B704BB">
        <w:t>considerations in planning (</w:t>
      </w:r>
      <w:r w:rsidR="000D57AC">
        <w:t xml:space="preserve">risk informing and </w:t>
      </w:r>
      <w:r w:rsidRPr="00B704BB">
        <w:t xml:space="preserve">“climate proofing”) and </w:t>
      </w:r>
      <w:r>
        <w:t>seek to identify opportunities for strengthening resilience and reducing vulnerabilities, including where possible through ecosystem-based approaches.</w:t>
      </w:r>
      <w:r>
        <w:rPr>
          <w:rStyle w:val="FootnoteReference"/>
        </w:rPr>
        <w:footnoteReference w:id="59"/>
      </w:r>
      <w:r>
        <w:t xml:space="preserve"> Seek </w:t>
      </w:r>
      <w:r w:rsidRPr="00052D3A">
        <w:t>synergies with existing or planned activities</w:t>
      </w:r>
      <w:r>
        <w:t xml:space="preserve"> for generating climate change mitigation co-benefits </w:t>
      </w:r>
      <w:r w:rsidRPr="00052D3A">
        <w:t xml:space="preserve">(e.g. reduction in GHG emissions) </w:t>
      </w:r>
      <w:r>
        <w:t xml:space="preserve">where possible </w:t>
      </w:r>
      <w:r w:rsidR="00855927">
        <w:t>and exploiting potentially beneficial changes in climatic o</w:t>
      </w:r>
      <w:r w:rsidR="00D710AD">
        <w:t xml:space="preserve">r </w:t>
      </w:r>
      <w:r w:rsidR="00855927">
        <w:t>environmental conditions to deliver developmental benefits.</w:t>
      </w:r>
    </w:p>
    <w:p w14:paraId="6DF6B1C0" w14:textId="77777777" w:rsidR="00EB2C2E" w:rsidRDefault="00EB2C2E" w:rsidP="000828D8">
      <w:pPr>
        <w:pStyle w:val="listlettered"/>
      </w:pPr>
      <w:r w:rsidRPr="00011BA6">
        <w:t>Where relevant, i</w:t>
      </w:r>
      <w:r w:rsidRPr="00B704BB">
        <w:t>ntegrate disaster risk reduction measures into the restoration of physical infrastructure and societal systems to “build back better” after a disaster to increase the resiliency of communities</w:t>
      </w:r>
      <w:r>
        <w:t>.</w:t>
      </w:r>
    </w:p>
    <w:p w14:paraId="2C0E0D56" w14:textId="6EC7651A" w:rsidR="00EB2C2E" w:rsidRPr="00EB2C2E" w:rsidRDefault="00736351" w:rsidP="00D515A1">
      <w:pPr>
        <w:pStyle w:val="SEQSbodynumbered"/>
      </w:pPr>
      <w:r w:rsidRPr="00C5653E">
        <w:rPr>
          <w:b/>
        </w:rPr>
        <w:t xml:space="preserve">Greenhouse </w:t>
      </w:r>
      <w:r w:rsidR="00061E13">
        <w:rPr>
          <w:b/>
        </w:rPr>
        <w:t>g</w:t>
      </w:r>
      <w:r w:rsidRPr="00C5653E">
        <w:rPr>
          <w:b/>
        </w:rPr>
        <w:t>ases (GHGs)</w:t>
      </w:r>
      <w:r w:rsidR="004B2271">
        <w:rPr>
          <w:b/>
        </w:rPr>
        <w:t>:</w:t>
      </w:r>
      <w:r w:rsidRPr="00377B8F">
        <w:rPr>
          <w:b/>
        </w:rPr>
        <w:t xml:space="preserve"> </w:t>
      </w:r>
      <w:r w:rsidRPr="009F6C2E">
        <w:t xml:space="preserve">UNDP </w:t>
      </w:r>
      <w:r w:rsidR="00BB1A4A">
        <w:t>seek</w:t>
      </w:r>
      <w:r w:rsidR="008D7EF4">
        <w:t>s</w:t>
      </w:r>
      <w:r w:rsidR="00BB1A4A">
        <w:t xml:space="preserve"> to</w:t>
      </w:r>
      <w:r w:rsidR="001E10CD">
        <w:t xml:space="preserve"> minimize and avoid unwarranted increases in greenhouse gas emissions or other drivers of climate change from supported activities. UNDP </w:t>
      </w:r>
      <w:r w:rsidRPr="009F6C2E">
        <w:t>ensure</w:t>
      </w:r>
      <w:r w:rsidR="008D7EF4">
        <w:t>s</w:t>
      </w:r>
      <w:r w:rsidRPr="009F6C2E">
        <w:t xml:space="preserve"> that</w:t>
      </w:r>
      <w:r w:rsidR="008B355A">
        <w:t xml:space="preserve"> </w:t>
      </w:r>
      <w:r w:rsidR="008B355A">
        <w:lastRenderedPageBreak/>
        <w:t>alternatives are considered and</w:t>
      </w:r>
      <w:r w:rsidRPr="009F6C2E">
        <w:t xml:space="preserve"> </w:t>
      </w:r>
      <w:r w:rsidR="00F32814">
        <w:t xml:space="preserve">that </w:t>
      </w:r>
      <w:r w:rsidRPr="003466D8">
        <w:t>technically and financially feasible and cost-effective options</w:t>
      </w:r>
      <w:r w:rsidR="0037769D" w:rsidRPr="003466D8">
        <w:rPr>
          <w:rStyle w:val="FootnoteReference"/>
        </w:rPr>
        <w:footnoteReference w:id="60"/>
      </w:r>
      <w:r w:rsidRPr="00E743A0">
        <w:t xml:space="preserve"> </w:t>
      </w:r>
      <w:r w:rsidRPr="009F6C2E">
        <w:t xml:space="preserve">to reduce </w:t>
      </w:r>
      <w:r w:rsidR="00E60CC0">
        <w:t>project</w:t>
      </w:r>
      <w:r w:rsidRPr="009F6C2E">
        <w:t xml:space="preserve">-related GHG emissions </w:t>
      </w:r>
      <w:r w:rsidR="00853B82">
        <w:t xml:space="preserve">and intensity </w:t>
      </w:r>
      <w:r w:rsidRPr="009F6C2E">
        <w:t xml:space="preserve">are </w:t>
      </w:r>
      <w:r w:rsidR="00701659">
        <w:t>adopted</w:t>
      </w:r>
      <w:r w:rsidRPr="009F6C2E">
        <w:t xml:space="preserve">, in a manner appropriate to the nature and scale of the </w:t>
      </w:r>
      <w:r w:rsidR="00E60CC0">
        <w:t>project</w:t>
      </w:r>
      <w:r w:rsidR="005C2F86">
        <w:t>’s</w:t>
      </w:r>
      <w:r w:rsidRPr="009F6C2E">
        <w:t xml:space="preserve"> operations and impacts. </w:t>
      </w:r>
      <w:r w:rsidR="008B355A">
        <w:t>Alternative options may include, but are not limited to</w:t>
      </w:r>
      <w:r w:rsidR="00D871A3">
        <w:t xml:space="preserve">, alternative </w:t>
      </w:r>
      <w:r w:rsidR="00E60CC0">
        <w:t>project</w:t>
      </w:r>
      <w:r w:rsidR="00D871A3">
        <w:t xml:space="preserve"> locations</w:t>
      </w:r>
      <w:r w:rsidR="00E45271">
        <w:t>,</w:t>
      </w:r>
      <w:r w:rsidR="008B355A">
        <w:t xml:space="preserve"> adoption of renewab</w:t>
      </w:r>
      <w:r w:rsidR="00D871A3">
        <w:t>le or low</w:t>
      </w:r>
      <w:r w:rsidR="00C266A7">
        <w:t>-</w:t>
      </w:r>
      <w:r w:rsidR="00D871A3">
        <w:t>carbon energy sources</w:t>
      </w:r>
      <w:r w:rsidR="00E45271">
        <w:t>,</w:t>
      </w:r>
      <w:r w:rsidR="008B355A">
        <w:t xml:space="preserve"> </w:t>
      </w:r>
      <w:r w:rsidR="000E39DB">
        <w:t>energy efficiency</w:t>
      </w:r>
      <w:r w:rsidR="00475DA7">
        <w:t xml:space="preserve"> (see Standard 8)</w:t>
      </w:r>
      <w:r w:rsidR="000E39DB">
        <w:t xml:space="preserve">, </w:t>
      </w:r>
      <w:r w:rsidR="00EB2C2E">
        <w:t xml:space="preserve">use of low-global-warming-potential coolants for air-conditioning and refrigeration, </w:t>
      </w:r>
      <w:r w:rsidR="00E45271">
        <w:t xml:space="preserve">and </w:t>
      </w:r>
      <w:r w:rsidR="000E39DB">
        <w:t xml:space="preserve">climate-smart </w:t>
      </w:r>
      <w:r w:rsidR="008B355A">
        <w:t>a</w:t>
      </w:r>
      <w:r w:rsidR="00CF3C1A">
        <w:t>gricultural, forestry, and live</w:t>
      </w:r>
      <w:r w:rsidR="008B355A">
        <w:t xml:space="preserve">stock management </w:t>
      </w:r>
      <w:r w:rsidR="00CF3C1A">
        <w:t>practices</w:t>
      </w:r>
      <w:r w:rsidR="00EB2C2E">
        <w:t xml:space="preserve">, and </w:t>
      </w:r>
      <w:r w:rsidR="00EB2C2E" w:rsidRPr="00EB2C2E">
        <w:t>ecosystem-based adaptation and mitigation measures</w:t>
      </w:r>
      <w:r w:rsidR="00365982">
        <w:t xml:space="preserve"> (including potential integration of carbon sinks)</w:t>
      </w:r>
      <w:r w:rsidR="00EB2C2E" w:rsidRPr="00EB2C2E">
        <w:t>.</w:t>
      </w:r>
    </w:p>
    <w:p w14:paraId="32225603" w14:textId="0055E87D" w:rsidR="000E39DB" w:rsidRDefault="00736351" w:rsidP="00D515A1">
      <w:pPr>
        <w:pStyle w:val="SEQSbodynumbered"/>
      </w:pPr>
      <w:r w:rsidRPr="009F6C2E">
        <w:t xml:space="preserve">For </w:t>
      </w:r>
      <w:r w:rsidR="00E60CC0">
        <w:t>project</w:t>
      </w:r>
      <w:r w:rsidRPr="009F6C2E">
        <w:t>s that are</w:t>
      </w:r>
      <w:r w:rsidR="00105139">
        <w:t xml:space="preserve"> </w:t>
      </w:r>
      <w:r w:rsidRPr="009F6C2E">
        <w:t xml:space="preserve">expected to produce </w:t>
      </w:r>
      <w:r w:rsidRPr="00A37A8B">
        <w:t>significant quantities of greenhouse gases</w:t>
      </w:r>
      <w:r w:rsidRPr="009F6C2E">
        <w:t xml:space="preserve">, UNDP </w:t>
      </w:r>
      <w:r w:rsidR="00EB2C2E" w:rsidRPr="005F7613">
        <w:t>characterize</w:t>
      </w:r>
      <w:r w:rsidR="000F22F7">
        <w:t>s</w:t>
      </w:r>
      <w:r w:rsidR="00EB2C2E" w:rsidRPr="005F7613">
        <w:t xml:space="preserve"> and estimate</w:t>
      </w:r>
      <w:r w:rsidR="000F22F7">
        <w:t>s</w:t>
      </w:r>
      <w:r w:rsidR="00EB2C2E" w:rsidRPr="005F7613">
        <w:t xml:space="preserve"> the potential sources of GHG emissions related to </w:t>
      </w:r>
      <w:r w:rsidR="00E60CC0">
        <w:t>project</w:t>
      </w:r>
      <w:r w:rsidR="00EB2C2E" w:rsidRPr="005F7613">
        <w:t xml:space="preserve"> activities to form a baseline </w:t>
      </w:r>
      <w:r w:rsidR="00C65319">
        <w:t>for developing measures</w:t>
      </w:r>
      <w:r w:rsidR="00EB2C2E" w:rsidRPr="005F7613">
        <w:t xml:space="preserve"> </w:t>
      </w:r>
      <w:r w:rsidR="00C65319">
        <w:t xml:space="preserve">to </w:t>
      </w:r>
      <w:r w:rsidR="00EB2C2E" w:rsidRPr="005F7613">
        <w:t>reduc</w:t>
      </w:r>
      <w:r w:rsidR="00C65319">
        <w:t xml:space="preserve">e </w:t>
      </w:r>
      <w:r w:rsidR="00EB2C2E" w:rsidRPr="005F7613">
        <w:t xml:space="preserve">such emissions, </w:t>
      </w:r>
      <w:r w:rsidR="00EB2C2E" w:rsidRPr="005F7613">
        <w:rPr>
          <w:lang w:val="en-GB"/>
        </w:rPr>
        <w:t>providing such estimation is technically and financially feasible</w:t>
      </w:r>
      <w:r w:rsidR="00EB2C2E" w:rsidRPr="005F7613">
        <w:t>.</w:t>
      </w:r>
      <w:r w:rsidR="00EB2C2E">
        <w:t xml:space="preserve"> UNDP </w:t>
      </w:r>
      <w:r w:rsidR="00701659">
        <w:t>ensure</w:t>
      </w:r>
      <w:r w:rsidR="000F22F7">
        <w:t>s</w:t>
      </w:r>
      <w:r w:rsidR="00701659">
        <w:t xml:space="preserve"> that</w:t>
      </w:r>
      <w:r w:rsidR="00EA66F1">
        <w:t xml:space="preserve"> relevant projects’</w:t>
      </w:r>
      <w:r w:rsidR="00701659">
        <w:t xml:space="preserve"> </w:t>
      </w:r>
      <w:r w:rsidRPr="009F6C2E">
        <w:t xml:space="preserve">emissions </w:t>
      </w:r>
      <w:r w:rsidR="00E72A99">
        <w:t>are tracked and reported in accordance with provisions of the UNFCCC</w:t>
      </w:r>
      <w:r w:rsidR="00C65319">
        <w:t xml:space="preserve"> and GHG minimization measures are implemented</w:t>
      </w:r>
      <w:r w:rsidR="00E72A99">
        <w:t>.</w:t>
      </w:r>
      <w:r w:rsidR="00E72A99" w:rsidRPr="00E72A99">
        <w:rPr>
          <w:rStyle w:val="FootnoteReference"/>
        </w:rPr>
        <w:t xml:space="preserve"> </w:t>
      </w:r>
      <w:r w:rsidR="00E72A99" w:rsidRPr="009F6C2E">
        <w:rPr>
          <w:rStyle w:val="FootnoteReference"/>
        </w:rPr>
        <w:footnoteReference w:id="61"/>
      </w:r>
      <w:r w:rsidR="009321B7">
        <w:t xml:space="preserve"> </w:t>
      </w:r>
    </w:p>
    <w:p w14:paraId="6A4A8CA6" w14:textId="77777777" w:rsidR="00736351" w:rsidRDefault="00736351" w:rsidP="00AC7F5D">
      <w:pPr>
        <w:pStyle w:val="SEQSbodynumbered"/>
        <w:numPr>
          <w:ilvl w:val="0"/>
          <w:numId w:val="0"/>
        </w:numPr>
      </w:pPr>
    </w:p>
    <w:p w14:paraId="4902BB28" w14:textId="77777777" w:rsidR="00F23D83" w:rsidRDefault="00F23D83" w:rsidP="00BA3A5F">
      <w:pPr>
        <w:spacing w:after="120" w:line="264" w:lineRule="auto"/>
        <w:rPr>
          <w:szCs w:val="20"/>
        </w:rPr>
        <w:sectPr w:rsidR="00F23D83" w:rsidSect="00722C83">
          <w:pgSz w:w="12240" w:h="15840"/>
          <w:pgMar w:top="1440" w:right="1800" w:bottom="1440" w:left="1800" w:header="720" w:footer="720" w:gutter="0"/>
          <w:cols w:space="720"/>
        </w:sectPr>
      </w:pPr>
    </w:p>
    <w:p w14:paraId="08D2DB3B" w14:textId="77777777" w:rsidR="00CA3191" w:rsidRDefault="00EA2068" w:rsidP="00BA3A5F">
      <w:pPr>
        <w:pStyle w:val="Heading2"/>
      </w:pPr>
      <w:bookmarkStart w:id="12" w:name="_Toc14683701"/>
      <w:r>
        <w:lastRenderedPageBreak/>
        <w:t>Standard 3:</w:t>
      </w:r>
      <w:r w:rsidR="00600150">
        <w:t xml:space="preserve"> </w:t>
      </w:r>
      <w:r>
        <w:t>Community Health</w:t>
      </w:r>
      <w:r w:rsidR="009E2D31">
        <w:t xml:space="preserve">, </w:t>
      </w:r>
      <w:r>
        <w:t>Safety</w:t>
      </w:r>
      <w:r w:rsidR="00ED0E68">
        <w:t xml:space="preserve"> </w:t>
      </w:r>
      <w:r w:rsidR="00ED0E68" w:rsidRPr="009E2D31">
        <w:t xml:space="preserve">and </w:t>
      </w:r>
      <w:r w:rsidR="00476BA2" w:rsidRPr="003224EC">
        <w:t>Security</w:t>
      </w:r>
      <w:bookmarkEnd w:id="12"/>
    </w:p>
    <w:p w14:paraId="1C3116EA" w14:textId="77777777" w:rsidR="000A78E0" w:rsidRPr="00F00DDC" w:rsidRDefault="000A78E0" w:rsidP="007C329C">
      <w:pPr>
        <w:pStyle w:val="Heading4"/>
      </w:pPr>
      <w:r w:rsidRPr="00F00DDC">
        <w:t>Introduction</w:t>
      </w:r>
    </w:p>
    <w:p w14:paraId="2248D67E" w14:textId="77777777" w:rsidR="002A2B71" w:rsidRPr="00D515A1" w:rsidRDefault="000A78E0" w:rsidP="00D515A1">
      <w:pPr>
        <w:pStyle w:val="SEQSbodynumbered"/>
        <w:numPr>
          <w:ilvl w:val="0"/>
          <w:numId w:val="7"/>
        </w:numPr>
        <w:rPr>
          <w:u w:val="single"/>
        </w:rPr>
      </w:pPr>
      <w:r w:rsidRPr="00763249">
        <w:t xml:space="preserve">The Community Health and Safety Standard recognizes that </w:t>
      </w:r>
      <w:r w:rsidR="00BF5F8B">
        <w:t>p</w:t>
      </w:r>
      <w:r w:rsidRPr="00763249">
        <w:t>roject activities, equipment, and infrastructure can increase community exposure to risks and impacts.</w:t>
      </w:r>
      <w:r w:rsidR="00C266A7" w:rsidRPr="00A37A8B">
        <w:t xml:space="preserve"> </w:t>
      </w:r>
      <w:r w:rsidR="005D5E3E" w:rsidRPr="005D5E3E">
        <w:t xml:space="preserve">Potential negative impacts affecting health and safety may arise from a broad range of supported activities, including from infrastructure development and construction activities, changes in the nature and volume of traffic and transportation, water and sanitation issues, use and management of hazardous materials and chemicals, impacts on natural resources and ecosystems, the influx of project </w:t>
      </w:r>
      <w:proofErr w:type="spellStart"/>
      <w:r w:rsidR="005D5E3E" w:rsidRPr="005D5E3E">
        <w:t>labour</w:t>
      </w:r>
      <w:proofErr w:type="spellEnd"/>
      <w:r w:rsidR="005D5E3E" w:rsidRPr="005D5E3E">
        <w:t>, and potential abuses by security personnel.</w:t>
      </w:r>
      <w:r w:rsidR="005D5E3E">
        <w:t xml:space="preserve"> </w:t>
      </w:r>
      <w:r w:rsidR="006C56B9">
        <w:t>T</w:t>
      </w:r>
      <w:r w:rsidRPr="00763249">
        <w:t>his Standard addresses the need to avoid or minimize the risks and impacts to community health</w:t>
      </w:r>
      <w:r w:rsidR="005D5E3E">
        <w:t xml:space="preserve">, </w:t>
      </w:r>
      <w:r w:rsidRPr="00763249">
        <w:t>safety</w:t>
      </w:r>
      <w:r w:rsidR="005F5BEE">
        <w:t xml:space="preserve"> </w:t>
      </w:r>
      <w:r w:rsidR="005D5E3E">
        <w:t xml:space="preserve">and security </w:t>
      </w:r>
      <w:r w:rsidRPr="00763249">
        <w:t xml:space="preserve">that may arise from </w:t>
      </w:r>
      <w:r w:rsidR="00BF5F8B">
        <w:t>p</w:t>
      </w:r>
      <w:r w:rsidRPr="00763249">
        <w:t>roject</w:t>
      </w:r>
      <w:r w:rsidR="002E4F17">
        <w:t>-</w:t>
      </w:r>
      <w:r w:rsidRPr="00763249">
        <w:t>related</w:t>
      </w:r>
      <w:r w:rsidR="002E4F17">
        <w:t xml:space="preserve"> </w:t>
      </w:r>
      <w:r w:rsidRPr="00763249">
        <w:t xml:space="preserve">activities, with particular attention </w:t>
      </w:r>
      <w:r w:rsidR="00710374">
        <w:t xml:space="preserve">given </w:t>
      </w:r>
      <w:r w:rsidRPr="00763249">
        <w:t xml:space="preserve">to </w:t>
      </w:r>
      <w:r w:rsidR="005D5E3E">
        <w:t xml:space="preserve">disadvantaged and </w:t>
      </w:r>
      <w:r w:rsidR="0026791B">
        <w:t>marginalized</w:t>
      </w:r>
      <w:r w:rsidR="0026791B" w:rsidRPr="00763249">
        <w:t xml:space="preserve"> </w:t>
      </w:r>
      <w:r w:rsidRPr="00763249">
        <w:t>groups.</w:t>
      </w:r>
      <w:r w:rsidR="005D5E3E">
        <w:t xml:space="preserve"> Measures to ensure occupational health and safety issues are addressed in </w:t>
      </w:r>
      <w:r w:rsidR="00FE78F6">
        <w:t>Standard 7:</w:t>
      </w:r>
      <w:r w:rsidR="005D5E3E">
        <w:t xml:space="preserve"> </w:t>
      </w:r>
      <w:proofErr w:type="spellStart"/>
      <w:r w:rsidR="005D5E3E">
        <w:t>Labour</w:t>
      </w:r>
      <w:proofErr w:type="spellEnd"/>
      <w:r w:rsidR="005D5E3E">
        <w:t xml:space="preserve"> and Working Conditions.</w:t>
      </w:r>
    </w:p>
    <w:p w14:paraId="5F595E30" w14:textId="77777777" w:rsidR="000A78E0" w:rsidRPr="00F00DDC" w:rsidRDefault="000A78E0" w:rsidP="007C329C">
      <w:pPr>
        <w:pStyle w:val="Heading4"/>
      </w:pPr>
      <w:r w:rsidRPr="00F00DDC">
        <w:t>Objectives</w:t>
      </w:r>
    </w:p>
    <w:p w14:paraId="027F3D0B" w14:textId="6821AEB4" w:rsidR="005D5E3E" w:rsidRDefault="000A78E0" w:rsidP="000828D8">
      <w:pPr>
        <w:pStyle w:val="listbullets1"/>
      </w:pPr>
      <w:r w:rsidRPr="00632BA4">
        <w:t>To anticipate and avoid adverse impacts o</w:t>
      </w:r>
      <w:r w:rsidR="00652CC9">
        <w:t>n the health and safety of affected communities</w:t>
      </w:r>
      <w:r w:rsidRPr="00632BA4">
        <w:t xml:space="preserve"> during the </w:t>
      </w:r>
      <w:r w:rsidR="00E60CC0">
        <w:t>project</w:t>
      </w:r>
      <w:r w:rsidRPr="00632BA4">
        <w:t xml:space="preserve"> life</w:t>
      </w:r>
      <w:r w:rsidR="00710374">
        <w:t xml:space="preserve"> </w:t>
      </w:r>
      <w:r w:rsidR="00652CC9">
        <w:t>cycle</w:t>
      </w:r>
      <w:r w:rsidRPr="00632BA4">
        <w:t xml:space="preserve"> from both routin</w:t>
      </w:r>
      <w:r w:rsidR="00652CC9">
        <w:t>e and non-routine circumstances</w:t>
      </w:r>
    </w:p>
    <w:p w14:paraId="66558E29" w14:textId="6F3829E5" w:rsidR="005D5E3E" w:rsidRPr="005D5E3E" w:rsidRDefault="005D5E3E" w:rsidP="000828D8">
      <w:pPr>
        <w:pStyle w:val="listbullets1"/>
      </w:pPr>
      <w:r>
        <w:t>To e</w:t>
      </w:r>
      <w:r w:rsidRPr="005D5E3E">
        <w:t xml:space="preserve">nsure quality and safety in the design and construction of </w:t>
      </w:r>
      <w:r w:rsidR="00E60CC0">
        <w:t>project</w:t>
      </w:r>
      <w:r w:rsidRPr="005D5E3E">
        <w:t>-related infrastructure, preventing and minimizing potential safety risks and accidents</w:t>
      </w:r>
    </w:p>
    <w:p w14:paraId="7B3B9974" w14:textId="58AC35B8" w:rsidR="005D5E3E" w:rsidRPr="005D5E3E" w:rsidRDefault="005D5E3E" w:rsidP="000828D8">
      <w:pPr>
        <w:pStyle w:val="listbullets1"/>
      </w:pPr>
      <w:r>
        <w:t>To a</w:t>
      </w:r>
      <w:r w:rsidRPr="005D5E3E">
        <w:t xml:space="preserve">void or minimize community exposure to disaster risks, diseases and hazardous materials associated with </w:t>
      </w:r>
      <w:r w:rsidR="00E60CC0">
        <w:t>project</w:t>
      </w:r>
      <w:r w:rsidRPr="005D5E3E">
        <w:t xml:space="preserve"> activities</w:t>
      </w:r>
    </w:p>
    <w:p w14:paraId="387AF0D3" w14:textId="77777777" w:rsidR="005D5E3E" w:rsidRPr="005D5E3E" w:rsidRDefault="005D5E3E" w:rsidP="000828D8">
      <w:pPr>
        <w:pStyle w:val="listbullets1"/>
      </w:pPr>
      <w:r>
        <w:t>To e</w:t>
      </w:r>
      <w:r w:rsidRPr="005D5E3E">
        <w:t>nsure</w:t>
      </w:r>
      <w:r w:rsidR="0069212D">
        <w:t xml:space="preserve"> that</w:t>
      </w:r>
      <w:r w:rsidRPr="005D5E3E">
        <w:t xml:space="preserve"> the safeguarding of personnel and property minimizes risks to communities and is carried out in accordance with international human rights standards and principles</w:t>
      </w:r>
    </w:p>
    <w:p w14:paraId="5F75A7E4" w14:textId="77777777" w:rsidR="000A78E0" w:rsidRPr="00632BA4" w:rsidRDefault="005D5E3E" w:rsidP="000828D8">
      <w:pPr>
        <w:pStyle w:val="listbullets1"/>
      </w:pPr>
      <w:r>
        <w:t>To h</w:t>
      </w:r>
      <w:r w:rsidRPr="005D5E3E">
        <w:t>ave in place effective measures to address emergency events, whether human-made or natural hazards.</w:t>
      </w:r>
      <w:r w:rsidR="000A78E0" w:rsidRPr="00632BA4">
        <w:t xml:space="preserve"> </w:t>
      </w:r>
    </w:p>
    <w:p w14:paraId="3FB6BC7B" w14:textId="77777777" w:rsidR="000A78E0" w:rsidRPr="00F00DDC" w:rsidRDefault="000A78E0" w:rsidP="007C329C">
      <w:pPr>
        <w:pStyle w:val="Heading4"/>
      </w:pPr>
      <w:r w:rsidRPr="00F00DDC">
        <w:t>Scope of Application</w:t>
      </w:r>
    </w:p>
    <w:p w14:paraId="60698EAD" w14:textId="471AD9E6" w:rsidR="000A78E0" w:rsidRPr="00BC44D3" w:rsidRDefault="000A78E0" w:rsidP="00D515A1">
      <w:pPr>
        <w:pStyle w:val="SEQSbodynumbered"/>
      </w:pPr>
      <w:r w:rsidRPr="00121AE5">
        <w:t xml:space="preserve">The applicability of this Standard is established during the </w:t>
      </w:r>
      <w:r w:rsidR="00D7769D">
        <w:t xml:space="preserve">social and environmental </w:t>
      </w:r>
      <w:r>
        <w:t xml:space="preserve">screening and </w:t>
      </w:r>
      <w:r w:rsidR="00EB6080">
        <w:t>categorization</w:t>
      </w:r>
      <w:r w:rsidR="00EB6080" w:rsidRPr="00F00DDC">
        <w:t xml:space="preserve"> </w:t>
      </w:r>
      <w:r w:rsidRPr="00121AE5">
        <w:t>process</w:t>
      </w:r>
      <w:r w:rsidR="007A6065">
        <w:t xml:space="preserve">. </w:t>
      </w:r>
      <w:r w:rsidR="00676BAC">
        <w:t xml:space="preserve">Requirements of this Standard apply to </w:t>
      </w:r>
      <w:r w:rsidR="00E60CC0">
        <w:t>project</w:t>
      </w:r>
      <w:r w:rsidR="00676BAC">
        <w:t>s that may pose significant risks to human health and safety</w:t>
      </w:r>
      <w:r w:rsidR="00093FDE">
        <w:t>.</w:t>
      </w:r>
      <w:r w:rsidR="00710374">
        <w:t xml:space="preserve"> </w:t>
      </w:r>
      <w:r w:rsidR="005D5E3E">
        <w:t>Further requirements</w:t>
      </w:r>
      <w:r w:rsidRPr="00BC44D3">
        <w:t xml:space="preserve"> to avoid or minimize impacts on human health and the environment due to pollution are included in </w:t>
      </w:r>
      <w:r w:rsidR="00C237E3">
        <w:t xml:space="preserve">Standard </w:t>
      </w:r>
      <w:r w:rsidR="00475DA7">
        <w:t>8</w:t>
      </w:r>
      <w:r w:rsidR="00C237E3">
        <w:t xml:space="preserve">: </w:t>
      </w:r>
      <w:r w:rsidRPr="00BC44D3">
        <w:t xml:space="preserve">Pollution Prevention </w:t>
      </w:r>
      <w:r>
        <w:t>and Resource Efficiency</w:t>
      </w:r>
      <w:r w:rsidRPr="00BC44D3">
        <w:t>.</w:t>
      </w:r>
    </w:p>
    <w:p w14:paraId="4C937470" w14:textId="77777777" w:rsidR="000A78E0" w:rsidRDefault="000A78E0" w:rsidP="007C329C">
      <w:pPr>
        <w:pStyle w:val="Heading4"/>
      </w:pPr>
      <w:r w:rsidRPr="00F00DDC">
        <w:t>Requirements</w:t>
      </w:r>
    </w:p>
    <w:p w14:paraId="4FE6D49D" w14:textId="5F36779C" w:rsidR="00F226B9" w:rsidRPr="00A740A0" w:rsidRDefault="000A78E0" w:rsidP="00D515A1">
      <w:pPr>
        <w:pStyle w:val="SEQSbodynumbered"/>
      </w:pPr>
      <w:r w:rsidRPr="00121AE5">
        <w:rPr>
          <w:b/>
        </w:rPr>
        <w:t xml:space="preserve">Community </w:t>
      </w:r>
      <w:r w:rsidR="00061E13">
        <w:rPr>
          <w:b/>
        </w:rPr>
        <w:t>h</w:t>
      </w:r>
      <w:r w:rsidRPr="00121AE5">
        <w:rPr>
          <w:b/>
        </w:rPr>
        <w:t xml:space="preserve">ealth and </w:t>
      </w:r>
      <w:r w:rsidR="00061E13">
        <w:rPr>
          <w:b/>
        </w:rPr>
        <w:t>s</w:t>
      </w:r>
      <w:r w:rsidRPr="00121AE5">
        <w:rPr>
          <w:b/>
        </w:rPr>
        <w:t>afety:</w:t>
      </w:r>
      <w:r w:rsidRPr="00121AE5">
        <w:t xml:space="preserve"> </w:t>
      </w:r>
      <w:r w:rsidR="00F226B9" w:rsidRPr="00A740A0">
        <w:rPr>
          <w:lang w:eastAsia="en-US"/>
        </w:rPr>
        <w:t>Community health and safety refers to protecting local communities from hazards</w:t>
      </w:r>
      <w:r w:rsidR="00B337B2">
        <w:rPr>
          <w:lang w:eastAsia="en-US"/>
        </w:rPr>
        <w:t xml:space="preserve"> caused and/or exacerbated by </w:t>
      </w:r>
      <w:r w:rsidR="00E60CC0">
        <w:rPr>
          <w:lang w:eastAsia="en-US"/>
        </w:rPr>
        <w:t>project</w:t>
      </w:r>
      <w:r w:rsidR="002076F9">
        <w:rPr>
          <w:lang w:eastAsia="en-US"/>
        </w:rPr>
        <w:t xml:space="preserve"> activities</w:t>
      </w:r>
      <w:r w:rsidR="00F226B9" w:rsidRPr="00A740A0">
        <w:rPr>
          <w:lang w:eastAsia="en-US"/>
        </w:rPr>
        <w:t xml:space="preserve"> (including flooding, landslides</w:t>
      </w:r>
      <w:r w:rsidR="006753AA">
        <w:rPr>
          <w:lang w:eastAsia="en-US"/>
        </w:rPr>
        <w:t>, contamination</w:t>
      </w:r>
      <w:r w:rsidR="00F226B9" w:rsidRPr="00A740A0">
        <w:rPr>
          <w:lang w:eastAsia="en-US"/>
        </w:rPr>
        <w:t xml:space="preserve"> or other natural</w:t>
      </w:r>
      <w:r w:rsidR="006753AA">
        <w:rPr>
          <w:lang w:eastAsia="en-US"/>
        </w:rPr>
        <w:t xml:space="preserve"> or </w:t>
      </w:r>
      <w:r w:rsidR="00F80BB5">
        <w:rPr>
          <w:lang w:eastAsia="en-US"/>
        </w:rPr>
        <w:t>human</w:t>
      </w:r>
      <w:r w:rsidR="006753AA">
        <w:rPr>
          <w:lang w:eastAsia="en-US"/>
        </w:rPr>
        <w:t>-made</w:t>
      </w:r>
      <w:r w:rsidR="00F226B9" w:rsidRPr="00A740A0">
        <w:rPr>
          <w:lang w:eastAsia="en-US"/>
        </w:rPr>
        <w:t xml:space="preserve"> hazards), disease, and the accidental collapse or failure of </w:t>
      </w:r>
      <w:r w:rsidR="00E60CC0">
        <w:rPr>
          <w:lang w:eastAsia="en-US"/>
        </w:rPr>
        <w:t>project</w:t>
      </w:r>
      <w:r w:rsidR="00F226B9" w:rsidRPr="00A740A0">
        <w:rPr>
          <w:lang w:eastAsia="en-US"/>
        </w:rPr>
        <w:t xml:space="preserve"> structural elements such as dams. </w:t>
      </w:r>
      <w:r w:rsidR="005A40D8">
        <w:rPr>
          <w:lang w:eastAsia="en-US"/>
        </w:rPr>
        <w:t>P</w:t>
      </w:r>
      <w:r w:rsidR="00E60CC0">
        <w:rPr>
          <w:lang w:eastAsia="en-US"/>
        </w:rPr>
        <w:t>roject</w:t>
      </w:r>
      <w:r w:rsidR="00F80BB5">
        <w:rPr>
          <w:lang w:eastAsia="en-US"/>
        </w:rPr>
        <w:t>-</w:t>
      </w:r>
      <w:r w:rsidR="00F226B9" w:rsidRPr="00A740A0">
        <w:rPr>
          <w:lang w:eastAsia="en-US"/>
        </w:rPr>
        <w:t xml:space="preserve">related activities may directly, indirectly or cumulatively change community exposure to hazards. A significant concern with major development projects is the spread of communicable diseases from the workforce </w:t>
      </w:r>
      <w:r w:rsidR="00F226B9">
        <w:rPr>
          <w:lang w:eastAsia="en-US"/>
        </w:rPr>
        <w:t>to the surrounding communities.</w:t>
      </w:r>
    </w:p>
    <w:p w14:paraId="65776266" w14:textId="5E116406" w:rsidR="00AD3636" w:rsidRDefault="00C00F0E" w:rsidP="00D515A1">
      <w:pPr>
        <w:pStyle w:val="SEQSbodynumbered"/>
      </w:pPr>
      <w:r w:rsidRPr="00A42F72">
        <w:rPr>
          <w:b/>
        </w:rPr>
        <w:lastRenderedPageBreak/>
        <w:t>Assessments and management plans</w:t>
      </w:r>
      <w:r>
        <w:t xml:space="preserve">: </w:t>
      </w:r>
      <w:r w:rsidR="000A78E0" w:rsidRPr="00121AE5">
        <w:t>UNDP ensure</w:t>
      </w:r>
      <w:r w:rsidR="000F22F7">
        <w:t>s</w:t>
      </w:r>
      <w:r w:rsidR="000A78E0" w:rsidRPr="00121AE5">
        <w:t xml:space="preserve"> that </w:t>
      </w:r>
      <w:r w:rsidR="00E60CC0">
        <w:t>project</w:t>
      </w:r>
      <w:r w:rsidR="000A78E0" w:rsidRPr="00121AE5">
        <w:t xml:space="preserve">s </w:t>
      </w:r>
      <w:r>
        <w:t>assess</w:t>
      </w:r>
      <w:r w:rsidRPr="00121AE5">
        <w:t xml:space="preserve"> </w:t>
      </w:r>
      <w:r w:rsidR="000A78E0" w:rsidRPr="00121AE5">
        <w:t xml:space="preserve">the risks to, and potential impacts on, the safety of affected communities during the design, construction, operation, and decommissioning of </w:t>
      </w:r>
      <w:r w:rsidR="00E60CC0">
        <w:t>project</w:t>
      </w:r>
      <w:r w:rsidR="002076F9">
        <w:t>s</w:t>
      </w:r>
      <w:r w:rsidR="000A78E0" w:rsidRPr="00121AE5">
        <w:t xml:space="preserve"> and establish preventive measures and plans to address them in a manner commensurate with the identified risks and impacts. These measures</w:t>
      </w:r>
      <w:r w:rsidR="000A78E0">
        <w:rPr>
          <w:rStyle w:val="FootnoteReference"/>
        </w:rPr>
        <w:footnoteReference w:id="62"/>
      </w:r>
      <w:r w:rsidR="000A78E0" w:rsidRPr="00121AE5">
        <w:t xml:space="preserve"> will </w:t>
      </w:r>
      <w:proofErr w:type="spellStart"/>
      <w:r w:rsidR="000A78E0" w:rsidRPr="00121AE5">
        <w:t>favo</w:t>
      </w:r>
      <w:r w:rsidR="00C11A78">
        <w:t>u</w:t>
      </w:r>
      <w:r w:rsidR="000A78E0" w:rsidRPr="00121AE5">
        <w:t>r</w:t>
      </w:r>
      <w:proofErr w:type="spellEnd"/>
      <w:r w:rsidR="000A78E0" w:rsidRPr="00121AE5">
        <w:t xml:space="preserve"> the prevention or avoidance of risks and impacts over their minimization and reduction. </w:t>
      </w:r>
      <w:r w:rsidR="00AD3636">
        <w:t>A</w:t>
      </w:r>
      <w:r w:rsidR="00AD3636" w:rsidRPr="00AD3636">
        <w:t xml:space="preserve">ppropriate health and safety assessments </w:t>
      </w:r>
      <w:r w:rsidR="000F22F7">
        <w:t>are</w:t>
      </w:r>
      <w:r w:rsidR="00AD3636" w:rsidRPr="00AD3636">
        <w:t xml:space="preserve"> undertaken</w:t>
      </w:r>
      <w:r w:rsidR="00AD3636" w:rsidRPr="00AD3636">
        <w:rPr>
          <w:vertAlign w:val="superscript"/>
        </w:rPr>
        <w:footnoteReference w:id="63"/>
      </w:r>
      <w:r w:rsidR="00AD3636" w:rsidRPr="00AD3636">
        <w:t xml:space="preserve"> and management plans and systems </w:t>
      </w:r>
      <w:r w:rsidR="00AD3636">
        <w:t>adopted</w:t>
      </w:r>
      <w:r w:rsidR="00AD3636" w:rsidRPr="00AD3636">
        <w:t xml:space="preserve"> based on good international practice, tailored to the specific sector or activities in question, and designed and carried out with appropriate health and safety expertise.</w:t>
      </w:r>
      <w:r w:rsidR="00AD3636">
        <w:t xml:space="preserve"> T</w:t>
      </w:r>
      <w:r w:rsidR="00AD3636" w:rsidRPr="005E5177">
        <w:t xml:space="preserve">he </w:t>
      </w:r>
      <w:r w:rsidR="00E92ED2">
        <w:t xml:space="preserve">assessment and </w:t>
      </w:r>
      <w:r w:rsidR="00AD3636" w:rsidRPr="005E5177">
        <w:t>adopted management measures tak</w:t>
      </w:r>
      <w:r w:rsidR="00AD3636">
        <w:t>e</w:t>
      </w:r>
      <w:r w:rsidR="00AD3636" w:rsidRPr="005E5177">
        <w:t xml:space="preserve"> into account differences in risk exposure and sensitivity of </w:t>
      </w:r>
      <w:r w:rsidR="00AD3636">
        <w:t>women and men, as well as marginalized and disadvantaged groups,</w:t>
      </w:r>
      <w:r w:rsidR="00AD3636" w:rsidRPr="005E5177">
        <w:t xml:space="preserve"> including children, </w:t>
      </w:r>
      <w:r w:rsidR="00AD3636">
        <w:t>older persons</w:t>
      </w:r>
      <w:r w:rsidR="00AD3636" w:rsidRPr="005E5177">
        <w:t xml:space="preserve">, </w:t>
      </w:r>
      <w:r w:rsidR="006B463B">
        <w:t>persons</w:t>
      </w:r>
      <w:r w:rsidR="00AD3636" w:rsidRPr="005E5177">
        <w:t xml:space="preserve"> with disabilities, minorities and indigenous people.</w:t>
      </w:r>
    </w:p>
    <w:p w14:paraId="3006DB51" w14:textId="3C98744F" w:rsidR="000A78E0" w:rsidRDefault="000A78E0" w:rsidP="00AC7F5D">
      <w:pPr>
        <w:pStyle w:val="SEQSbodynumbered"/>
      </w:pPr>
      <w:r w:rsidRPr="00121AE5">
        <w:t xml:space="preserve">Consideration </w:t>
      </w:r>
      <w:r w:rsidR="000F22F7">
        <w:t>is</w:t>
      </w:r>
      <w:r w:rsidRPr="00121AE5">
        <w:t xml:space="preserve"> given to potential exposure to both accidental and natural hazards, especially where the structural elements of </w:t>
      </w:r>
      <w:r w:rsidR="00AD3636">
        <w:t>supported activities</w:t>
      </w:r>
      <w:r w:rsidRPr="00121AE5">
        <w:t xml:space="preserve"> are accessible to members of the affected community or where their failure could result in injury to the community. UNDP ensure</w:t>
      </w:r>
      <w:r w:rsidR="000F22F7">
        <w:t>s</w:t>
      </w:r>
      <w:r w:rsidRPr="00121AE5">
        <w:t xml:space="preserve"> that </w:t>
      </w:r>
      <w:r w:rsidR="00E60CC0">
        <w:t>project</w:t>
      </w:r>
      <w:r w:rsidRPr="00121AE5">
        <w:t xml:space="preserve">s avoid or minimize the exacerbation of impacts caused by natural </w:t>
      </w:r>
      <w:r w:rsidR="00DA7E58">
        <w:t xml:space="preserve">or </w:t>
      </w:r>
      <w:r w:rsidR="00093FDE">
        <w:t>hu</w:t>
      </w:r>
      <w:r w:rsidR="00DA7E58">
        <w:t xml:space="preserve">man-made </w:t>
      </w:r>
      <w:r w:rsidRPr="00121AE5">
        <w:t xml:space="preserve">hazards, such as landslides or floods that could result from land use changes due to </w:t>
      </w:r>
      <w:r w:rsidR="00E60CC0">
        <w:t>project</w:t>
      </w:r>
      <w:r w:rsidRPr="00121AE5">
        <w:t xml:space="preserve"> activities.</w:t>
      </w:r>
    </w:p>
    <w:p w14:paraId="12187A5C" w14:textId="36C0CBB5" w:rsidR="00E33D5F" w:rsidRPr="002E2C82" w:rsidRDefault="00E33D5F" w:rsidP="007834FA">
      <w:pPr>
        <w:pStyle w:val="SEQSbodynumbered"/>
      </w:pPr>
      <w:r w:rsidRPr="002E2C82">
        <w:rPr>
          <w:b/>
          <w:iCs/>
        </w:rPr>
        <w:t>Community exposure to health issues</w:t>
      </w:r>
      <w:r w:rsidRPr="002E2C82">
        <w:rPr>
          <w:b/>
        </w:rPr>
        <w:t>:</w:t>
      </w:r>
      <w:r w:rsidRPr="002E2C82">
        <w:t xml:space="preserve"> UNDP ensure</w:t>
      </w:r>
      <w:r w:rsidR="000F22F7" w:rsidRPr="002E2C82">
        <w:t>s</w:t>
      </w:r>
      <w:r w:rsidRPr="002E2C82">
        <w:t xml:space="preserve"> that </w:t>
      </w:r>
      <w:r w:rsidR="00E60CC0">
        <w:t>project</w:t>
      </w:r>
      <w:r w:rsidRPr="002E2C82">
        <w:t>s avoid or minimize the potential for community exposure to health risks (e.g. pollution, contaminated areas/resources) and diseases that could result from or be exacerbated by programming activities, including water-related</w:t>
      </w:r>
      <w:r w:rsidRPr="002E2C82">
        <w:rPr>
          <w:rStyle w:val="FootnoteReference"/>
        </w:rPr>
        <w:footnoteReference w:id="64"/>
      </w:r>
      <w:r w:rsidRPr="002E2C82">
        <w:t xml:space="preserve"> and vector-borne diseases, and communicable and noncommunicable diseases, </w:t>
      </w:r>
      <w:r w:rsidRPr="002E2C82">
        <w:rPr>
          <w:rFonts w:eastAsia="Times New Roman"/>
          <w:color w:val="000000"/>
        </w:rPr>
        <w:t>injuries, nutritional disorders, mental health and well-being</w:t>
      </w:r>
      <w:r w:rsidRPr="002E2C82">
        <w:t xml:space="preserve"> that could result from </w:t>
      </w:r>
      <w:r w:rsidR="00E60CC0">
        <w:t>project</w:t>
      </w:r>
      <w:r w:rsidRPr="002E2C82">
        <w:t xml:space="preserve"> activities, taking into consideration the differentiated exposure to and higher sensitivity of marginalized groups, including communities living in voluntary isolation. UNDP ensure</w:t>
      </w:r>
      <w:r w:rsidR="000F22F7" w:rsidRPr="002E2C82">
        <w:t>s</w:t>
      </w:r>
      <w:r w:rsidRPr="002E2C82">
        <w:t xml:space="preserve"> that </w:t>
      </w:r>
      <w:r w:rsidR="00E60CC0">
        <w:t>project</w:t>
      </w:r>
      <w:r w:rsidRPr="002E2C82">
        <w:t xml:space="preserve">s avoid or minimize transmission of communicable diseases that may be associated with the influx of temporary or permanent </w:t>
      </w:r>
      <w:r w:rsidR="00E60CC0">
        <w:t>project</w:t>
      </w:r>
      <w:r w:rsidRPr="002E2C82">
        <w:t xml:space="preserve"> </w:t>
      </w:r>
      <w:proofErr w:type="spellStart"/>
      <w:r w:rsidRPr="002E2C82">
        <w:t>labour</w:t>
      </w:r>
      <w:proofErr w:type="spellEnd"/>
      <w:r w:rsidRPr="002E2C82">
        <w:t xml:space="preserve">. Where endemic diseases exist in the </w:t>
      </w:r>
      <w:r w:rsidR="00E60CC0">
        <w:t>project</w:t>
      </w:r>
      <w:r w:rsidRPr="002E2C82">
        <w:t xml:space="preserve"> area (e.g. </w:t>
      </w:r>
      <w:r w:rsidRPr="002E2C82">
        <w:rPr>
          <w:rFonts w:eastAsia="Times New Roman"/>
          <w:color w:val="000000"/>
        </w:rPr>
        <w:t>malaria</w:t>
      </w:r>
      <w:r w:rsidRPr="002E2C82">
        <w:t>), UNDP explore</w:t>
      </w:r>
      <w:r w:rsidR="000F22F7" w:rsidRPr="002E2C82">
        <w:t>s</w:t>
      </w:r>
      <w:r w:rsidRPr="002E2C82">
        <w:t xml:space="preserve"> ways to improve environmental conditions that could minimize the incidence of such diseases.</w:t>
      </w:r>
      <w:r w:rsidR="00560469" w:rsidRPr="002E2C82">
        <w:t xml:space="preserve"> Where </w:t>
      </w:r>
      <w:r w:rsidR="00E60CC0">
        <w:t>project</w:t>
      </w:r>
      <w:r w:rsidR="00560469" w:rsidRPr="002E2C82">
        <w:t>s involve the provision of health services</w:t>
      </w:r>
      <w:r w:rsidR="00C95047">
        <w:t xml:space="preserve"> and/or use of antibiotics</w:t>
      </w:r>
      <w:r w:rsidR="00560469" w:rsidRPr="002E2C82">
        <w:t>, incorporate antimicrobial stewardship.</w:t>
      </w:r>
      <w:r w:rsidR="00560469" w:rsidRPr="002E2C82">
        <w:rPr>
          <w:rStyle w:val="FootnoteReference"/>
        </w:rPr>
        <w:footnoteReference w:id="65"/>
      </w:r>
    </w:p>
    <w:p w14:paraId="501ADD48" w14:textId="308FA8E0" w:rsidR="000A78E0" w:rsidRDefault="000A78E0">
      <w:pPr>
        <w:pStyle w:val="SEQSbodynumbered"/>
      </w:pPr>
      <w:r w:rsidRPr="00121AE5">
        <w:rPr>
          <w:b/>
        </w:rPr>
        <w:t xml:space="preserve">Infrastructure </w:t>
      </w:r>
      <w:r w:rsidR="005C396B">
        <w:rPr>
          <w:b/>
        </w:rPr>
        <w:t xml:space="preserve">design and </w:t>
      </w:r>
      <w:r w:rsidR="00A46772">
        <w:rPr>
          <w:b/>
        </w:rPr>
        <w:t>s</w:t>
      </w:r>
      <w:r w:rsidRPr="00121AE5">
        <w:rPr>
          <w:b/>
        </w:rPr>
        <w:t>afety:</w:t>
      </w:r>
      <w:r w:rsidRPr="00121AE5">
        <w:t xml:space="preserve"> Structural elements</w:t>
      </w:r>
      <w:r w:rsidR="007B56A5">
        <w:t xml:space="preserve"> </w:t>
      </w:r>
      <w:r w:rsidR="004E233D">
        <w:t xml:space="preserve">and services (e.g. transportation) </w:t>
      </w:r>
      <w:r w:rsidR="000F22F7">
        <w:t>are</w:t>
      </w:r>
      <w:r w:rsidRPr="00121AE5">
        <w:t xml:space="preserve"> designed</w:t>
      </w:r>
      <w:r w:rsidR="00A12D70">
        <w:t xml:space="preserve">, </w:t>
      </w:r>
      <w:r w:rsidRPr="00121AE5">
        <w:t>constructed</w:t>
      </w:r>
      <w:r w:rsidR="00A12D70">
        <w:t>, operated</w:t>
      </w:r>
      <w:r w:rsidR="007B56A5">
        <w:t xml:space="preserve"> and decommissioned </w:t>
      </w:r>
      <w:r w:rsidR="007B56A5" w:rsidRPr="00593DF3">
        <w:t>in accordance with national legal requirements, good international practice, and any</w:t>
      </w:r>
      <w:r w:rsidR="007B56A5">
        <w:t xml:space="preserve"> relevant</w:t>
      </w:r>
      <w:r w:rsidR="007B56A5" w:rsidRPr="00593DF3">
        <w:t xml:space="preserve"> </w:t>
      </w:r>
      <w:r w:rsidR="007B56A5">
        <w:t xml:space="preserve">international </w:t>
      </w:r>
      <w:r w:rsidR="007B56A5" w:rsidRPr="00593DF3">
        <w:t>obligations and standards</w:t>
      </w:r>
      <w:r w:rsidRPr="00121AE5">
        <w:t xml:space="preserve"> by competent professionals and certified or approved by competent authorities or professionals.</w:t>
      </w:r>
      <w:r w:rsidR="005C396B">
        <w:t xml:space="preserve"> </w:t>
      </w:r>
      <w:r w:rsidR="007B56A5" w:rsidRPr="00593DF3">
        <w:t xml:space="preserve">Structural elements of any infrastructure that </w:t>
      </w:r>
      <w:r w:rsidR="00475DA7">
        <w:t xml:space="preserve">may </w:t>
      </w:r>
      <w:r w:rsidR="007B56A5" w:rsidRPr="00593DF3">
        <w:t>pose significant health and</w:t>
      </w:r>
      <w:r w:rsidR="00C00F0E">
        <w:t>/or</w:t>
      </w:r>
      <w:r w:rsidR="007B56A5" w:rsidRPr="00593DF3">
        <w:t xml:space="preserve"> safety risks </w:t>
      </w:r>
      <w:r w:rsidR="007B56A5">
        <w:t>shall</w:t>
      </w:r>
      <w:r w:rsidR="00C00F0E">
        <w:t>:</w:t>
      </w:r>
      <w:r w:rsidR="007B56A5" w:rsidRPr="00593DF3">
        <w:t xml:space="preserve"> (i) </w:t>
      </w:r>
      <w:r w:rsidR="00C00F0E">
        <w:lastRenderedPageBreak/>
        <w:t xml:space="preserve">be </w:t>
      </w:r>
      <w:r w:rsidR="007B56A5" w:rsidRPr="00593DF3">
        <w:t xml:space="preserve">designed and constructed by </w:t>
      </w:r>
      <w:r w:rsidR="007B56A5" w:rsidRPr="00593DF3">
        <w:rPr>
          <w:rFonts w:eastAsia="Times New Roman"/>
          <w:color w:val="000000"/>
        </w:rPr>
        <w:t xml:space="preserve">qualified engineers and </w:t>
      </w:r>
      <w:r w:rsidR="007B56A5" w:rsidRPr="00593DF3">
        <w:t xml:space="preserve">professionals, (ii) </w:t>
      </w:r>
      <w:r w:rsidR="00C00F0E">
        <w:t xml:space="preserve">be </w:t>
      </w:r>
      <w:r w:rsidR="007B56A5" w:rsidRPr="00593DF3">
        <w:t xml:space="preserve">certified and approved by independent professionals not involved in the design process, (iii) include appropriate plans for construction supervision and quality assurance, operation and maintenance, and emergency preparedness, and (iv) require periodic safety inspections and </w:t>
      </w:r>
      <w:r w:rsidR="007B56A5" w:rsidRPr="00593DF3">
        <w:rPr>
          <w:rFonts w:eastAsia="Times New Roman"/>
          <w:color w:val="000000"/>
        </w:rPr>
        <w:t>monitoring</w:t>
      </w:r>
      <w:r>
        <w:t>.</w:t>
      </w:r>
      <w:r>
        <w:rPr>
          <w:rStyle w:val="FootnoteReference"/>
        </w:rPr>
        <w:footnoteReference w:id="66"/>
      </w:r>
      <w:r w:rsidR="007A1D46">
        <w:t xml:space="preserve"> </w:t>
      </w:r>
      <w:r w:rsidR="00C00F0E">
        <w:t>G</w:t>
      </w:r>
      <w:r w:rsidR="007B56A5">
        <w:t>eological and geophysical hazards</w:t>
      </w:r>
      <w:r w:rsidR="00C00F0E">
        <w:t xml:space="preserve"> </w:t>
      </w:r>
      <w:r w:rsidR="000F22F7">
        <w:t>are</w:t>
      </w:r>
      <w:r w:rsidR="00C00F0E">
        <w:t xml:space="preserve"> considered,</w:t>
      </w:r>
      <w:r w:rsidR="007B56A5">
        <w:t xml:space="preserve"> and appropriate risk assessments </w:t>
      </w:r>
      <w:r w:rsidR="000F22F7">
        <w:t>are</w:t>
      </w:r>
      <w:r w:rsidR="00C00F0E">
        <w:t xml:space="preserve"> undertaken </w:t>
      </w:r>
      <w:r w:rsidR="007B56A5">
        <w:t xml:space="preserve">where needed. </w:t>
      </w:r>
      <w:r w:rsidR="007B56A5" w:rsidRPr="00593DF3">
        <w:t xml:space="preserve">If structural elements </w:t>
      </w:r>
      <w:r w:rsidR="00C00F0E">
        <w:t>must be</w:t>
      </w:r>
      <w:r w:rsidR="007B56A5" w:rsidRPr="00593DF3">
        <w:t xml:space="preserve"> situated in a high-risk location (e.g. </w:t>
      </w:r>
      <w:r w:rsidR="007B56A5">
        <w:t xml:space="preserve">seismic activity, </w:t>
      </w:r>
      <w:r w:rsidR="007B56A5" w:rsidRPr="00593DF3">
        <w:t xml:space="preserve">risk of extreme weather or slow onset events), </w:t>
      </w:r>
      <w:r w:rsidR="00C00F0E">
        <w:t>then</w:t>
      </w:r>
      <w:r w:rsidR="007B56A5" w:rsidRPr="00593DF3">
        <w:t xml:space="preserve"> independent experts with relevant experience</w:t>
      </w:r>
      <w:r w:rsidR="00C00F0E">
        <w:t xml:space="preserve"> </w:t>
      </w:r>
      <w:r w:rsidR="000F22F7">
        <w:t>are</w:t>
      </w:r>
      <w:r w:rsidR="00C00F0E">
        <w:t xml:space="preserve"> engaged</w:t>
      </w:r>
      <w:r w:rsidR="007B56A5" w:rsidRPr="00593DF3">
        <w:t xml:space="preserve"> to review the </w:t>
      </w:r>
      <w:r w:rsidR="007B56A5">
        <w:t xml:space="preserve">relevant </w:t>
      </w:r>
      <w:r w:rsidR="00E60CC0">
        <w:t>project</w:t>
      </w:r>
      <w:r w:rsidR="007B56A5">
        <w:t xml:space="preserve"> activities</w:t>
      </w:r>
      <w:r w:rsidR="007B56A5" w:rsidRPr="00593DF3">
        <w:t xml:space="preserve"> as early as possible</w:t>
      </w:r>
      <w:r w:rsidR="00275549">
        <w:t xml:space="preserve"> </w:t>
      </w:r>
      <w:r w:rsidR="00524A2D">
        <w:t xml:space="preserve">prior to construction </w:t>
      </w:r>
      <w:r w:rsidR="007B56A5" w:rsidRPr="00593DF3">
        <w:t xml:space="preserve">and throughout </w:t>
      </w:r>
      <w:r w:rsidR="007B56A5">
        <w:t xml:space="preserve">the </w:t>
      </w:r>
      <w:r w:rsidR="00E60CC0">
        <w:t>project</w:t>
      </w:r>
      <w:r w:rsidR="007B56A5">
        <w:t xml:space="preserve"> cycle</w:t>
      </w:r>
      <w:r w:rsidR="007B56A5" w:rsidRPr="00593DF3">
        <w:t>.</w:t>
      </w:r>
    </w:p>
    <w:p w14:paraId="31A80666" w14:textId="7AE753AB" w:rsidR="007B56A5" w:rsidRDefault="007B56A5">
      <w:pPr>
        <w:pStyle w:val="SEQSbodynumbered"/>
      </w:pPr>
      <w:r>
        <w:t xml:space="preserve">In addition, for </w:t>
      </w:r>
      <w:r w:rsidR="00E60CC0">
        <w:t>project</w:t>
      </w:r>
      <w:r>
        <w:t>-related construction activities, e</w:t>
      </w:r>
      <w:r w:rsidRPr="009B4879">
        <w:t>nsure appropriate control of site access (</w:t>
      </w:r>
      <w:r>
        <w:t xml:space="preserve">e.g. </w:t>
      </w:r>
      <w:r w:rsidRPr="009B4879">
        <w:t>fencing, security), use of approp</w:t>
      </w:r>
      <w:r>
        <w:t>riate personal protective equipment,</w:t>
      </w:r>
      <w:r w:rsidRPr="009B4879">
        <w:t xml:space="preserve"> safely designed work platforms, appropriate engineering and admin</w:t>
      </w:r>
      <w:r>
        <w:t>istrative</w:t>
      </w:r>
      <w:r w:rsidRPr="009B4879">
        <w:t xml:space="preserve"> controls (</w:t>
      </w:r>
      <w:r>
        <w:t xml:space="preserve">e.g. </w:t>
      </w:r>
      <w:r w:rsidRPr="009B4879">
        <w:t xml:space="preserve">detours, traffic calming, signs), </w:t>
      </w:r>
      <w:r>
        <w:t xml:space="preserve">and </w:t>
      </w:r>
      <w:r w:rsidRPr="009B4879">
        <w:t>safety barriers</w:t>
      </w:r>
      <w:r>
        <w:t xml:space="preserve">. </w:t>
      </w:r>
      <w:r w:rsidR="00D229EA">
        <w:t xml:space="preserve">Construction personnel will have appropriate qualifications and training. </w:t>
      </w:r>
      <w:r>
        <w:t xml:space="preserve">Where public access is intended, </w:t>
      </w:r>
      <w:r w:rsidRPr="009B4879">
        <w:t xml:space="preserve">incremental risks of public’s potential exposure to operational accidents or </w:t>
      </w:r>
      <w:r w:rsidRPr="009B42B2">
        <w:t>natural hazards</w:t>
      </w:r>
      <w:r w:rsidR="00275549">
        <w:t xml:space="preserve"> </w:t>
      </w:r>
      <w:r w:rsidR="000F22F7">
        <w:t>are</w:t>
      </w:r>
      <w:r w:rsidR="00275549">
        <w:t xml:space="preserve"> considered</w:t>
      </w:r>
      <w:r>
        <w:t>.</w:t>
      </w:r>
      <w:r w:rsidRPr="009B4879">
        <w:t xml:space="preserve"> </w:t>
      </w:r>
      <w:r>
        <w:t>W</w:t>
      </w:r>
      <w:r w:rsidRPr="00AA4D80">
        <w:t xml:space="preserve">here </w:t>
      </w:r>
      <w:r>
        <w:t xml:space="preserve">relevant, </w:t>
      </w:r>
      <w:r w:rsidRPr="00A522BC">
        <w:rPr>
          <w:rFonts w:eastAsia="Times New Roman"/>
          <w:color w:val="000000"/>
        </w:rPr>
        <w:t xml:space="preserve">potential traffic and road safety risks associated with </w:t>
      </w:r>
      <w:r w:rsidR="00E60CC0">
        <w:rPr>
          <w:rFonts w:eastAsia="Times New Roman"/>
          <w:color w:val="000000"/>
        </w:rPr>
        <w:t>project</w:t>
      </w:r>
      <w:r w:rsidR="00007DA0">
        <w:rPr>
          <w:rFonts w:eastAsia="Times New Roman"/>
          <w:color w:val="000000"/>
        </w:rPr>
        <w:t xml:space="preserve"> activities</w:t>
      </w:r>
      <w:r w:rsidR="00275549">
        <w:rPr>
          <w:rFonts w:eastAsia="Times New Roman"/>
          <w:color w:val="000000"/>
        </w:rPr>
        <w:t xml:space="preserve"> will be identified, evaluated and monitored</w:t>
      </w:r>
      <w:r w:rsidRPr="00A522BC">
        <w:rPr>
          <w:rFonts w:eastAsia="Times New Roman"/>
          <w:color w:val="000000"/>
        </w:rPr>
        <w:t>.</w:t>
      </w:r>
      <w:r w:rsidR="00C95047">
        <w:rPr>
          <w:rFonts w:eastAsia="Times New Roman"/>
          <w:color w:val="000000"/>
        </w:rPr>
        <w:t xml:space="preserve"> </w:t>
      </w:r>
      <w:r w:rsidR="00806714">
        <w:rPr>
          <w:rFonts w:eastAsia="Times New Roman"/>
          <w:color w:val="000000"/>
        </w:rPr>
        <w:t>Ensure</w:t>
      </w:r>
      <w:r w:rsidR="00C95047" w:rsidRPr="00C95047">
        <w:rPr>
          <w:rFonts w:eastAsia="Times New Roman"/>
          <w:color w:val="000000"/>
        </w:rPr>
        <w:t xml:space="preserve"> </w:t>
      </w:r>
      <w:r w:rsidR="00806714">
        <w:rPr>
          <w:rFonts w:eastAsia="Times New Roman"/>
          <w:color w:val="000000"/>
        </w:rPr>
        <w:t xml:space="preserve">that </w:t>
      </w:r>
      <w:r w:rsidR="00C95047" w:rsidRPr="00C95047">
        <w:rPr>
          <w:rFonts w:eastAsia="Times New Roman"/>
          <w:color w:val="000000"/>
        </w:rPr>
        <w:t xml:space="preserve">contractors </w:t>
      </w:r>
      <w:r w:rsidR="00806714">
        <w:rPr>
          <w:rFonts w:eastAsia="Times New Roman"/>
          <w:color w:val="000000"/>
        </w:rPr>
        <w:t xml:space="preserve">working on </w:t>
      </w:r>
      <w:r w:rsidR="00E60CC0">
        <w:rPr>
          <w:rFonts w:eastAsia="Times New Roman"/>
          <w:color w:val="000000"/>
        </w:rPr>
        <w:t>project</w:t>
      </w:r>
      <w:r w:rsidR="00806714">
        <w:rPr>
          <w:rFonts w:eastAsia="Times New Roman"/>
          <w:color w:val="000000"/>
        </w:rPr>
        <w:t xml:space="preserve"> sites appropriately </w:t>
      </w:r>
      <w:r w:rsidR="00C95047" w:rsidRPr="00C95047">
        <w:rPr>
          <w:rFonts w:eastAsia="Times New Roman"/>
          <w:color w:val="000000"/>
        </w:rPr>
        <w:t>manage health and safety risks</w:t>
      </w:r>
      <w:r w:rsidR="00806714">
        <w:rPr>
          <w:rFonts w:eastAsia="Times New Roman"/>
          <w:color w:val="000000"/>
        </w:rPr>
        <w:t xml:space="preserve"> and address</w:t>
      </w:r>
      <w:r w:rsidR="00C95047" w:rsidRPr="00C95047">
        <w:rPr>
          <w:rFonts w:eastAsia="Times New Roman"/>
          <w:color w:val="000000"/>
        </w:rPr>
        <w:t xml:space="preserve"> the requirements</w:t>
      </w:r>
      <w:r w:rsidR="00C95047">
        <w:rPr>
          <w:rFonts w:eastAsia="Times New Roman"/>
          <w:color w:val="000000"/>
        </w:rPr>
        <w:t xml:space="preserve"> herein.</w:t>
      </w:r>
    </w:p>
    <w:p w14:paraId="160A3878" w14:textId="77777777" w:rsidR="00D06248" w:rsidRDefault="00275549">
      <w:pPr>
        <w:pStyle w:val="SEQSbodynumbered"/>
      </w:pPr>
      <w:r w:rsidRPr="00A42F72">
        <w:rPr>
          <w:b/>
        </w:rPr>
        <w:t xml:space="preserve">Universal access: </w:t>
      </w:r>
      <w:r w:rsidR="00D06248">
        <w:t>Wherever feasible, UNDP ensure</w:t>
      </w:r>
      <w:r w:rsidR="000F22F7">
        <w:t>s</w:t>
      </w:r>
      <w:r w:rsidR="00D06248">
        <w:t xml:space="preserve"> the concept of universal access is applied in the design and construction of facilities and services</w:t>
      </w:r>
      <w:r w:rsidR="00D06248" w:rsidRPr="005C396B">
        <w:t xml:space="preserve"> </w:t>
      </w:r>
      <w:r w:rsidR="00D06248">
        <w:t>open to or provided to the</w:t>
      </w:r>
      <w:r w:rsidR="00D06248" w:rsidRPr="005C396B">
        <w:t xml:space="preserve"> public</w:t>
      </w:r>
      <w:r w:rsidR="00D06248">
        <w:t xml:space="preserve"> on an equal basis with others.</w:t>
      </w:r>
      <w:r w:rsidR="00D06248">
        <w:rPr>
          <w:rStyle w:val="FootnoteReference"/>
        </w:rPr>
        <w:footnoteReference w:id="67"/>
      </w:r>
    </w:p>
    <w:p w14:paraId="21251D07" w14:textId="64FA18AA" w:rsidR="00007DA0" w:rsidRPr="00121AE5" w:rsidRDefault="00007DA0">
      <w:pPr>
        <w:pStyle w:val="SEQSbodynumbered"/>
      </w:pPr>
      <w:r w:rsidRPr="009B4879">
        <w:rPr>
          <w:b/>
        </w:rPr>
        <w:t>Hazardous materials management and safety</w:t>
      </w:r>
      <w:r>
        <w:rPr>
          <w:b/>
        </w:rPr>
        <w:t xml:space="preserve">: </w:t>
      </w:r>
      <w:r w:rsidRPr="00A37A8B">
        <w:t xml:space="preserve">UNDP </w:t>
      </w:r>
      <w:r>
        <w:t>ensure</w:t>
      </w:r>
      <w:r w:rsidR="000F22F7">
        <w:t>s</w:t>
      </w:r>
      <w:r>
        <w:t xml:space="preserve"> that actions are taken to a</w:t>
      </w:r>
      <w:r w:rsidRPr="00D3691C">
        <w:t>void</w:t>
      </w:r>
      <w:r w:rsidR="001F42A1">
        <w:t>, or where avoidance is not possible,</w:t>
      </w:r>
      <w:r>
        <w:t xml:space="preserve"> </w:t>
      </w:r>
      <w:r w:rsidRPr="00D3691C">
        <w:t xml:space="preserve">minimize potential community exposure to hazardous </w:t>
      </w:r>
      <w:r w:rsidRPr="00593DF3">
        <w:t>materials</w:t>
      </w:r>
      <w:r w:rsidRPr="00D3691C">
        <w:t xml:space="preserve"> and substances that may be </w:t>
      </w:r>
      <w:r>
        <w:t xml:space="preserve">utilized in or </w:t>
      </w:r>
      <w:r w:rsidRPr="00D3691C">
        <w:t xml:space="preserve">released by </w:t>
      </w:r>
      <w:r w:rsidR="00E60CC0">
        <w:t>project</w:t>
      </w:r>
      <w:r>
        <w:t xml:space="preserve"> activities. Where potential exposure </w:t>
      </w:r>
      <w:r>
        <w:lastRenderedPageBreak/>
        <w:t xml:space="preserve">exists to health-and life-threatening hazards, </w:t>
      </w:r>
      <w:r w:rsidRPr="00682CE8">
        <w:t>incl</w:t>
      </w:r>
      <w:r>
        <w:t>uding to workers and their families,</w:t>
      </w:r>
      <w:r w:rsidRPr="00682CE8">
        <w:t xml:space="preserve"> special </w:t>
      </w:r>
      <w:r w:rsidRPr="00D303D9">
        <w:t>care</w:t>
      </w:r>
      <w:r w:rsidRPr="00682CE8">
        <w:t xml:space="preserve"> to avoid</w:t>
      </w:r>
      <w:r>
        <w:t xml:space="preserve"> such </w:t>
      </w:r>
      <w:r w:rsidRPr="00682CE8">
        <w:t xml:space="preserve">exposure </w:t>
      </w:r>
      <w:r w:rsidR="000F22F7">
        <w:t>is</w:t>
      </w:r>
      <w:r>
        <w:t xml:space="preserve"> taken </w:t>
      </w:r>
      <w:r w:rsidRPr="00682CE8">
        <w:t xml:space="preserve">by modifying, substituting, </w:t>
      </w:r>
      <w:r>
        <w:t xml:space="preserve">and </w:t>
      </w:r>
      <w:r w:rsidRPr="00682CE8">
        <w:t>eliminating the condition or material causing potential hazard</w:t>
      </w:r>
      <w:r>
        <w:t xml:space="preserve">. Hazardous material exposure risks from </w:t>
      </w:r>
      <w:r w:rsidRPr="00177063">
        <w:t xml:space="preserve">natural hazard-triggered </w:t>
      </w:r>
      <w:r>
        <w:t xml:space="preserve">accidents </w:t>
      </w:r>
      <w:r w:rsidR="000F22F7">
        <w:t>are</w:t>
      </w:r>
      <w:r>
        <w:t xml:space="preserve"> considered. </w:t>
      </w:r>
      <w:r w:rsidRPr="00682CE8">
        <w:t xml:space="preserve">If hazardous materials </w:t>
      </w:r>
      <w:r>
        <w:t xml:space="preserve">are </w:t>
      </w:r>
      <w:r w:rsidRPr="00682CE8">
        <w:t xml:space="preserve">part of </w:t>
      </w:r>
      <w:r>
        <w:t xml:space="preserve">the </w:t>
      </w:r>
      <w:r w:rsidRPr="00682CE8">
        <w:t xml:space="preserve">existing </w:t>
      </w:r>
      <w:r w:rsidR="00E60CC0">
        <w:t>project</w:t>
      </w:r>
      <w:r>
        <w:t>-related</w:t>
      </w:r>
      <w:r w:rsidRPr="00682CE8">
        <w:t xml:space="preserve"> infrastruct</w:t>
      </w:r>
      <w:r>
        <w:t xml:space="preserve">ure, </w:t>
      </w:r>
      <w:r w:rsidR="00940A78">
        <w:t xml:space="preserve">then </w:t>
      </w:r>
      <w:r>
        <w:t>due care will be exercised during construction, implementation and decommissioning</w:t>
      </w:r>
      <w:r w:rsidRPr="00682CE8">
        <w:t xml:space="preserve"> in order to avoid exposure</w:t>
      </w:r>
      <w:r>
        <w:t>.</w:t>
      </w:r>
      <w:r>
        <w:rPr>
          <w:b/>
        </w:rPr>
        <w:t xml:space="preserve"> </w:t>
      </w:r>
      <w:r>
        <w:t>Appropriate due diligence</w:t>
      </w:r>
      <w:r w:rsidRPr="00682CE8">
        <w:t xml:space="preserve"> </w:t>
      </w:r>
      <w:r w:rsidR="000F22F7">
        <w:t>is</w:t>
      </w:r>
      <w:r>
        <w:t xml:space="preserve"> undertaken </w:t>
      </w:r>
      <w:r w:rsidRPr="00682CE8">
        <w:t xml:space="preserve">to control </w:t>
      </w:r>
      <w:r>
        <w:t xml:space="preserve">the </w:t>
      </w:r>
      <w:r w:rsidRPr="00682CE8">
        <w:t xml:space="preserve">safety of deliveries and transportation and disposal of hazardous </w:t>
      </w:r>
      <w:r w:rsidR="00E33D5F">
        <w:t xml:space="preserve">materials and </w:t>
      </w:r>
      <w:r w:rsidRPr="00682CE8">
        <w:t>wastes</w:t>
      </w:r>
      <w:r>
        <w:t>.</w:t>
      </w:r>
    </w:p>
    <w:p w14:paraId="27D74952" w14:textId="7EC9C37B" w:rsidR="000A78E0" w:rsidRDefault="000A78E0">
      <w:pPr>
        <w:pStyle w:val="SEQSbodynumbered"/>
      </w:pPr>
      <w:r w:rsidRPr="00121AE5">
        <w:rPr>
          <w:b/>
        </w:rPr>
        <w:t xml:space="preserve">Emergency </w:t>
      </w:r>
      <w:r w:rsidR="00A46772">
        <w:rPr>
          <w:b/>
        </w:rPr>
        <w:t>p</w:t>
      </w:r>
      <w:r w:rsidRPr="00121AE5">
        <w:rPr>
          <w:b/>
        </w:rPr>
        <w:t>reparedness:</w:t>
      </w:r>
      <w:r w:rsidRPr="00121AE5">
        <w:t xml:space="preserve"> UNDP ensure</w:t>
      </w:r>
      <w:r w:rsidR="000F22F7">
        <w:t>s</w:t>
      </w:r>
      <w:r w:rsidRPr="00121AE5">
        <w:t xml:space="preserve"> that </w:t>
      </w:r>
      <w:r w:rsidR="00F404D8">
        <w:t xml:space="preserve">the </w:t>
      </w:r>
      <w:r w:rsidR="00F712FA">
        <w:t>i</w:t>
      </w:r>
      <w:r w:rsidR="00CD0CDA">
        <w:t xml:space="preserve">mplementing </w:t>
      </w:r>
      <w:r w:rsidR="00F712FA">
        <w:t>p</w:t>
      </w:r>
      <w:r w:rsidR="00CD0CDA">
        <w:t>artner</w:t>
      </w:r>
      <w:r>
        <w:t>, in collaboration with appropriate and relevant authorities and third parties,</w:t>
      </w:r>
      <w:r w:rsidRPr="00121AE5">
        <w:t xml:space="preserve"> </w:t>
      </w:r>
      <w:r w:rsidR="000F22F7">
        <w:t>is</w:t>
      </w:r>
      <w:r w:rsidRPr="00121AE5">
        <w:t xml:space="preserve"> prepared to respond to accidental and emergency situations in a manner </w:t>
      </w:r>
      <w:r>
        <w:t>appropriate to prevent and mitigate any harm to people and/</w:t>
      </w:r>
      <w:r w:rsidR="00CD0CDA">
        <w:t>o</w:t>
      </w:r>
      <w:r>
        <w:t>r the environment</w:t>
      </w:r>
      <w:r w:rsidRPr="00121AE5">
        <w:t xml:space="preserve">. </w:t>
      </w:r>
      <w:r w:rsidR="00E33D5F">
        <w:t>E</w:t>
      </w:r>
      <w:r w:rsidR="00E33D5F" w:rsidRPr="009B4879">
        <w:t>mergency events</w:t>
      </w:r>
      <w:r w:rsidR="00E33D5F">
        <w:t xml:space="preserve"> include </w:t>
      </w:r>
      <w:r w:rsidR="00E33D5F" w:rsidRPr="009B4879">
        <w:t xml:space="preserve">unanticipated incidents arising from both natural and </w:t>
      </w:r>
      <w:r w:rsidR="00E33D5F">
        <w:t>hu</w:t>
      </w:r>
      <w:r w:rsidR="00E33D5F" w:rsidRPr="009B4879">
        <w:t xml:space="preserve">man-made hazards, typically in the form of fire, explosions, leaks or spills, caused by failure to implement operating procedures, </w:t>
      </w:r>
      <w:r w:rsidR="00E33D5F" w:rsidRPr="00D3691C">
        <w:t>extreme weather,</w:t>
      </w:r>
      <w:r w:rsidR="00E33D5F" w:rsidRPr="009B4879">
        <w:t xml:space="preserve"> </w:t>
      </w:r>
      <w:r w:rsidR="00E33D5F">
        <w:t xml:space="preserve">or </w:t>
      </w:r>
      <w:r w:rsidR="00E33D5F" w:rsidRPr="009B4879">
        <w:t>lack of early warning</w:t>
      </w:r>
      <w:r w:rsidR="00E33D5F">
        <w:t>. Emergency preparedness</w:t>
      </w:r>
      <w:r>
        <w:t>, reflected in planning documents,</w:t>
      </w:r>
      <w:r w:rsidRPr="00121AE5">
        <w:t xml:space="preserve"> include</w:t>
      </w:r>
      <w:r w:rsidR="000F22F7">
        <w:t>s</w:t>
      </w:r>
      <w:r w:rsidRPr="00121AE5">
        <w:t xml:space="preserve"> </w:t>
      </w:r>
      <w:r>
        <w:t>the identification of areas where accidents and emergency situations may occur, communities and individuals that may be impacted, response procedures, provision of equipment and resources, designation of responsibilities, communication</w:t>
      </w:r>
      <w:r w:rsidR="00F5764D">
        <w:t xml:space="preserve"> and notification channels</w:t>
      </w:r>
      <w:r>
        <w:t xml:space="preserve">, and periodic training to ensure effective response. The emergency preparedness and response activities </w:t>
      </w:r>
      <w:r w:rsidR="000F22F7">
        <w:t>is</w:t>
      </w:r>
      <w:r>
        <w:t xml:space="preserve"> periodically reviewed and revised, as necessary to reflect changing conditions. </w:t>
      </w:r>
      <w:r w:rsidR="00073F91">
        <w:t>UNDP consider</w:t>
      </w:r>
      <w:r w:rsidR="000F22F7">
        <w:t>s</w:t>
      </w:r>
      <w:r w:rsidR="00073F91">
        <w:t xml:space="preserve"> the differential impacts of emergency situations on women and men</w:t>
      </w:r>
      <w:r w:rsidR="00F26A1A">
        <w:t xml:space="preserve">, </w:t>
      </w:r>
      <w:r w:rsidR="00DC18C0">
        <w:t xml:space="preserve">the </w:t>
      </w:r>
      <w:r w:rsidR="00F26A1A" w:rsidRPr="00F26A1A">
        <w:t>elderly, children</w:t>
      </w:r>
      <w:r w:rsidR="00CF5445">
        <w:t xml:space="preserve">, </w:t>
      </w:r>
      <w:r w:rsidR="00950A54">
        <w:t xml:space="preserve">persons with </w:t>
      </w:r>
      <w:r w:rsidR="00F26A1A" w:rsidRPr="00F26A1A">
        <w:t>disab</w:t>
      </w:r>
      <w:r w:rsidR="00950A54">
        <w:t>ilities</w:t>
      </w:r>
      <w:r w:rsidR="00F26A1A">
        <w:t>, and potentially marginalized groups,</w:t>
      </w:r>
      <w:r w:rsidR="00073F91">
        <w:t xml:space="preserve"> and strengthen the participation of women in decision-making processes on emergency preparedness and response strategies.</w:t>
      </w:r>
      <w:r w:rsidR="00297482">
        <w:t xml:space="preserve"> </w:t>
      </w:r>
      <w:r w:rsidRPr="006133FE">
        <w:t xml:space="preserve">Appropriate information about emergency preparedness and response activities, resources, and responsibilities </w:t>
      </w:r>
      <w:r w:rsidR="000F22F7">
        <w:t>is</w:t>
      </w:r>
      <w:r w:rsidRPr="006133FE">
        <w:t xml:space="preserve"> disclosed to affected communities.</w:t>
      </w:r>
      <w:r>
        <w:t xml:space="preserve"> </w:t>
      </w:r>
    </w:p>
    <w:p w14:paraId="092495FA" w14:textId="44972B0A" w:rsidR="00CF1B3C" w:rsidRPr="00CF1B3C" w:rsidRDefault="00CF1B3C">
      <w:pPr>
        <w:pStyle w:val="SEQSbodynumbered"/>
      </w:pPr>
      <w:r w:rsidRPr="00CF1B3C">
        <w:rPr>
          <w:b/>
        </w:rPr>
        <w:t xml:space="preserve">Risks associated with influx of </w:t>
      </w:r>
      <w:r w:rsidR="00E60CC0">
        <w:rPr>
          <w:b/>
        </w:rPr>
        <w:t>project</w:t>
      </w:r>
      <w:r w:rsidRPr="00CF1B3C">
        <w:rPr>
          <w:b/>
        </w:rPr>
        <w:t xml:space="preserve"> workers</w:t>
      </w:r>
      <w:r>
        <w:rPr>
          <w:b/>
        </w:rPr>
        <w:t xml:space="preserve">: </w:t>
      </w:r>
      <w:r w:rsidRPr="00A37A8B">
        <w:t xml:space="preserve">UNDP </w:t>
      </w:r>
      <w:r w:rsidR="000F22F7">
        <w:t>ensures</w:t>
      </w:r>
      <w:r w:rsidRPr="00CF1B3C">
        <w:t xml:space="preserve"> </w:t>
      </w:r>
      <w:r>
        <w:t xml:space="preserve">that </w:t>
      </w:r>
      <w:r w:rsidRPr="00CF1B3C">
        <w:t>appropriate measures are taken</w:t>
      </w:r>
      <w:r w:rsidR="008A2516">
        <w:t xml:space="preserve">, including by </w:t>
      </w:r>
      <w:r w:rsidR="00E60CC0">
        <w:t>project</w:t>
      </w:r>
      <w:r w:rsidR="008A2516">
        <w:t xml:space="preserve"> contractors,</w:t>
      </w:r>
      <w:r w:rsidRPr="00CF1B3C">
        <w:t xml:space="preserve"> to avoid, mitigate and manage the risks and potential adverse impacts on health and safety </w:t>
      </w:r>
      <w:r w:rsidR="00940A78">
        <w:t xml:space="preserve">of communities </w:t>
      </w:r>
      <w:r w:rsidRPr="00CF1B3C">
        <w:t>arising from the influx of</w:t>
      </w:r>
      <w:r w:rsidR="00940A78">
        <w:t xml:space="preserve"> project-related</w:t>
      </w:r>
      <w:r w:rsidRPr="00CF1B3C">
        <w:t xml:space="preserve"> workers into </w:t>
      </w:r>
      <w:r w:rsidR="00E60CC0">
        <w:t>project</w:t>
      </w:r>
      <w:r w:rsidRPr="00CF1B3C">
        <w:t xml:space="preserve"> areas. Such risks and impacts may be associated with changes in population composition, health implications and exposure to communicable diseases, threats of sexual violence and harassment, crime, and increased vulnerability o</w:t>
      </w:r>
      <w:r>
        <w:t>f</w:t>
      </w:r>
      <w:r w:rsidRPr="00CF1B3C">
        <w:t xml:space="preserve"> communities due to increased pressure on already scare natural resources. </w:t>
      </w:r>
      <w:r w:rsidR="002F01D4">
        <w:t xml:space="preserve">Measures </w:t>
      </w:r>
      <w:r w:rsidR="000F22F7">
        <w:t>are</w:t>
      </w:r>
      <w:r w:rsidR="002F01D4">
        <w:t xml:space="preserve"> </w:t>
      </w:r>
      <w:r w:rsidR="00B70941">
        <w:t>implemented</w:t>
      </w:r>
      <w:r w:rsidR="002F01D4">
        <w:t xml:space="preserve"> that seek to protect community members from such risks.</w:t>
      </w:r>
      <w:r w:rsidR="003F4E82">
        <w:rPr>
          <w:rStyle w:val="FootnoteReference"/>
        </w:rPr>
        <w:footnoteReference w:id="68"/>
      </w:r>
      <w:r w:rsidR="002F01D4">
        <w:t xml:space="preserve"> </w:t>
      </w:r>
      <w:r w:rsidR="005A40D8">
        <w:t>P</w:t>
      </w:r>
      <w:r w:rsidR="00E60CC0">
        <w:t>roject</w:t>
      </w:r>
      <w:r w:rsidR="00B70941">
        <w:t xml:space="preserve"> workers </w:t>
      </w:r>
      <w:r w:rsidR="000F22F7">
        <w:t>are</w:t>
      </w:r>
      <w:r w:rsidR="00B70941">
        <w:t xml:space="preserve"> provided </w:t>
      </w:r>
      <w:r w:rsidRPr="00CF1B3C">
        <w:t>training</w:t>
      </w:r>
      <w:r w:rsidR="00263DFA">
        <w:t xml:space="preserve">, </w:t>
      </w:r>
      <w:r w:rsidRPr="00CF1B3C">
        <w:t xml:space="preserve">awareness raising </w:t>
      </w:r>
      <w:proofErr w:type="spellStart"/>
      <w:r w:rsidRPr="00CF1B3C">
        <w:t>programmes</w:t>
      </w:r>
      <w:proofErr w:type="spellEnd"/>
      <w:r w:rsidRPr="00CF1B3C">
        <w:t xml:space="preserve"> and codes of conduct. </w:t>
      </w:r>
      <w:r w:rsidR="007760F5">
        <w:t>Where relevant,</w:t>
      </w:r>
      <w:r w:rsidRPr="00CF1B3C">
        <w:t xml:space="preserve"> alternative means to remedy significant stress on natural resources caused by increased population numbers</w:t>
      </w:r>
      <w:r w:rsidR="007760F5">
        <w:t xml:space="preserve"> </w:t>
      </w:r>
      <w:r w:rsidR="000F22F7">
        <w:t>are</w:t>
      </w:r>
      <w:r w:rsidR="007760F5">
        <w:t xml:space="preserve"> identified</w:t>
      </w:r>
      <w:r w:rsidRPr="00CF1B3C">
        <w:t xml:space="preserve">. </w:t>
      </w:r>
    </w:p>
    <w:p w14:paraId="5B9A3A5C" w14:textId="77777777" w:rsidR="00CF1B3C" w:rsidRPr="006133FE" w:rsidRDefault="00CF1B3C">
      <w:pPr>
        <w:pStyle w:val="SEQSbodynumbered"/>
      </w:pPr>
      <w:r w:rsidRPr="00CF1B3C">
        <w:rPr>
          <w:b/>
        </w:rPr>
        <w:t>Impacts on ecosystem services</w:t>
      </w:r>
      <w:r w:rsidR="00C962A0">
        <w:rPr>
          <w:b/>
        </w:rPr>
        <w:t>:</w:t>
      </w:r>
      <w:r w:rsidRPr="00CF1B3C">
        <w:rPr>
          <w:b/>
        </w:rPr>
        <w:t xml:space="preserve"> </w:t>
      </w:r>
      <w:r w:rsidRPr="00CF1B3C">
        <w:t xml:space="preserve">Adverse impacts on ecosystem services may result in adverse health and safety risks to communities (e.g. loss of natural buffers increasing flooding risks). </w:t>
      </w:r>
      <w:r w:rsidR="001F42A1">
        <w:t>UNDP ensure</w:t>
      </w:r>
      <w:r w:rsidR="000F22F7">
        <w:t>s</w:t>
      </w:r>
      <w:r w:rsidR="001F42A1">
        <w:t xml:space="preserve"> that measures are taken to a</w:t>
      </w:r>
      <w:r w:rsidRPr="00CF1B3C">
        <w:t>void</w:t>
      </w:r>
      <w:r w:rsidR="001F42A1">
        <w:t>, or where avoidance is not possible,</w:t>
      </w:r>
      <w:r w:rsidRPr="00CF1B3C">
        <w:t xml:space="preserve"> minimize such adverse </w:t>
      </w:r>
      <w:r w:rsidRPr="00CF1B3C">
        <w:lastRenderedPageBreak/>
        <w:t>impacts and implement appropriate mitigation measures that aim to maintain the value and functionality of ecosystem services of relevance to local communities, paying special attention to avoid causing or exacerbating potential adverse impacts on marginalized and disadvantaged groups. Where appropriate and feasible, potential risks and impacts on ecosystem services that may be exacerbated by climate change</w:t>
      </w:r>
      <w:r w:rsidR="00940A78">
        <w:t xml:space="preserve"> </w:t>
      </w:r>
      <w:r w:rsidR="000F22F7">
        <w:t>are</w:t>
      </w:r>
      <w:r w:rsidR="00940A78">
        <w:t xml:space="preserve"> identified</w:t>
      </w:r>
      <w:r w:rsidRPr="00CF1B3C">
        <w:t>.</w:t>
      </w:r>
      <w:r w:rsidR="00940A78">
        <w:t xml:space="preserve"> See </w:t>
      </w:r>
      <w:r w:rsidR="00524A2D">
        <w:t xml:space="preserve">also </w:t>
      </w:r>
      <w:r w:rsidR="00940A78">
        <w:t xml:space="preserve">Standard </w:t>
      </w:r>
      <w:r w:rsidR="00524A2D">
        <w:t xml:space="preserve">1 regarding measures to conserve ecosystems and </w:t>
      </w:r>
      <w:r w:rsidR="00C962A0">
        <w:t xml:space="preserve">maintain </w:t>
      </w:r>
      <w:r w:rsidR="00524A2D">
        <w:t>ecosystem services.</w:t>
      </w:r>
    </w:p>
    <w:p w14:paraId="46BDD182" w14:textId="50FECF11" w:rsidR="008D2033" w:rsidRPr="00DB5ED5" w:rsidRDefault="007B3047">
      <w:pPr>
        <w:pStyle w:val="SEQSbodynumbered"/>
      </w:pPr>
      <w:r w:rsidRPr="007B0161">
        <w:rPr>
          <w:b/>
        </w:rPr>
        <w:t>Security</w:t>
      </w:r>
      <w:r w:rsidR="00956769" w:rsidRPr="007B0161">
        <w:rPr>
          <w:b/>
        </w:rPr>
        <w:t>-related</w:t>
      </w:r>
      <w:r w:rsidRPr="007B0161">
        <w:rPr>
          <w:b/>
        </w:rPr>
        <w:t xml:space="preserve"> </w:t>
      </w:r>
      <w:r w:rsidR="00061E13">
        <w:rPr>
          <w:b/>
        </w:rPr>
        <w:t>i</w:t>
      </w:r>
      <w:r w:rsidR="00956769" w:rsidRPr="007B0161">
        <w:rPr>
          <w:b/>
        </w:rPr>
        <w:t>ssues</w:t>
      </w:r>
      <w:r w:rsidRPr="007B0161">
        <w:rPr>
          <w:b/>
        </w:rPr>
        <w:t>:</w:t>
      </w:r>
      <w:r w:rsidRPr="007B0161">
        <w:t xml:space="preserve"> </w:t>
      </w:r>
      <w:r w:rsidR="00956769" w:rsidRPr="007B0161">
        <w:t xml:space="preserve">Where UNDP </w:t>
      </w:r>
      <w:r w:rsidR="00E60CC0">
        <w:t>project</w:t>
      </w:r>
      <w:r w:rsidR="00956769" w:rsidRPr="007B0161">
        <w:t>s involve engagement of security personnel to protect facilities and personal property</w:t>
      </w:r>
      <w:r w:rsidR="003C4EB3">
        <w:t xml:space="preserve"> or to otherwise engage in </w:t>
      </w:r>
      <w:r w:rsidR="00E60CC0">
        <w:t>project</w:t>
      </w:r>
      <w:r w:rsidR="003C4EB3">
        <w:t xml:space="preserve"> activities</w:t>
      </w:r>
      <w:r w:rsidR="00956769" w:rsidRPr="007B0161">
        <w:t xml:space="preserve">, security arrangements </w:t>
      </w:r>
      <w:r w:rsidR="000F22F7">
        <w:t>are</w:t>
      </w:r>
      <w:r w:rsidR="00956769" w:rsidRPr="007B0161">
        <w:t xml:space="preserve"> provided in a manner that does not </w:t>
      </w:r>
      <w:r w:rsidR="007B0161" w:rsidRPr="007B0161">
        <w:t xml:space="preserve">violate </w:t>
      </w:r>
      <w:r w:rsidR="007760F5">
        <w:t xml:space="preserve">international </w:t>
      </w:r>
      <w:r w:rsidR="007B0161" w:rsidRPr="007B0161">
        <w:t xml:space="preserve">human rights </w:t>
      </w:r>
      <w:r w:rsidR="007760F5">
        <w:t>standards or principles</w:t>
      </w:r>
      <w:r w:rsidR="003C4EB3">
        <w:t>,</w:t>
      </w:r>
      <w:r w:rsidR="007760F5">
        <w:rPr>
          <w:rStyle w:val="FootnoteReference"/>
        </w:rPr>
        <w:footnoteReference w:id="69"/>
      </w:r>
      <w:r w:rsidR="007760F5">
        <w:t xml:space="preserve"> </w:t>
      </w:r>
      <w:r w:rsidR="007B0161" w:rsidRPr="007B0161">
        <w:t xml:space="preserve">or </w:t>
      </w:r>
      <w:r w:rsidR="00956769" w:rsidRPr="007B0161">
        <w:t>jeopardize the community’s safety and security. UNDP ensure</w:t>
      </w:r>
      <w:r w:rsidR="000F22F7">
        <w:t>s</w:t>
      </w:r>
      <w:r w:rsidR="00956769" w:rsidRPr="007B0161">
        <w:t xml:space="preserve"> that potential</w:t>
      </w:r>
      <w:r w:rsidR="00442ED0" w:rsidRPr="007B0161">
        <w:t xml:space="preserve"> risk</w:t>
      </w:r>
      <w:r w:rsidR="0027576C" w:rsidRPr="007B0161">
        <w:t xml:space="preserve">s posed </w:t>
      </w:r>
      <w:r w:rsidRPr="007B0161">
        <w:t xml:space="preserve">by security arrangements to those within and outside the </w:t>
      </w:r>
      <w:r w:rsidR="00E60CC0">
        <w:t>project</w:t>
      </w:r>
      <w:r w:rsidRPr="007B0161">
        <w:t xml:space="preserve"> </w:t>
      </w:r>
      <w:r w:rsidR="00236805">
        <w:t>area</w:t>
      </w:r>
      <w:r w:rsidR="00236805" w:rsidRPr="007B0161">
        <w:t xml:space="preserve"> </w:t>
      </w:r>
      <w:r w:rsidR="00442ED0" w:rsidRPr="007B0161">
        <w:t>are assessed</w:t>
      </w:r>
      <w:r w:rsidR="00236805">
        <w:t>,</w:t>
      </w:r>
      <w:r w:rsidR="00442ED0" w:rsidRPr="007B0161">
        <w:t xml:space="preserve"> that</w:t>
      </w:r>
      <w:r w:rsidRPr="007B0161">
        <w:t xml:space="preserve"> those providing security are </w:t>
      </w:r>
      <w:r w:rsidR="00012EA2" w:rsidRPr="007B0161">
        <w:t xml:space="preserve">appropriately </w:t>
      </w:r>
      <w:r w:rsidR="00236805">
        <w:t>vetted</w:t>
      </w:r>
      <w:r w:rsidR="00B13A28">
        <w:t xml:space="preserve">, </w:t>
      </w:r>
      <w:r w:rsidR="00236805">
        <w:t>trained</w:t>
      </w:r>
      <w:r w:rsidR="003C4EB3">
        <w:t xml:space="preserve"> and </w:t>
      </w:r>
      <w:r w:rsidR="00B13A28">
        <w:t>supervised</w:t>
      </w:r>
      <w:r w:rsidR="00236805">
        <w:t>, and that security arrangements are appropriately monitored and reported</w:t>
      </w:r>
      <w:r w:rsidR="007C31C4" w:rsidRPr="007B0161">
        <w:t>.</w:t>
      </w:r>
      <w:r w:rsidR="00BB7B7C">
        <w:rPr>
          <w:rStyle w:val="FootnoteReference"/>
        </w:rPr>
        <w:footnoteReference w:id="70"/>
      </w:r>
      <w:r w:rsidR="007760F5">
        <w:t xml:space="preserve"> Reasonable inquiries </w:t>
      </w:r>
      <w:r w:rsidR="000F22F7">
        <w:t>are</w:t>
      </w:r>
      <w:r w:rsidR="007760F5">
        <w:t xml:space="preserve"> undertaken </w:t>
      </w:r>
      <w:r w:rsidR="007760F5" w:rsidRPr="009B4879">
        <w:t xml:space="preserve">to verify </w:t>
      </w:r>
      <w:r w:rsidR="007760F5">
        <w:t xml:space="preserve">that potential security </w:t>
      </w:r>
      <w:r w:rsidR="007760F5" w:rsidRPr="009B4879">
        <w:t xml:space="preserve">personnel </w:t>
      </w:r>
      <w:r w:rsidR="007760F5">
        <w:t xml:space="preserve">have </w:t>
      </w:r>
      <w:r w:rsidR="007760F5" w:rsidRPr="009B4879">
        <w:t xml:space="preserve">not </w:t>
      </w:r>
      <w:r w:rsidR="007760F5">
        <w:t xml:space="preserve">been </w:t>
      </w:r>
      <w:r w:rsidR="007760F5" w:rsidRPr="009B4879">
        <w:t>implicated in past abuses</w:t>
      </w:r>
      <w:r w:rsidR="007760F5">
        <w:t xml:space="preserve"> and </w:t>
      </w:r>
      <w:r w:rsidR="007760F5" w:rsidRPr="009B4879">
        <w:t>all allegations of unlawful or abusive acts</w:t>
      </w:r>
      <w:r w:rsidR="007760F5">
        <w:t xml:space="preserve"> will be reviewed and </w:t>
      </w:r>
      <w:r w:rsidR="007760F5" w:rsidRPr="009B4879">
        <w:t>action</w:t>
      </w:r>
      <w:r w:rsidR="007760F5">
        <w:t>s</w:t>
      </w:r>
      <w:r w:rsidR="007760F5" w:rsidRPr="009B4879">
        <w:t xml:space="preserve"> take</w:t>
      </w:r>
      <w:r w:rsidR="007760F5">
        <w:t>n</w:t>
      </w:r>
      <w:r w:rsidR="007760F5" w:rsidRPr="009B4879">
        <w:t xml:space="preserve"> to prevent recurrence</w:t>
      </w:r>
      <w:r w:rsidR="007760F5">
        <w:t xml:space="preserve"> and reprisals against individuals and communities. W</w:t>
      </w:r>
      <w:r w:rsidR="007760F5" w:rsidRPr="009B4879">
        <w:t xml:space="preserve">here necessary, </w:t>
      </w:r>
      <w:r w:rsidR="003C4EB3">
        <w:t xml:space="preserve">UNDP </w:t>
      </w:r>
      <w:r w:rsidR="007760F5" w:rsidRPr="009B4879">
        <w:t>report</w:t>
      </w:r>
      <w:r w:rsidR="000F22F7">
        <w:t>s</w:t>
      </w:r>
      <w:r w:rsidR="007760F5" w:rsidRPr="009B4879">
        <w:t xml:space="preserve"> unlawful and abusive acts to relevant authorities</w:t>
      </w:r>
      <w:r w:rsidR="007760F5">
        <w:t>.</w:t>
      </w:r>
    </w:p>
    <w:p w14:paraId="7B1B4C41" w14:textId="77777777" w:rsidR="000A78E0" w:rsidRDefault="000A78E0" w:rsidP="00BA3A5F">
      <w:pPr>
        <w:spacing w:before="60" w:after="60" w:line="264" w:lineRule="auto"/>
      </w:pPr>
    </w:p>
    <w:p w14:paraId="61494642" w14:textId="77777777" w:rsidR="00134C28" w:rsidRDefault="00134C28" w:rsidP="00BA3A5F">
      <w:pPr>
        <w:spacing w:after="120" w:line="264" w:lineRule="auto"/>
        <w:rPr>
          <w:szCs w:val="20"/>
        </w:rPr>
        <w:sectPr w:rsidR="00134C28" w:rsidSect="00722C83">
          <w:pgSz w:w="12240" w:h="15840"/>
          <w:pgMar w:top="1440" w:right="1800" w:bottom="1440" w:left="1800" w:header="720" w:footer="720" w:gutter="0"/>
          <w:cols w:space="720"/>
        </w:sectPr>
      </w:pPr>
    </w:p>
    <w:p w14:paraId="53193A80" w14:textId="77777777" w:rsidR="00134C28" w:rsidRDefault="00134C28" w:rsidP="00BA3A5F">
      <w:pPr>
        <w:pStyle w:val="Heading2"/>
      </w:pPr>
      <w:bookmarkStart w:id="13" w:name="_Toc14683702"/>
      <w:r>
        <w:lastRenderedPageBreak/>
        <w:t>Standard 4: Cultural Heritage</w:t>
      </w:r>
      <w:bookmarkEnd w:id="13"/>
    </w:p>
    <w:p w14:paraId="09E62941" w14:textId="77777777" w:rsidR="00134C28" w:rsidRPr="004021B3" w:rsidRDefault="00134C28" w:rsidP="00D96E70">
      <w:pPr>
        <w:pStyle w:val="Heading4"/>
      </w:pPr>
      <w:r w:rsidRPr="004021B3">
        <w:t>Introduction</w:t>
      </w:r>
    </w:p>
    <w:p w14:paraId="5DC9538A" w14:textId="77777777" w:rsidR="002F5F2A" w:rsidRDefault="00134C28" w:rsidP="00D515A1">
      <w:pPr>
        <w:pStyle w:val="SEQSbodynumbered"/>
        <w:numPr>
          <w:ilvl w:val="0"/>
          <w:numId w:val="8"/>
        </w:numPr>
      </w:pPr>
      <w:r>
        <w:t xml:space="preserve">UNDP recognizes </w:t>
      </w:r>
      <w:r w:rsidR="002F5F2A">
        <w:t xml:space="preserve">that </w:t>
      </w:r>
      <w:r>
        <w:t xml:space="preserve">Cultural Heritage </w:t>
      </w:r>
      <w:r w:rsidR="002F5F2A" w:rsidRPr="00A663D4">
        <w:t xml:space="preserve">is central to individual and collective identity and </w:t>
      </w:r>
      <w:r w:rsidR="002F5F2A">
        <w:t xml:space="preserve">memory, </w:t>
      </w:r>
      <w:r w:rsidR="002F5F2A" w:rsidRPr="00A663D4">
        <w:t>provid</w:t>
      </w:r>
      <w:r w:rsidR="002F5F2A">
        <w:t>ing</w:t>
      </w:r>
      <w:r w:rsidR="002F5F2A" w:rsidRPr="00A663D4">
        <w:t xml:space="preserve"> continuity between the past, present and future. Cultural heritage reflects and expresses people’s constantly evolving values, beliefs, knowledge, traditions and practices.</w:t>
      </w:r>
      <w:r w:rsidR="002F5F2A" w:rsidRPr="00D515A1">
        <w:rPr>
          <w:lang w:val="en-GB"/>
        </w:rPr>
        <w:t xml:space="preserve"> Cultural heritage also serves a crucial role within the sustainable development process through</w:t>
      </w:r>
      <w:r w:rsidR="002F5F2A" w:rsidRPr="00AC7F5D">
        <w:rPr>
          <w:b/>
          <w:lang w:val="en-GB"/>
        </w:rPr>
        <w:t xml:space="preserve"> </w:t>
      </w:r>
      <w:r w:rsidR="002F5F2A" w:rsidRPr="007834FA">
        <w:rPr>
          <w:lang w:val="en-GB"/>
        </w:rPr>
        <w:t>enhancing social cohesion, diversity, well-being and the</w:t>
      </w:r>
      <w:r w:rsidR="002F5F2A" w:rsidRPr="00D515A1">
        <w:rPr>
          <w:lang w:val="en-GB"/>
        </w:rPr>
        <w:t xml:space="preserve"> quality of life; supporting cultural rights by protecting the heritage of minority and indigenous groups; fostering socio-economic regeneration; enhancing the appeal and creativity of cities and regions; boosting long-term tourism benefits; and enhancing sustainable practices. Cultural heritage resources are often unique and irreplaceable, and may be particularly fragile due to neglect, exploitation, or even destruction given their symbolism.</w:t>
      </w:r>
    </w:p>
    <w:p w14:paraId="0F96C66D" w14:textId="5A5AB20A" w:rsidR="00134C28" w:rsidRDefault="002F5F2A" w:rsidP="00AC7F5D">
      <w:pPr>
        <w:pStyle w:val="SEQSbodynumbered"/>
        <w:numPr>
          <w:ilvl w:val="0"/>
          <w:numId w:val="8"/>
        </w:numPr>
      </w:pPr>
      <w:r>
        <w:t xml:space="preserve">UNDP seeks to </w:t>
      </w:r>
      <w:r w:rsidR="00134C28">
        <w:t>ensure that Cultural Heritage is</w:t>
      </w:r>
      <w:r w:rsidRPr="002F5F2A">
        <w:t xml:space="preserve"> </w:t>
      </w:r>
      <w:r>
        <w:t xml:space="preserve">preserved, </w:t>
      </w:r>
      <w:r w:rsidRPr="00A663D4">
        <w:t>protect</w:t>
      </w:r>
      <w:r>
        <w:t>ed</w:t>
      </w:r>
      <w:r w:rsidRPr="00A663D4">
        <w:t xml:space="preserve"> and promote</w:t>
      </w:r>
      <w:r>
        <w:t>d</w:t>
      </w:r>
      <w:r w:rsidRPr="00A663D4">
        <w:t xml:space="preserve"> </w:t>
      </w:r>
      <w:r>
        <w:t xml:space="preserve">in </w:t>
      </w:r>
      <w:r w:rsidR="00E60CC0">
        <w:t>project</w:t>
      </w:r>
      <w:r>
        <w:t xml:space="preserve"> activities in a manner consistent with UNESCO cultural heritage conventions or any other national or international legal instruments that might have a bearing on the use of cultural heritage.</w:t>
      </w:r>
      <w:r>
        <w:rPr>
          <w:rStyle w:val="FootnoteReference"/>
        </w:rPr>
        <w:footnoteReference w:id="71"/>
      </w:r>
    </w:p>
    <w:p w14:paraId="26470FA7" w14:textId="77777777" w:rsidR="00134C28" w:rsidRPr="0069390D" w:rsidRDefault="00134C28" w:rsidP="00D96E70">
      <w:pPr>
        <w:pStyle w:val="Heading4"/>
      </w:pPr>
      <w:r w:rsidRPr="0069390D">
        <w:t xml:space="preserve">Objectives </w:t>
      </w:r>
    </w:p>
    <w:p w14:paraId="0F303B29" w14:textId="77777777" w:rsidR="00134C28" w:rsidRDefault="002E5AED" w:rsidP="000828D8">
      <w:pPr>
        <w:pStyle w:val="listbullets1"/>
        <w:rPr>
          <w:rFonts w:eastAsia="Times New Roman" w:cs="Arial"/>
          <w:color w:val="333333"/>
          <w:lang w:val="en-CA" w:eastAsia="en-US"/>
        </w:rPr>
      </w:pPr>
      <w:r>
        <w:t xml:space="preserve">To </w:t>
      </w:r>
      <w:r w:rsidR="00134C28">
        <w:t>protect Cultural Heritage</w:t>
      </w:r>
      <w:r w:rsidR="00AE2B25">
        <w:t xml:space="preserve"> from damage, inappropriate alteration, disruption, removal or misuse</w:t>
      </w:r>
    </w:p>
    <w:p w14:paraId="485A3DEE" w14:textId="77777777" w:rsidR="00134C28" w:rsidRPr="0069390D" w:rsidRDefault="002E5AED" w:rsidP="000828D8">
      <w:pPr>
        <w:pStyle w:val="listbullets1"/>
      </w:pPr>
      <w:r>
        <w:t xml:space="preserve">To </w:t>
      </w:r>
      <w:r w:rsidR="00AE2B25">
        <w:t>preserve</w:t>
      </w:r>
      <w:r w:rsidR="00AE2B25" w:rsidRPr="0069390D">
        <w:t xml:space="preserve"> </w:t>
      </w:r>
      <w:r w:rsidR="00AE2B25">
        <w:t xml:space="preserve">and safeguard </w:t>
      </w:r>
      <w:r w:rsidR="00134C28">
        <w:t>Cultural Heritage</w:t>
      </w:r>
    </w:p>
    <w:p w14:paraId="4906A97A" w14:textId="77777777" w:rsidR="00134C28" w:rsidRDefault="003F0C08" w:rsidP="000828D8">
      <w:pPr>
        <w:pStyle w:val="listbullets1"/>
      </w:pPr>
      <w:r>
        <w:t>To p</w:t>
      </w:r>
      <w:r w:rsidR="00134C28" w:rsidRPr="0069390D">
        <w:t xml:space="preserve">romote the equitable sharing of benefits from the use of </w:t>
      </w:r>
      <w:r w:rsidR="00134C28">
        <w:t>Cultural Heritage</w:t>
      </w:r>
    </w:p>
    <w:p w14:paraId="1FA09B3E" w14:textId="77777777" w:rsidR="00AE2B25" w:rsidRDefault="00AE2B25" w:rsidP="000828D8">
      <w:pPr>
        <w:pStyle w:val="listbullets1"/>
      </w:pPr>
      <w:r>
        <w:t xml:space="preserve">To </w:t>
      </w:r>
      <w:r w:rsidR="00A82E6E">
        <w:t>p</w:t>
      </w:r>
      <w:r w:rsidRPr="0038097C">
        <w:t>romote meaningful cons</w:t>
      </w:r>
      <w:r>
        <w:t>ultation with stakeholders regarding preservation, protection, utilization and management of Cultural Heritage</w:t>
      </w:r>
    </w:p>
    <w:p w14:paraId="6F705EE8" w14:textId="77777777" w:rsidR="00134C28" w:rsidRPr="00BB345E" w:rsidRDefault="00134C28" w:rsidP="00D96E70">
      <w:pPr>
        <w:pStyle w:val="Heading4"/>
      </w:pPr>
      <w:r w:rsidRPr="00BB345E">
        <w:t>Scope of Application</w:t>
      </w:r>
    </w:p>
    <w:p w14:paraId="44F5CBC3" w14:textId="0034D436" w:rsidR="00134C28" w:rsidRPr="00ED4766" w:rsidRDefault="00134C28" w:rsidP="00D515A1">
      <w:pPr>
        <w:pStyle w:val="SEQSbodynumbered"/>
      </w:pPr>
      <w:r w:rsidRPr="00FE2604">
        <w:t xml:space="preserve">The applicability of this </w:t>
      </w:r>
      <w:r w:rsidR="003F0C08">
        <w:t>Standard</w:t>
      </w:r>
      <w:r w:rsidRPr="00FE2604">
        <w:t xml:space="preserve"> is established during the </w:t>
      </w:r>
      <w:r w:rsidR="003F0C08">
        <w:t xml:space="preserve">social and </w:t>
      </w:r>
      <w:r w:rsidRPr="00FE2604">
        <w:t xml:space="preserve">environmental screening and </w:t>
      </w:r>
      <w:r w:rsidR="00EB6080">
        <w:t>categorization</w:t>
      </w:r>
      <w:r w:rsidR="00EB6080" w:rsidRPr="00F00DDC">
        <w:t xml:space="preserve"> </w:t>
      </w:r>
      <w:r w:rsidRPr="00FE2604">
        <w:t xml:space="preserve">process. </w:t>
      </w:r>
      <w:r>
        <w:t xml:space="preserve">The Standard applies to </w:t>
      </w:r>
      <w:r w:rsidR="00E60CC0">
        <w:t>project</w:t>
      </w:r>
      <w:r w:rsidR="00010F4B">
        <w:t>s</w:t>
      </w:r>
      <w:r w:rsidRPr="00ED4766">
        <w:t xml:space="preserve"> </w:t>
      </w:r>
      <w:r w:rsidR="00010F4B">
        <w:t xml:space="preserve">that may </w:t>
      </w:r>
      <w:r w:rsidR="00C13C47">
        <w:t xml:space="preserve">adversely </w:t>
      </w:r>
      <w:r w:rsidR="00010F4B">
        <w:t xml:space="preserve">impact Cultural Heritage, including </w:t>
      </w:r>
      <w:r w:rsidR="00E60CC0">
        <w:t>project</w:t>
      </w:r>
      <w:r w:rsidR="00010F4B">
        <w:t>s that meet</w:t>
      </w:r>
      <w:r w:rsidR="00D523B3">
        <w:t xml:space="preserve"> any of the following criteria: </w:t>
      </w:r>
      <w:r w:rsidR="003F0C08">
        <w:t xml:space="preserve">(i) </w:t>
      </w:r>
      <w:r w:rsidRPr="00ED4766">
        <w:t>located in, or in the vicinity of, a Cultural Heritage site</w:t>
      </w:r>
      <w:r w:rsidR="005432D0">
        <w:t>;</w:t>
      </w:r>
      <w:r w:rsidR="006B193F">
        <w:rPr>
          <w:rStyle w:val="FootnoteReference"/>
        </w:rPr>
        <w:footnoteReference w:id="72"/>
      </w:r>
      <w:r w:rsidR="003F0C08">
        <w:t xml:space="preserve"> (ii)</w:t>
      </w:r>
      <w:r>
        <w:t xml:space="preserve"> </w:t>
      </w:r>
      <w:r w:rsidRPr="00ED4766">
        <w:t>involving significant excavations, demolitions, movement of earth, flooding, or other environmental changes</w:t>
      </w:r>
      <w:r w:rsidR="00DA4EA0">
        <w:t>; (iii)</w:t>
      </w:r>
      <w:r w:rsidR="00F46DEF">
        <w:t xml:space="preserve"> propose</w:t>
      </w:r>
      <w:r w:rsidR="00D96E70">
        <w:t>s</w:t>
      </w:r>
      <w:r w:rsidR="00F46DEF">
        <w:t xml:space="preserve"> to utilize tangible or intangible forms of Cultural Heritage for commercial </w:t>
      </w:r>
      <w:r w:rsidR="00B7635B">
        <w:t xml:space="preserve">or other </w:t>
      </w:r>
      <w:r w:rsidR="00F46DEF">
        <w:t>purposes</w:t>
      </w:r>
      <w:r w:rsidR="009D5AD3">
        <w:t>.</w:t>
      </w:r>
    </w:p>
    <w:p w14:paraId="2496DDD2" w14:textId="77777777" w:rsidR="00134C28" w:rsidRDefault="00134C28" w:rsidP="00D515A1">
      <w:pPr>
        <w:pStyle w:val="SEQSbodynumbered"/>
      </w:pPr>
      <w:r w:rsidRPr="00FE2604">
        <w:lastRenderedPageBreak/>
        <w:t xml:space="preserve">The requirements of this </w:t>
      </w:r>
      <w:r w:rsidR="006C63C9">
        <w:t>Standard</w:t>
      </w:r>
      <w:r w:rsidRPr="00FE2604">
        <w:t xml:space="preserve"> apply to </w:t>
      </w:r>
      <w:r>
        <w:t>Cultural Heritage</w:t>
      </w:r>
      <w:r w:rsidRPr="00FE2604">
        <w:t xml:space="preserve"> regardless of whether it has been legally protected or previously disturbed.</w:t>
      </w:r>
    </w:p>
    <w:p w14:paraId="4AC87CEF" w14:textId="5F28CD18" w:rsidR="00134C28" w:rsidRDefault="00410FEC" w:rsidP="00AC7F5D">
      <w:pPr>
        <w:pStyle w:val="SEQSbodynumbered"/>
      </w:pPr>
      <w:r>
        <w:t xml:space="preserve">For </w:t>
      </w:r>
      <w:r w:rsidR="00E60CC0">
        <w:t>project</w:t>
      </w:r>
      <w:r>
        <w:t xml:space="preserve">s that may impact </w:t>
      </w:r>
      <w:r w:rsidR="00CE704C">
        <w:t xml:space="preserve">the </w:t>
      </w:r>
      <w:r>
        <w:t xml:space="preserve">Cultural Heritage of </w:t>
      </w:r>
      <w:r w:rsidR="008A6B83">
        <w:t>i</w:t>
      </w:r>
      <w:r>
        <w:t xml:space="preserve">ndigenous </w:t>
      </w:r>
      <w:r w:rsidR="008A6B83">
        <w:t>p</w:t>
      </w:r>
      <w:r>
        <w:t>eoples, t</w:t>
      </w:r>
      <w:r w:rsidR="00134C28">
        <w:t xml:space="preserve">he requirements of </w:t>
      </w:r>
      <w:r w:rsidR="00FC7927">
        <w:t xml:space="preserve">Standard 6: </w:t>
      </w:r>
      <w:r>
        <w:t>Indigenous Peoples apply</w:t>
      </w:r>
      <w:r w:rsidR="00094DC3" w:rsidRPr="00094DC3">
        <w:t xml:space="preserve">. This Standard shall be interpreted in a manner to be consistent with </w:t>
      </w:r>
      <w:r w:rsidR="00094DC3">
        <w:t>the Standard</w:t>
      </w:r>
      <w:r w:rsidR="002547F7">
        <w:t xml:space="preserve"> 6</w:t>
      </w:r>
      <w:r w:rsidR="00094DC3" w:rsidRPr="00094DC3">
        <w:t>.</w:t>
      </w:r>
    </w:p>
    <w:p w14:paraId="086DA6C8" w14:textId="77777777" w:rsidR="00B64539" w:rsidRPr="00B64539" w:rsidRDefault="00B64539" w:rsidP="007834FA">
      <w:pPr>
        <w:pStyle w:val="SEQSbodynumbered"/>
      </w:pPr>
      <w:r w:rsidRPr="00B64539">
        <w:t>The term “</w:t>
      </w:r>
      <w:r>
        <w:t>C</w:t>
      </w:r>
      <w:r w:rsidRPr="00B64539">
        <w:t xml:space="preserve">ultural </w:t>
      </w:r>
      <w:r>
        <w:t>H</w:t>
      </w:r>
      <w:r w:rsidRPr="00B64539">
        <w:t>eritage” includes tangible and intangible heritage which may be recognized and valued at the local, regional, national, or global level,</w:t>
      </w:r>
      <w:r w:rsidRPr="00B64539">
        <w:rPr>
          <w:vertAlign w:val="superscript"/>
        </w:rPr>
        <w:footnoteReference w:id="73"/>
      </w:r>
      <w:r w:rsidRPr="00B64539">
        <w:t xml:space="preserve"> as follows:</w:t>
      </w:r>
    </w:p>
    <w:p w14:paraId="71A404D8" w14:textId="77777777" w:rsidR="00B64539" w:rsidRPr="00B64539" w:rsidRDefault="00B64539" w:rsidP="000828D8">
      <w:pPr>
        <w:pStyle w:val="listbullets1"/>
      </w:pPr>
      <w:r w:rsidRPr="00B64539">
        <w:rPr>
          <w:i/>
        </w:rPr>
        <w:t xml:space="preserve">Tangible </w:t>
      </w:r>
      <w:r>
        <w:rPr>
          <w:i/>
        </w:rPr>
        <w:t>C</w:t>
      </w:r>
      <w:r w:rsidRPr="00B64539">
        <w:rPr>
          <w:i/>
        </w:rPr>
        <w:t xml:space="preserve">ultural </w:t>
      </w:r>
      <w:r>
        <w:rPr>
          <w:i/>
        </w:rPr>
        <w:t>H</w:t>
      </w:r>
      <w:r w:rsidRPr="00B64539">
        <w:rPr>
          <w:i/>
        </w:rPr>
        <w:t xml:space="preserve">eritage </w:t>
      </w:r>
      <w:r w:rsidRPr="00B64539">
        <w:t xml:space="preserve">includes moveable or immovable objects, sites, structures, groups of structures, human settlements and natural features and landscapes that have archaeological, paleontological, historical, architectural, religious, aesthetic, or other cultural significance. Tangible </w:t>
      </w:r>
      <w:r>
        <w:t>C</w:t>
      </w:r>
      <w:r w:rsidRPr="00B64539">
        <w:t xml:space="preserve">ultural </w:t>
      </w:r>
      <w:r>
        <w:t>H</w:t>
      </w:r>
      <w:r w:rsidRPr="00B64539">
        <w:t xml:space="preserve">eritage may be located in </w:t>
      </w:r>
      <w:r w:rsidRPr="00E04128">
        <w:rPr>
          <w:lang w:val="en-GB"/>
        </w:rPr>
        <w:t>any setting and in any environment</w:t>
      </w:r>
      <w:r w:rsidRPr="00640A71">
        <w:t xml:space="preserve"> </w:t>
      </w:r>
      <w:r w:rsidRPr="00B64539">
        <w:t>(e.g. above or below ground or under water).</w:t>
      </w:r>
    </w:p>
    <w:p w14:paraId="3C5AC988" w14:textId="77777777" w:rsidR="00134C28" w:rsidRPr="00B64539" w:rsidRDefault="00B64539" w:rsidP="000828D8">
      <w:pPr>
        <w:pStyle w:val="listbullets1"/>
      </w:pPr>
      <w:r w:rsidRPr="00B64539">
        <w:rPr>
          <w:i/>
        </w:rPr>
        <w:t xml:space="preserve">Intangible </w:t>
      </w:r>
      <w:r>
        <w:rPr>
          <w:i/>
        </w:rPr>
        <w:t>C</w:t>
      </w:r>
      <w:r w:rsidRPr="00B64539">
        <w:rPr>
          <w:i/>
        </w:rPr>
        <w:t xml:space="preserve">ultural </w:t>
      </w:r>
      <w:r>
        <w:rPr>
          <w:i/>
        </w:rPr>
        <w:t>H</w:t>
      </w:r>
      <w:r w:rsidRPr="00B64539">
        <w:rPr>
          <w:i/>
        </w:rPr>
        <w:t>eritage</w:t>
      </w:r>
      <w:r w:rsidRPr="00B64539">
        <w:t>, also referred to as living heritage, includes practices, representations, expressions, knowledge, skills</w:t>
      </w:r>
      <w:r w:rsidR="00110196">
        <w:t>—</w:t>
      </w:r>
      <w:r w:rsidRPr="00B64539">
        <w:t>as well as the instruments, objects, artefacts and cultural spaces associated therewith</w:t>
      </w:r>
      <w:r w:rsidR="00110196">
        <w:t>—</w:t>
      </w:r>
      <w:r w:rsidRPr="00B64539">
        <w:t>that communities/groups recognize as part of their cultural heritage, as transmitted from generation to generation and constantly recreated by them in response to their environment, their interaction with nature and their history and provides them with a sense of identity and continuity, thus promoting respect for cultural diversity and human creativity. This may include</w:t>
      </w:r>
      <w:r w:rsidR="00464A5F">
        <w:t>, but is not limited to,</w:t>
      </w:r>
      <w:r w:rsidRPr="00B64539">
        <w:t>: a) oral traditions and expressions, including language as a vehicle of the intangible cultural heritage; b) performing arts; c) social practices, rituals and festive events; d) knowledge and practices concerning nature and the universe;</w:t>
      </w:r>
      <w:r w:rsidR="00464A5F">
        <w:t xml:space="preserve"> or</w:t>
      </w:r>
      <w:r w:rsidRPr="00B64539">
        <w:t xml:space="preserve"> e) traditional craftsmanship.</w:t>
      </w:r>
    </w:p>
    <w:p w14:paraId="01F23203" w14:textId="77777777" w:rsidR="00134C28" w:rsidRPr="00C17E23" w:rsidRDefault="00134C28" w:rsidP="00D96E70">
      <w:pPr>
        <w:pStyle w:val="Heading4"/>
      </w:pPr>
      <w:r w:rsidRPr="00C17E23">
        <w:t>Requirements</w:t>
      </w:r>
    </w:p>
    <w:p w14:paraId="43755B21" w14:textId="3E6613B0" w:rsidR="00134C28" w:rsidRDefault="007F21B3" w:rsidP="00D515A1">
      <w:pPr>
        <w:pStyle w:val="SEQSbodynumbered"/>
      </w:pPr>
      <w:r>
        <w:rPr>
          <w:b/>
        </w:rPr>
        <w:t>A</w:t>
      </w:r>
      <w:r w:rsidR="00134C28" w:rsidRPr="009628D6">
        <w:rPr>
          <w:b/>
        </w:rPr>
        <w:t>voidance</w:t>
      </w:r>
      <w:r w:rsidR="002C07BD">
        <w:rPr>
          <w:b/>
        </w:rPr>
        <w:t xml:space="preserve">, assessment and mitigation </w:t>
      </w:r>
      <w:r>
        <w:rPr>
          <w:b/>
        </w:rPr>
        <w:t>of adverse im</w:t>
      </w:r>
      <w:r w:rsidR="00464A5F">
        <w:rPr>
          <w:b/>
        </w:rPr>
        <w:t>p</w:t>
      </w:r>
      <w:r>
        <w:rPr>
          <w:b/>
        </w:rPr>
        <w:t>acts</w:t>
      </w:r>
      <w:r w:rsidR="00134C28" w:rsidRPr="009628D6">
        <w:rPr>
          <w:b/>
        </w:rPr>
        <w:t>:</w:t>
      </w:r>
      <w:r w:rsidR="00134C28">
        <w:t xml:space="preserve"> </w:t>
      </w:r>
      <w:r w:rsidR="00464A5F">
        <w:t xml:space="preserve">UNDP </w:t>
      </w:r>
      <w:r w:rsidR="00E60CC0">
        <w:t>project</w:t>
      </w:r>
      <w:r w:rsidR="00EC648E">
        <w:t xml:space="preserve">s </w:t>
      </w:r>
      <w:r w:rsidR="007B6DA5">
        <w:t>seek</w:t>
      </w:r>
      <w:r w:rsidR="002C07BD">
        <w:t xml:space="preserve"> to avoid supporting activities that may lead to significant adverse impacts to Cultural Heritage. UNDP </w:t>
      </w:r>
      <w:r w:rsidR="00464A5F">
        <w:t>c</w:t>
      </w:r>
      <w:r w:rsidR="00B648FD">
        <w:t>onsider</w:t>
      </w:r>
      <w:r w:rsidR="007B6DA5">
        <w:t>s</w:t>
      </w:r>
      <w:r w:rsidR="00B648FD">
        <w:t xml:space="preserve"> potential direct, indirect, irreversible and cumulative risks and impacts to Cultural Heritage</w:t>
      </w:r>
      <w:r w:rsidR="002C07BD">
        <w:t xml:space="preserve"> from </w:t>
      </w:r>
      <w:r w:rsidR="00E60CC0">
        <w:t>project</w:t>
      </w:r>
      <w:r w:rsidR="002C07BD">
        <w:t xml:space="preserve"> activities</w:t>
      </w:r>
      <w:r w:rsidR="00B648FD">
        <w:t xml:space="preserve">. </w:t>
      </w:r>
      <w:r w:rsidR="00464A5F">
        <w:t xml:space="preserve">Relevant </w:t>
      </w:r>
      <w:r w:rsidR="00E60CC0">
        <w:t>project</w:t>
      </w:r>
      <w:r w:rsidR="00464A5F">
        <w:t>s i</w:t>
      </w:r>
      <w:r w:rsidRPr="007F21B3">
        <w:t>mplement globally recognized practices for field-study, inventorying, documentation, and protection of cultural heritage</w:t>
      </w:r>
      <w:r>
        <w:t xml:space="preserve">, including where appropriate </w:t>
      </w:r>
      <w:r>
        <w:rPr>
          <w:rFonts w:eastAsia="Times New Roman"/>
          <w:color w:val="000000"/>
        </w:rPr>
        <w:t>a Heritage Impact Assessment.</w:t>
      </w:r>
      <w:r>
        <w:rPr>
          <w:rStyle w:val="FootnoteReference"/>
          <w:rFonts w:eastAsia="Times New Roman"/>
          <w:color w:val="000000"/>
        </w:rPr>
        <w:footnoteReference w:id="74"/>
      </w:r>
      <w:r>
        <w:rPr>
          <w:rFonts w:eastAsia="Times New Roman"/>
          <w:color w:val="000000"/>
        </w:rPr>
        <w:t xml:space="preserve"> </w:t>
      </w:r>
      <w:r w:rsidR="002C07BD">
        <w:rPr>
          <w:rFonts w:eastAsia="Times New Roman"/>
          <w:color w:val="000000"/>
        </w:rPr>
        <w:t>W</w:t>
      </w:r>
      <w:r w:rsidR="00B648FD">
        <w:rPr>
          <w:rFonts w:eastAsia="Times New Roman"/>
          <w:color w:val="000000"/>
        </w:rPr>
        <w:t>here avoidance is not possible</w:t>
      </w:r>
      <w:r w:rsidR="00110196">
        <w:rPr>
          <w:rFonts w:eastAsia="Times New Roman"/>
          <w:color w:val="000000"/>
        </w:rPr>
        <w:t>—</w:t>
      </w:r>
      <w:r w:rsidR="00B648FD">
        <w:rPr>
          <w:rFonts w:eastAsia="Times New Roman"/>
          <w:color w:val="000000"/>
        </w:rPr>
        <w:t>ensuring that all viable and feasible alternatives have been explored</w:t>
      </w:r>
      <w:r w:rsidR="00110196">
        <w:rPr>
          <w:rFonts w:eastAsia="Times New Roman"/>
          <w:color w:val="000000"/>
        </w:rPr>
        <w:t>—</w:t>
      </w:r>
      <w:r w:rsidR="002C07BD">
        <w:rPr>
          <w:rFonts w:eastAsia="Times New Roman"/>
          <w:color w:val="000000"/>
        </w:rPr>
        <w:t xml:space="preserve">UNDP </w:t>
      </w:r>
      <w:r w:rsidR="00B648FD" w:rsidRPr="00AA4B4B">
        <w:rPr>
          <w:rFonts w:eastAsia="Times New Roman"/>
          <w:color w:val="000000"/>
        </w:rPr>
        <w:t>minimize</w:t>
      </w:r>
      <w:r w:rsidR="007B6DA5">
        <w:rPr>
          <w:rFonts w:eastAsia="Times New Roman"/>
          <w:color w:val="000000"/>
        </w:rPr>
        <w:t>s</w:t>
      </w:r>
      <w:r w:rsidR="00B648FD" w:rsidRPr="00AA4B4B">
        <w:rPr>
          <w:rFonts w:eastAsia="Times New Roman"/>
          <w:color w:val="000000"/>
        </w:rPr>
        <w:t xml:space="preserve"> </w:t>
      </w:r>
      <w:r w:rsidR="0034022A">
        <w:rPr>
          <w:rFonts w:eastAsia="Times New Roman"/>
          <w:color w:val="000000"/>
        </w:rPr>
        <w:t xml:space="preserve">potential </w:t>
      </w:r>
      <w:r w:rsidR="00B648FD" w:rsidRPr="00AA4B4B">
        <w:rPr>
          <w:rFonts w:eastAsia="Times New Roman"/>
          <w:color w:val="000000"/>
        </w:rPr>
        <w:t xml:space="preserve">impacts </w:t>
      </w:r>
      <w:r w:rsidR="00B648FD">
        <w:rPr>
          <w:rFonts w:eastAsia="Times New Roman"/>
          <w:color w:val="000000"/>
        </w:rPr>
        <w:t>per the mitigation hierarchy</w:t>
      </w:r>
      <w:r w:rsidR="002C07BD">
        <w:rPr>
          <w:rFonts w:eastAsia="Times New Roman"/>
          <w:color w:val="000000"/>
        </w:rPr>
        <w:t xml:space="preserve"> and adopt</w:t>
      </w:r>
      <w:r w:rsidR="007B6DA5">
        <w:rPr>
          <w:rFonts w:eastAsia="Times New Roman"/>
          <w:color w:val="000000"/>
        </w:rPr>
        <w:t>s</w:t>
      </w:r>
      <w:r w:rsidR="002C07BD">
        <w:rPr>
          <w:rFonts w:eastAsia="Times New Roman"/>
          <w:color w:val="000000"/>
        </w:rPr>
        <w:t xml:space="preserve"> appropriate </w:t>
      </w:r>
      <w:r w:rsidR="0034022A">
        <w:rPr>
          <w:rFonts w:eastAsia="Times New Roman"/>
          <w:color w:val="000000"/>
        </w:rPr>
        <w:t>mitigation measures</w:t>
      </w:r>
      <w:r w:rsidR="00B648FD">
        <w:rPr>
          <w:rFonts w:eastAsia="Times New Roman"/>
          <w:color w:val="000000"/>
        </w:rPr>
        <w:t xml:space="preserve"> (e.g. relocating or modifying the footprint of supported activities, in situ conservation and rehabilitation).</w:t>
      </w:r>
      <w:r w:rsidR="00134C28">
        <w:t xml:space="preserve"> </w:t>
      </w:r>
      <w:r w:rsidR="0034022A">
        <w:t xml:space="preserve">Where potential adverse impacts may be significant, a Cultural Heritage Management Plan should be developed as part of the overall Environmental and Social Management Plan (ESMP). </w:t>
      </w:r>
      <w:r w:rsidR="00134C28" w:rsidRPr="0092560D">
        <w:t xml:space="preserve">The impacts on </w:t>
      </w:r>
      <w:r w:rsidR="00134C28">
        <w:t xml:space="preserve">Cultural Heritage </w:t>
      </w:r>
      <w:r w:rsidR="00134C28" w:rsidRPr="0092560D">
        <w:t xml:space="preserve">resulting from </w:t>
      </w:r>
      <w:r w:rsidR="00E60CC0">
        <w:t>project</w:t>
      </w:r>
      <w:r w:rsidR="00134C28" w:rsidRPr="0092560D">
        <w:t xml:space="preserve"> activities, </w:t>
      </w:r>
      <w:r w:rsidR="00134C28" w:rsidRPr="0092560D">
        <w:lastRenderedPageBreak/>
        <w:t>including mitigating me</w:t>
      </w:r>
      <w:r w:rsidR="00134C28">
        <w:t xml:space="preserve">asures, may not contravene the country’s </w:t>
      </w:r>
      <w:r w:rsidR="00134C28" w:rsidRPr="0092560D">
        <w:t>national legislation, or its obligations under relevant international treaties and agreements</w:t>
      </w:r>
      <w:r w:rsidR="00410FEC">
        <w:t>.</w:t>
      </w:r>
      <w:r w:rsidR="00410FEC">
        <w:rPr>
          <w:rStyle w:val="FootnoteReference"/>
        </w:rPr>
        <w:footnoteReference w:id="75"/>
      </w:r>
    </w:p>
    <w:p w14:paraId="17634550" w14:textId="466922D9" w:rsidR="0073183B" w:rsidRDefault="0073183B" w:rsidP="00D515A1">
      <w:pPr>
        <w:pStyle w:val="SEQSbodynumbered"/>
      </w:pPr>
      <w:r w:rsidRPr="009628D6">
        <w:rPr>
          <w:b/>
        </w:rPr>
        <w:t xml:space="preserve">Chance </w:t>
      </w:r>
      <w:r>
        <w:rPr>
          <w:b/>
        </w:rPr>
        <w:t>f</w:t>
      </w:r>
      <w:r w:rsidRPr="009628D6">
        <w:rPr>
          <w:b/>
        </w:rPr>
        <w:t xml:space="preserve">ind </w:t>
      </w:r>
      <w:r>
        <w:rPr>
          <w:b/>
        </w:rPr>
        <w:t>p</w:t>
      </w:r>
      <w:r w:rsidRPr="009628D6">
        <w:rPr>
          <w:b/>
        </w:rPr>
        <w:t>rocedures:</w:t>
      </w:r>
      <w:r>
        <w:t xml:space="preserve"> UNDP </w:t>
      </w:r>
      <w:r w:rsidR="00E60CC0">
        <w:t>project</w:t>
      </w:r>
      <w:r>
        <w:t xml:space="preserve">s ensure that </w:t>
      </w:r>
      <w:r w:rsidRPr="00021233">
        <w:t xml:space="preserve">chance find procedures </w:t>
      </w:r>
      <w:r>
        <w:t xml:space="preserve">are included </w:t>
      </w:r>
      <w:r w:rsidRPr="00021233">
        <w:t xml:space="preserve">in all plans and contracts regarding </w:t>
      </w:r>
      <w:r w:rsidR="00E60CC0">
        <w:t>project</w:t>
      </w:r>
      <w:r w:rsidRPr="00021233">
        <w:t>-related construction, including excavations, demolitions, movement of earth, flooding, or other changes in the physical environment</w:t>
      </w:r>
      <w:r>
        <w:t>;</w:t>
      </w:r>
      <w:r w:rsidRPr="00021233">
        <w:t xml:space="preserve"> </w:t>
      </w:r>
      <w:r>
        <w:t>s</w:t>
      </w:r>
      <w:r w:rsidRPr="00021233">
        <w:t xml:space="preserve">uch procedures establish how chance finds of </w:t>
      </w:r>
      <w:r>
        <w:t>tangible C</w:t>
      </w:r>
      <w:r w:rsidRPr="00021233">
        <w:t xml:space="preserve">ultural </w:t>
      </w:r>
      <w:r>
        <w:t>H</w:t>
      </w:r>
      <w:r w:rsidRPr="00021233">
        <w:t>eritage shall be managed, including notification of relevant authorities and stakeholders, avoidance of further disturbance or damage, protection, documentation and assessment of found objects by relevant experts.</w:t>
      </w:r>
    </w:p>
    <w:p w14:paraId="5666BB51" w14:textId="61270C85" w:rsidR="00134C28" w:rsidRDefault="007F21B3" w:rsidP="00AC7F5D">
      <w:pPr>
        <w:pStyle w:val="SEQSbodynumbered"/>
      </w:pPr>
      <w:r>
        <w:rPr>
          <w:b/>
        </w:rPr>
        <w:t>Community participation, stakeholder consultations and u</w:t>
      </w:r>
      <w:r w:rsidR="00134C28" w:rsidRPr="009628D6">
        <w:rPr>
          <w:b/>
        </w:rPr>
        <w:t xml:space="preserve">se of </w:t>
      </w:r>
      <w:r w:rsidR="00574B3F">
        <w:rPr>
          <w:b/>
        </w:rPr>
        <w:t>e</w:t>
      </w:r>
      <w:r w:rsidR="00134C28" w:rsidRPr="009628D6">
        <w:rPr>
          <w:b/>
        </w:rPr>
        <w:t>xperts:</w:t>
      </w:r>
      <w:r w:rsidR="00134C28">
        <w:t xml:space="preserve"> </w:t>
      </w:r>
      <w:r w:rsidR="00321840">
        <w:t xml:space="preserve">For </w:t>
      </w:r>
      <w:r w:rsidR="00E60CC0">
        <w:t>project</w:t>
      </w:r>
      <w:r w:rsidR="00321840">
        <w:t>s with potential adverse impacts, q</w:t>
      </w:r>
      <w:r w:rsidR="00134C28" w:rsidRPr="002E44AE">
        <w:t xml:space="preserve">ualified and experienced </w:t>
      </w:r>
      <w:r w:rsidR="00397EB6">
        <w:t xml:space="preserve">cultural heritage </w:t>
      </w:r>
      <w:r w:rsidR="00134C28" w:rsidRPr="002E44AE">
        <w:t xml:space="preserve">experts </w:t>
      </w:r>
      <w:r w:rsidR="00021233">
        <w:t xml:space="preserve">and </w:t>
      </w:r>
      <w:r w:rsidR="00021233">
        <w:rPr>
          <w:rFonts w:eastAsia="Times New Roman"/>
          <w:color w:val="000000"/>
        </w:rPr>
        <w:t xml:space="preserve">relevant stakeholders assist in the identification, documentation and </w:t>
      </w:r>
      <w:r w:rsidR="00464A5F">
        <w:rPr>
          <w:rFonts w:eastAsia="Times New Roman"/>
          <w:color w:val="000000"/>
        </w:rPr>
        <w:t xml:space="preserve">appropriate management (e.g. </w:t>
      </w:r>
      <w:r w:rsidR="00021233">
        <w:rPr>
          <w:rFonts w:eastAsia="Times New Roman"/>
          <w:color w:val="000000"/>
        </w:rPr>
        <w:t>protection</w:t>
      </w:r>
      <w:r w:rsidR="00464A5F">
        <w:rPr>
          <w:rFonts w:eastAsia="Times New Roman"/>
          <w:color w:val="000000"/>
        </w:rPr>
        <w:t>)</w:t>
      </w:r>
      <w:r w:rsidR="00021233">
        <w:rPr>
          <w:rFonts w:eastAsia="Times New Roman"/>
          <w:color w:val="000000"/>
        </w:rPr>
        <w:t xml:space="preserve"> of potentially affected cultural heritage. </w:t>
      </w:r>
      <w:r w:rsidR="00021233" w:rsidRPr="00F12BCC">
        <w:rPr>
          <w:rFonts w:eastAsia="Times New Roman"/>
          <w:color w:val="000000"/>
        </w:rPr>
        <w:t xml:space="preserve">Ensure meaningful, effective stakeholder consultations </w:t>
      </w:r>
      <w:r w:rsidR="00021233">
        <w:rPr>
          <w:rFonts w:eastAsia="Times New Roman"/>
          <w:color w:val="000000"/>
        </w:rPr>
        <w:t xml:space="preserve">are undertaken, including with </w:t>
      </w:r>
      <w:r w:rsidR="00021233" w:rsidRPr="00F12BCC">
        <w:rPr>
          <w:rFonts w:eastAsia="Times New Roman"/>
          <w:color w:val="000000"/>
        </w:rPr>
        <w:t>local and national regulatory authorities</w:t>
      </w:r>
      <w:r w:rsidR="00021233">
        <w:rPr>
          <w:rFonts w:eastAsia="Times New Roman"/>
          <w:color w:val="000000"/>
        </w:rPr>
        <w:t xml:space="preserve"> entrusted with the protection of Cultural Heritage; local, national or international Cultural Heritage experts and organizations; and affected-parties, including individuals and communities who develop, have developed, use or have used the potentially affected Cultural Heritage within living memory. </w:t>
      </w:r>
      <w:r w:rsidR="00021233">
        <w:t xml:space="preserve">Where the Cultural Heritage of indigenous peoples may be affected by </w:t>
      </w:r>
      <w:r w:rsidR="00E60CC0">
        <w:t>project</w:t>
      </w:r>
      <w:r w:rsidR="00021233">
        <w:t xml:space="preserve"> activities, ensure that the requirements of the Standard 6: Indigenous Peoples are followed.</w:t>
      </w:r>
    </w:p>
    <w:p w14:paraId="3E2D078A" w14:textId="67B92FF4" w:rsidR="00A739A6" w:rsidRDefault="00A739A6" w:rsidP="007834FA">
      <w:pPr>
        <w:pStyle w:val="SEQSbodynumbered"/>
      </w:pPr>
      <w:r w:rsidRPr="00C3696D">
        <w:rPr>
          <w:b/>
        </w:rPr>
        <w:t>Continued access</w:t>
      </w:r>
      <w:r>
        <w:rPr>
          <w:b/>
        </w:rPr>
        <w:t>:</w:t>
      </w:r>
      <w:r>
        <w:t xml:space="preserve"> </w:t>
      </w:r>
      <w:r w:rsidR="00BB3745">
        <w:t xml:space="preserve">UNDP </w:t>
      </w:r>
      <w:r w:rsidR="00E60CC0">
        <w:t>project</w:t>
      </w:r>
      <w:r w:rsidR="00EC648E">
        <w:t xml:space="preserve">s </w:t>
      </w:r>
      <w:r w:rsidR="00BB3745">
        <w:t>a</w:t>
      </w:r>
      <w:r>
        <w:t xml:space="preserve">void restricting access to Cultural Heritage sites and </w:t>
      </w:r>
      <w:r w:rsidRPr="00AA48FA">
        <w:t xml:space="preserve">to the instruments, objects, artefacts, cultural and natural spaces and places of memory necessary for expressing intangible </w:t>
      </w:r>
      <w:r>
        <w:t>C</w:t>
      </w:r>
      <w:r w:rsidRPr="00AA48FA">
        <w:t xml:space="preserve">ultural </w:t>
      </w:r>
      <w:r>
        <w:t>H</w:t>
      </w:r>
      <w:r w:rsidRPr="00AA48FA">
        <w:t>eritage</w:t>
      </w:r>
      <w:r>
        <w:t>. However, where this is not possible</w:t>
      </w:r>
      <w:r w:rsidR="00BB3745">
        <w:t xml:space="preserve">, </w:t>
      </w:r>
      <w:r w:rsidR="00E60CC0">
        <w:t>project</w:t>
      </w:r>
      <w:r w:rsidR="00EC648E">
        <w:t>s</w:t>
      </w:r>
      <w:r w:rsidR="00BB3745">
        <w:t xml:space="preserve"> </w:t>
      </w:r>
      <w:r w:rsidR="00805C0C">
        <w:t>ensure</w:t>
      </w:r>
      <w:r w:rsidRPr="00F12BCC">
        <w:t xml:space="preserve"> continued access </w:t>
      </w:r>
      <w:r>
        <w:t xml:space="preserve">based on stakeholder consultations and </w:t>
      </w:r>
      <w:r w:rsidRPr="00F12BCC">
        <w:t>alternative routes</w:t>
      </w:r>
      <w:r w:rsidR="00805C0C">
        <w:t xml:space="preserve"> are provided</w:t>
      </w:r>
      <w:r w:rsidRPr="00F12BCC">
        <w:t xml:space="preserve"> if access </w:t>
      </w:r>
      <w:r>
        <w:t xml:space="preserve">is </w:t>
      </w:r>
      <w:r w:rsidRPr="00F12BCC">
        <w:t>blocked, subject to overriding safety and security considerations</w:t>
      </w:r>
      <w:r>
        <w:t>.</w:t>
      </w:r>
    </w:p>
    <w:p w14:paraId="60870F4C" w14:textId="0B69CC6F" w:rsidR="00A739A6" w:rsidRPr="002E44AE" w:rsidRDefault="00A739A6">
      <w:pPr>
        <w:pStyle w:val="SEQSbodynumbered"/>
      </w:pPr>
      <w:r w:rsidRPr="00005FC4">
        <w:rPr>
          <w:b/>
        </w:rPr>
        <w:t>Confidentiality</w:t>
      </w:r>
      <w:r>
        <w:rPr>
          <w:b/>
        </w:rPr>
        <w:t xml:space="preserve"> and restricted access by communities:</w:t>
      </w:r>
      <w:r>
        <w:t xml:space="preserve"> Together w</w:t>
      </w:r>
      <w:r w:rsidRPr="00005FC4">
        <w:t>ith stakeholders</w:t>
      </w:r>
      <w:r w:rsidR="00BB3745">
        <w:t xml:space="preserve"> UNDP </w:t>
      </w:r>
      <w:r w:rsidR="00E60CC0">
        <w:t>project</w:t>
      </w:r>
      <w:r w:rsidR="00EC648E">
        <w:t xml:space="preserve">s </w:t>
      </w:r>
      <w:r w:rsidRPr="00005FC4">
        <w:t xml:space="preserve">determine whether disclosure of information </w:t>
      </w:r>
      <w:r>
        <w:t>regarding Cultural Heritage</w:t>
      </w:r>
      <w:r w:rsidRPr="00005FC4">
        <w:t xml:space="preserve"> would compromise or jeopardize </w:t>
      </w:r>
      <w:r>
        <w:t xml:space="preserve">its </w:t>
      </w:r>
      <w:r w:rsidRPr="00005FC4">
        <w:t xml:space="preserve">safety or integrity or endanger sources of information. In such cases, sensitive information may be withheld from public disclosure. If communities </w:t>
      </w:r>
      <w:r>
        <w:t xml:space="preserve">affected by </w:t>
      </w:r>
      <w:r w:rsidR="00E60CC0">
        <w:t>project</w:t>
      </w:r>
      <w:r>
        <w:t xml:space="preserve"> activities </w:t>
      </w:r>
      <w:r w:rsidRPr="00005FC4">
        <w:t xml:space="preserve">hold </w:t>
      </w:r>
      <w:r>
        <w:t xml:space="preserve">the </w:t>
      </w:r>
      <w:r w:rsidRPr="00005FC4">
        <w:t xml:space="preserve">location, characteristics or traditional use of </w:t>
      </w:r>
      <w:r w:rsidR="008D5615">
        <w:t>C</w:t>
      </w:r>
      <w:r>
        <w:t xml:space="preserve">ultural </w:t>
      </w:r>
      <w:r w:rsidR="008D5615">
        <w:t>H</w:t>
      </w:r>
      <w:r>
        <w:t>eritage</w:t>
      </w:r>
      <w:r w:rsidRPr="00005FC4">
        <w:t xml:space="preserve"> in secret,</w:t>
      </w:r>
      <w:r w:rsidR="00BB3745">
        <w:t xml:space="preserve"> then </w:t>
      </w:r>
      <w:r w:rsidR="00EC648E">
        <w:t xml:space="preserve">the </w:t>
      </w:r>
      <w:r w:rsidR="00E60CC0">
        <w:t>project</w:t>
      </w:r>
      <w:r w:rsidR="00BB3745">
        <w:t xml:space="preserve"> will</w:t>
      </w:r>
      <w:r w:rsidRPr="00005FC4">
        <w:t xml:space="preserve"> </w:t>
      </w:r>
      <w:r w:rsidR="00805C0C">
        <w:t>support</w:t>
      </w:r>
      <w:r w:rsidRPr="00005FC4">
        <w:t xml:space="preserve"> measures to maintain confidentiality</w:t>
      </w:r>
      <w:r w:rsidR="00805C0C">
        <w:t xml:space="preserve"> and </w:t>
      </w:r>
      <w:r w:rsidR="00133936">
        <w:t>to respect</w:t>
      </w:r>
      <w:r w:rsidRPr="00AA48FA">
        <w:t xml:space="preserve"> customary practices </w:t>
      </w:r>
      <w:r w:rsidR="00805C0C">
        <w:t xml:space="preserve">of </w:t>
      </w:r>
      <w:r w:rsidRPr="00AA48FA">
        <w:t xml:space="preserve">communities </w:t>
      </w:r>
      <w:r w:rsidR="00133936">
        <w:t>that</w:t>
      </w:r>
      <w:r w:rsidR="00805C0C">
        <w:t xml:space="preserve"> limit</w:t>
      </w:r>
      <w:r w:rsidRPr="00AA48FA">
        <w:t xml:space="preserve"> access to specific aspects of </w:t>
      </w:r>
      <w:r w:rsidR="00805C0C">
        <w:t>their</w:t>
      </w:r>
      <w:r w:rsidRPr="00AA48FA">
        <w:t xml:space="preserve"> </w:t>
      </w:r>
      <w:r>
        <w:t>C</w:t>
      </w:r>
      <w:r w:rsidRPr="00AA48FA">
        <w:t xml:space="preserve">ultural </w:t>
      </w:r>
      <w:r>
        <w:t>H</w:t>
      </w:r>
      <w:r w:rsidRPr="00AA48FA">
        <w:t>eritage.</w:t>
      </w:r>
    </w:p>
    <w:p w14:paraId="3862D277" w14:textId="59D061B2" w:rsidR="00C71059" w:rsidRDefault="000370F3">
      <w:pPr>
        <w:pStyle w:val="SEQSbodynumbered"/>
      </w:pPr>
      <w:r>
        <w:rPr>
          <w:b/>
        </w:rPr>
        <w:t>Integration and u</w:t>
      </w:r>
      <w:r w:rsidR="005432D0" w:rsidRPr="009628D6">
        <w:rPr>
          <w:b/>
        </w:rPr>
        <w:t>se of Cultural Heritage</w:t>
      </w:r>
      <w:r w:rsidR="005432D0">
        <w:t xml:space="preserve">: Where a </w:t>
      </w:r>
      <w:r w:rsidR="00E60CC0">
        <w:t>project</w:t>
      </w:r>
      <w:r w:rsidR="005432D0">
        <w:t xml:space="preserve"> proposes to </w:t>
      </w:r>
      <w:r>
        <w:t>integrate and</w:t>
      </w:r>
      <w:r w:rsidR="009E20D3">
        <w:t>/or</w:t>
      </w:r>
      <w:r>
        <w:t xml:space="preserve"> </w:t>
      </w:r>
      <w:r w:rsidR="005432D0">
        <w:t xml:space="preserve">utilize Cultural Heritage, including </w:t>
      </w:r>
      <w:r w:rsidR="00574B3F">
        <w:t xml:space="preserve">the </w:t>
      </w:r>
      <w:r w:rsidR="005432D0">
        <w:t xml:space="preserve">knowledge, innovations, or practices of local communities, </w:t>
      </w:r>
      <w:r w:rsidR="00C85B59">
        <w:t xml:space="preserve">the </w:t>
      </w:r>
      <w:r w:rsidR="00E60CC0">
        <w:t>project</w:t>
      </w:r>
      <w:r w:rsidR="009E20D3">
        <w:t xml:space="preserve"> will </w:t>
      </w:r>
      <w:r>
        <w:t xml:space="preserve">engage in meaningful consultations and inform </w:t>
      </w:r>
      <w:r w:rsidR="005432D0">
        <w:t xml:space="preserve">affected communities of their rights under Applicable Law, the scope and nature of the proposed development, and the potential consequences of such </w:t>
      </w:r>
      <w:r>
        <w:t>integration and utilization</w:t>
      </w:r>
      <w:r w:rsidR="005432D0">
        <w:t>.</w:t>
      </w:r>
    </w:p>
    <w:p w14:paraId="423102BC" w14:textId="4C569519" w:rsidR="00EC648E" w:rsidRDefault="00D56B50">
      <w:pPr>
        <w:pStyle w:val="SEQSbodynumbered"/>
      </w:pPr>
      <w:r w:rsidRPr="00D56B50">
        <w:t xml:space="preserve">Where </w:t>
      </w:r>
      <w:r w:rsidR="00E60CC0">
        <w:t>project</w:t>
      </w:r>
      <w:r w:rsidRPr="00D56B50">
        <w:t xml:space="preserve"> activities </w:t>
      </w:r>
      <w:r w:rsidR="00C71059">
        <w:t>seek to</w:t>
      </w:r>
      <w:r w:rsidRPr="00D56B50">
        <w:t xml:space="preserve"> facilitat</w:t>
      </w:r>
      <w:r w:rsidR="00C71059">
        <w:t>e</w:t>
      </w:r>
      <w:r w:rsidRPr="00D56B50">
        <w:t xml:space="preserve"> commercial use</w:t>
      </w:r>
      <w:r w:rsidR="009E20D3">
        <w:t xml:space="preserve"> </w:t>
      </w:r>
      <w:r w:rsidRPr="00D56B50">
        <w:t xml:space="preserve">of </w:t>
      </w:r>
      <w:r>
        <w:t>C</w:t>
      </w:r>
      <w:r w:rsidRPr="00D56B50">
        <w:t xml:space="preserve">ultural </w:t>
      </w:r>
      <w:r>
        <w:t>H</w:t>
      </w:r>
      <w:r w:rsidRPr="00D56B50">
        <w:t xml:space="preserve">eritage </w:t>
      </w:r>
      <w:r w:rsidR="00AB681D">
        <w:t xml:space="preserve">by relevant communities </w:t>
      </w:r>
      <w:r w:rsidRPr="00D56B50">
        <w:t>as an option for them to consider</w:t>
      </w:r>
      <w:r w:rsidR="00AB681D">
        <w:t xml:space="preserve"> (including alternative livelihood development),</w:t>
      </w:r>
      <w:r w:rsidR="009E20D3">
        <w:t xml:space="preserve"> UNDP </w:t>
      </w:r>
      <w:r w:rsidR="00E60CC0">
        <w:t>project</w:t>
      </w:r>
      <w:r w:rsidR="00417DCC">
        <w:t xml:space="preserve">s </w:t>
      </w:r>
      <w:r w:rsidR="00AB681D">
        <w:t>ensure that</w:t>
      </w:r>
      <w:r w:rsidRPr="00D56B50">
        <w:t xml:space="preserve"> communities </w:t>
      </w:r>
      <w:r w:rsidR="00AB681D">
        <w:t xml:space="preserve">are informed </w:t>
      </w:r>
      <w:r w:rsidRPr="00D56B50">
        <w:t xml:space="preserve">of their rights and </w:t>
      </w:r>
      <w:r w:rsidR="00AB681D">
        <w:t xml:space="preserve">the </w:t>
      </w:r>
      <w:r w:rsidRPr="00D56B50">
        <w:t>options available to them.</w:t>
      </w:r>
      <w:r>
        <w:t xml:space="preserve"> </w:t>
      </w:r>
      <w:r w:rsidR="00E60CC0">
        <w:rPr>
          <w:rFonts w:eastAsia="Times New Roman"/>
          <w:color w:val="000000"/>
        </w:rPr>
        <w:lastRenderedPageBreak/>
        <w:t>project</w:t>
      </w:r>
      <w:r>
        <w:rPr>
          <w:rFonts w:eastAsia="Times New Roman"/>
          <w:color w:val="000000"/>
        </w:rPr>
        <w:t xml:space="preserve"> activities that envisage supporting specific commercial activities involving Cultural Heritage</w:t>
      </w:r>
      <w:r>
        <w:t xml:space="preserve"> </w:t>
      </w:r>
      <w:r w:rsidR="005432D0">
        <w:t xml:space="preserve">will not proceed </w:t>
      </w:r>
      <w:r w:rsidR="008B7DF3">
        <w:t xml:space="preserve">without meaningful, effective participation of affected communities and </w:t>
      </w:r>
      <w:r w:rsidR="005432D0">
        <w:t>unless good faith negotiations with affected communities result in a documented outcome</w:t>
      </w:r>
      <w:r>
        <w:t xml:space="preserve"> that</w:t>
      </w:r>
      <w:r w:rsidR="005432D0">
        <w:t xml:space="preserve"> provides for fair and equitable sharing of benefits from </w:t>
      </w:r>
      <w:r>
        <w:t>such commercial use</w:t>
      </w:r>
      <w:r w:rsidR="005432D0">
        <w:t xml:space="preserve"> </w:t>
      </w:r>
      <w:r>
        <w:rPr>
          <w:rFonts w:eastAsia="Times New Roman"/>
          <w:color w:val="000000"/>
        </w:rPr>
        <w:t>and appropriate mitigation and safeguarding measures per the mitigation hierarchy.</w:t>
      </w:r>
      <w:r w:rsidRPr="00ED4C8A">
        <w:rPr>
          <w:rFonts w:eastAsia="Times New Roman"/>
          <w:b/>
          <w:color w:val="000000"/>
        </w:rPr>
        <w:t xml:space="preserve"> </w:t>
      </w:r>
      <w:r w:rsidR="00D832D1">
        <w:rPr>
          <w:rFonts w:eastAsia="Times New Roman"/>
          <w:color w:val="000000"/>
        </w:rPr>
        <w:t>T</w:t>
      </w:r>
      <w:r w:rsidR="00EA6179">
        <w:rPr>
          <w:rFonts w:eastAsia="Times New Roman"/>
          <w:color w:val="000000"/>
        </w:rPr>
        <w:t xml:space="preserve">he </w:t>
      </w:r>
      <w:r w:rsidR="00E60CC0">
        <w:rPr>
          <w:rFonts w:eastAsia="Times New Roman"/>
          <w:color w:val="000000"/>
        </w:rPr>
        <w:t>project</w:t>
      </w:r>
      <w:r w:rsidR="003A7EA2" w:rsidRPr="003A7EA2">
        <w:rPr>
          <w:rFonts w:eastAsia="Times New Roman"/>
          <w:color w:val="000000"/>
        </w:rPr>
        <w:t xml:space="preserve"> will</w:t>
      </w:r>
      <w:r w:rsidR="003A7EA2">
        <w:rPr>
          <w:rFonts w:eastAsia="Times New Roman"/>
          <w:b/>
          <w:color w:val="000000"/>
        </w:rPr>
        <w:t xml:space="preserve"> </w:t>
      </w:r>
      <w:r w:rsidR="00AB681D" w:rsidRPr="00A42F72">
        <w:rPr>
          <w:rFonts w:eastAsia="Times New Roman"/>
          <w:color w:val="000000"/>
        </w:rPr>
        <w:t xml:space="preserve">seek to </w:t>
      </w:r>
      <w:r w:rsidR="003A7EA2">
        <w:rPr>
          <w:rFonts w:eastAsia="Times New Roman"/>
          <w:color w:val="000000"/>
        </w:rPr>
        <w:t>e</w:t>
      </w:r>
      <w:r w:rsidRPr="00986E9C">
        <w:rPr>
          <w:rFonts w:eastAsia="Times New Roman"/>
          <w:color w:val="000000"/>
        </w:rPr>
        <w:t>nsure that any</w:t>
      </w:r>
      <w:r w:rsidR="00AB681D">
        <w:rPr>
          <w:rFonts w:eastAsia="Times New Roman"/>
          <w:color w:val="000000"/>
        </w:rPr>
        <w:t xml:space="preserve"> such</w:t>
      </w:r>
      <w:r w:rsidRPr="00986E9C">
        <w:rPr>
          <w:rFonts w:eastAsia="Times New Roman"/>
          <w:color w:val="000000"/>
        </w:rPr>
        <w:t xml:space="preserve"> commercial use does not distort the meaning and purpose of the </w:t>
      </w:r>
      <w:r w:rsidR="00AB681D">
        <w:rPr>
          <w:rFonts w:eastAsia="Times New Roman"/>
          <w:color w:val="000000"/>
        </w:rPr>
        <w:t>community’s</w:t>
      </w:r>
      <w:r w:rsidRPr="00986E9C">
        <w:rPr>
          <w:rFonts w:eastAsia="Times New Roman"/>
          <w:color w:val="000000"/>
        </w:rPr>
        <w:t xml:space="preserve"> </w:t>
      </w:r>
      <w:r>
        <w:rPr>
          <w:rFonts w:eastAsia="Times New Roman"/>
          <w:color w:val="000000"/>
        </w:rPr>
        <w:t>C</w:t>
      </w:r>
      <w:r w:rsidRPr="00986E9C">
        <w:rPr>
          <w:rFonts w:eastAsia="Times New Roman"/>
          <w:color w:val="000000"/>
        </w:rPr>
        <w:t xml:space="preserve">ultural </w:t>
      </w:r>
      <w:r>
        <w:rPr>
          <w:rFonts w:eastAsia="Times New Roman"/>
          <w:color w:val="000000"/>
        </w:rPr>
        <w:t>H</w:t>
      </w:r>
      <w:r w:rsidRPr="00986E9C">
        <w:rPr>
          <w:rFonts w:eastAsia="Times New Roman"/>
          <w:color w:val="000000"/>
        </w:rPr>
        <w:t>eritage</w:t>
      </w:r>
      <w:r w:rsidR="005432D0">
        <w:t>.</w:t>
      </w:r>
      <w:r w:rsidR="00AB681D">
        <w:rPr>
          <w:rStyle w:val="FootnoteReference"/>
        </w:rPr>
        <w:footnoteReference w:id="76"/>
      </w:r>
      <w:r w:rsidR="005432D0">
        <w:t xml:space="preserve"> For </w:t>
      </w:r>
      <w:r w:rsidR="00E60CC0">
        <w:t>project</w:t>
      </w:r>
      <w:r w:rsidR="005432D0">
        <w:t xml:space="preserve">s that propose to utilize Cultural Heritage of </w:t>
      </w:r>
      <w:r w:rsidR="00574B3F">
        <w:t>i</w:t>
      </w:r>
      <w:r w:rsidR="005432D0">
        <w:t xml:space="preserve">ndigenous </w:t>
      </w:r>
      <w:r w:rsidR="00574B3F">
        <w:t>p</w:t>
      </w:r>
      <w:r w:rsidR="005432D0">
        <w:t xml:space="preserve">eoples, the requirements of </w:t>
      </w:r>
      <w:r w:rsidR="00094182">
        <w:t xml:space="preserve">Standard 6: </w:t>
      </w:r>
      <w:r w:rsidR="005432D0">
        <w:t xml:space="preserve">Indigenous Peoples </w:t>
      </w:r>
      <w:r w:rsidR="003A7EA2">
        <w:t xml:space="preserve">also </w:t>
      </w:r>
      <w:r w:rsidR="005432D0">
        <w:t xml:space="preserve">apply. </w:t>
      </w:r>
    </w:p>
    <w:p w14:paraId="6D42C887" w14:textId="6D956679" w:rsidR="005432D0" w:rsidRDefault="00EC648E">
      <w:pPr>
        <w:pStyle w:val="SEQSbodynumbered"/>
      </w:pPr>
      <w:r w:rsidRPr="00A97BFD">
        <w:rPr>
          <w:b/>
        </w:rPr>
        <w:t xml:space="preserve">Intangible </w:t>
      </w:r>
      <w:r>
        <w:rPr>
          <w:b/>
        </w:rPr>
        <w:t>C</w:t>
      </w:r>
      <w:r w:rsidRPr="00A97BFD">
        <w:rPr>
          <w:b/>
        </w:rPr>
        <w:t xml:space="preserve">ultural </w:t>
      </w:r>
      <w:r>
        <w:rPr>
          <w:b/>
        </w:rPr>
        <w:t>H</w:t>
      </w:r>
      <w:r w:rsidRPr="00A97BFD">
        <w:rPr>
          <w:b/>
        </w:rPr>
        <w:t>eritage</w:t>
      </w:r>
      <w:r>
        <w:rPr>
          <w:b/>
        </w:rPr>
        <w:t>:</w:t>
      </w:r>
      <w:r w:rsidRPr="00A97BFD">
        <w:t xml:space="preserve"> </w:t>
      </w:r>
      <w:r>
        <w:t xml:space="preserve">UNDP </w:t>
      </w:r>
      <w:r w:rsidR="00E60CC0">
        <w:t>project</w:t>
      </w:r>
      <w:r>
        <w:t>s e</w:t>
      </w:r>
      <w:r w:rsidRPr="00A97BFD">
        <w:t xml:space="preserve">nsure </w:t>
      </w:r>
      <w:r w:rsidR="00D832D1">
        <w:t>r</w:t>
      </w:r>
      <w:r w:rsidR="00D832D1" w:rsidRPr="00A97BFD">
        <w:t xml:space="preserve">espect </w:t>
      </w:r>
      <w:r w:rsidR="00D832D1">
        <w:t xml:space="preserve">for </w:t>
      </w:r>
      <w:r w:rsidR="00D832D1" w:rsidRPr="00A97BFD">
        <w:t xml:space="preserve">the dynamic and living nature of intangible </w:t>
      </w:r>
      <w:r w:rsidR="00D832D1">
        <w:t>C</w:t>
      </w:r>
      <w:r w:rsidR="00D832D1" w:rsidRPr="00A97BFD">
        <w:t xml:space="preserve">ultural </w:t>
      </w:r>
      <w:r w:rsidR="00D832D1">
        <w:t>H</w:t>
      </w:r>
      <w:r w:rsidR="00D832D1" w:rsidRPr="00A97BFD">
        <w:t xml:space="preserve">eritage and the right of communities, groups and, where applicable, individuals to continue the practices, representations, expressions, knowledge and skills necessary to ensure the viability of their intangible </w:t>
      </w:r>
      <w:r w:rsidR="00D832D1">
        <w:t>C</w:t>
      </w:r>
      <w:r w:rsidR="00D832D1" w:rsidRPr="00A97BFD">
        <w:t xml:space="preserve">ultural </w:t>
      </w:r>
      <w:r w:rsidR="00D832D1">
        <w:t>H</w:t>
      </w:r>
      <w:r w:rsidR="00D832D1" w:rsidRPr="00A97BFD">
        <w:t>eritage</w:t>
      </w:r>
      <w:r w:rsidR="00D832D1">
        <w:t xml:space="preserve">. Where </w:t>
      </w:r>
      <w:r w:rsidR="00E60CC0">
        <w:t>project</w:t>
      </w:r>
      <w:r w:rsidR="00D832D1">
        <w:t xml:space="preserve">s may involve or affect intangible Cultural Heritage, they will ensure </w:t>
      </w:r>
      <w:r w:rsidRPr="00A97BFD">
        <w:t xml:space="preserve">the meaningful participation of concerned </w:t>
      </w:r>
      <w:r w:rsidR="00D54389">
        <w:t>parties</w:t>
      </w:r>
      <w:r w:rsidRPr="00A97BFD">
        <w:t xml:space="preserve"> in </w:t>
      </w:r>
      <w:r w:rsidR="00D832D1">
        <w:t>identifying</w:t>
      </w:r>
      <w:r w:rsidR="00D832D1" w:rsidRPr="00A97BFD">
        <w:t xml:space="preserve"> </w:t>
      </w:r>
      <w:r w:rsidR="00D832D1">
        <w:t>risks and impacts</w:t>
      </w:r>
      <w:r w:rsidRPr="00A97BFD">
        <w:t xml:space="preserve"> to their intangible </w:t>
      </w:r>
      <w:r>
        <w:t>C</w:t>
      </w:r>
      <w:r w:rsidRPr="00A97BFD">
        <w:t xml:space="preserve">ultural </w:t>
      </w:r>
      <w:r>
        <w:t>H</w:t>
      </w:r>
      <w:r w:rsidRPr="00A97BFD">
        <w:t>eritage</w:t>
      </w:r>
      <w:r>
        <w:t>—</w:t>
      </w:r>
      <w:r w:rsidRPr="00A97BFD">
        <w:t xml:space="preserve">including </w:t>
      </w:r>
      <w:r w:rsidR="00D832D1">
        <w:t>its</w:t>
      </w:r>
      <w:r w:rsidR="00D832D1" w:rsidRPr="00A97BFD">
        <w:t xml:space="preserve"> </w:t>
      </w:r>
      <w:r w:rsidRPr="00A97BFD">
        <w:t>decontextualization, commodification and misrepresentation</w:t>
      </w:r>
      <w:r>
        <w:t>—</w:t>
      </w:r>
      <w:r w:rsidRPr="00A97BFD">
        <w:t xml:space="preserve">and in determining appropriate mitigation and safeguarding measures. This includes in the identification, inventorying, documentation, research, preservation, protection, promotion, enhancement, transmission, </w:t>
      </w:r>
      <w:r w:rsidR="00D832D1">
        <w:t>and</w:t>
      </w:r>
      <w:r w:rsidRPr="00A97BFD">
        <w:t xml:space="preserve"> revitalization of the various aspects of such heritage.</w:t>
      </w:r>
    </w:p>
    <w:p w14:paraId="2F029343" w14:textId="437C7D94" w:rsidR="00134C28" w:rsidRDefault="00021233">
      <w:pPr>
        <w:pStyle w:val="SEQSbodynumbered"/>
      </w:pPr>
      <w:r w:rsidRPr="00021233">
        <w:rPr>
          <w:b/>
        </w:rPr>
        <w:t>Legally protected cultural heritage areas</w:t>
      </w:r>
      <w:r>
        <w:rPr>
          <w:b/>
        </w:rPr>
        <w:t>:</w:t>
      </w:r>
      <w:r w:rsidRPr="00021233">
        <w:rPr>
          <w:b/>
        </w:rPr>
        <w:t xml:space="preserve"> </w:t>
      </w:r>
      <w:r w:rsidR="003A7EA2" w:rsidRPr="003A7EA2">
        <w:t xml:space="preserve">UNDP </w:t>
      </w:r>
      <w:r w:rsidR="00E60CC0">
        <w:t>project</w:t>
      </w:r>
      <w:r w:rsidR="005B5959">
        <w:t xml:space="preserve">s </w:t>
      </w:r>
      <w:r w:rsidR="003A7EA2">
        <w:t>i</w:t>
      </w:r>
      <w:r w:rsidRPr="00A37A8B">
        <w:t xml:space="preserve">dentify and avoid adverse impacts to legally protected </w:t>
      </w:r>
      <w:r w:rsidR="000370F3">
        <w:t>C</w:t>
      </w:r>
      <w:r w:rsidRPr="00A37A8B">
        <w:t xml:space="preserve">ultural </w:t>
      </w:r>
      <w:r w:rsidR="000370F3">
        <w:t>H</w:t>
      </w:r>
      <w:r w:rsidRPr="00A37A8B">
        <w:t xml:space="preserve">eritage areas; comply with defined national or local cultural heritage regulations, protected area management plans and/or conservation master plans; consult area sponsors and managers, local communities, local governments, local and national heritage authorities and other key stakeholders; and implement additional programs, as appropriate, to enhance conservation aims of </w:t>
      </w:r>
      <w:r w:rsidR="003A7EA2">
        <w:t>those</w:t>
      </w:r>
      <w:r w:rsidRPr="00A37A8B">
        <w:t xml:space="preserve"> areas.</w:t>
      </w:r>
      <w:r w:rsidR="007068C6">
        <w:t xml:space="preserve"> </w:t>
      </w:r>
      <w:r w:rsidR="007068C6" w:rsidRPr="007068C6">
        <w:t>A Heritage Impact Assessment may be necessary, particularly for sites with an international designation such as cultural World Heritage sites</w:t>
      </w:r>
      <w:r w:rsidR="007068C6">
        <w:rPr>
          <w:b/>
        </w:rPr>
        <w:t>.</w:t>
      </w:r>
    </w:p>
    <w:p w14:paraId="10D82ABD" w14:textId="77777777" w:rsidR="00A97BFD" w:rsidRPr="00A42F72" w:rsidRDefault="00A97BFD" w:rsidP="00A42F72">
      <w:pPr>
        <w:rPr>
          <w:b/>
          <w:i/>
        </w:rPr>
      </w:pPr>
      <w:r w:rsidRPr="00A42F72">
        <w:rPr>
          <w:b/>
          <w:i/>
        </w:rPr>
        <w:t>Further Provisions for Specific Types of Cultural Heritage</w:t>
      </w:r>
    </w:p>
    <w:p w14:paraId="4FEC4D61" w14:textId="6DEB6D24" w:rsidR="00A97BFD" w:rsidRPr="00A97BFD" w:rsidRDefault="00A97BFD" w:rsidP="00D515A1">
      <w:pPr>
        <w:pStyle w:val="SEQSbodynumbered"/>
      </w:pPr>
      <w:r w:rsidRPr="00A97BFD">
        <w:rPr>
          <w:b/>
        </w:rPr>
        <w:t>Archaeological sites and materials</w:t>
      </w:r>
      <w:r w:rsidR="00B360E6">
        <w:rPr>
          <w:b/>
        </w:rPr>
        <w:t>:</w:t>
      </w:r>
      <w:r w:rsidRPr="00A97BFD">
        <w:t xml:space="preserve"> Where there is evidence or high probability of past human activity in the </w:t>
      </w:r>
      <w:r w:rsidR="00E60CC0">
        <w:t>project</w:t>
      </w:r>
      <w:r w:rsidRPr="00A97BFD">
        <w:t xml:space="preserve"> area,</w:t>
      </w:r>
      <w:r w:rsidR="000D12DF">
        <w:t xml:space="preserve"> UNDP</w:t>
      </w:r>
      <w:r w:rsidR="005B5959">
        <w:t xml:space="preserve"> </w:t>
      </w:r>
      <w:r w:rsidR="00E60CC0">
        <w:t>project</w:t>
      </w:r>
      <w:r w:rsidR="005B5959">
        <w:t xml:space="preserve">s </w:t>
      </w:r>
      <w:r w:rsidR="000D12DF">
        <w:t>require</w:t>
      </w:r>
      <w:r w:rsidRPr="00A97BFD">
        <w:t xml:space="preserve"> desk-based research and field surveys to document, map and investigate archaeological remains, document location and characteristics of sites and materials discovered during the </w:t>
      </w:r>
      <w:r w:rsidR="00E60CC0">
        <w:t>project</w:t>
      </w:r>
      <w:r w:rsidRPr="00A97BFD">
        <w:t xml:space="preserve"> cycle, provide documentation to </w:t>
      </w:r>
      <w:r>
        <w:t>C</w:t>
      </w:r>
      <w:r w:rsidRPr="00A97BFD">
        <w:t xml:space="preserve">ultural </w:t>
      </w:r>
      <w:r w:rsidR="000D12DF">
        <w:t>H</w:t>
      </w:r>
      <w:r w:rsidRPr="00A97BFD">
        <w:t xml:space="preserve">eritage authorities, </w:t>
      </w:r>
      <w:r w:rsidRPr="003903D7">
        <w:rPr>
          <w:lang w:val="en-GB"/>
        </w:rPr>
        <w:t>and provide documentation, with</w:t>
      </w:r>
      <w:r w:rsidR="001A2677" w:rsidRPr="003903D7">
        <w:rPr>
          <w:lang w:val="en-GB"/>
        </w:rPr>
        <w:t xml:space="preserve"> guidance </w:t>
      </w:r>
      <w:r w:rsidRPr="003903D7">
        <w:rPr>
          <w:lang w:val="en-GB"/>
        </w:rPr>
        <w:t xml:space="preserve">on due obligations, to relevant authorities undertaking </w:t>
      </w:r>
      <w:r w:rsidR="00E60CC0">
        <w:rPr>
          <w:lang w:val="en-GB"/>
        </w:rPr>
        <w:t>project</w:t>
      </w:r>
      <w:r w:rsidRPr="003903D7">
        <w:rPr>
          <w:lang w:val="en-GB"/>
        </w:rPr>
        <w:t xml:space="preserve"> activities (e.g. departments of waterworks, agriculture, tourism, transportation and energy)</w:t>
      </w:r>
      <w:r w:rsidRPr="00A97BFD">
        <w:t xml:space="preserve">. </w:t>
      </w:r>
      <w:r w:rsidR="005A40D8">
        <w:t>P</w:t>
      </w:r>
      <w:r w:rsidR="00E60CC0">
        <w:t>roject</w:t>
      </w:r>
      <w:r w:rsidR="00342A81">
        <w:t>s</w:t>
      </w:r>
      <w:r w:rsidR="000D12DF">
        <w:t xml:space="preserve"> will d</w:t>
      </w:r>
      <w:r w:rsidRPr="00A97BFD">
        <w:t xml:space="preserve">etermine in consultation with </w:t>
      </w:r>
      <w:r>
        <w:t>C</w:t>
      </w:r>
      <w:r w:rsidRPr="00A97BFD">
        <w:t xml:space="preserve">ultural </w:t>
      </w:r>
      <w:r>
        <w:t>H</w:t>
      </w:r>
      <w:r w:rsidRPr="00A97BFD">
        <w:t>eritage experts whether discovered material requires (a) documentation only, (b) excavation and documentation, or (c) conservation in place</w:t>
      </w:r>
      <w:r w:rsidR="000D12DF">
        <w:t xml:space="preserve"> (in situ);</w:t>
      </w:r>
      <w:r w:rsidRPr="00A97BFD">
        <w:t xml:space="preserve"> and </w:t>
      </w:r>
      <w:r w:rsidR="000D12DF">
        <w:t xml:space="preserve">will ensure </w:t>
      </w:r>
      <w:r w:rsidRPr="00A97BFD">
        <w:t>manage</w:t>
      </w:r>
      <w:r w:rsidR="000D12DF">
        <w:t>ment of the</w:t>
      </w:r>
      <w:r w:rsidRPr="00A97BFD">
        <w:t xml:space="preserve"> site accordingly. </w:t>
      </w:r>
      <w:r w:rsidRPr="003903D7">
        <w:rPr>
          <w:lang w:val="en-GB"/>
        </w:rPr>
        <w:t xml:space="preserve">Most archaeological features are best protected by preservation in situ. If not possible, </w:t>
      </w:r>
      <w:r w:rsidR="000D12DF" w:rsidRPr="003903D7">
        <w:rPr>
          <w:lang w:val="en-GB"/>
        </w:rPr>
        <w:t xml:space="preserve">the </w:t>
      </w:r>
      <w:r w:rsidRPr="003903D7">
        <w:rPr>
          <w:lang w:val="en-GB"/>
        </w:rPr>
        <w:t xml:space="preserve">transfer of the Cultural Heritage to another location shall be conducted in consultation with and agreement of </w:t>
      </w:r>
      <w:r w:rsidR="00E60CC0">
        <w:rPr>
          <w:lang w:val="en-GB"/>
        </w:rPr>
        <w:t>project</w:t>
      </w:r>
      <w:r w:rsidRPr="003903D7">
        <w:rPr>
          <w:lang w:val="en-GB"/>
        </w:rPr>
        <w:t>-affected people</w:t>
      </w:r>
      <w:r w:rsidR="00BC39C2" w:rsidRPr="003903D7">
        <w:rPr>
          <w:lang w:val="en-GB"/>
        </w:rPr>
        <w:t xml:space="preserve"> and appropriate national partners</w:t>
      </w:r>
      <w:r w:rsidRPr="003903D7">
        <w:rPr>
          <w:lang w:val="en-GB"/>
        </w:rPr>
        <w:t xml:space="preserve">, in accordance with good international </w:t>
      </w:r>
      <w:r w:rsidRPr="003903D7">
        <w:rPr>
          <w:lang w:val="en-GB"/>
        </w:rPr>
        <w:lastRenderedPageBreak/>
        <w:t xml:space="preserve">practice. </w:t>
      </w:r>
      <w:r w:rsidR="00BC39C2" w:rsidRPr="003903D7">
        <w:rPr>
          <w:lang w:val="en-GB"/>
        </w:rPr>
        <w:t xml:space="preserve">UNDP </w:t>
      </w:r>
      <w:r w:rsidR="00E60CC0">
        <w:rPr>
          <w:lang w:val="en-GB"/>
        </w:rPr>
        <w:t>project</w:t>
      </w:r>
      <w:r w:rsidR="00B0640B" w:rsidRPr="003903D7">
        <w:rPr>
          <w:lang w:val="en-GB"/>
        </w:rPr>
        <w:t xml:space="preserve">s </w:t>
      </w:r>
      <w:r w:rsidR="00BC39C2" w:rsidRPr="003903D7">
        <w:rPr>
          <w:lang w:val="en-GB"/>
        </w:rPr>
        <w:t>will</w:t>
      </w:r>
      <w:r w:rsidR="00BC39C2">
        <w:rPr>
          <w:u w:val="single"/>
          <w:lang w:val="en-GB"/>
        </w:rPr>
        <w:t xml:space="preserve"> </w:t>
      </w:r>
      <w:r w:rsidR="00BC39C2">
        <w:t>d</w:t>
      </w:r>
      <w:r w:rsidRPr="00A97BFD">
        <w:t xml:space="preserve">etermine ownership and custodial responsibility for discovered material. Until custody is transferred, </w:t>
      </w:r>
      <w:r w:rsidR="00BC39C2">
        <w:t xml:space="preserve">UNDP will </w:t>
      </w:r>
      <w:r w:rsidRPr="00A97BFD">
        <w:t xml:space="preserve">ensure identification, conservation, labeling, secure storage and accessibility for study and analysis. </w:t>
      </w:r>
    </w:p>
    <w:p w14:paraId="37616F56" w14:textId="62A83169" w:rsidR="00A97BFD" w:rsidRPr="00A97BFD" w:rsidRDefault="00A97BFD" w:rsidP="00AC7F5D">
      <w:pPr>
        <w:pStyle w:val="SEQSbodynumbered"/>
        <w:rPr>
          <w:lang w:val="en-GB"/>
        </w:rPr>
      </w:pPr>
      <w:r w:rsidRPr="00A97BFD">
        <w:rPr>
          <w:b/>
        </w:rPr>
        <w:t>Built heritage</w:t>
      </w:r>
      <w:r w:rsidR="00B360E6">
        <w:rPr>
          <w:b/>
        </w:rPr>
        <w:t>:</w:t>
      </w:r>
      <w:r w:rsidRPr="00A97BFD">
        <w:t xml:space="preserve"> </w:t>
      </w:r>
      <w:r w:rsidR="00BC39C2">
        <w:t xml:space="preserve">UNDP </w:t>
      </w:r>
      <w:r w:rsidR="00E60CC0">
        <w:t>project</w:t>
      </w:r>
      <w:r w:rsidR="00AE1DEF">
        <w:t xml:space="preserve">s </w:t>
      </w:r>
      <w:r w:rsidR="00BC39C2">
        <w:t>i</w:t>
      </w:r>
      <w:r w:rsidRPr="00A97BFD">
        <w:t>dentify appropriate mitigation measures to address potential impacts on built heritage, which may include (a) documentation; (b) conservation or rehabilitation in situ</w:t>
      </w:r>
      <w:r w:rsidR="00BC39C2">
        <w:t>; and/or</w:t>
      </w:r>
      <w:r w:rsidRPr="00A97BFD">
        <w:t xml:space="preserve"> (c) relocation, reconstruction and conservation or rehabilitation. </w:t>
      </w:r>
      <w:r w:rsidRPr="003903D7">
        <w:rPr>
          <w:lang w:val="en-GB"/>
        </w:rPr>
        <w:t xml:space="preserve">Most built heritage features are best protected by preservation in situ. If not possible, </w:t>
      </w:r>
      <w:r w:rsidR="00BC39C2" w:rsidRPr="003903D7">
        <w:rPr>
          <w:lang w:val="en-GB"/>
        </w:rPr>
        <w:t xml:space="preserve">then the </w:t>
      </w:r>
      <w:r w:rsidRPr="003903D7">
        <w:rPr>
          <w:lang w:val="en-GB"/>
        </w:rPr>
        <w:t xml:space="preserve">transfer of the Cultural Heritage to another location shall be conducted in consultation with and agreement of </w:t>
      </w:r>
      <w:r w:rsidR="00E60CC0">
        <w:rPr>
          <w:lang w:val="en-GB"/>
        </w:rPr>
        <w:t>project</w:t>
      </w:r>
      <w:r w:rsidRPr="003903D7">
        <w:rPr>
          <w:lang w:val="en-GB"/>
        </w:rPr>
        <w:t>-affected people, in accordance with good international practice.</w:t>
      </w:r>
      <w:r w:rsidRPr="00A97BFD">
        <w:rPr>
          <w:u w:val="single"/>
          <w:lang w:val="en-GB"/>
        </w:rPr>
        <w:t xml:space="preserve"> </w:t>
      </w:r>
      <w:r w:rsidRPr="00A97BFD">
        <w:t xml:space="preserve">During any rehabilitation, </w:t>
      </w:r>
      <w:r w:rsidR="00BC39C2">
        <w:t xml:space="preserve">UNDP </w:t>
      </w:r>
      <w:r w:rsidR="00E60CC0">
        <w:t>project</w:t>
      </w:r>
      <w:r w:rsidR="001A2677">
        <w:t xml:space="preserve">s </w:t>
      </w:r>
      <w:r w:rsidRPr="00A97BFD">
        <w:t xml:space="preserve">maintain authenticity of form, construction materials and techniques of structures according to laws, regulations and good international practice. </w:t>
      </w:r>
      <w:r w:rsidR="00BC39C2">
        <w:t xml:space="preserve">UNDP </w:t>
      </w:r>
      <w:r w:rsidR="00E60CC0">
        <w:t>project</w:t>
      </w:r>
      <w:r w:rsidR="001A2677">
        <w:t xml:space="preserve">s </w:t>
      </w:r>
      <w:r w:rsidR="00BC39C2">
        <w:t>p</w:t>
      </w:r>
      <w:r w:rsidRPr="00A97BFD">
        <w:t>reserve physical and visual context of individual or groups of historic structures by considering appropriateness and effect of supported infrastructure proposed for the location within sight range.</w:t>
      </w:r>
    </w:p>
    <w:p w14:paraId="2FF8FBB4" w14:textId="0C7F9BD2" w:rsidR="00A97BFD" w:rsidRPr="00A97BFD" w:rsidRDefault="00A97BFD" w:rsidP="007834FA">
      <w:pPr>
        <w:pStyle w:val="SEQSbodynumbered"/>
      </w:pPr>
      <w:r w:rsidRPr="00A97BFD">
        <w:rPr>
          <w:b/>
        </w:rPr>
        <w:t>Landscapes and natural features with cultural significance</w:t>
      </w:r>
      <w:r w:rsidR="00674333">
        <w:rPr>
          <w:b/>
        </w:rPr>
        <w:t>:</w:t>
      </w:r>
      <w:r w:rsidRPr="00A97BFD">
        <w:t xml:space="preserve"> </w:t>
      </w:r>
      <w:r w:rsidR="001A2677">
        <w:t xml:space="preserve">UNDP </w:t>
      </w:r>
      <w:r w:rsidR="00E60CC0">
        <w:t>project</w:t>
      </w:r>
      <w:r w:rsidR="001A2677">
        <w:t>s i</w:t>
      </w:r>
      <w:r w:rsidRPr="00A97BFD">
        <w:t xml:space="preserve">dentify through research and consultation with </w:t>
      </w:r>
      <w:r w:rsidR="001A2677">
        <w:t xml:space="preserve">affected persons and communities </w:t>
      </w:r>
      <w:r w:rsidRPr="00A97BFD">
        <w:t xml:space="preserve">the landscape elements and natural features with cultural significance, the people that value such elements and features, and individuals or groups with authority to represent and negotiate regarding their location, protection, and use. </w:t>
      </w:r>
      <w:r w:rsidRPr="003903D7">
        <w:rPr>
          <w:lang w:val="en-GB"/>
        </w:rPr>
        <w:t>Landscapes and natural features derive much of their significance from their location and their holistic environmental context, and often can only be protected by</w:t>
      </w:r>
      <w:r w:rsidRPr="003903D7">
        <w:t xml:space="preserve"> preservation in situ. </w:t>
      </w:r>
      <w:r w:rsidR="00EA1933" w:rsidRPr="003903D7">
        <w:rPr>
          <w:lang w:val="en-GB"/>
        </w:rPr>
        <w:t xml:space="preserve">UNDP </w:t>
      </w:r>
      <w:r w:rsidR="00E60CC0">
        <w:rPr>
          <w:lang w:val="en-GB"/>
        </w:rPr>
        <w:t>project</w:t>
      </w:r>
      <w:r w:rsidR="00EA1933" w:rsidRPr="003903D7">
        <w:rPr>
          <w:lang w:val="en-GB"/>
        </w:rPr>
        <w:t>s p</w:t>
      </w:r>
      <w:r w:rsidRPr="003903D7">
        <w:rPr>
          <w:lang w:val="en-GB"/>
        </w:rPr>
        <w:t xml:space="preserve">reserve physical and visual integrity of landscapes by considering appropriateness and effect of </w:t>
      </w:r>
      <w:r w:rsidR="00E60CC0">
        <w:rPr>
          <w:lang w:val="en-GB"/>
        </w:rPr>
        <w:t>project</w:t>
      </w:r>
      <w:r w:rsidRPr="003903D7">
        <w:rPr>
          <w:lang w:val="en-GB"/>
        </w:rPr>
        <w:t xml:space="preserve"> activities (e.g. infrastructure) proposed for the location within sight range. In cases where natural features can physically be relocated and cannot be preserved in situ, their transfer</w:t>
      </w:r>
      <w:r w:rsidRPr="00A97BFD">
        <w:t xml:space="preserve"> to another location </w:t>
      </w:r>
      <w:r w:rsidR="00861A04">
        <w:t>is</w:t>
      </w:r>
      <w:r w:rsidRPr="00A97BFD">
        <w:t xml:space="preserve"> conducted with participation and agreement of </w:t>
      </w:r>
      <w:r w:rsidR="00E60CC0">
        <w:t>project</w:t>
      </w:r>
      <w:r w:rsidRPr="00A97BFD">
        <w:t xml:space="preserve">-affected people, in accordance with good international practice. </w:t>
      </w:r>
      <w:r w:rsidR="005A40D8">
        <w:t>P</w:t>
      </w:r>
      <w:r w:rsidR="00E60CC0">
        <w:t>roject</w:t>
      </w:r>
      <w:r w:rsidRPr="00A97BFD">
        <w:t xml:space="preserve"> activities and any agreement reached regarding the transfer of natural features shall respect and enable continuation and transmission of the traditional practices associated with the landscape elements and natural features.</w:t>
      </w:r>
      <w:r w:rsidR="00BC39C2">
        <w:t xml:space="preserve"> See </w:t>
      </w:r>
      <w:r w:rsidR="00EA1933">
        <w:t xml:space="preserve">also </w:t>
      </w:r>
      <w:r w:rsidR="00BC39C2">
        <w:t>Standard 1</w:t>
      </w:r>
      <w:r w:rsidR="00EA1933">
        <w:t xml:space="preserve"> regarding conservation of biodiversity and maintenance of ecosystem services.</w:t>
      </w:r>
    </w:p>
    <w:p w14:paraId="7DDCEA79" w14:textId="06A8A1A8" w:rsidR="00A97BFD" w:rsidRDefault="00A97BFD">
      <w:pPr>
        <w:pStyle w:val="SEQSbodynumbered"/>
      </w:pPr>
      <w:r w:rsidRPr="00A97BFD">
        <w:rPr>
          <w:b/>
        </w:rPr>
        <w:t>Movable Cultural Heritage</w:t>
      </w:r>
      <w:r w:rsidR="00B360E6">
        <w:rPr>
          <w:b/>
        </w:rPr>
        <w:t>:</w:t>
      </w:r>
      <w:r w:rsidRPr="00A97BFD">
        <w:rPr>
          <w:i/>
        </w:rPr>
        <w:t xml:space="preserve"> </w:t>
      </w:r>
      <w:r w:rsidR="00EA1933">
        <w:t xml:space="preserve">UNDP </w:t>
      </w:r>
      <w:r w:rsidR="00E60CC0">
        <w:t>project</w:t>
      </w:r>
      <w:r w:rsidR="00EA1933">
        <w:t xml:space="preserve">s </w:t>
      </w:r>
      <w:r w:rsidR="00861A04">
        <w:t>include</w:t>
      </w:r>
      <w:r w:rsidRPr="00A97BFD">
        <w:t xml:space="preserve"> measures to guard against theft and illegal trafficking of movable </w:t>
      </w:r>
      <w:r w:rsidR="00184FBA">
        <w:t>C</w:t>
      </w:r>
      <w:r w:rsidRPr="00A97BFD">
        <w:t xml:space="preserve">ultural </w:t>
      </w:r>
      <w:r w:rsidR="00184FBA">
        <w:t>H</w:t>
      </w:r>
      <w:r w:rsidRPr="00A97BFD">
        <w:t xml:space="preserve">eritage (e.g. books, paintings, sculptures, costumes, jewelry, textiles) </w:t>
      </w:r>
      <w:r w:rsidRPr="003903D7">
        <w:rPr>
          <w:lang w:val="en-GB"/>
        </w:rPr>
        <w:t xml:space="preserve">and artefacts stored and displayed in museums </w:t>
      </w:r>
      <w:r w:rsidR="00850A8D" w:rsidRPr="003903D7">
        <w:rPr>
          <w:lang w:val="en-GB"/>
        </w:rPr>
        <w:t xml:space="preserve">(or </w:t>
      </w:r>
      <w:r w:rsidR="0006740A" w:rsidRPr="003903D7">
        <w:rPr>
          <w:lang w:val="en-GB"/>
        </w:rPr>
        <w:t xml:space="preserve">their </w:t>
      </w:r>
      <w:r w:rsidR="00850A8D" w:rsidRPr="003903D7">
        <w:rPr>
          <w:lang w:val="en-GB"/>
        </w:rPr>
        <w:t xml:space="preserve">equivalent) </w:t>
      </w:r>
      <w:r w:rsidRPr="003903D7">
        <w:rPr>
          <w:lang w:val="en-GB"/>
        </w:rPr>
        <w:t>that are</w:t>
      </w:r>
      <w:r w:rsidRPr="00A97BFD">
        <w:t xml:space="preserve"> affected by </w:t>
      </w:r>
      <w:r w:rsidR="00E60CC0">
        <w:t>project</w:t>
      </w:r>
      <w:r w:rsidRPr="00A97BFD">
        <w:t xml:space="preserve"> activities and notify relevant authorities if any such activity occurs. </w:t>
      </w:r>
      <w:r w:rsidR="0006740A">
        <w:t xml:space="preserve">UNDP </w:t>
      </w:r>
      <w:r w:rsidR="00E60CC0">
        <w:t>project</w:t>
      </w:r>
      <w:r w:rsidR="0006740A">
        <w:t>s i</w:t>
      </w:r>
      <w:r w:rsidRPr="00A97BFD">
        <w:t xml:space="preserve">dentify items that may be endangered and make provision for their protection throughout the </w:t>
      </w:r>
      <w:r w:rsidR="00E60CC0">
        <w:t>project</w:t>
      </w:r>
      <w:r w:rsidRPr="00A97BFD">
        <w:t xml:space="preserve"> cycle.</w:t>
      </w:r>
      <w:r w:rsidR="00EC648E">
        <w:t xml:space="preserve"> UNDP </w:t>
      </w:r>
      <w:r w:rsidR="00E60CC0">
        <w:t>project</w:t>
      </w:r>
      <w:r w:rsidR="00EC648E">
        <w:t>s inform r</w:t>
      </w:r>
      <w:r w:rsidRPr="00A97BFD">
        <w:t xml:space="preserve">eligious or secular authorities or other responsible </w:t>
      </w:r>
      <w:r w:rsidR="00BD5B0A">
        <w:t>C</w:t>
      </w:r>
      <w:r w:rsidRPr="00A97BFD">
        <w:t xml:space="preserve">ultural </w:t>
      </w:r>
      <w:r w:rsidR="00BD5B0A">
        <w:t>H</w:t>
      </w:r>
      <w:r w:rsidRPr="00A97BFD">
        <w:t xml:space="preserve">eritage custodians of </w:t>
      </w:r>
      <w:r w:rsidR="00E60CC0">
        <w:t>project</w:t>
      </w:r>
      <w:r w:rsidRPr="00A97BFD">
        <w:t xml:space="preserve"> activities, schedule and alert them regarding potential vulnerability of movable </w:t>
      </w:r>
      <w:r w:rsidR="0031585F">
        <w:t>C</w:t>
      </w:r>
      <w:r w:rsidRPr="00A97BFD">
        <w:t xml:space="preserve">ultural </w:t>
      </w:r>
      <w:r w:rsidR="0031585F">
        <w:t>H</w:t>
      </w:r>
      <w:r w:rsidRPr="00A97BFD">
        <w:t>eritage items.</w:t>
      </w:r>
    </w:p>
    <w:p w14:paraId="1F1C2C1B" w14:textId="77777777" w:rsidR="007C3584" w:rsidRDefault="007C3584" w:rsidP="00BA3A5F">
      <w:pPr>
        <w:spacing w:after="120" w:line="264" w:lineRule="auto"/>
        <w:rPr>
          <w:szCs w:val="20"/>
        </w:rPr>
      </w:pPr>
    </w:p>
    <w:p w14:paraId="16D4BCF0" w14:textId="77777777" w:rsidR="007C3584" w:rsidRDefault="007C3584" w:rsidP="00BA3A5F">
      <w:pPr>
        <w:spacing w:after="120" w:line="264" w:lineRule="auto"/>
        <w:rPr>
          <w:szCs w:val="20"/>
        </w:rPr>
        <w:sectPr w:rsidR="007C3584" w:rsidSect="00722C83">
          <w:pgSz w:w="12240" w:h="15840"/>
          <w:pgMar w:top="1440" w:right="1800" w:bottom="1440" w:left="1800" w:header="720" w:footer="720" w:gutter="0"/>
          <w:cols w:space="720"/>
        </w:sectPr>
      </w:pPr>
    </w:p>
    <w:p w14:paraId="7A60EE58" w14:textId="77777777" w:rsidR="00645F47" w:rsidRDefault="00645F47" w:rsidP="00645F47">
      <w:pPr>
        <w:pStyle w:val="Heading2"/>
      </w:pPr>
      <w:bookmarkStart w:id="14" w:name="_Toc373860013"/>
      <w:bookmarkStart w:id="15" w:name="_Toc14683703"/>
      <w:r>
        <w:lastRenderedPageBreak/>
        <w:t>Standard 5: Displacement and Resettlement</w:t>
      </w:r>
      <w:bookmarkEnd w:id="14"/>
      <w:bookmarkEnd w:id="15"/>
    </w:p>
    <w:p w14:paraId="73A497C8" w14:textId="77777777" w:rsidR="00FB2319" w:rsidRDefault="00FB2319" w:rsidP="00FB2319">
      <w:pPr>
        <w:pStyle w:val="Heading4"/>
      </w:pPr>
      <w:r>
        <w:t>Introduction</w:t>
      </w:r>
    </w:p>
    <w:p w14:paraId="0C5FD091" w14:textId="6EA29EB1" w:rsidR="00486148" w:rsidRDefault="00FB2319" w:rsidP="00D515A1">
      <w:pPr>
        <w:pStyle w:val="SEQSbodynumbered"/>
        <w:numPr>
          <w:ilvl w:val="0"/>
          <w:numId w:val="17"/>
        </w:numPr>
      </w:pPr>
      <w:r>
        <w:t>UNDP seek</w:t>
      </w:r>
      <w:r w:rsidR="00861A04">
        <w:t>s</w:t>
      </w:r>
      <w:r>
        <w:t xml:space="preserve"> to avoid physical and economic displacement in its </w:t>
      </w:r>
      <w:r w:rsidR="00E60CC0">
        <w:t>project</w:t>
      </w:r>
      <w:r>
        <w:t xml:space="preserve">s. </w:t>
      </w:r>
      <w:r w:rsidR="007A4420">
        <w:t>I</w:t>
      </w:r>
      <w:r>
        <w:t>n exceptional circumstances</w:t>
      </w:r>
      <w:r w:rsidR="007A4420">
        <w:t xml:space="preserve"> </w:t>
      </w:r>
      <w:r w:rsidR="001B0AF4">
        <w:t xml:space="preserve">and </w:t>
      </w:r>
      <w:r w:rsidR="007A4420">
        <w:t xml:space="preserve">where avoidance is not possible, displacement may occur only </w:t>
      </w:r>
      <w:r>
        <w:t>with full justification</w:t>
      </w:r>
      <w:r w:rsidR="001B0AF4">
        <w:t xml:space="preserve">, </w:t>
      </w:r>
      <w:r>
        <w:t>appropriate forms of legal protection</w:t>
      </w:r>
      <w:r w:rsidR="008B7DF3">
        <w:t xml:space="preserve"> and compensation</w:t>
      </w:r>
      <w:r w:rsidR="001B0AF4">
        <w:t xml:space="preserve">, and according to the </w:t>
      </w:r>
      <w:r w:rsidR="0036066E">
        <w:t xml:space="preserve">following </w:t>
      </w:r>
      <w:r w:rsidR="001B0AF4">
        <w:t>requirements</w:t>
      </w:r>
      <w:r w:rsidR="0036066E">
        <w:t>.</w:t>
      </w:r>
    </w:p>
    <w:p w14:paraId="52D0F65C" w14:textId="77777777" w:rsidR="00FB2319" w:rsidRDefault="00FB2319" w:rsidP="00AC7F5D">
      <w:pPr>
        <w:pStyle w:val="SEQSbodynumbered"/>
        <w:numPr>
          <w:ilvl w:val="0"/>
          <w:numId w:val="17"/>
        </w:numPr>
      </w:pPr>
      <w:r>
        <w:t xml:space="preserve">Activities that involve </w:t>
      </w:r>
      <w:r w:rsidR="00B26908">
        <w:t xml:space="preserve">physical and economic </w:t>
      </w:r>
      <w:r>
        <w:t xml:space="preserve">displacement, including through land acquisition or restrictions on land use or access to resources, pose impoverishment risks. Potential impacts may include loss of livelihoods, homelessness, food insecurity, </w:t>
      </w:r>
      <w:r w:rsidR="00A976B9">
        <w:t xml:space="preserve">social cohesion, well-being </w:t>
      </w:r>
      <w:r>
        <w:t>and other adverse impacts. These impacts may lead to social unrest and political instability.</w:t>
      </w:r>
    </w:p>
    <w:p w14:paraId="3587FD4A" w14:textId="77777777" w:rsidR="00FB2319" w:rsidRDefault="00FB2319" w:rsidP="00FB2319">
      <w:pPr>
        <w:pStyle w:val="Heading4"/>
      </w:pPr>
      <w:r>
        <w:t>Objectives</w:t>
      </w:r>
    </w:p>
    <w:p w14:paraId="3D0CDFDE" w14:textId="77777777" w:rsidR="00FB2319" w:rsidRDefault="00FB2319" w:rsidP="000828D8">
      <w:pPr>
        <w:pStyle w:val="listbullets1"/>
      </w:pPr>
      <w:r>
        <w:t>To recognize and respect the prohibition on forced evictions</w:t>
      </w:r>
    </w:p>
    <w:p w14:paraId="31F51546" w14:textId="77777777" w:rsidR="00A976B9" w:rsidRDefault="00FB2319" w:rsidP="000828D8">
      <w:pPr>
        <w:pStyle w:val="listbullets1"/>
      </w:pPr>
      <w:r>
        <w:t xml:space="preserve">To anticipate and avoid, or, when avoidance is not possible, minimize adverse social and economic impacts from land or resource acquisition or restrictions on land or resource use </w:t>
      </w:r>
    </w:p>
    <w:p w14:paraId="223DFF2A" w14:textId="77777777" w:rsidR="00FB2319" w:rsidRDefault="00FB2319" w:rsidP="000828D8">
      <w:pPr>
        <w:pStyle w:val="listbullets1"/>
      </w:pPr>
      <w:r>
        <w:t xml:space="preserve">To enhance </w:t>
      </w:r>
      <w:r w:rsidR="00276CB9">
        <w:t xml:space="preserve">and </w:t>
      </w:r>
      <w:r>
        <w:t>restore the livelihoods of all displaced persons</w:t>
      </w:r>
      <w:r w:rsidR="005B293F">
        <w:t>,</w:t>
      </w:r>
      <w:r>
        <w:t xml:space="preserve"> and to improve the standards of living </w:t>
      </w:r>
      <w:r w:rsidR="0067607F">
        <w:t xml:space="preserve">and overall socioeconomic status </w:t>
      </w:r>
      <w:r>
        <w:t>of</w:t>
      </w:r>
      <w:r w:rsidR="00A976B9">
        <w:t xml:space="preserve"> </w:t>
      </w:r>
      <w:r>
        <w:t xml:space="preserve">displaced poor and </w:t>
      </w:r>
      <w:r w:rsidR="000D7F07">
        <w:t>other displaced groups and to support efforts to progressi</w:t>
      </w:r>
      <w:r w:rsidR="00227B3E">
        <w:t>v</w:t>
      </w:r>
      <w:r w:rsidR="000D7F07">
        <w:t>ely realize the rights to adequate housing and adequate standards of living for displaced populations</w:t>
      </w:r>
    </w:p>
    <w:p w14:paraId="3F72B4D7" w14:textId="77777777" w:rsidR="00A976B9" w:rsidRDefault="00A976B9" w:rsidP="000828D8">
      <w:pPr>
        <w:pStyle w:val="listbullets1"/>
      </w:pPr>
      <w:r>
        <w:t>To e</w:t>
      </w:r>
      <w:r w:rsidRPr="00D83E7C">
        <w:t xml:space="preserve">nsure that resettlement activities are planned and implemented </w:t>
      </w:r>
      <w:r>
        <w:t xml:space="preserve">collaboratively </w:t>
      </w:r>
      <w:r w:rsidRPr="00D83E7C">
        <w:t xml:space="preserve">with </w:t>
      </w:r>
      <w:r>
        <w:t xml:space="preserve">the meaningful </w:t>
      </w:r>
      <w:r w:rsidRPr="00D83E7C">
        <w:t>and informed participation of those affected</w:t>
      </w:r>
      <w:r>
        <w:t>.</w:t>
      </w:r>
    </w:p>
    <w:p w14:paraId="2E9079FE" w14:textId="77777777" w:rsidR="00FB2319" w:rsidRDefault="00FB2319" w:rsidP="00FB2319">
      <w:pPr>
        <w:pStyle w:val="Heading4"/>
      </w:pPr>
      <w:r>
        <w:t>Scope of Application</w:t>
      </w:r>
    </w:p>
    <w:p w14:paraId="77A4CF99" w14:textId="6C0F827A" w:rsidR="00FB2319" w:rsidRDefault="00FB2319" w:rsidP="00D515A1">
      <w:pPr>
        <w:pStyle w:val="SEQSbodynumbered"/>
      </w:pPr>
      <w:r>
        <w:t xml:space="preserve">The applicability of this Standard is established during the social and environmental screening and </w:t>
      </w:r>
      <w:r w:rsidR="00EB6080">
        <w:t>categorization</w:t>
      </w:r>
      <w:r w:rsidR="00EB6080" w:rsidRPr="00F00DDC">
        <w:t xml:space="preserve"> </w:t>
      </w:r>
      <w:r>
        <w:t>process. It applies to all UNDP activities that may involve physical displacement (i.e., relocation or loss of shelter)</w:t>
      </w:r>
      <w:r w:rsidR="00375A14">
        <w:t>, whether full or partial and permanent or temporary,</w:t>
      </w:r>
      <w:r>
        <w:t xml:space="preserve"> </w:t>
      </w:r>
      <w:r w:rsidR="00AE5CC2">
        <w:t xml:space="preserve">or </w:t>
      </w:r>
      <w:r>
        <w:t xml:space="preserve">economic and occupational displacement (i.e., loss of assets or access to assets that leads to loss of income sources or means of livelihood) as a result of </w:t>
      </w:r>
      <w:r w:rsidR="00E60CC0">
        <w:t>project</w:t>
      </w:r>
      <w:r>
        <w:t xml:space="preserve">-related land or resource acquisition or restrictions on land use or access to resources (including through </w:t>
      </w:r>
      <w:r w:rsidR="00E60CC0">
        <w:t>project</w:t>
      </w:r>
      <w:r>
        <w:t xml:space="preserve"> externalities such as </w:t>
      </w:r>
      <w:r w:rsidRPr="00617A6C">
        <w:t>pollution</w:t>
      </w:r>
      <w:r w:rsidR="00617A6C" w:rsidRPr="00685084">
        <w:t xml:space="preserve"> </w:t>
      </w:r>
      <w:r w:rsidR="00943B09">
        <w:t>and</w:t>
      </w:r>
      <w:r w:rsidR="00617A6C" w:rsidRPr="00617A6C">
        <w:t xml:space="preserve"> impacts to biodiversity or ecosystem services</w:t>
      </w:r>
      <w:r>
        <w:t>) that people depend on for physical, economic, social, cultural, or spiritual well-being.</w:t>
      </w:r>
    </w:p>
    <w:p w14:paraId="08BD27FB" w14:textId="5CBC88B8" w:rsidR="00FB2319" w:rsidRDefault="00FB2319" w:rsidP="00AC7F5D">
      <w:pPr>
        <w:pStyle w:val="SEQSbodynumbered"/>
      </w:pPr>
      <w:r>
        <w:t xml:space="preserve">This Standard </w:t>
      </w:r>
      <w:r w:rsidR="00334621">
        <w:t xml:space="preserve">also </w:t>
      </w:r>
      <w:r>
        <w:t>applies to displacement activities occurring for associated facilities</w:t>
      </w:r>
      <w:r w:rsidR="00CE2896">
        <w:t>,</w:t>
      </w:r>
      <w:r w:rsidR="00334621">
        <w:t xml:space="preserve"> displacement activities significantly related to the </w:t>
      </w:r>
      <w:r w:rsidR="00E60CC0">
        <w:t>project</w:t>
      </w:r>
      <w:r w:rsidR="00334621">
        <w:t>,</w:t>
      </w:r>
      <w:r w:rsidR="004603FC">
        <w:t xml:space="preserve"> </w:t>
      </w:r>
      <w:r>
        <w:t xml:space="preserve">and displacement activities that have occurred in anticipation of a UNDP </w:t>
      </w:r>
      <w:r w:rsidR="00E60CC0">
        <w:t>project</w:t>
      </w:r>
      <w:r>
        <w:t>.</w:t>
      </w:r>
      <w:r w:rsidR="005D254A">
        <w:rPr>
          <w:rStyle w:val="FootnoteReference"/>
        </w:rPr>
        <w:footnoteReference w:id="77"/>
      </w:r>
      <w:r>
        <w:t xml:space="preserve"> </w:t>
      </w:r>
    </w:p>
    <w:p w14:paraId="5BB3845A" w14:textId="77777777" w:rsidR="00610477" w:rsidRDefault="00610477" w:rsidP="00AC7F5D">
      <w:pPr>
        <w:pStyle w:val="SEQSbodynumbered"/>
      </w:pPr>
      <w:r w:rsidRPr="00610477">
        <w:lastRenderedPageBreak/>
        <w:t xml:space="preserve">The </w:t>
      </w:r>
      <w:r>
        <w:t xml:space="preserve">Standard does </w:t>
      </w:r>
      <w:r w:rsidRPr="00610477">
        <w:t>not apply to voluntary, legally recorded market transactions in which the seller is fully informed about available choices and has the genuine right to retain the land and refuse to sell it.</w:t>
      </w:r>
      <w:r w:rsidRPr="00610477">
        <w:rPr>
          <w:vertAlign w:val="superscript"/>
        </w:rPr>
        <w:footnoteReference w:id="78"/>
      </w:r>
      <w:r w:rsidRPr="00610477">
        <w:t xml:space="preserve"> However, if the sale may displace people other than the seller, who occupy, use, or claim rights to the land in question, </w:t>
      </w:r>
      <w:r w:rsidR="005B293F">
        <w:t xml:space="preserve">then </w:t>
      </w:r>
      <w:r w:rsidRPr="00610477">
        <w:t>these requirements shall apply</w:t>
      </w:r>
      <w:r w:rsidR="00635FB8">
        <w:t>. The Standard also does not apply to</w:t>
      </w:r>
      <w:r w:rsidRPr="00610477">
        <w:t xml:space="preserve"> restrictions of access to natural resources under community-based natural resource management arrangements</w:t>
      </w:r>
      <w:r w:rsidR="00635FB8">
        <w:t xml:space="preserve"> (e.g. the establishment of a community conserved area)</w:t>
      </w:r>
      <w:r w:rsidRPr="00610477">
        <w:t xml:space="preserve"> where the relevant community decides to restrict</w:t>
      </w:r>
      <w:r w:rsidR="00635FB8">
        <w:t xml:space="preserve"> its own</w:t>
      </w:r>
      <w:r w:rsidRPr="00610477">
        <w:t xml:space="preserve"> access to these resources based on an appropriate community-decision making process that reflects voluntary, informed consensus.</w:t>
      </w:r>
    </w:p>
    <w:p w14:paraId="10E94511" w14:textId="77777777" w:rsidR="00685084" w:rsidRDefault="009C4E7D" w:rsidP="007834FA">
      <w:pPr>
        <w:pStyle w:val="SEQSbodynumbered"/>
      </w:pPr>
      <w:r>
        <w:rPr>
          <w:spacing w:val="-1"/>
        </w:rPr>
        <w:t>For d</w:t>
      </w:r>
      <w:r w:rsidR="00685084">
        <w:rPr>
          <w:spacing w:val="-1"/>
        </w:rPr>
        <w:t>isplacement</w:t>
      </w:r>
      <w:r w:rsidR="00685084">
        <w:rPr>
          <w:spacing w:val="-6"/>
        </w:rPr>
        <w:t xml:space="preserve"> </w:t>
      </w:r>
      <w:r w:rsidR="00685084">
        <w:t>and</w:t>
      </w:r>
      <w:r w:rsidR="00685084">
        <w:rPr>
          <w:spacing w:val="-7"/>
        </w:rPr>
        <w:t xml:space="preserve"> </w:t>
      </w:r>
      <w:r w:rsidR="00685084">
        <w:rPr>
          <w:spacing w:val="-1"/>
        </w:rPr>
        <w:t>resettlement</w:t>
      </w:r>
      <w:r w:rsidR="00685084">
        <w:rPr>
          <w:spacing w:val="-6"/>
        </w:rPr>
        <w:t xml:space="preserve"> </w:t>
      </w:r>
      <w:r w:rsidR="00685084">
        <w:rPr>
          <w:spacing w:val="-1"/>
        </w:rPr>
        <w:t>activities</w:t>
      </w:r>
      <w:r w:rsidR="00685084">
        <w:rPr>
          <w:spacing w:val="-9"/>
        </w:rPr>
        <w:t xml:space="preserve"> </w:t>
      </w:r>
      <w:r w:rsidR="00685084">
        <w:t>that</w:t>
      </w:r>
      <w:r w:rsidR="00685084">
        <w:rPr>
          <w:spacing w:val="-8"/>
        </w:rPr>
        <w:t xml:space="preserve"> </w:t>
      </w:r>
      <w:r w:rsidR="00685084">
        <w:t>may</w:t>
      </w:r>
      <w:r w:rsidR="00685084">
        <w:rPr>
          <w:spacing w:val="-7"/>
        </w:rPr>
        <w:t xml:space="preserve"> </w:t>
      </w:r>
      <w:r w:rsidR="00685084">
        <w:t>impact</w:t>
      </w:r>
      <w:r w:rsidR="00685084">
        <w:rPr>
          <w:spacing w:val="-7"/>
        </w:rPr>
        <w:t xml:space="preserve"> </w:t>
      </w:r>
      <w:r w:rsidR="00943B09">
        <w:t>i</w:t>
      </w:r>
      <w:r w:rsidR="00685084">
        <w:t>ndigenous</w:t>
      </w:r>
      <w:r w:rsidR="00685084">
        <w:rPr>
          <w:spacing w:val="-9"/>
        </w:rPr>
        <w:t xml:space="preserve"> </w:t>
      </w:r>
      <w:r w:rsidR="00943B09">
        <w:t>p</w:t>
      </w:r>
      <w:r w:rsidR="00685084">
        <w:t>eoples</w:t>
      </w:r>
      <w:r>
        <w:t xml:space="preserve">, </w:t>
      </w:r>
      <w:r w:rsidR="003C4BF9">
        <w:t xml:space="preserve">Standard 6: </w:t>
      </w:r>
      <w:r>
        <w:t xml:space="preserve">Indigenous Peoples shall also apply. </w:t>
      </w:r>
      <w:r w:rsidRPr="009C4E7D">
        <w:t>This Standard shall be interpreted in a manner to be consistent with Standard</w:t>
      </w:r>
      <w:r w:rsidR="003C4BF9">
        <w:t xml:space="preserve"> 6</w:t>
      </w:r>
      <w:r w:rsidRPr="009C4E7D">
        <w:t>.</w:t>
      </w:r>
    </w:p>
    <w:p w14:paraId="600B64E1" w14:textId="77777777" w:rsidR="00FB2319" w:rsidRDefault="00FB2319" w:rsidP="00FB2319">
      <w:pPr>
        <w:pStyle w:val="Heading4"/>
      </w:pPr>
      <w:r>
        <w:t>Requirements</w:t>
      </w:r>
    </w:p>
    <w:p w14:paraId="302A056C" w14:textId="737AB627" w:rsidR="00FB2319" w:rsidRDefault="00227B3E" w:rsidP="00AC7F5D">
      <w:pPr>
        <w:pStyle w:val="SEQSbodynumbered"/>
      </w:pPr>
      <w:r>
        <w:rPr>
          <w:b/>
        </w:rPr>
        <w:t>Prohibit f</w:t>
      </w:r>
      <w:r w:rsidR="00FB2319">
        <w:rPr>
          <w:b/>
        </w:rPr>
        <w:t>orced evictions</w:t>
      </w:r>
      <w:r w:rsidR="00A27FE8">
        <w:rPr>
          <w:b/>
        </w:rPr>
        <w:t>, allowing evictions in exceptional circumstances only</w:t>
      </w:r>
      <w:r w:rsidR="00FB2319">
        <w:rPr>
          <w:b/>
        </w:rPr>
        <w:t xml:space="preserve">: </w:t>
      </w:r>
      <w:r w:rsidR="00E12FD9">
        <w:t>P</w:t>
      </w:r>
      <w:r w:rsidR="00E12FD9" w:rsidRPr="00052118">
        <w:t>rohibit forced evicti</w:t>
      </w:r>
      <w:r w:rsidR="00E12FD9">
        <w:t>o</w:t>
      </w:r>
      <w:r w:rsidR="00E12FD9" w:rsidRPr="00052118">
        <w:t xml:space="preserve">ns in all </w:t>
      </w:r>
      <w:r w:rsidR="00E12FD9">
        <w:t xml:space="preserve">supported activities. </w:t>
      </w:r>
      <w:r w:rsidR="00E12FD9" w:rsidRPr="004A449B">
        <w:t>Forc</w:t>
      </w:r>
      <w:r w:rsidR="00E12FD9">
        <w:t xml:space="preserve">ed eviction is defined here as </w:t>
      </w:r>
      <w:r w:rsidR="00E12FD9" w:rsidRPr="004A449B">
        <w:t>the permanent or temporary removal against their will of individuals, families or communities from the homes and/or land which they occupy, without the provision of, and access to, appropriate forms of legal or other protection</w:t>
      </w:r>
      <w:r w:rsidR="00E12FD9">
        <w:t xml:space="preserve">. </w:t>
      </w:r>
      <w:r w:rsidR="00EB0480" w:rsidRPr="00EB0480">
        <w:t>Forced evictions constitute gross violations of a range of internationally recognized human rights.</w:t>
      </w:r>
      <w:r w:rsidR="00EB0480">
        <w:rPr>
          <w:rStyle w:val="FootnoteReference"/>
        </w:rPr>
        <w:footnoteReference w:id="79"/>
      </w:r>
      <w:r w:rsidR="00283E3E">
        <w:rPr>
          <w:b/>
        </w:rPr>
        <w:t xml:space="preserve"> </w:t>
      </w:r>
      <w:r w:rsidR="004248DD">
        <w:t xml:space="preserve">Any evictions that may be associated with </w:t>
      </w:r>
      <w:r w:rsidR="00E60CC0">
        <w:t>project</w:t>
      </w:r>
      <w:r w:rsidR="004248DD">
        <w:t xml:space="preserve"> activities</w:t>
      </w:r>
      <w:r w:rsidR="00283E3E">
        <w:t xml:space="preserve"> </w:t>
      </w:r>
      <w:r w:rsidR="002B7344">
        <w:t xml:space="preserve">shall </w:t>
      </w:r>
      <w:r w:rsidR="00EB0480">
        <w:t>occur only in exceptional circumstances</w:t>
      </w:r>
      <w:r w:rsidR="00283E3E">
        <w:t xml:space="preserve"> and be carried out lawfully</w:t>
      </w:r>
      <w:r w:rsidR="00EB0480">
        <w:t xml:space="preserve"> </w:t>
      </w:r>
      <w:r w:rsidR="00297988">
        <w:t xml:space="preserve">with full justification </w:t>
      </w:r>
      <w:r w:rsidR="00EB0480">
        <w:t xml:space="preserve">and meet all of the following criteria: (a) authorized by national law; (b) </w:t>
      </w:r>
      <w:r w:rsidR="004248DD">
        <w:t xml:space="preserve">carried out </w:t>
      </w:r>
      <w:r w:rsidR="00EB0480">
        <w:t xml:space="preserve">in full accordance with relevant provisions of international human rights and humanitarian law; (c) </w:t>
      </w:r>
      <w:r w:rsidR="00297988">
        <w:t xml:space="preserve">undertaken solely </w:t>
      </w:r>
      <w:r w:rsidR="004248DD">
        <w:t>for the purpose of promoting the general welfare</w:t>
      </w:r>
      <w:r w:rsidR="00297988">
        <w:t>; (d)</w:t>
      </w:r>
      <w:r w:rsidR="004248DD">
        <w:t xml:space="preserve"> </w:t>
      </w:r>
      <w:r w:rsidR="00943496">
        <w:t xml:space="preserve">are reasonable and proportional, </w:t>
      </w:r>
      <w:r w:rsidR="00297988">
        <w:t xml:space="preserve">and (e) </w:t>
      </w:r>
      <w:r w:rsidR="004248DD">
        <w:t>follow due process standards</w:t>
      </w:r>
      <w:r w:rsidR="00297988">
        <w:t xml:space="preserve"> and</w:t>
      </w:r>
      <w:r w:rsidR="004248DD">
        <w:t xml:space="preserve"> are regulated so as to ensure full and fair compensation and rehabilitation</w:t>
      </w:r>
      <w:r w:rsidR="00297988">
        <w:t>.</w:t>
      </w:r>
      <w:r w:rsidR="004248DD">
        <w:t xml:space="preserve"> </w:t>
      </w:r>
      <w:r w:rsidR="00FB2319" w:rsidRPr="00200EA4">
        <w:t xml:space="preserve">The protection provided by </w:t>
      </w:r>
      <w:r w:rsidR="00996F1E">
        <w:t>the</w:t>
      </w:r>
      <w:r w:rsidR="00996F1E" w:rsidRPr="00200EA4">
        <w:t xml:space="preserve"> </w:t>
      </w:r>
      <w:r w:rsidR="00FB2319" w:rsidRPr="00200EA4">
        <w:t>requirements</w:t>
      </w:r>
      <w:r w:rsidR="00996F1E">
        <w:t xml:space="preserve"> herein</w:t>
      </w:r>
      <w:r w:rsidR="00FB2319" w:rsidRPr="00200EA4">
        <w:t xml:space="preserve"> applies to all affected persons and groups, irrespective of whether they hold title to home and property under domestic law.</w:t>
      </w:r>
      <w:r w:rsidR="00FB2319">
        <w:t xml:space="preserve"> </w:t>
      </w:r>
    </w:p>
    <w:p w14:paraId="571ED979" w14:textId="30397CC2" w:rsidR="00FB2319" w:rsidRDefault="00FB2319" w:rsidP="00AC7F5D">
      <w:pPr>
        <w:pStyle w:val="SEQSbodynumbered"/>
      </w:pPr>
      <w:r>
        <w:rPr>
          <w:b/>
        </w:rPr>
        <w:t>Avoid</w:t>
      </w:r>
      <w:r w:rsidR="004248DD">
        <w:rPr>
          <w:b/>
        </w:rPr>
        <w:t>,</w:t>
      </w:r>
      <w:r>
        <w:rPr>
          <w:b/>
        </w:rPr>
        <w:t xml:space="preserve"> </w:t>
      </w:r>
      <w:r w:rsidR="004248DD">
        <w:rPr>
          <w:b/>
        </w:rPr>
        <w:t xml:space="preserve">minimize </w:t>
      </w:r>
      <w:r>
        <w:rPr>
          <w:b/>
        </w:rPr>
        <w:t xml:space="preserve">and mitigate physical and economic displacement: </w:t>
      </w:r>
      <w:r>
        <w:t xml:space="preserve">UNDP </w:t>
      </w:r>
      <w:r w:rsidR="00E60CC0">
        <w:t>project</w:t>
      </w:r>
      <w:r>
        <w:t xml:space="preserve">s seek to avoid physical and economic displacement, and </w:t>
      </w:r>
      <w:r w:rsidR="004248DD">
        <w:t xml:space="preserve">minimize and </w:t>
      </w:r>
      <w:r>
        <w:t xml:space="preserve">mitigate displacement impacts and inherent risks when displacement cannot be avoided. To this end, </w:t>
      </w:r>
      <w:r w:rsidR="00E60CC0">
        <w:t>project</w:t>
      </w:r>
      <w:r>
        <w:t>s that may involve displacement</w:t>
      </w:r>
      <w:r w:rsidR="00C03257">
        <w:rPr>
          <w:rStyle w:val="FootnoteReference"/>
        </w:rPr>
        <w:footnoteReference w:id="80"/>
      </w:r>
      <w:r>
        <w:t xml:space="preserve"> include the following measures and others identified as necessary</w:t>
      </w:r>
      <w:r w:rsidR="006C1AEF">
        <w:t>:</w:t>
      </w:r>
      <w:r w:rsidR="007C5208">
        <w:t xml:space="preserve"> </w:t>
      </w:r>
    </w:p>
    <w:p w14:paraId="5589DD9C" w14:textId="679C962A" w:rsidR="00AF6D12" w:rsidRPr="00A37A8B" w:rsidRDefault="000A36DF" w:rsidP="000828D8">
      <w:pPr>
        <w:pStyle w:val="listlettered"/>
        <w:numPr>
          <w:ilvl w:val="1"/>
          <w:numId w:val="15"/>
        </w:numPr>
      </w:pPr>
      <w:r>
        <w:t>As</w:t>
      </w:r>
      <w:r w:rsidR="00AB4C3C">
        <w:t xml:space="preserve"> part of the </w:t>
      </w:r>
      <w:r w:rsidR="00757365">
        <w:t>s</w:t>
      </w:r>
      <w:r w:rsidR="00AB4C3C">
        <w:t>oci</w:t>
      </w:r>
      <w:r>
        <w:t xml:space="preserve">al and </w:t>
      </w:r>
      <w:r w:rsidR="00757365">
        <w:t>e</w:t>
      </w:r>
      <w:r>
        <w:t xml:space="preserve">nvironmental </w:t>
      </w:r>
      <w:r w:rsidR="00757365">
        <w:t>a</w:t>
      </w:r>
      <w:r>
        <w:t xml:space="preserve">ssessment, </w:t>
      </w:r>
      <w:r w:rsidR="00AF6D12">
        <w:t>consider</w:t>
      </w:r>
      <w:r w:rsidR="00AF6D12" w:rsidRPr="00B41105">
        <w:t xml:space="preserve"> </w:t>
      </w:r>
      <w:r w:rsidR="00AF6D12">
        <w:t xml:space="preserve">all feasible </w:t>
      </w:r>
      <w:r w:rsidR="00E60CC0">
        <w:t>project</w:t>
      </w:r>
      <w:r w:rsidR="00AF6D12">
        <w:t xml:space="preserve"> </w:t>
      </w:r>
      <w:r w:rsidR="00AF6D12" w:rsidRPr="00B41105">
        <w:t>alternatives and measures to avoid displacement</w:t>
      </w:r>
      <w:r w:rsidR="00AF6D12">
        <w:t>.</w:t>
      </w:r>
      <w:r w:rsidR="00AF6D12" w:rsidRPr="004C0D15">
        <w:rPr>
          <w:rFonts w:cs="Calibri Light"/>
          <w:sz w:val="22"/>
          <w:szCs w:val="22"/>
          <w:lang w:eastAsia="en-US"/>
        </w:rPr>
        <w:t xml:space="preserve"> </w:t>
      </w:r>
      <w:r w:rsidR="00AF6D12" w:rsidRPr="00AF6D12">
        <w:t xml:space="preserve">Where a comprehensive options assessment, including the “no action” option, indicates that displacement is </w:t>
      </w:r>
      <w:r w:rsidR="00AF6D12" w:rsidRPr="00AF6D12">
        <w:lastRenderedPageBreak/>
        <w:t xml:space="preserve">unavoidable, minimize its potential scale and demonstrate that any </w:t>
      </w:r>
      <w:r w:rsidR="00E60CC0">
        <w:t>project</w:t>
      </w:r>
      <w:r w:rsidR="00AF6D12" w:rsidRPr="00AF6D12">
        <w:t xml:space="preserve">-related land acquisition and/or restrictions on land use are limited to direct </w:t>
      </w:r>
      <w:r w:rsidR="00E60CC0">
        <w:t>project</w:t>
      </w:r>
      <w:r w:rsidR="00AF6D12" w:rsidRPr="00AF6D12">
        <w:t xml:space="preserve"> requirements.</w:t>
      </w:r>
    </w:p>
    <w:p w14:paraId="25077DAB" w14:textId="77777777" w:rsidR="00AF6D12" w:rsidRDefault="00AF6D12" w:rsidP="000828D8">
      <w:pPr>
        <w:pStyle w:val="listlettered"/>
        <w:numPr>
          <w:ilvl w:val="1"/>
          <w:numId w:val="15"/>
        </w:numPr>
      </w:pPr>
      <w:r>
        <w:t xml:space="preserve">Where displacement cannot be avoided, utilize </w:t>
      </w:r>
      <w:r w:rsidRPr="004C4F05">
        <w:t>experienced professionals i</w:t>
      </w:r>
      <w:r>
        <w:t xml:space="preserve">n establishing baseline information, </w:t>
      </w:r>
      <w:r w:rsidRPr="004C4F05">
        <w:t>design</w:t>
      </w:r>
      <w:r>
        <w:t>ing displacement activities and assessing potential risks and impacts. Identify potentially affected persons, lands, and assets through</w:t>
      </w:r>
      <w:r w:rsidRPr="00B41105">
        <w:t xml:space="preserve"> census</w:t>
      </w:r>
      <w:r>
        <w:t xml:space="preserve">, </w:t>
      </w:r>
      <w:r w:rsidRPr="00B41105">
        <w:t>socio-economic surveys</w:t>
      </w:r>
      <w:r>
        <w:t xml:space="preserve"> and evaluations, and asset inventories, including </w:t>
      </w:r>
      <w:r w:rsidRPr="00B41105">
        <w:t xml:space="preserve">claims of </w:t>
      </w:r>
      <w:r>
        <w:t>affected groups</w:t>
      </w:r>
      <w:r w:rsidRPr="00B41105">
        <w:t xml:space="preserve"> not present as part of census (</w:t>
      </w:r>
      <w:r>
        <w:t xml:space="preserve">e.g. </w:t>
      </w:r>
      <w:r w:rsidRPr="00B41105">
        <w:t>seasonal resource users)</w:t>
      </w:r>
      <w:r>
        <w:t>. Clarify the</w:t>
      </w:r>
      <w:r w:rsidRPr="00B41105">
        <w:t xml:space="preserve"> </w:t>
      </w:r>
      <w:r>
        <w:t xml:space="preserve">tenure </w:t>
      </w:r>
      <w:r w:rsidRPr="00B41105">
        <w:t>rights and relationship</w:t>
      </w:r>
      <w:r>
        <w:t>s</w:t>
      </w:r>
      <w:r w:rsidRPr="00B41105">
        <w:t xml:space="preserve"> </w:t>
      </w:r>
      <w:r>
        <w:t xml:space="preserve">of potentially affected persons to affected lands and </w:t>
      </w:r>
      <w:r w:rsidRPr="00B41105">
        <w:t>resources</w:t>
      </w:r>
      <w:r>
        <w:t xml:space="preserve">, including recognition of customary rights and collective or communal forms of land tenure. </w:t>
      </w:r>
    </w:p>
    <w:p w14:paraId="2B6CD45A" w14:textId="77777777" w:rsidR="00AF6D12" w:rsidRPr="00A37A8B" w:rsidRDefault="006B75DA" w:rsidP="000828D8">
      <w:pPr>
        <w:pStyle w:val="listlettered"/>
        <w:numPr>
          <w:ilvl w:val="1"/>
          <w:numId w:val="15"/>
        </w:numPr>
      </w:pPr>
      <w:r>
        <w:t>W</w:t>
      </w:r>
      <w:r w:rsidR="00935B24">
        <w:t xml:space="preserve">here potential displacement may be significant </w:t>
      </w:r>
      <w:r>
        <w:t>u</w:t>
      </w:r>
      <w:r w:rsidR="00AF6D12">
        <w:t xml:space="preserve">ndertake an Environmental and Social Impact Assessment (ESIA) to assess potential environmental and social impacts of the proposed land acquisition and/or restrictions on land and/or resource use and potential impacts on host communities. </w:t>
      </w:r>
      <w:r w:rsidR="00AF6D12" w:rsidRPr="00B41105">
        <w:t xml:space="preserve">Pay particular attention to </w:t>
      </w:r>
      <w:r w:rsidR="00AF6D12">
        <w:t xml:space="preserve">the </w:t>
      </w:r>
      <w:r w:rsidR="00AF6D12" w:rsidRPr="00B41105">
        <w:t xml:space="preserve">needs of directly-affected persons who are </w:t>
      </w:r>
      <w:r w:rsidR="00AF6D12">
        <w:t xml:space="preserve">marginalized and disadvantaged. </w:t>
      </w:r>
      <w:r w:rsidR="00AF6D12" w:rsidRPr="003F0DF1">
        <w:t xml:space="preserve">Risks posed by natural and </w:t>
      </w:r>
      <w:r w:rsidR="00AF6D12">
        <w:t>human</w:t>
      </w:r>
      <w:r w:rsidR="00AF6D12" w:rsidRPr="003F0DF1">
        <w:t xml:space="preserve">-made hazards should be considered and minimized in the selection of </w:t>
      </w:r>
      <w:r w:rsidR="00AF6D12">
        <w:t>any</w:t>
      </w:r>
      <w:r w:rsidR="00AF6D12" w:rsidRPr="003F0DF1">
        <w:t xml:space="preserve"> </w:t>
      </w:r>
      <w:r w:rsidR="00AF6D12">
        <w:t xml:space="preserve">potential resettlement </w:t>
      </w:r>
      <w:r w:rsidR="00AF6D12" w:rsidRPr="003F0DF1">
        <w:t>site</w:t>
      </w:r>
      <w:r w:rsidR="00AF6D12">
        <w:t>s</w:t>
      </w:r>
      <w:r w:rsidR="00935B24">
        <w:t xml:space="preserve"> or alternative livelihood</w:t>
      </w:r>
      <w:r>
        <w:t xml:space="preserve"> areas</w:t>
      </w:r>
      <w:r w:rsidR="00AF6D12" w:rsidRPr="00176831">
        <w:t xml:space="preserve">. </w:t>
      </w:r>
      <w:r w:rsidR="00AF6D12">
        <w:t>Where potential displacement may be minimal, an ESIA may not be required and negotiated settlements may be reached that provide fair and just compensation for lost assets in accordance with the requirements herein.</w:t>
      </w:r>
    </w:p>
    <w:p w14:paraId="091B4243" w14:textId="0BCE1E3E" w:rsidR="00FB2319" w:rsidRDefault="00E708F9" w:rsidP="009D07A0">
      <w:pPr>
        <w:pStyle w:val="listlettered"/>
        <w:numPr>
          <w:ilvl w:val="1"/>
          <w:numId w:val="15"/>
        </w:numPr>
      </w:pPr>
      <w:r>
        <w:t>P</w:t>
      </w:r>
      <w:r w:rsidR="00FB2319">
        <w:t xml:space="preserve">ublic dissemination </w:t>
      </w:r>
      <w:r w:rsidR="001C4EFC">
        <w:t xml:space="preserve">in accessible form and language </w:t>
      </w:r>
      <w:r w:rsidR="00FB2319">
        <w:t xml:space="preserve">of a written justification for the displacement activity and </w:t>
      </w:r>
      <w:r w:rsidR="002D44DF">
        <w:t>public disclosure of an action plan (e.g. Resettlement Action Plan, Livelihood Action Plan) sufficiently in advance of displacement activities</w:t>
      </w:r>
      <w:r w:rsidR="00FB2319">
        <w:t>.</w:t>
      </w:r>
      <w:r w:rsidR="002D44DF">
        <w:rPr>
          <w:rStyle w:val="FootnoteReference"/>
        </w:rPr>
        <w:footnoteReference w:id="81"/>
      </w:r>
    </w:p>
    <w:p w14:paraId="75C9B557" w14:textId="77777777" w:rsidR="00FB2319" w:rsidRDefault="00FB2319" w:rsidP="000828D8">
      <w:pPr>
        <w:pStyle w:val="listlettered"/>
        <w:numPr>
          <w:ilvl w:val="1"/>
          <w:numId w:val="15"/>
        </w:numPr>
      </w:pPr>
      <w:r>
        <w:t>Access to effective remedies and to timely and affordable expertise</w:t>
      </w:r>
      <w:r w:rsidR="007A2D12">
        <w:t xml:space="preserve">, including legal counsel, </w:t>
      </w:r>
      <w:r>
        <w:t>to provide an understanding of rights and options.</w:t>
      </w:r>
    </w:p>
    <w:p w14:paraId="563EC2DD" w14:textId="77777777" w:rsidR="00DB13B0" w:rsidRDefault="007A2D12" w:rsidP="000828D8">
      <w:pPr>
        <w:pStyle w:val="listlettered"/>
        <w:numPr>
          <w:ilvl w:val="1"/>
          <w:numId w:val="15"/>
        </w:numPr>
      </w:pPr>
      <w:r>
        <w:t>Effective and informed consultations with affected populations and g</w:t>
      </w:r>
      <w:r w:rsidR="00FB2319">
        <w:t>ood</w:t>
      </w:r>
      <w:r w:rsidR="006C3BFF">
        <w:t xml:space="preserve"> </w:t>
      </w:r>
      <w:r w:rsidR="00FB2319">
        <w:t>faith efforts to secure negotiated settlements, even when expropriation options are available.</w:t>
      </w:r>
    </w:p>
    <w:p w14:paraId="1B28A3DD" w14:textId="77777777" w:rsidR="00FB2319" w:rsidRDefault="00FB2319" w:rsidP="000828D8">
      <w:pPr>
        <w:pStyle w:val="listlettered"/>
        <w:numPr>
          <w:ilvl w:val="1"/>
          <w:numId w:val="15"/>
        </w:numPr>
      </w:pPr>
      <w:r>
        <w:t xml:space="preserve">Ex-post evaluation of livelihood levels to examine </w:t>
      </w:r>
      <w:r w:rsidR="0036066E">
        <w:t xml:space="preserve">if </w:t>
      </w:r>
      <w:r>
        <w:t xml:space="preserve">objectives of this Standard </w:t>
      </w:r>
      <w:r w:rsidR="0036066E">
        <w:t>were</w:t>
      </w:r>
      <w:r>
        <w:t xml:space="preserve"> met.</w:t>
      </w:r>
    </w:p>
    <w:p w14:paraId="01231E0B" w14:textId="42A99BF0" w:rsidR="00D72160" w:rsidRPr="00D72160" w:rsidRDefault="00FB2319" w:rsidP="00AC7F5D">
      <w:pPr>
        <w:pStyle w:val="SEQSbodynumbered"/>
      </w:pPr>
      <w:r>
        <w:rPr>
          <w:b/>
        </w:rPr>
        <w:t xml:space="preserve">Develop </w:t>
      </w:r>
      <w:r w:rsidR="006C3BFF">
        <w:rPr>
          <w:b/>
        </w:rPr>
        <w:t>p</w:t>
      </w:r>
      <w:r>
        <w:rPr>
          <w:b/>
        </w:rPr>
        <w:t xml:space="preserve">lans for </w:t>
      </w:r>
      <w:r w:rsidR="006C3BFF">
        <w:rPr>
          <w:b/>
        </w:rPr>
        <w:t>d</w:t>
      </w:r>
      <w:r>
        <w:rPr>
          <w:b/>
        </w:rPr>
        <w:t>isplacement</w:t>
      </w:r>
      <w:r w:rsidRPr="00DE4A73">
        <w:rPr>
          <w:b/>
        </w:rPr>
        <w:t>:</w:t>
      </w:r>
      <w:r>
        <w:t xml:space="preserve"> When physical displacement or economic displacement is unavoidable, UNDP integrate</w:t>
      </w:r>
      <w:r w:rsidR="00861A04">
        <w:t>s</w:t>
      </w:r>
      <w:r>
        <w:t xml:space="preserve"> into the </w:t>
      </w:r>
      <w:r w:rsidR="00E60CC0">
        <w:t>project</w:t>
      </w:r>
      <w:r>
        <w:t xml:space="preserve"> </w:t>
      </w:r>
      <w:r w:rsidR="007C0E6E">
        <w:t>d</w:t>
      </w:r>
      <w:r>
        <w:t>ocument</w:t>
      </w:r>
      <w:r w:rsidR="007C0E6E">
        <w:t>ation</w:t>
      </w:r>
      <w:r>
        <w:t xml:space="preserve"> a</w:t>
      </w:r>
      <w:r w:rsidR="00D72160">
        <w:t xml:space="preserve">n </w:t>
      </w:r>
      <w:r w:rsidR="00B452E9">
        <w:t>a</w:t>
      </w:r>
      <w:r>
        <w:t xml:space="preserve">ction </w:t>
      </w:r>
      <w:r w:rsidR="00B452E9">
        <w:t>p</w:t>
      </w:r>
      <w:r>
        <w:t>lan</w:t>
      </w:r>
      <w:r>
        <w:rPr>
          <w:b/>
        </w:rPr>
        <w:t xml:space="preserve"> </w:t>
      </w:r>
      <w:r>
        <w:t xml:space="preserve">that has been developed transparently with </w:t>
      </w:r>
      <w:r w:rsidR="005E3331">
        <w:t xml:space="preserve">the </w:t>
      </w:r>
      <w:r>
        <w:t>individuals and communities to be displaced</w:t>
      </w:r>
      <w:r w:rsidR="00771D86">
        <w:t>,</w:t>
      </w:r>
      <w:r>
        <w:t xml:space="preserve"> and </w:t>
      </w:r>
      <w:r>
        <w:rPr>
          <w:rFonts w:cs="Arial"/>
        </w:rPr>
        <w:t>meets the objectives</w:t>
      </w:r>
      <w:r w:rsidR="00755457">
        <w:rPr>
          <w:rFonts w:cs="Arial"/>
        </w:rPr>
        <w:t xml:space="preserve"> and requirements</w:t>
      </w:r>
      <w:r>
        <w:rPr>
          <w:rFonts w:cs="Arial"/>
        </w:rPr>
        <w:t xml:space="preserve"> of this Standard.</w:t>
      </w:r>
    </w:p>
    <w:p w14:paraId="3B444DC9" w14:textId="7FD00FEA" w:rsidR="00D72160" w:rsidRPr="00D72160" w:rsidRDefault="00D72160" w:rsidP="00AC7F5D">
      <w:pPr>
        <w:pStyle w:val="SEQSbodynumbered"/>
      </w:pPr>
      <w:r>
        <w:t xml:space="preserve">Action plans to address displacement impacts </w:t>
      </w:r>
      <w:r w:rsidR="00861A04">
        <w:t>are</w:t>
      </w:r>
      <w:r>
        <w:t xml:space="preserve"> proportionate to the risks and impacts associated with </w:t>
      </w:r>
      <w:r w:rsidR="00E60CC0">
        <w:t>project</w:t>
      </w:r>
      <w:r>
        <w:t xml:space="preserve"> activities. The degree of potential impacts is largely determined by the scope of physical and economic displacement and the vulnerability of affected persons.</w:t>
      </w:r>
    </w:p>
    <w:p w14:paraId="4668DDEE" w14:textId="62F3D816" w:rsidR="0095463C" w:rsidRPr="0095463C" w:rsidRDefault="00C277E4" w:rsidP="00AC7F5D">
      <w:pPr>
        <w:pStyle w:val="SEQSbodynumbered"/>
      </w:pPr>
      <w:r>
        <w:lastRenderedPageBreak/>
        <w:t xml:space="preserve">A Resettlement Action Plan will typically be developed for physical displacement and a Livelihood Action Plan for economic displacement (noting that a combined plan may also be required). </w:t>
      </w:r>
      <w:r w:rsidR="0095463C">
        <w:t xml:space="preserve">Displacement activities may also at times be conceptualized as a community development plan. </w:t>
      </w:r>
      <w:r w:rsidR="0095463C" w:rsidRPr="00E15270">
        <w:t>Where the specific locations and magnitude of potential land acquisition and restrictions of land use are not fully known during preparation</w:t>
      </w:r>
      <w:r w:rsidR="0095463C">
        <w:t xml:space="preserve"> of </w:t>
      </w:r>
      <w:r w:rsidR="00E60CC0">
        <w:t>project</w:t>
      </w:r>
      <w:r w:rsidR="0095463C">
        <w:t xml:space="preserve"> activities</w:t>
      </w:r>
      <w:r w:rsidR="0095463C" w:rsidRPr="00E15270">
        <w:t>,</w:t>
      </w:r>
      <w:r w:rsidR="0095463C">
        <w:t xml:space="preserve"> a</w:t>
      </w:r>
      <w:r w:rsidR="0095463C" w:rsidRPr="00E15270">
        <w:t xml:space="preserve"> </w:t>
      </w:r>
      <w:r>
        <w:t xml:space="preserve">Resettlement or and/or Livelihood planning </w:t>
      </w:r>
      <w:r w:rsidR="0095463C" w:rsidRPr="00E15270">
        <w:t>framework</w:t>
      </w:r>
      <w:r w:rsidR="0095463C">
        <w:t xml:space="preserve"> </w:t>
      </w:r>
      <w:r>
        <w:t xml:space="preserve">is required that specifies how </w:t>
      </w:r>
      <w:r w:rsidR="0095463C">
        <w:t>further s</w:t>
      </w:r>
      <w:r w:rsidR="0095463C" w:rsidRPr="00E15270">
        <w:t>pecific action plans</w:t>
      </w:r>
      <w:r w:rsidR="0095463C">
        <w:t xml:space="preserve"> </w:t>
      </w:r>
      <w:r>
        <w:t>will</w:t>
      </w:r>
      <w:r w:rsidR="0095463C">
        <w:t xml:space="preserve"> be </w:t>
      </w:r>
      <w:r>
        <w:t xml:space="preserve">developed </w:t>
      </w:r>
      <w:r w:rsidR="0095463C" w:rsidRPr="00E15270">
        <w:t xml:space="preserve">once </w:t>
      </w:r>
      <w:r w:rsidR="00E60CC0">
        <w:t>project</w:t>
      </w:r>
      <w:r w:rsidR="0095463C" w:rsidRPr="00E15270">
        <w:t xml:space="preserve"> components are defined and assessed.</w:t>
      </w:r>
      <w:r w:rsidR="0095463C">
        <w:t xml:space="preserve"> In all cases, action plans addressing </w:t>
      </w:r>
      <w:r w:rsidR="00E60CC0">
        <w:t>project</w:t>
      </w:r>
      <w:r w:rsidR="0095463C">
        <w:t xml:space="preserve">-related displacement impacts are to address the requirements of this Standard. </w:t>
      </w:r>
    </w:p>
    <w:p w14:paraId="4016C475" w14:textId="3FB5AED7" w:rsidR="00564C05" w:rsidRDefault="00564C05" w:rsidP="007834FA">
      <w:pPr>
        <w:pStyle w:val="SEQSbodynumbered"/>
      </w:pPr>
      <w:r>
        <w:t>Where impacts on the entire displaced population are minor, an abbreviated action plan may be developed that establishes eligibility criteria for affected persons; compensation procedures and standards</w:t>
      </w:r>
      <w:r>
        <w:rPr>
          <w:rStyle w:val="FootnoteReference"/>
          <w:rFonts w:eastAsia="Times New Roman"/>
          <w:color w:val="000000"/>
        </w:rPr>
        <w:t xml:space="preserve"> </w:t>
      </w:r>
      <w:r>
        <w:t>at full replacement cost designed at a minimum to restore affected persons assets and livelihoods; and arrangement for participation and collaboration of affected persons. Impacts are considered “minor” if affected persons are not physically displaced, are relatively few in number, and if activities involve minor land acquisition (affecting less than 10 percent of productive assets) and do not have significant livelihood impacts.</w:t>
      </w:r>
    </w:p>
    <w:p w14:paraId="447BA3E8" w14:textId="77777777" w:rsidR="000828D8" w:rsidRPr="000828D8" w:rsidRDefault="000828D8">
      <w:pPr>
        <w:pStyle w:val="SEQSbodynumbered"/>
      </w:pPr>
      <w:r w:rsidRPr="000828D8">
        <w:t xml:space="preserve">Action plans for activities involving physical displacement or economic displacement with significant social and economic impacts on affected persons are to provide sufficient resources and opportunities to enable displaced persons to benefit directly from programming activities </w:t>
      </w:r>
      <w:r w:rsidR="00844815">
        <w:t>with the aim</w:t>
      </w:r>
      <w:r w:rsidRPr="000828D8">
        <w:t xml:space="preserve"> to improve affected persons livelihoods and living standards</w:t>
      </w:r>
      <w:r w:rsidR="00E504F5">
        <w:t xml:space="preserve"> </w:t>
      </w:r>
      <w:r w:rsidR="00E504F5" w:rsidRPr="00A77327">
        <w:rPr>
          <w:rFonts w:eastAsia="Times New Roman"/>
          <w:color w:val="000000"/>
        </w:rPr>
        <w:t xml:space="preserve">in real terms </w:t>
      </w:r>
      <w:r w:rsidR="00E504F5">
        <w:rPr>
          <w:rFonts w:eastAsia="Times New Roman"/>
          <w:color w:val="000000"/>
        </w:rPr>
        <w:t>compared to</w:t>
      </w:r>
      <w:r w:rsidR="00E504F5" w:rsidRPr="00A77327">
        <w:rPr>
          <w:rFonts w:eastAsia="Times New Roman"/>
          <w:color w:val="000000"/>
        </w:rPr>
        <w:t xml:space="preserve"> pre-displacement levels</w:t>
      </w:r>
      <w:r w:rsidR="00E504F5">
        <w:rPr>
          <w:rFonts w:eastAsia="Times New Roman"/>
          <w:color w:val="000000"/>
        </w:rPr>
        <w:t xml:space="preserve"> </w:t>
      </w:r>
      <w:r w:rsidR="00E504F5" w:rsidRPr="00577D1D">
        <w:rPr>
          <w:rFonts w:eastAsia="Times New Roman"/>
          <w:color w:val="000000"/>
        </w:rPr>
        <w:t>or to levels prevailing prior to the start of implementation, whichever is higher</w:t>
      </w:r>
      <w:r w:rsidRPr="000828D8">
        <w:t xml:space="preserve">. </w:t>
      </w:r>
      <w:r w:rsidRPr="00A42F72">
        <w:t>Such</w:t>
      </w:r>
      <w:r w:rsidRPr="000828D8">
        <w:t xml:space="preserve"> plans will at a minimum address the following relevant elements, taking into account the full social and economic costs to displaced persons:</w:t>
      </w:r>
    </w:p>
    <w:p w14:paraId="564BC83B" w14:textId="77777777" w:rsidR="000828D8" w:rsidRPr="000828D8" w:rsidRDefault="000828D8" w:rsidP="00A42F72">
      <w:pPr>
        <w:pStyle w:val="listbullets1"/>
      </w:pPr>
      <w:r w:rsidRPr="000828D8">
        <w:t>Establish eligibility criteria, cutoff dates, and entitlements for all categories of affected persons;</w:t>
      </w:r>
    </w:p>
    <w:p w14:paraId="344D6E2E" w14:textId="77777777" w:rsidR="000828D8" w:rsidRPr="000828D8" w:rsidRDefault="000828D8" w:rsidP="00A42F72">
      <w:pPr>
        <w:pStyle w:val="listbullets1"/>
      </w:pPr>
      <w:r w:rsidRPr="000828D8">
        <w:t>Provide (a) fair and just compensation at full replacement cost (based where relevant on the cost of replacement at resettled sites and locations) prior to displacement for any losses of personal, real or other property or goods, noting that compensation and support may be collective in nature; (b) transitional support (both financial and in-kind) based on reasonable estimates of the time required to restore</w:t>
      </w:r>
      <w:r w:rsidRPr="00A42F72">
        <w:t xml:space="preserve"> and improve</w:t>
      </w:r>
      <w:r w:rsidRPr="000828D8">
        <w:t xml:space="preserve"> income-earning capacity, production levels, and standards of living; and (c) development assistance such as land development, credit facilities, direct benefits, training or employment opportunities, and provision of expertise, as appropriate. The combination of compensation, transitional support and development assistance will seek to improve pre-displacement productive capacity and earning potential of displaced persons;</w:t>
      </w:r>
    </w:p>
    <w:p w14:paraId="1988A006" w14:textId="77777777" w:rsidR="000828D8" w:rsidRDefault="000828D8" w:rsidP="000828D8">
      <w:pPr>
        <w:pStyle w:val="listbullets1"/>
      </w:pPr>
      <w:r w:rsidRPr="000828D8">
        <w:t>Provide to displaced individuals and communities secure access to necessary services, shelter, food, water, energy, and sanitation, as applicable;</w:t>
      </w:r>
    </w:p>
    <w:p w14:paraId="296FBA55" w14:textId="77777777" w:rsidR="000828D8" w:rsidRPr="000828D8" w:rsidRDefault="000828D8" w:rsidP="000828D8">
      <w:pPr>
        <w:pStyle w:val="listbullets1"/>
      </w:pPr>
      <w:r w:rsidRPr="000828D8">
        <w:t xml:space="preserve">Consider gender aspects, recognizing women and men as co-beneficiaries and providing single women with their own compensation; and </w:t>
      </w:r>
    </w:p>
    <w:p w14:paraId="3E4C128A" w14:textId="77777777" w:rsidR="000828D8" w:rsidRDefault="000828D8" w:rsidP="000828D8">
      <w:pPr>
        <w:pStyle w:val="listbullets1"/>
      </w:pPr>
      <w:r w:rsidRPr="000828D8">
        <w:t xml:space="preserve">Ensure impoverished individuals and marginalized or disadvantaged persons and groups are provided equal access to programming benefits and resources. </w:t>
      </w:r>
    </w:p>
    <w:p w14:paraId="077012CD" w14:textId="380148B2" w:rsidR="000828D8" w:rsidRPr="000828D8" w:rsidRDefault="000828D8" w:rsidP="00AC7F5D">
      <w:pPr>
        <w:pStyle w:val="SEQSbodynumbered"/>
      </w:pPr>
      <w:r w:rsidRPr="00E504F5">
        <w:rPr>
          <w:b/>
        </w:rPr>
        <w:lastRenderedPageBreak/>
        <w:t xml:space="preserve">Physical </w:t>
      </w:r>
      <w:r w:rsidRPr="000828D8">
        <w:rPr>
          <w:b/>
        </w:rPr>
        <w:t>displacement</w:t>
      </w:r>
      <w:r w:rsidR="00E504F5">
        <w:rPr>
          <w:b/>
        </w:rPr>
        <w:t>:</w:t>
      </w:r>
      <w:r w:rsidRPr="000828D8">
        <w:rPr>
          <w:b/>
        </w:rPr>
        <w:t xml:space="preserve"> </w:t>
      </w:r>
      <w:r w:rsidRPr="000828D8">
        <w:t xml:space="preserve">Where </w:t>
      </w:r>
      <w:r w:rsidR="00E60CC0">
        <w:t>project</w:t>
      </w:r>
      <w:r w:rsidRPr="000828D8">
        <w:t xml:space="preserve"> activities involve physical displacement, the action plan shall address the following additional elements:</w:t>
      </w:r>
    </w:p>
    <w:p w14:paraId="718DEDB4" w14:textId="77777777" w:rsidR="000828D8" w:rsidRPr="000828D8" w:rsidRDefault="000828D8" w:rsidP="000828D8">
      <w:pPr>
        <w:pStyle w:val="listbullets1"/>
      </w:pPr>
      <w:r w:rsidRPr="000828D8">
        <w:t xml:space="preserve">Specify the resettlement options chosen by displaced persons, respecting preferences to relocate in pre-existing communities wherever possible, and document all transactions; </w:t>
      </w:r>
    </w:p>
    <w:p w14:paraId="6CE50B2C" w14:textId="77777777" w:rsidR="000828D8" w:rsidRPr="000828D8" w:rsidRDefault="000828D8" w:rsidP="000828D8">
      <w:pPr>
        <w:pStyle w:val="listbullets1"/>
      </w:pPr>
      <w:r w:rsidRPr="000828D8">
        <w:t>Provide a choice of replacement property with secure tenure</w:t>
      </w:r>
      <w:r w:rsidRPr="000828D8">
        <w:rPr>
          <w:vertAlign w:val="superscript"/>
        </w:rPr>
        <w:footnoteReference w:id="82"/>
      </w:r>
      <w:r w:rsidRPr="000828D8">
        <w:t xml:space="preserve"> of higher value and better characteristics wherever possible</w:t>
      </w:r>
      <w:r w:rsidRPr="000828D8">
        <w:rPr>
          <w:vertAlign w:val="superscript"/>
        </w:rPr>
        <w:footnoteReference w:id="83"/>
      </w:r>
      <w:r w:rsidRPr="000828D8">
        <w:t xml:space="preserve"> for affected persons or communities with formal land rights or recognizable claims.</w:t>
      </w:r>
      <w:r w:rsidRPr="000828D8">
        <w:rPr>
          <w:vertAlign w:val="superscript"/>
        </w:rPr>
        <w:footnoteReference w:id="84"/>
      </w:r>
      <w:r w:rsidRPr="000828D8">
        <w:t xml:space="preserve"> Land-based resettlement strategies </w:t>
      </w:r>
      <w:r w:rsidR="00861A04">
        <w:t>are</w:t>
      </w:r>
      <w:r w:rsidRPr="000828D8">
        <w:t xml:space="preserve"> utilized when affected livelihoods are land-based or where land is collectively owned</w:t>
      </w:r>
      <w:r w:rsidR="001E51CA">
        <w:t>;</w:t>
      </w:r>
      <w:r w:rsidRPr="000828D8">
        <w:rPr>
          <w:vertAlign w:val="superscript"/>
        </w:rPr>
        <w:footnoteReference w:id="85"/>
      </w:r>
    </w:p>
    <w:p w14:paraId="29EA8FB2" w14:textId="77777777" w:rsidR="000828D8" w:rsidRPr="000828D8" w:rsidRDefault="000828D8" w:rsidP="000828D8">
      <w:pPr>
        <w:pStyle w:val="listbullets1"/>
      </w:pPr>
      <w:r w:rsidRPr="000828D8">
        <w:t>Ensure resettlement sites provide adequate housing with improved living conditions, necessary civic infrastructure and services. For housing to be adequate, it must, at a minimum, meet the following criteria: providing security of tenure; availability of services, materials, facilities and infrastructure; affordability; habitability; accessibility; location; and cultural adequacy;</w:t>
      </w:r>
      <w:r w:rsidRPr="000828D8">
        <w:rPr>
          <w:vertAlign w:val="superscript"/>
        </w:rPr>
        <w:footnoteReference w:id="86"/>
      </w:r>
      <w:r w:rsidRPr="000828D8">
        <w:t xml:space="preserve"> </w:t>
      </w:r>
    </w:p>
    <w:p w14:paraId="26976B1E" w14:textId="77777777" w:rsidR="000828D8" w:rsidRPr="000828D8" w:rsidRDefault="000828D8" w:rsidP="000828D8">
      <w:pPr>
        <w:pStyle w:val="listbullets1"/>
      </w:pPr>
      <w:r w:rsidRPr="000828D8">
        <w:t>For affected persons without formal land rights or recognizable claims, compensate for loss of assets other than land (e.g. dwellings, other improvements) at full replacement costs, provide resettlement assistance in lieu of compensation for land sufficient to restore living standards at an adequate alternative site, and provide arrangements to allow them to obtain adequate housing with security of tenure so they can resettle without facing the risk of forced eviction;</w:t>
      </w:r>
    </w:p>
    <w:p w14:paraId="19F5345E" w14:textId="77777777" w:rsidR="000828D8" w:rsidRPr="000828D8" w:rsidRDefault="000828D8" w:rsidP="000828D8">
      <w:pPr>
        <w:pStyle w:val="listbullets1"/>
      </w:pPr>
      <w:r w:rsidRPr="000828D8">
        <w:t>Stipulate that compensation is not required for encroachers after the established cut-off date, provided that the date has been well publicized.</w:t>
      </w:r>
    </w:p>
    <w:p w14:paraId="6EE6C526" w14:textId="244E9F4B" w:rsidR="000828D8" w:rsidRPr="000828D8" w:rsidRDefault="000828D8" w:rsidP="00AC7F5D">
      <w:pPr>
        <w:pStyle w:val="SEQSbodynumbered"/>
      </w:pPr>
      <w:r w:rsidRPr="00E504F5">
        <w:rPr>
          <w:b/>
        </w:rPr>
        <w:t xml:space="preserve">Economic </w:t>
      </w:r>
      <w:r w:rsidRPr="000828D8">
        <w:rPr>
          <w:b/>
        </w:rPr>
        <w:t>displacement</w:t>
      </w:r>
      <w:r w:rsidR="00E504F5">
        <w:rPr>
          <w:b/>
        </w:rPr>
        <w:t>:</w:t>
      </w:r>
      <w:r w:rsidRPr="000828D8">
        <w:rPr>
          <w:b/>
        </w:rPr>
        <w:t xml:space="preserve"> </w:t>
      </w:r>
      <w:r w:rsidRPr="000828D8">
        <w:t xml:space="preserve">Where </w:t>
      </w:r>
      <w:r w:rsidR="00E60CC0">
        <w:t>project</w:t>
      </w:r>
      <w:r w:rsidRPr="000828D8">
        <w:t xml:space="preserve"> activities involve economic displacement with significant social and economic impacts, the action plan shall address the following additional elements: </w:t>
      </w:r>
    </w:p>
    <w:p w14:paraId="26263C31" w14:textId="77777777" w:rsidR="000828D8" w:rsidRPr="000828D8" w:rsidRDefault="000828D8" w:rsidP="000828D8">
      <w:pPr>
        <w:pStyle w:val="listbullets1"/>
      </w:pPr>
      <w:r w:rsidRPr="000828D8">
        <w:t>Ensure compensation covers all commercial losses (including costs of transfer and re-establishing commercial activity, lost net income during transition, lost employee wages) and for other assets such as crops, irrigation infrastructure or other improvements to affected areas;</w:t>
      </w:r>
    </w:p>
    <w:p w14:paraId="23DFE12B" w14:textId="77777777" w:rsidR="000828D8" w:rsidRPr="000828D8" w:rsidRDefault="000828D8" w:rsidP="000828D8">
      <w:pPr>
        <w:pStyle w:val="listbullets1"/>
      </w:pPr>
      <w:r w:rsidRPr="000828D8">
        <w:t xml:space="preserve">Provide replacement property of improved value where legitimate tenure rights (both formal and informal) are restricted. Provide replacement agricultural sites of superior </w:t>
      </w:r>
      <w:r w:rsidRPr="000828D8">
        <w:lastRenderedPageBreak/>
        <w:t>productive potential wherever possible, including through investments in increasing productivity. If it is clearly demonstrated that replacement land and resources are unavailable, offer cash compensation at full replacement cost and options and support for alternative income earning with evidence of mutual agreement;</w:t>
      </w:r>
    </w:p>
    <w:p w14:paraId="5ECDFF64" w14:textId="77777777" w:rsidR="000828D8" w:rsidRPr="000828D8" w:rsidRDefault="000828D8" w:rsidP="000828D8">
      <w:pPr>
        <w:pStyle w:val="listbullets1"/>
      </w:pPr>
      <w:r w:rsidRPr="000828D8">
        <w:t>Compensate economically displaced persons who are without legally recognizable claims to land for lost assets other than land (e.g. crops, irrigation infrastructure, other improvements made to the land), at full replacement cost;</w:t>
      </w:r>
    </w:p>
    <w:p w14:paraId="1FCB9831" w14:textId="77777777" w:rsidR="000828D8" w:rsidRPr="000828D8" w:rsidRDefault="000828D8" w:rsidP="000828D8">
      <w:pPr>
        <w:pStyle w:val="listbullets1"/>
      </w:pPr>
      <w:r w:rsidRPr="000828D8">
        <w:t>Where displaced livelihoods are natural resource based, offer replacement land and access to alternative resources with a combination of productive potential, locational advantage, and other factors with improved livelihood-earning potential and accessibility, wherever feasible. Provide alternative income earning opportunities and support if it is demonstrably not possible to provide replacement land and resources;</w:t>
      </w:r>
    </w:p>
    <w:p w14:paraId="609A42C0" w14:textId="77777777" w:rsidR="000828D8" w:rsidRPr="000828D8" w:rsidRDefault="000828D8" w:rsidP="000828D8">
      <w:pPr>
        <w:pStyle w:val="listbullets1"/>
      </w:pPr>
      <w:r w:rsidRPr="000828D8">
        <w:t xml:space="preserve">If the programming activities restrict access to resources in legally designated parks or protected areas or other common property resources, establish a collaborative process with affected persons and communities to negotiate and determine appropriate restrictions and mitigation measures to improve affected livelihoods while maintaining the sustainability of the park or protected area. </w:t>
      </w:r>
    </w:p>
    <w:p w14:paraId="18FFAD5F" w14:textId="2FBEA868" w:rsidR="00FB2319" w:rsidRDefault="00FB2319" w:rsidP="00AC7F5D">
      <w:pPr>
        <w:pStyle w:val="SEQSbodynumbered"/>
      </w:pPr>
      <w:r>
        <w:rPr>
          <w:b/>
        </w:rPr>
        <w:t xml:space="preserve">Addressing </w:t>
      </w:r>
      <w:r w:rsidR="00A37A5C">
        <w:rPr>
          <w:b/>
        </w:rPr>
        <w:t>p</w:t>
      </w:r>
      <w:r>
        <w:rPr>
          <w:b/>
        </w:rPr>
        <w:t xml:space="preserve">rior </w:t>
      </w:r>
      <w:r w:rsidR="00A37A5C">
        <w:rPr>
          <w:b/>
        </w:rPr>
        <w:t>d</w:t>
      </w:r>
      <w:r>
        <w:rPr>
          <w:b/>
        </w:rPr>
        <w:t>isplacement:</w:t>
      </w:r>
      <w:r>
        <w:t xml:space="preserve"> When displacement has occurred in anticipation of a UNDP </w:t>
      </w:r>
      <w:r w:rsidR="00E60CC0">
        <w:t>project</w:t>
      </w:r>
      <w:r>
        <w:t xml:space="preserve">, requirements of this Standard apply. When an unoccupied site from which prior residents were displaced is provided for a </w:t>
      </w:r>
      <w:r w:rsidR="00E60CC0">
        <w:t>project</w:t>
      </w:r>
      <w:r>
        <w:t xml:space="preserve">, but not in anticipation of a </w:t>
      </w:r>
      <w:r w:rsidR="00E60CC0">
        <w:t>project</w:t>
      </w:r>
      <w:r>
        <w:t xml:space="preserve">, UNDP shall determine if requirements of this Standard were met and, if not, if corrective action is feasible. If corrective action is feasible and would improve the standard of living of the displaced </w:t>
      </w:r>
      <w:r w:rsidR="00AD01AF">
        <w:t>persons</w:t>
      </w:r>
      <w:r>
        <w:t>, UNDP ensure</w:t>
      </w:r>
      <w:r w:rsidR="00AC10D2">
        <w:t>s</w:t>
      </w:r>
      <w:r>
        <w:t xml:space="preserve"> that corrective measures are pursued prior to, or if not feasible, then during implementation of the </w:t>
      </w:r>
      <w:r w:rsidR="00E60CC0">
        <w:t>project</w:t>
      </w:r>
      <w:r>
        <w:t xml:space="preserve">. </w:t>
      </w:r>
    </w:p>
    <w:p w14:paraId="23AAE563" w14:textId="4AB78F70" w:rsidR="00AF6D12" w:rsidRDefault="00AF6D12" w:rsidP="00AC7F5D">
      <w:pPr>
        <w:pStyle w:val="SEQSbodynumbered"/>
      </w:pPr>
      <w:r w:rsidRPr="00B41105">
        <w:rPr>
          <w:b/>
        </w:rPr>
        <w:t>Monitoring</w:t>
      </w:r>
      <w:r>
        <w:rPr>
          <w:b/>
        </w:rPr>
        <w:t xml:space="preserve"> and completion analysis</w:t>
      </w:r>
      <w:r w:rsidR="00C814A4">
        <w:t>:</w:t>
      </w:r>
      <w:r w:rsidRPr="00E42A88">
        <w:t xml:space="preserve"> </w:t>
      </w:r>
      <w:r w:rsidR="00C814A4">
        <w:t xml:space="preserve">UNDP </w:t>
      </w:r>
      <w:r w:rsidR="00E60CC0">
        <w:t>project</w:t>
      </w:r>
      <w:r w:rsidR="00C814A4">
        <w:t>s</w:t>
      </w:r>
      <w:r w:rsidR="007D05F6">
        <w:t xml:space="preserve"> with significant displacement impacts</w:t>
      </w:r>
      <w:r w:rsidR="00C814A4">
        <w:t xml:space="preserve"> p</w:t>
      </w:r>
      <w:r>
        <w:t>rovide for independent monitoring by qualified experts of</w:t>
      </w:r>
      <w:r w:rsidRPr="00E42A88">
        <w:t xml:space="preserve"> </w:t>
      </w:r>
      <w:r>
        <w:t xml:space="preserve">implementation of any action plans. </w:t>
      </w:r>
      <w:r w:rsidR="007D05F6">
        <w:t>D</w:t>
      </w:r>
      <w:r>
        <w:t xml:space="preserve">irectly-affected persons </w:t>
      </w:r>
      <w:r w:rsidR="00AC10D2">
        <w:t>are</w:t>
      </w:r>
      <w:r w:rsidR="007D05F6">
        <w:t xml:space="preserve"> consulted </w:t>
      </w:r>
      <w:r>
        <w:t>on implementation of plans and collaborative monitoring with affected persons and communities</w:t>
      </w:r>
      <w:r w:rsidR="007D05F6">
        <w:t xml:space="preserve"> </w:t>
      </w:r>
      <w:r w:rsidR="00AC10D2">
        <w:t>is</w:t>
      </w:r>
      <w:r w:rsidR="007D05F6">
        <w:t xml:space="preserve"> considered</w:t>
      </w:r>
      <w:r>
        <w:t xml:space="preserve">. </w:t>
      </w:r>
      <w:r w:rsidR="005A40D8">
        <w:t>P</w:t>
      </w:r>
      <w:r w:rsidR="00E60CC0">
        <w:t>roject</w:t>
      </w:r>
      <w:r w:rsidR="007D05F6">
        <w:t xml:space="preserve">s with significant displacement impacts </w:t>
      </w:r>
      <w:r w:rsidR="007D05F6">
        <w:rPr>
          <w:rFonts w:eastAsia="Times New Roman"/>
          <w:color w:val="000000"/>
        </w:rPr>
        <w:t>p</w:t>
      </w:r>
      <w:r w:rsidRPr="00B41105">
        <w:rPr>
          <w:rFonts w:eastAsia="Times New Roman"/>
          <w:color w:val="000000"/>
        </w:rPr>
        <w:t>rep</w:t>
      </w:r>
      <w:r>
        <w:rPr>
          <w:rFonts w:eastAsia="Times New Roman"/>
          <w:color w:val="000000"/>
        </w:rPr>
        <w:t>are periodic monitoring reports and</w:t>
      </w:r>
      <w:r w:rsidRPr="00B41105">
        <w:rPr>
          <w:rFonts w:eastAsia="Times New Roman"/>
          <w:color w:val="000000"/>
        </w:rPr>
        <w:t xml:space="preserve"> inform affected persons about </w:t>
      </w:r>
      <w:r>
        <w:rPr>
          <w:rFonts w:eastAsia="Times New Roman"/>
          <w:color w:val="000000"/>
        </w:rPr>
        <w:t xml:space="preserve">monitoring </w:t>
      </w:r>
      <w:r w:rsidRPr="00B41105">
        <w:rPr>
          <w:rFonts w:eastAsia="Times New Roman"/>
          <w:color w:val="000000"/>
        </w:rPr>
        <w:t>results</w:t>
      </w:r>
      <w:r>
        <w:rPr>
          <w:rFonts w:eastAsia="Times New Roman"/>
          <w:color w:val="000000"/>
        </w:rPr>
        <w:t>.</w:t>
      </w:r>
      <w:r w:rsidRPr="00B41105">
        <w:rPr>
          <w:rFonts w:eastAsia="Times New Roman"/>
          <w:color w:val="000000"/>
        </w:rPr>
        <w:t xml:space="preserve"> </w:t>
      </w:r>
      <w:r w:rsidR="001C5473">
        <w:rPr>
          <w:rFonts w:eastAsia="Times New Roman"/>
          <w:color w:val="000000"/>
        </w:rPr>
        <w:t>A</w:t>
      </w:r>
      <w:r>
        <w:rPr>
          <w:rFonts w:eastAsia="Times New Roman"/>
          <w:color w:val="000000"/>
        </w:rPr>
        <w:t xml:space="preserve"> long-term monitoring plan </w:t>
      </w:r>
      <w:r w:rsidR="00AC10D2">
        <w:rPr>
          <w:rFonts w:eastAsia="Times New Roman"/>
          <w:color w:val="000000"/>
        </w:rPr>
        <w:t>is</w:t>
      </w:r>
      <w:r w:rsidR="001C5473">
        <w:rPr>
          <w:rFonts w:eastAsia="Times New Roman"/>
          <w:color w:val="000000"/>
        </w:rPr>
        <w:t xml:space="preserve"> developed </w:t>
      </w:r>
      <w:r>
        <w:rPr>
          <w:rFonts w:eastAsia="Times New Roman"/>
          <w:color w:val="000000"/>
        </w:rPr>
        <w:t xml:space="preserve">to assess impacts on standards of living of displaced persons and whether objectives of action plans have been achieved, taking into account baseline conditions. </w:t>
      </w:r>
      <w:r w:rsidR="005A40D8">
        <w:rPr>
          <w:rFonts w:eastAsia="Times New Roman"/>
          <w:color w:val="000000"/>
        </w:rPr>
        <w:t>P</w:t>
      </w:r>
      <w:r w:rsidR="00E60CC0">
        <w:rPr>
          <w:rFonts w:eastAsia="Times New Roman"/>
          <w:color w:val="000000"/>
        </w:rPr>
        <w:t>roject</w:t>
      </w:r>
      <w:r>
        <w:rPr>
          <w:rFonts w:eastAsia="Times New Roman"/>
          <w:color w:val="000000"/>
        </w:rPr>
        <w:t xml:space="preserve"> activities involving displacement </w:t>
      </w:r>
      <w:r w:rsidR="00AC10D2">
        <w:rPr>
          <w:rFonts w:eastAsia="Times New Roman"/>
          <w:color w:val="000000"/>
        </w:rPr>
        <w:t>are not</w:t>
      </w:r>
      <w:r>
        <w:rPr>
          <w:rFonts w:eastAsia="Times New Roman"/>
          <w:color w:val="000000"/>
        </w:rPr>
        <w:t xml:space="preserve"> </w:t>
      </w:r>
      <w:r w:rsidRPr="000C6DEA">
        <w:rPr>
          <w:rFonts w:eastAsia="Times New Roman"/>
          <w:color w:val="000000"/>
        </w:rPr>
        <w:t xml:space="preserve">considered complete until </w:t>
      </w:r>
      <w:r>
        <w:rPr>
          <w:rFonts w:eastAsia="Times New Roman"/>
          <w:color w:val="000000"/>
        </w:rPr>
        <w:t xml:space="preserve">adverse impacts are addressed and </w:t>
      </w:r>
      <w:r w:rsidRPr="000C6DEA">
        <w:rPr>
          <w:rFonts w:eastAsia="Times New Roman"/>
          <w:color w:val="000000"/>
        </w:rPr>
        <w:t xml:space="preserve">plans </w:t>
      </w:r>
      <w:r>
        <w:rPr>
          <w:rFonts w:eastAsia="Times New Roman"/>
          <w:color w:val="000000"/>
        </w:rPr>
        <w:t>are</w:t>
      </w:r>
      <w:r w:rsidR="002E42BF">
        <w:rPr>
          <w:rFonts w:eastAsia="Times New Roman"/>
          <w:color w:val="000000"/>
        </w:rPr>
        <w:t xml:space="preserve"> fully</w:t>
      </w:r>
      <w:r>
        <w:rPr>
          <w:rFonts w:eastAsia="Times New Roman"/>
          <w:color w:val="000000"/>
        </w:rPr>
        <w:t xml:space="preserve"> </w:t>
      </w:r>
      <w:r w:rsidRPr="000C6DEA">
        <w:rPr>
          <w:rFonts w:eastAsia="Times New Roman"/>
          <w:color w:val="000000"/>
        </w:rPr>
        <w:t>implemented</w:t>
      </w:r>
      <w:r>
        <w:rPr>
          <w:rFonts w:eastAsia="Times New Roman"/>
          <w:color w:val="000000"/>
        </w:rPr>
        <w:t xml:space="preserve">. </w:t>
      </w:r>
      <w:r>
        <w:t xml:space="preserve">Utilizing experienced independent experts, </w:t>
      </w:r>
      <w:r>
        <w:rPr>
          <w:rFonts w:eastAsia="Times New Roman"/>
          <w:color w:val="000000"/>
        </w:rPr>
        <w:t>undertake a completion analysis</w:t>
      </w:r>
      <w:r w:rsidRPr="000C6DEA">
        <w:rPr>
          <w:rFonts w:eastAsia="Times New Roman"/>
          <w:color w:val="000000"/>
        </w:rPr>
        <w:t xml:space="preserve"> </w:t>
      </w:r>
      <w:r w:rsidR="002E42BF">
        <w:rPr>
          <w:rFonts w:eastAsia="Times New Roman"/>
          <w:color w:val="000000"/>
        </w:rPr>
        <w:t xml:space="preserve">of </w:t>
      </w:r>
      <w:r w:rsidRPr="000C6DEA">
        <w:rPr>
          <w:rFonts w:eastAsia="Times New Roman"/>
          <w:color w:val="000000"/>
        </w:rPr>
        <w:t xml:space="preserve">whether livelihoods and living standards </w:t>
      </w:r>
      <w:r>
        <w:rPr>
          <w:rFonts w:eastAsia="Times New Roman"/>
          <w:color w:val="000000"/>
        </w:rPr>
        <w:t xml:space="preserve">of affected persons were </w:t>
      </w:r>
      <w:r w:rsidRPr="000C6DEA">
        <w:rPr>
          <w:rFonts w:eastAsia="Times New Roman"/>
          <w:color w:val="000000"/>
        </w:rPr>
        <w:t>improved or at least restored</w:t>
      </w:r>
      <w:r>
        <w:rPr>
          <w:rFonts w:eastAsia="Times New Roman"/>
          <w:color w:val="000000"/>
        </w:rPr>
        <w:t>, and where necessary, propose corrective actions.</w:t>
      </w:r>
    </w:p>
    <w:p w14:paraId="6E2ED291" w14:textId="77777777" w:rsidR="00CA3191" w:rsidRDefault="00645F47" w:rsidP="00BA3A5F">
      <w:pPr>
        <w:pStyle w:val="Heading2"/>
      </w:pPr>
      <w:r>
        <w:br w:type="page"/>
      </w:r>
      <w:bookmarkStart w:id="16" w:name="_Toc14683704"/>
      <w:r w:rsidR="00386969">
        <w:lastRenderedPageBreak/>
        <w:t xml:space="preserve">Standard </w:t>
      </w:r>
      <w:r w:rsidR="00741EB8">
        <w:t>6</w:t>
      </w:r>
      <w:r w:rsidR="00386969">
        <w:t>:</w:t>
      </w:r>
      <w:r w:rsidR="00600150">
        <w:t xml:space="preserve"> </w:t>
      </w:r>
      <w:r w:rsidR="00CA3191">
        <w:t>Indigenous Peoples</w:t>
      </w:r>
      <w:bookmarkEnd w:id="16"/>
    </w:p>
    <w:p w14:paraId="1550E915" w14:textId="77777777" w:rsidR="008F2758" w:rsidRPr="00993125" w:rsidRDefault="008F2758" w:rsidP="00F25215">
      <w:pPr>
        <w:pStyle w:val="Heading4"/>
      </w:pPr>
      <w:r w:rsidRPr="00993125">
        <w:t xml:space="preserve">Introduction </w:t>
      </w:r>
    </w:p>
    <w:p w14:paraId="5C0A8D63" w14:textId="77777777" w:rsidR="008F2758" w:rsidRDefault="008F2758" w:rsidP="00AC7F5D">
      <w:pPr>
        <w:pStyle w:val="SEQSbodynumbered"/>
        <w:numPr>
          <w:ilvl w:val="0"/>
          <w:numId w:val="10"/>
        </w:numPr>
      </w:pPr>
      <w:r>
        <w:t xml:space="preserve">Indigenous </w:t>
      </w:r>
      <w:r w:rsidR="008B46F0">
        <w:t>p</w:t>
      </w:r>
      <w:r>
        <w:t>eoples</w:t>
      </w:r>
      <w:r w:rsidRPr="00993125">
        <w:t xml:space="preserve">, as distinct people, are equal to all other peoples. Indigenous individuals and </w:t>
      </w:r>
      <w:r w:rsidR="008B46F0">
        <w:t>i</w:t>
      </w:r>
      <w:r>
        <w:t xml:space="preserve">ndigenous </w:t>
      </w:r>
      <w:r w:rsidR="008B46F0">
        <w:t>p</w:t>
      </w:r>
      <w:r>
        <w:t>eoples</w:t>
      </w:r>
      <w:r w:rsidRPr="00993125">
        <w:t xml:space="preserve"> </w:t>
      </w:r>
      <w:r w:rsidR="007F0FDA">
        <w:t xml:space="preserve">or communities </w:t>
      </w:r>
      <w:r w:rsidRPr="00993125">
        <w:t>are entitled to enjoy and exercise</w:t>
      </w:r>
      <w:r w:rsidR="0056512F">
        <w:t xml:space="preserve"> their human rights</w:t>
      </w:r>
      <w:r w:rsidRPr="00993125">
        <w:t xml:space="preserve"> without discrimination.</w:t>
      </w:r>
      <w:r>
        <w:t xml:space="preserve"> Indigenous </w:t>
      </w:r>
      <w:r w:rsidR="008B46F0">
        <w:t>p</w:t>
      </w:r>
      <w:r>
        <w:t>eoples</w:t>
      </w:r>
      <w:r w:rsidRPr="00993125">
        <w:t xml:space="preserve"> possess collective human rights which are indispensable for their existence, </w:t>
      </w:r>
      <w:r w:rsidR="003C580A" w:rsidRPr="00993125">
        <w:t>wel</w:t>
      </w:r>
      <w:r w:rsidR="0030004B">
        <w:t>l-</w:t>
      </w:r>
      <w:r w:rsidR="003C580A" w:rsidRPr="00993125">
        <w:t>being</w:t>
      </w:r>
      <w:r w:rsidRPr="00993125">
        <w:t xml:space="preserve"> and development as peoples. The special relationship that </w:t>
      </w:r>
      <w:r w:rsidR="008B46F0">
        <w:t>i</w:t>
      </w:r>
      <w:r>
        <w:t xml:space="preserve">ndigenous </w:t>
      </w:r>
      <w:r w:rsidR="008B46F0">
        <w:t>p</w:t>
      </w:r>
      <w:r>
        <w:t>eoples</w:t>
      </w:r>
      <w:r w:rsidRPr="00993125">
        <w:t xml:space="preserve"> have with their lands, </w:t>
      </w:r>
      <w:r w:rsidR="00BA7962" w:rsidRPr="00993125">
        <w:t>territories</w:t>
      </w:r>
      <w:r w:rsidR="00BA7962">
        <w:t xml:space="preserve">, </w:t>
      </w:r>
      <w:r w:rsidRPr="00993125">
        <w:t>resources</w:t>
      </w:r>
      <w:r w:rsidR="00345208">
        <w:t xml:space="preserve">, and </w:t>
      </w:r>
      <w:r w:rsidR="00BA7962">
        <w:t xml:space="preserve">cultural heritage </w:t>
      </w:r>
      <w:r w:rsidRPr="00993125">
        <w:t>is integral to their physical</w:t>
      </w:r>
      <w:r w:rsidR="008E127B">
        <w:t>, spiritual</w:t>
      </w:r>
      <w:r w:rsidRPr="00993125">
        <w:t xml:space="preserve"> and cultural survival.</w:t>
      </w:r>
      <w:r>
        <w:t xml:space="preserve"> </w:t>
      </w:r>
    </w:p>
    <w:p w14:paraId="1BDF091A" w14:textId="77777777" w:rsidR="008F2758" w:rsidRPr="00332498" w:rsidRDefault="005D5B09" w:rsidP="00AC7F5D">
      <w:pPr>
        <w:pStyle w:val="SEQSbodynumbered"/>
      </w:pPr>
      <w:r w:rsidRPr="00332498">
        <w:t>The</w:t>
      </w:r>
      <w:r w:rsidR="008F2758" w:rsidRPr="00332498">
        <w:t xml:space="preserve"> promotion and protection of the rights of </w:t>
      </w:r>
      <w:r w:rsidR="008B46F0">
        <w:t>i</w:t>
      </w:r>
      <w:r w:rsidR="008F2758" w:rsidRPr="00332498">
        <w:t xml:space="preserve">ndigenous </w:t>
      </w:r>
      <w:r w:rsidR="008B46F0">
        <w:t>p</w:t>
      </w:r>
      <w:r w:rsidR="008F2758" w:rsidRPr="00332498">
        <w:t xml:space="preserve">eoples, especially </w:t>
      </w:r>
      <w:r w:rsidR="008B46F0">
        <w:t xml:space="preserve">concerning </w:t>
      </w:r>
      <w:r w:rsidR="008F2758" w:rsidRPr="00332498">
        <w:t>their lands, territories</w:t>
      </w:r>
      <w:r w:rsidR="00345208">
        <w:t xml:space="preserve">, </w:t>
      </w:r>
      <w:r w:rsidR="00BA7962" w:rsidRPr="00332498">
        <w:t>resources</w:t>
      </w:r>
      <w:r w:rsidR="00BA7962">
        <w:t xml:space="preserve">, </w:t>
      </w:r>
      <w:r w:rsidR="00345208">
        <w:t>traditional livelihoods</w:t>
      </w:r>
      <w:r w:rsidR="005C5474">
        <w:t xml:space="preserve">, </w:t>
      </w:r>
      <w:r w:rsidR="00BA7962" w:rsidRPr="009D07A0">
        <w:rPr>
          <w:lang w:val="en-GB"/>
        </w:rPr>
        <w:t>tangible and intangible cultural heritage</w:t>
      </w:r>
      <w:r w:rsidR="00AF7BD6" w:rsidRPr="00332498">
        <w:t>,</w:t>
      </w:r>
      <w:r w:rsidR="008F2758" w:rsidRPr="00332498" w:rsidDel="00F94EE6">
        <w:t xml:space="preserve"> </w:t>
      </w:r>
      <w:r w:rsidR="008F2758" w:rsidRPr="00332498">
        <w:t xml:space="preserve">are </w:t>
      </w:r>
      <w:r w:rsidR="00012140" w:rsidRPr="00F25215">
        <w:t>necessary to achieve</w:t>
      </w:r>
      <w:r w:rsidR="008771C6" w:rsidRPr="00332498">
        <w:t xml:space="preserve"> </w:t>
      </w:r>
      <w:r w:rsidR="008F2758" w:rsidRPr="00332498">
        <w:t>UNDP</w:t>
      </w:r>
      <w:r w:rsidR="008771C6" w:rsidRPr="00332498">
        <w:t>’s</w:t>
      </w:r>
      <w:r w:rsidR="008F2758" w:rsidRPr="00332498">
        <w:t xml:space="preserve"> </w:t>
      </w:r>
      <w:r w:rsidR="00012140" w:rsidRPr="00332498">
        <w:t>goal</w:t>
      </w:r>
      <w:r w:rsidR="008B46F0">
        <w:t>s</w:t>
      </w:r>
      <w:r w:rsidR="00012140" w:rsidRPr="00332498">
        <w:t xml:space="preserve"> of advancing human rights</w:t>
      </w:r>
      <w:r w:rsidR="007F0FDA">
        <w:t>, respecting</w:t>
      </w:r>
      <w:r w:rsidR="00012140" w:rsidRPr="00332498">
        <w:t xml:space="preserve"> </w:t>
      </w:r>
      <w:r w:rsidR="008B46F0">
        <w:t>i</w:t>
      </w:r>
      <w:r w:rsidR="008F2758" w:rsidRPr="00332498">
        <w:t xml:space="preserve">ndigenous </w:t>
      </w:r>
      <w:r w:rsidR="008B46F0">
        <w:t>p</w:t>
      </w:r>
      <w:r w:rsidR="008F2758" w:rsidRPr="00332498">
        <w:t>eoples identit</w:t>
      </w:r>
      <w:r w:rsidR="007F0FDA">
        <w:t>ies</w:t>
      </w:r>
      <w:r w:rsidR="008F2758" w:rsidRPr="00332498">
        <w:t xml:space="preserve"> and improv</w:t>
      </w:r>
      <w:r w:rsidR="007F0FDA">
        <w:t>ing their</w:t>
      </w:r>
      <w:r w:rsidR="008F2758" w:rsidRPr="00332498">
        <w:t xml:space="preserve"> well-being.</w:t>
      </w:r>
    </w:p>
    <w:p w14:paraId="566CE0C4" w14:textId="77777777" w:rsidR="008F2758" w:rsidRPr="00993125" w:rsidRDefault="008F2758" w:rsidP="00F25215">
      <w:pPr>
        <w:pStyle w:val="Heading4"/>
      </w:pPr>
      <w:r w:rsidRPr="00993125">
        <w:t>Objectives</w:t>
      </w:r>
    </w:p>
    <w:p w14:paraId="29F7B37E" w14:textId="77777777" w:rsidR="008F2758" w:rsidRPr="00993125" w:rsidRDefault="008F2758" w:rsidP="000828D8">
      <w:pPr>
        <w:pStyle w:val="listbullets1"/>
      </w:pPr>
      <w:r>
        <w:t>To r</w:t>
      </w:r>
      <w:r w:rsidRPr="00993125">
        <w:t xml:space="preserve">ecognize and foster full respect for </w:t>
      </w:r>
      <w:r w:rsidR="008B46F0">
        <w:t>i</w:t>
      </w:r>
      <w:r>
        <w:t xml:space="preserve">ndigenous </w:t>
      </w:r>
      <w:r w:rsidR="008B46F0">
        <w:t>p</w:t>
      </w:r>
      <w:r>
        <w:t>eoples</w:t>
      </w:r>
      <w:r w:rsidRPr="00993125">
        <w:t xml:space="preserve">’ human rights as recognized under </w:t>
      </w:r>
      <w:r w:rsidR="0056512F">
        <w:t>Applicable Law</w:t>
      </w:r>
      <w:r w:rsidRPr="00993125">
        <w:t xml:space="preserve">, including but not limited to their rights to self-determination, their lands, resources and territories, </w:t>
      </w:r>
      <w:r w:rsidR="00345208">
        <w:t>traditional livelihoods</w:t>
      </w:r>
      <w:r w:rsidR="00345208" w:rsidRPr="00993125">
        <w:t xml:space="preserve"> </w:t>
      </w:r>
      <w:r w:rsidRPr="00993125">
        <w:t>and culture</w:t>
      </w:r>
      <w:r w:rsidR="007C31BA">
        <w:t>s</w:t>
      </w:r>
    </w:p>
    <w:p w14:paraId="1EADBF05" w14:textId="3B41469A" w:rsidR="008F2758" w:rsidRPr="00993125" w:rsidRDefault="008F2758" w:rsidP="000828D8">
      <w:pPr>
        <w:pStyle w:val="listbullets1"/>
      </w:pPr>
      <w:r>
        <w:t>To s</w:t>
      </w:r>
      <w:r w:rsidRPr="00993125">
        <w:t xml:space="preserve">upport </w:t>
      </w:r>
      <w:r w:rsidR="00A84521">
        <w:t>countries</w:t>
      </w:r>
      <w:r w:rsidR="00757BB6">
        <w:t xml:space="preserve"> </w:t>
      </w:r>
      <w:r w:rsidRPr="00993125">
        <w:t xml:space="preserve">in their promotion and protection of </w:t>
      </w:r>
      <w:r w:rsidR="007C0F12">
        <w:t>i</w:t>
      </w:r>
      <w:r>
        <w:t xml:space="preserve">ndigenous </w:t>
      </w:r>
      <w:r w:rsidR="007C0F12">
        <w:t>p</w:t>
      </w:r>
      <w:r>
        <w:t>eoples</w:t>
      </w:r>
      <w:r w:rsidRPr="00993125">
        <w:t xml:space="preserve">' rights, through </w:t>
      </w:r>
      <w:r w:rsidR="007C31BA">
        <w:t xml:space="preserve">implementation of </w:t>
      </w:r>
      <w:r w:rsidRPr="00993125">
        <w:t xml:space="preserve">domestic laws, policies, and </w:t>
      </w:r>
      <w:r w:rsidR="00E60CC0">
        <w:t>project</w:t>
      </w:r>
      <w:r w:rsidRPr="00993125">
        <w:t xml:space="preserve"> </w:t>
      </w:r>
      <w:r w:rsidR="007C31BA">
        <w:t xml:space="preserve">activities </w:t>
      </w:r>
      <w:r w:rsidR="00D618E4">
        <w:t xml:space="preserve">consistent with </w:t>
      </w:r>
      <w:r w:rsidR="00740B58">
        <w:t>the State's human rights obligations</w:t>
      </w:r>
    </w:p>
    <w:p w14:paraId="0A85D8EB" w14:textId="3DCCBA43" w:rsidR="008F2758" w:rsidRPr="00993125" w:rsidRDefault="008F2758" w:rsidP="000828D8">
      <w:pPr>
        <w:pStyle w:val="listbullets1"/>
      </w:pPr>
      <w:r>
        <w:t>To e</w:t>
      </w:r>
      <w:r w:rsidRPr="00993125">
        <w:t xml:space="preserve">nsure that </w:t>
      </w:r>
      <w:r w:rsidR="00757BB6">
        <w:t>UNDP</w:t>
      </w:r>
      <w:r w:rsidR="00757BB6" w:rsidRPr="00993125">
        <w:t xml:space="preserve"> </w:t>
      </w:r>
      <w:r w:rsidR="00E60CC0">
        <w:t>project</w:t>
      </w:r>
      <w:r w:rsidRPr="00993125">
        <w:t xml:space="preserve">s that may impact </w:t>
      </w:r>
      <w:r w:rsidR="007C0F12">
        <w:t>i</w:t>
      </w:r>
      <w:r>
        <w:t xml:space="preserve">ndigenous </w:t>
      </w:r>
      <w:r w:rsidR="007C0F12">
        <w:t>p</w:t>
      </w:r>
      <w:r>
        <w:t>eoples</w:t>
      </w:r>
      <w:r w:rsidRPr="00993125">
        <w:t xml:space="preserve"> are designed </w:t>
      </w:r>
      <w:r w:rsidR="00D618E4">
        <w:t xml:space="preserve">in a spirit of partnership with them, </w:t>
      </w:r>
      <w:r w:rsidRPr="00993125">
        <w:t xml:space="preserve">with their full and effective participation, with the objective of securing their free, prior, </w:t>
      </w:r>
      <w:r w:rsidR="007C0F12">
        <w:t xml:space="preserve">and </w:t>
      </w:r>
      <w:r w:rsidRPr="00993125">
        <w:t xml:space="preserve">informed consent (FPIC) where their rights, lands, </w:t>
      </w:r>
      <w:r w:rsidR="00BA7962" w:rsidRPr="00993125">
        <w:t>territories</w:t>
      </w:r>
      <w:r w:rsidR="00BA7962">
        <w:t>,</w:t>
      </w:r>
      <w:r w:rsidR="00BA7962" w:rsidRPr="00993125">
        <w:t xml:space="preserve"> </w:t>
      </w:r>
      <w:r w:rsidRPr="00993125">
        <w:t>resources</w:t>
      </w:r>
      <w:r w:rsidR="00345208">
        <w:t>, traditional livelihoods</w:t>
      </w:r>
      <w:r w:rsidRPr="00993125">
        <w:t xml:space="preserve"> may be affected</w:t>
      </w:r>
    </w:p>
    <w:p w14:paraId="4BDF6864" w14:textId="464A370B" w:rsidR="008F2758" w:rsidRPr="00993125" w:rsidRDefault="008F2758" w:rsidP="000828D8">
      <w:pPr>
        <w:pStyle w:val="listbullets1"/>
      </w:pPr>
      <w:r>
        <w:t xml:space="preserve">To </w:t>
      </w:r>
      <w:r w:rsidRPr="00993125">
        <w:t>promote gre</w:t>
      </w:r>
      <w:r>
        <w:t xml:space="preserve">ater control and management by </w:t>
      </w:r>
      <w:r w:rsidR="007C0F12">
        <w:t>i</w:t>
      </w:r>
      <w:r>
        <w:t xml:space="preserve">ndigenous </w:t>
      </w:r>
      <w:r w:rsidR="007C0F12">
        <w:t>p</w:t>
      </w:r>
      <w:r>
        <w:t xml:space="preserve">eoples </w:t>
      </w:r>
      <w:r w:rsidRPr="00993125">
        <w:t>over developments affecting them</w:t>
      </w:r>
      <w:r w:rsidR="00C463D5">
        <w:t>, including</w:t>
      </w:r>
      <w:r w:rsidRPr="00993125">
        <w:t xml:space="preserve"> their lands, reso</w:t>
      </w:r>
      <w:r>
        <w:t xml:space="preserve">urces and territories, ensuring </w:t>
      </w:r>
      <w:r w:rsidR="00885D7B">
        <w:t xml:space="preserve">alignment of </w:t>
      </w:r>
      <w:r w:rsidR="00E60CC0">
        <w:t>project</w:t>
      </w:r>
      <w:r w:rsidRPr="00993125">
        <w:t xml:space="preserve">s with </w:t>
      </w:r>
      <w:r w:rsidR="007C0F12">
        <w:t>i</w:t>
      </w:r>
      <w:r w:rsidR="00885D7B">
        <w:t xml:space="preserve">ndigenous </w:t>
      </w:r>
      <w:r w:rsidR="007C0F12">
        <w:t>p</w:t>
      </w:r>
      <w:r w:rsidR="00885D7B">
        <w:t>eoples’</w:t>
      </w:r>
      <w:r w:rsidR="00885D7B" w:rsidRPr="00993125">
        <w:t xml:space="preserve"> </w:t>
      </w:r>
      <w:r w:rsidR="004A569C">
        <w:t xml:space="preserve">distinct vision and </w:t>
      </w:r>
      <w:r w:rsidRPr="00993125">
        <w:t>self-identified development priorities</w:t>
      </w:r>
    </w:p>
    <w:p w14:paraId="54B4A6EF" w14:textId="77777777" w:rsidR="008F2758" w:rsidRPr="00993125" w:rsidRDefault="008F2758" w:rsidP="000828D8">
      <w:pPr>
        <w:pStyle w:val="listbullets1"/>
      </w:pPr>
      <w:r>
        <w:t xml:space="preserve">To </w:t>
      </w:r>
      <w:r w:rsidRPr="00993125">
        <w:t xml:space="preserve">avoid adverse impacts on the rights of </w:t>
      </w:r>
      <w:r w:rsidR="007C0F12">
        <w:t>i</w:t>
      </w:r>
      <w:r>
        <w:t xml:space="preserve">ndigenous </w:t>
      </w:r>
      <w:r w:rsidR="007C0F12">
        <w:t>p</w:t>
      </w:r>
      <w:r>
        <w:t>eoples</w:t>
      </w:r>
      <w:r w:rsidRPr="00993125">
        <w:t xml:space="preserve">, their lands, </w:t>
      </w:r>
      <w:r w:rsidR="00BA7962" w:rsidRPr="00993125">
        <w:t>territories</w:t>
      </w:r>
      <w:r w:rsidR="00BA7962">
        <w:t>,</w:t>
      </w:r>
      <w:r w:rsidR="00BA7962" w:rsidRPr="00993125">
        <w:t xml:space="preserve"> </w:t>
      </w:r>
      <w:r w:rsidRPr="00993125">
        <w:t>resources</w:t>
      </w:r>
      <w:r w:rsidR="006339CC">
        <w:t xml:space="preserve">, </w:t>
      </w:r>
      <w:r w:rsidR="00A03A1F">
        <w:t>to</w:t>
      </w:r>
      <w:r w:rsidRPr="00993125">
        <w:t xml:space="preserve"> mitigate and remedy </w:t>
      </w:r>
      <w:r w:rsidR="006339CC">
        <w:t xml:space="preserve">residual </w:t>
      </w:r>
      <w:r w:rsidR="00885D7B">
        <w:t>impacts</w:t>
      </w:r>
      <w:r w:rsidR="006339CC">
        <w:t xml:space="preserve">, and </w:t>
      </w:r>
      <w:r w:rsidR="00A03A1F">
        <w:t xml:space="preserve">to ensure provision of just and equitable benefits and opportunities for </w:t>
      </w:r>
      <w:r w:rsidR="00581063">
        <w:t>i</w:t>
      </w:r>
      <w:r w:rsidR="00A03A1F">
        <w:t xml:space="preserve">ndigenous </w:t>
      </w:r>
      <w:r w:rsidR="00581063">
        <w:t>p</w:t>
      </w:r>
      <w:r w:rsidR="00A03A1F">
        <w:t>eoples in a culturally appropriate manner</w:t>
      </w:r>
    </w:p>
    <w:p w14:paraId="3174FA2A" w14:textId="77777777" w:rsidR="008F2758" w:rsidRPr="00993125" w:rsidRDefault="008F2758" w:rsidP="00F25215">
      <w:pPr>
        <w:pStyle w:val="Heading4"/>
      </w:pPr>
      <w:r w:rsidRPr="00993125">
        <w:t>Scope of Application</w:t>
      </w:r>
    </w:p>
    <w:p w14:paraId="6FADE0D7" w14:textId="11147816" w:rsidR="008F2758" w:rsidRPr="00993125" w:rsidRDefault="008F2758" w:rsidP="00AC7F5D">
      <w:pPr>
        <w:pStyle w:val="SEQSbodynumbered"/>
      </w:pPr>
      <w:r w:rsidRPr="00993125">
        <w:t xml:space="preserve">The applicability of this </w:t>
      </w:r>
      <w:r w:rsidR="00146699">
        <w:t xml:space="preserve">Standard </w:t>
      </w:r>
      <w:r w:rsidRPr="00993125">
        <w:t xml:space="preserve">is established during the </w:t>
      </w:r>
      <w:r w:rsidR="00D7769D">
        <w:t>social and environmental</w:t>
      </w:r>
      <w:r w:rsidRPr="00993125">
        <w:t xml:space="preserve"> screening</w:t>
      </w:r>
      <w:r w:rsidR="00571AD8">
        <w:t xml:space="preserve">, </w:t>
      </w:r>
      <w:r w:rsidR="00085A45">
        <w:t>categorization</w:t>
      </w:r>
      <w:r w:rsidR="00085A45" w:rsidRPr="00F00DDC">
        <w:t xml:space="preserve"> </w:t>
      </w:r>
      <w:r w:rsidR="00571AD8">
        <w:t xml:space="preserve">and assessment </w:t>
      </w:r>
      <w:r w:rsidRPr="00993125">
        <w:t>process. Th</w:t>
      </w:r>
      <w:r w:rsidR="00AA7674">
        <w:t xml:space="preserve">is </w:t>
      </w:r>
      <w:r w:rsidR="00597042">
        <w:t xml:space="preserve">Standard </w:t>
      </w:r>
      <w:r w:rsidRPr="00993125">
        <w:t xml:space="preserve">applies to all </w:t>
      </w:r>
      <w:r w:rsidR="00E60CC0">
        <w:t>project</w:t>
      </w:r>
      <w:r w:rsidRPr="00993125">
        <w:t xml:space="preserve">s </w:t>
      </w:r>
      <w:r w:rsidR="001A298D">
        <w:t>that</w:t>
      </w:r>
      <w:r w:rsidR="001A298D" w:rsidRPr="00993125">
        <w:t xml:space="preserve"> </w:t>
      </w:r>
      <w:r w:rsidRPr="00993125">
        <w:t>may affect the human rights, lands, natural resources, territories</w:t>
      </w:r>
      <w:r w:rsidR="00345208">
        <w:t xml:space="preserve">, </w:t>
      </w:r>
      <w:r w:rsidR="001B0271">
        <w:t xml:space="preserve">cultural heritage </w:t>
      </w:r>
      <w:r w:rsidR="00345208">
        <w:t>and</w:t>
      </w:r>
      <w:r w:rsidR="00037498">
        <w:t>/or</w:t>
      </w:r>
      <w:r w:rsidR="00345208">
        <w:t xml:space="preserve"> traditional livelihoods</w:t>
      </w:r>
      <w:r w:rsidRPr="00993125">
        <w:t xml:space="preserve"> of </w:t>
      </w:r>
      <w:r w:rsidR="00FF538C">
        <w:t>i</w:t>
      </w:r>
      <w:r>
        <w:t xml:space="preserve">ndigenous </w:t>
      </w:r>
      <w:r w:rsidR="00FF538C">
        <w:t>p</w:t>
      </w:r>
      <w:r>
        <w:t>eoples</w:t>
      </w:r>
      <w:r w:rsidRPr="00993125">
        <w:t xml:space="preserve"> regardless of </w:t>
      </w:r>
      <w:r w:rsidR="00037498">
        <w:t xml:space="preserve">whether </w:t>
      </w:r>
      <w:r w:rsidRPr="00993125">
        <w:t xml:space="preserve">(i) the </w:t>
      </w:r>
      <w:r w:rsidR="00E60CC0">
        <w:t>project</w:t>
      </w:r>
      <w:r w:rsidRPr="00993125">
        <w:t xml:space="preserve"> is located within or outside of the lands and territories inhabited by the </w:t>
      </w:r>
      <w:r w:rsidR="00581063">
        <w:t>i</w:t>
      </w:r>
      <w:r>
        <w:t xml:space="preserve">ndigenous </w:t>
      </w:r>
      <w:r w:rsidR="00581063">
        <w:t>p</w:t>
      </w:r>
      <w:r>
        <w:t>eoples</w:t>
      </w:r>
      <w:r w:rsidRPr="00993125">
        <w:t xml:space="preserve"> in question, (ii) </w:t>
      </w:r>
      <w:r w:rsidR="00037498">
        <w:t>a</w:t>
      </w:r>
      <w:r w:rsidRPr="00993125">
        <w:t xml:space="preserve"> title is possessed by the affected </w:t>
      </w:r>
      <w:r w:rsidR="00581063">
        <w:t>i</w:t>
      </w:r>
      <w:r>
        <w:t xml:space="preserve">ndigenous </w:t>
      </w:r>
      <w:r w:rsidR="00581063">
        <w:t>p</w:t>
      </w:r>
      <w:r>
        <w:t>eoples</w:t>
      </w:r>
      <w:r w:rsidRPr="00993125">
        <w:t xml:space="preserve"> over </w:t>
      </w:r>
      <w:r w:rsidR="00781E5D">
        <w:t>the</w:t>
      </w:r>
      <w:r w:rsidR="00781E5D" w:rsidRPr="00993125">
        <w:t xml:space="preserve"> </w:t>
      </w:r>
      <w:r w:rsidRPr="00993125">
        <w:t>lands and territories in question</w:t>
      </w:r>
      <w:r w:rsidR="004A64B3">
        <w:t>,</w:t>
      </w:r>
      <w:r w:rsidRPr="00993125">
        <w:t xml:space="preserve"> or (iii) the </w:t>
      </w:r>
      <w:r w:rsidR="00581063">
        <w:t>i</w:t>
      </w:r>
      <w:r>
        <w:t xml:space="preserve">ndigenous </w:t>
      </w:r>
      <w:r w:rsidR="00581063">
        <w:t>p</w:t>
      </w:r>
      <w:r>
        <w:t>eoples</w:t>
      </w:r>
      <w:r w:rsidRPr="00993125">
        <w:t xml:space="preserve"> are recognized as </w:t>
      </w:r>
      <w:r w:rsidR="00A0037C">
        <w:t>i</w:t>
      </w:r>
      <w:r>
        <w:t xml:space="preserve">ndigenous </w:t>
      </w:r>
      <w:r w:rsidR="00A0037C">
        <w:t>p</w:t>
      </w:r>
      <w:r>
        <w:t>eoples</w:t>
      </w:r>
      <w:r w:rsidRPr="00993125">
        <w:t xml:space="preserve"> by the </w:t>
      </w:r>
      <w:r w:rsidR="00E04EDE">
        <w:t>country</w:t>
      </w:r>
      <w:r w:rsidRPr="00993125">
        <w:t xml:space="preserve"> in question. </w:t>
      </w:r>
    </w:p>
    <w:p w14:paraId="7C979229" w14:textId="77777777" w:rsidR="008F2758" w:rsidRPr="00993125" w:rsidRDefault="008F2758" w:rsidP="007D368E">
      <w:pPr>
        <w:pStyle w:val="Heading4"/>
      </w:pPr>
      <w:r w:rsidRPr="00993125">
        <w:lastRenderedPageBreak/>
        <w:t>Requirements</w:t>
      </w:r>
    </w:p>
    <w:p w14:paraId="5DCF2B0D" w14:textId="60AC0BA7" w:rsidR="008F2758" w:rsidRPr="00AD2D71" w:rsidRDefault="008F2758" w:rsidP="00AC7F5D">
      <w:pPr>
        <w:pStyle w:val="SEQSbodynumbered"/>
      </w:pPr>
      <w:r w:rsidRPr="008F2758">
        <w:rPr>
          <w:b/>
        </w:rPr>
        <w:t>Respect for domestic and international law</w:t>
      </w:r>
      <w:r w:rsidRPr="003456A8">
        <w:rPr>
          <w:b/>
        </w:rPr>
        <w:t>:</w:t>
      </w:r>
      <w:r w:rsidRPr="008F2758">
        <w:t xml:space="preserve"> UNDP </w:t>
      </w:r>
      <w:r w:rsidR="00AC10D2">
        <w:t>does</w:t>
      </w:r>
      <w:r w:rsidR="00AC10D2" w:rsidRPr="008F2758">
        <w:t xml:space="preserve"> </w:t>
      </w:r>
      <w:r w:rsidRPr="008F2758">
        <w:t xml:space="preserve">not </w:t>
      </w:r>
      <w:r w:rsidR="00D55560">
        <w:t>participate in</w:t>
      </w:r>
      <w:r w:rsidRPr="008F2758">
        <w:t xml:space="preserve"> a </w:t>
      </w:r>
      <w:r w:rsidR="00E60CC0">
        <w:t>project</w:t>
      </w:r>
      <w:r w:rsidRPr="008F2758">
        <w:t xml:space="preserve"> that violates the human rights of </w:t>
      </w:r>
      <w:r w:rsidR="00957882">
        <w:t>i</w:t>
      </w:r>
      <w:r w:rsidRPr="008F2758">
        <w:t xml:space="preserve">ndigenous </w:t>
      </w:r>
      <w:r w:rsidR="00957882">
        <w:t>p</w:t>
      </w:r>
      <w:r w:rsidRPr="008F2758">
        <w:t xml:space="preserve">eoples as affirmed by </w:t>
      </w:r>
      <w:r w:rsidR="006666F6">
        <w:t>Applicable Law</w:t>
      </w:r>
      <w:r w:rsidR="00133D92">
        <w:t xml:space="preserve"> and the United Nations Declaration on the Rights of Indigenous Peoples (UNDRIP)</w:t>
      </w:r>
      <w:r w:rsidRPr="008F2758">
        <w:t>.</w:t>
      </w:r>
      <w:r w:rsidR="00133D92">
        <w:rPr>
          <w:rStyle w:val="FootnoteReference"/>
        </w:rPr>
        <w:footnoteReference w:id="87"/>
      </w:r>
      <w:r w:rsidRPr="008F2758">
        <w:t xml:space="preserve"> UNDP </w:t>
      </w:r>
      <w:r w:rsidR="0042186B">
        <w:t>ensure</w:t>
      </w:r>
      <w:r w:rsidR="00AC10D2">
        <w:t>s</w:t>
      </w:r>
      <w:r w:rsidR="0042186B">
        <w:t xml:space="preserve"> that </w:t>
      </w:r>
      <w:r w:rsidR="00957BD7">
        <w:t>s</w:t>
      </w:r>
      <w:r w:rsidR="0042186B">
        <w:t xml:space="preserve">ocial and </w:t>
      </w:r>
      <w:r w:rsidR="00957BD7">
        <w:t>e</w:t>
      </w:r>
      <w:r w:rsidR="0042186B">
        <w:t xml:space="preserve">nvironmental </w:t>
      </w:r>
      <w:r w:rsidR="00957BD7">
        <w:t>a</w:t>
      </w:r>
      <w:r w:rsidR="0042186B">
        <w:t xml:space="preserve">ssessments for </w:t>
      </w:r>
      <w:r w:rsidR="00E60CC0">
        <w:t>project</w:t>
      </w:r>
      <w:r w:rsidR="0042186B">
        <w:t xml:space="preserve">s </w:t>
      </w:r>
      <w:r w:rsidR="00FD0094">
        <w:t>involving</w:t>
      </w:r>
      <w:r w:rsidR="0042186B">
        <w:t xml:space="preserve"> </w:t>
      </w:r>
      <w:r w:rsidR="00957882">
        <w:t>i</w:t>
      </w:r>
      <w:r w:rsidR="0042186B">
        <w:t xml:space="preserve">ndigenous </w:t>
      </w:r>
      <w:r w:rsidR="00957882">
        <w:t>p</w:t>
      </w:r>
      <w:r w:rsidR="0042186B">
        <w:t xml:space="preserve">eoples include </w:t>
      </w:r>
      <w:r w:rsidRPr="008F2758">
        <w:t>an assessment of the</w:t>
      </w:r>
      <w:r w:rsidR="0042186B">
        <w:t>ir</w:t>
      </w:r>
      <w:r w:rsidRPr="008F2758">
        <w:t xml:space="preserve"> substantive rights, as affirmed in </w:t>
      </w:r>
      <w:r w:rsidR="006666F6">
        <w:t>Applicable Law</w:t>
      </w:r>
      <w:r w:rsidRPr="008F2758">
        <w:t xml:space="preserve">. </w:t>
      </w:r>
    </w:p>
    <w:p w14:paraId="6FB36ACF" w14:textId="77777777" w:rsidR="008F2758" w:rsidRPr="00925FC4" w:rsidRDefault="00C02ED4" w:rsidP="00AC7F5D">
      <w:pPr>
        <w:pStyle w:val="SEQSbodynumbered"/>
      </w:pPr>
      <w:r>
        <w:rPr>
          <w:b/>
        </w:rPr>
        <w:t>I</w:t>
      </w:r>
      <w:r w:rsidR="008F2758" w:rsidRPr="00CE4E08">
        <w:rPr>
          <w:b/>
        </w:rPr>
        <w:t xml:space="preserve">dentification of </w:t>
      </w:r>
      <w:r w:rsidR="00957882">
        <w:rPr>
          <w:b/>
        </w:rPr>
        <w:t>i</w:t>
      </w:r>
      <w:r w:rsidR="008F2758" w:rsidRPr="00CE4E08">
        <w:rPr>
          <w:b/>
        </w:rPr>
        <w:t xml:space="preserve">ndigenous </w:t>
      </w:r>
      <w:r w:rsidR="00957882">
        <w:rPr>
          <w:b/>
        </w:rPr>
        <w:t>p</w:t>
      </w:r>
      <w:r w:rsidR="008F2758" w:rsidRPr="00CE4E08">
        <w:rPr>
          <w:b/>
        </w:rPr>
        <w:t>eoples</w:t>
      </w:r>
      <w:r w:rsidR="008F2758" w:rsidRPr="003456A8">
        <w:rPr>
          <w:b/>
        </w:rPr>
        <w:t>:</w:t>
      </w:r>
      <w:r w:rsidR="008F2758" w:rsidRPr="00CE4E08">
        <w:t xml:space="preserve"> </w:t>
      </w:r>
      <w:r w:rsidR="00957BD7" w:rsidRPr="00FD2D39">
        <w:t xml:space="preserve">There is no one universally accepted definition of </w:t>
      </w:r>
      <w:r w:rsidR="00957882" w:rsidRPr="00FD2D39">
        <w:t>i</w:t>
      </w:r>
      <w:r w:rsidR="00957BD7" w:rsidRPr="00FD2D39">
        <w:t xml:space="preserve">ndigenous </w:t>
      </w:r>
      <w:r w:rsidR="00957882" w:rsidRPr="00FD2D39">
        <w:t>p</w:t>
      </w:r>
      <w:r w:rsidR="00957BD7" w:rsidRPr="00FD2D39">
        <w:t>eoples.</w:t>
      </w:r>
      <w:r w:rsidR="00FD0094" w:rsidRPr="00FD2D39">
        <w:t xml:space="preserve"> </w:t>
      </w:r>
      <w:r w:rsidR="008F2758" w:rsidRPr="00CE4E08">
        <w:t xml:space="preserve">For purposes of this </w:t>
      </w:r>
      <w:r w:rsidR="008F2758">
        <w:t>Standard</w:t>
      </w:r>
      <w:r w:rsidR="008F2758" w:rsidRPr="00CE4E08">
        <w:t>, "</w:t>
      </w:r>
      <w:r w:rsidR="00957882">
        <w:t>i</w:t>
      </w:r>
      <w:r w:rsidR="008F2758" w:rsidRPr="00CE4E08">
        <w:t xml:space="preserve">ndigenous </w:t>
      </w:r>
      <w:r w:rsidR="00957882">
        <w:t>p</w:t>
      </w:r>
      <w:r w:rsidR="008F2758" w:rsidRPr="00CE4E08">
        <w:t>eoples" refers to distinct collectives, regardless of the local, national and regional terms applied to them,</w:t>
      </w:r>
      <w:r w:rsidR="008F2758">
        <w:rPr>
          <w:rStyle w:val="FootnoteReference"/>
          <w:szCs w:val="20"/>
        </w:rPr>
        <w:footnoteReference w:id="88"/>
      </w:r>
      <w:r w:rsidR="008F2758" w:rsidRPr="00CE4E08">
        <w:t xml:space="preserve"> who satisfy any of the more commonly accepted definitions of </w:t>
      </w:r>
      <w:r w:rsidR="00957882">
        <w:t>i</w:t>
      </w:r>
      <w:r w:rsidR="008F2758" w:rsidRPr="00CE4E08">
        <w:t xml:space="preserve">ndigenous </w:t>
      </w:r>
      <w:r w:rsidR="00957882">
        <w:t>p</w:t>
      </w:r>
      <w:r w:rsidR="008F2758" w:rsidRPr="00CE4E08">
        <w:t>eoples</w:t>
      </w:r>
      <w:r w:rsidR="000868FB">
        <w:t>.</w:t>
      </w:r>
      <w:r w:rsidR="000868FB">
        <w:rPr>
          <w:rStyle w:val="FootnoteReference"/>
        </w:rPr>
        <w:footnoteReference w:id="89"/>
      </w:r>
      <w:r w:rsidR="008F2758" w:rsidRPr="00CE4E08">
        <w:t xml:space="preserve"> Th</w:t>
      </w:r>
      <w:r w:rsidR="006666F6">
        <w:t xml:space="preserve">ese definitions </w:t>
      </w:r>
      <w:r w:rsidR="008F2758" w:rsidRPr="00CE4E08">
        <w:t>include</w:t>
      </w:r>
      <w:r w:rsidR="007D368E">
        <w:t>,</w:t>
      </w:r>
      <w:r w:rsidR="008F2758" w:rsidRPr="00CE4E08">
        <w:t xml:space="preserve"> </w:t>
      </w:r>
      <w:r w:rsidR="008F2758" w:rsidRPr="007D368E">
        <w:t>among other factors</w:t>
      </w:r>
      <w:r w:rsidR="006666F6">
        <w:t>,</w:t>
      </w:r>
      <w:r w:rsidR="008F2758" w:rsidRPr="00CE4E08">
        <w:t xml:space="preserve"> consideration </w:t>
      </w:r>
      <w:r w:rsidR="000A6221">
        <w:t xml:space="preserve">of </w:t>
      </w:r>
      <w:r w:rsidR="008F2758" w:rsidRPr="00CE4E08">
        <w:t>whether the collective</w:t>
      </w:r>
      <w:r w:rsidR="006666F6">
        <w:t>:</w:t>
      </w:r>
      <w:r w:rsidR="00D66205">
        <w:t xml:space="preserve"> </w:t>
      </w:r>
      <w:r w:rsidR="008F2758" w:rsidRPr="00CE4E08">
        <w:t>has pursu</w:t>
      </w:r>
      <w:r w:rsidR="00566E97">
        <w:t>ed its</w:t>
      </w:r>
      <w:r w:rsidR="008F2758" w:rsidRPr="00CE4E08">
        <w:t xml:space="preserve"> own concept and way of human development in a given socio-economic, political and historical context; ha</w:t>
      </w:r>
      <w:r w:rsidR="006666F6">
        <w:t>s</w:t>
      </w:r>
      <w:r w:rsidR="008F2758" w:rsidRPr="00CE4E08">
        <w:t xml:space="preserve"> tried to maintain </w:t>
      </w:r>
      <w:r w:rsidR="001B6002">
        <w:t>its</w:t>
      </w:r>
      <w:r w:rsidR="001B6002" w:rsidRPr="00CE4E08">
        <w:t xml:space="preserve"> </w:t>
      </w:r>
      <w:r w:rsidR="008F2758" w:rsidRPr="00CE4E08">
        <w:t>distinct group identity, languages, traditional beliefs, customs, laws and institutions, worldviews and ways of life</w:t>
      </w:r>
      <w:r w:rsidR="00D66205">
        <w:t>;</w:t>
      </w:r>
      <w:r w:rsidR="008F2758" w:rsidRPr="00CE4E08">
        <w:t xml:space="preserve"> </w:t>
      </w:r>
      <w:r w:rsidR="00D66205">
        <w:t>ha</w:t>
      </w:r>
      <w:r w:rsidR="006666F6">
        <w:t>s</w:t>
      </w:r>
      <w:r w:rsidR="00D66205">
        <w:t xml:space="preserve"> exercise</w:t>
      </w:r>
      <w:r w:rsidR="00716F2F">
        <w:t xml:space="preserve">d </w:t>
      </w:r>
      <w:r w:rsidR="008F2758" w:rsidRPr="00CE4E08">
        <w:t xml:space="preserve">control and management of the lands, </w:t>
      </w:r>
      <w:r w:rsidR="00BA7962">
        <w:t xml:space="preserve">territories and </w:t>
      </w:r>
      <w:r w:rsidR="008F2758" w:rsidRPr="00CE4E08">
        <w:t xml:space="preserve">natural resources </w:t>
      </w:r>
      <w:r w:rsidR="00D66205">
        <w:t xml:space="preserve">that </w:t>
      </w:r>
      <w:r w:rsidR="001B6002">
        <w:t>it has</w:t>
      </w:r>
      <w:r w:rsidR="001B6002" w:rsidRPr="00CE4E08">
        <w:t xml:space="preserve"> </w:t>
      </w:r>
      <w:r w:rsidR="008F2758" w:rsidRPr="00CE4E08">
        <w:t xml:space="preserve">historically used and occupied, with which </w:t>
      </w:r>
      <w:r w:rsidR="0076729D">
        <w:t>it has</w:t>
      </w:r>
      <w:r w:rsidR="0076729D" w:rsidRPr="00CE4E08">
        <w:t xml:space="preserve"> </w:t>
      </w:r>
      <w:r w:rsidR="008F2758" w:rsidRPr="00CE4E08">
        <w:t xml:space="preserve">a special connection, and upon which </w:t>
      </w:r>
      <w:r w:rsidR="0076729D">
        <w:t>its</w:t>
      </w:r>
      <w:r w:rsidR="0076729D" w:rsidRPr="00CE4E08">
        <w:t xml:space="preserve"> </w:t>
      </w:r>
      <w:r w:rsidR="008F2758" w:rsidRPr="00CE4E08">
        <w:t xml:space="preserve">physical and cultural survival as </w:t>
      </w:r>
      <w:r w:rsidR="0076729D">
        <w:t>i</w:t>
      </w:r>
      <w:r w:rsidR="008F2758" w:rsidRPr="00CE4E08">
        <w:t xml:space="preserve">ndigenous </w:t>
      </w:r>
      <w:r w:rsidR="0076729D">
        <w:t>p</w:t>
      </w:r>
      <w:r w:rsidR="008F2758" w:rsidRPr="00CE4E08">
        <w:t>eoples typically depends; self-identif</w:t>
      </w:r>
      <w:r w:rsidR="006666F6">
        <w:t>ies</w:t>
      </w:r>
      <w:r w:rsidR="008F2758" w:rsidRPr="00CE4E08">
        <w:t xml:space="preserve"> as </w:t>
      </w:r>
      <w:r w:rsidR="0076729D">
        <w:t>i</w:t>
      </w:r>
      <w:r w:rsidR="008F2758" w:rsidRPr="00CE4E08">
        <w:t xml:space="preserve">ndigenous </w:t>
      </w:r>
      <w:r w:rsidR="0076729D">
        <w:t>p</w:t>
      </w:r>
      <w:r w:rsidR="008F2758" w:rsidRPr="00CE4E08">
        <w:t>eoples</w:t>
      </w:r>
      <w:r w:rsidR="00F432E0">
        <w:t>;</w:t>
      </w:r>
      <w:r w:rsidR="00B449F0">
        <w:t xml:space="preserve"> </w:t>
      </w:r>
      <w:r w:rsidR="00B449F0" w:rsidRPr="00F25215">
        <w:t>and</w:t>
      </w:r>
      <w:r w:rsidR="00037498">
        <w:t>/or</w:t>
      </w:r>
      <w:r w:rsidR="00B449F0" w:rsidRPr="00F25215">
        <w:t xml:space="preserve"> </w:t>
      </w:r>
      <w:r w:rsidR="00F432E0">
        <w:t>pre-</w:t>
      </w:r>
      <w:r w:rsidR="00F432E0" w:rsidRPr="00F432E0">
        <w:t>dates</w:t>
      </w:r>
      <w:r w:rsidR="00B449F0" w:rsidRPr="00F25215">
        <w:t xml:space="preserve"> those </w:t>
      </w:r>
      <w:r w:rsidR="00037498">
        <w:t>who</w:t>
      </w:r>
      <w:r w:rsidR="00037498" w:rsidRPr="00F25215">
        <w:t xml:space="preserve"> </w:t>
      </w:r>
      <w:r w:rsidR="00B449F0" w:rsidRPr="00F25215">
        <w:t xml:space="preserve">colonized the lands within which </w:t>
      </w:r>
      <w:r w:rsidR="0026588D">
        <w:t>the collective</w:t>
      </w:r>
      <w:r w:rsidR="0076729D">
        <w:t xml:space="preserve"> was</w:t>
      </w:r>
      <w:r w:rsidR="0076729D" w:rsidRPr="00F25215">
        <w:t xml:space="preserve"> </w:t>
      </w:r>
      <w:r w:rsidR="00B449F0" w:rsidRPr="00F25215">
        <w:t xml:space="preserve">originally found or of which </w:t>
      </w:r>
      <w:r w:rsidR="0076729D">
        <w:t>it was</w:t>
      </w:r>
      <w:r w:rsidR="0076729D" w:rsidRPr="00F25215">
        <w:t xml:space="preserve"> </w:t>
      </w:r>
      <w:r w:rsidR="00B449F0" w:rsidRPr="00F25215">
        <w:t>then dispos</w:t>
      </w:r>
      <w:r w:rsidR="00FD0094">
        <w:t>s</w:t>
      </w:r>
      <w:r w:rsidR="00B449F0" w:rsidRPr="00F25215">
        <w:t>e</w:t>
      </w:r>
      <w:r w:rsidR="00FD0094">
        <w:t>sse</w:t>
      </w:r>
      <w:r w:rsidR="00B449F0" w:rsidRPr="00F25215">
        <w:t>d</w:t>
      </w:r>
      <w:r w:rsidR="008F2758" w:rsidRPr="00D7769D">
        <w:t>.</w:t>
      </w:r>
      <w:r w:rsidR="00FD0094">
        <w:t xml:space="preserve"> </w:t>
      </w:r>
      <w:r w:rsidR="00FD0094">
        <w:rPr>
          <w:spacing w:val="-1"/>
        </w:rPr>
        <w:t>When considering the factors above, no single one shall be dispositive.</w:t>
      </w:r>
      <w:r w:rsidR="00BA7962">
        <w:rPr>
          <w:spacing w:val="-1"/>
        </w:rPr>
        <w:t xml:space="preserve"> </w:t>
      </w:r>
      <w:r w:rsidR="00BA7962">
        <w:t>Indigenous peoples</w:t>
      </w:r>
      <w:r w:rsidR="00BA7962" w:rsidRPr="009053AD">
        <w:t xml:space="preserve"> include</w:t>
      </w:r>
      <w:r w:rsidR="00BA7962">
        <w:t xml:space="preserve"> those </w:t>
      </w:r>
      <w:r w:rsidR="00BA7962" w:rsidRPr="009053AD">
        <w:t xml:space="preserve">indigenous peoples who have lost </w:t>
      </w:r>
      <w:r w:rsidR="00BA7962">
        <w:t xml:space="preserve">access </w:t>
      </w:r>
      <w:r w:rsidR="00BA7962" w:rsidRPr="009053AD">
        <w:t>to lands, territories or resources because of forced severance, conflict, government resettlement, dispossession, natural disasters, or incorporation of lands into urban areas</w:t>
      </w:r>
      <w:r w:rsidR="00BA7962">
        <w:t>, but that still maintain collective attachment to those lands, territories and</w:t>
      </w:r>
      <w:r w:rsidR="00037498">
        <w:t>/or</w:t>
      </w:r>
      <w:r w:rsidR="00BA7962">
        <w:t xml:space="preserve"> resources</w:t>
      </w:r>
      <w:r w:rsidR="00D31516">
        <w:t xml:space="preserve"> (regardless of their present physical location).</w:t>
      </w:r>
    </w:p>
    <w:p w14:paraId="51158647" w14:textId="61546540" w:rsidR="008F2758" w:rsidRPr="006F12DC" w:rsidRDefault="008F2758" w:rsidP="007834FA">
      <w:pPr>
        <w:pStyle w:val="SEQSbodynumbered"/>
      </w:pPr>
      <w:r w:rsidRPr="006F12DC">
        <w:rPr>
          <w:b/>
        </w:rPr>
        <w:t>Land,</w:t>
      </w:r>
      <w:r w:rsidR="00BA7962" w:rsidRPr="006F12DC">
        <w:rPr>
          <w:b/>
        </w:rPr>
        <w:t xml:space="preserve"> territories and</w:t>
      </w:r>
      <w:r w:rsidRPr="006F12DC">
        <w:rPr>
          <w:b/>
        </w:rPr>
        <w:t xml:space="preserve"> resources:</w:t>
      </w:r>
      <w:r w:rsidRPr="006F12DC">
        <w:t xml:space="preserve"> </w:t>
      </w:r>
      <w:r w:rsidR="00716F2F" w:rsidRPr="006F12DC">
        <w:t xml:space="preserve">UNDP </w:t>
      </w:r>
      <w:r w:rsidR="00E60CC0">
        <w:t>project</w:t>
      </w:r>
      <w:r w:rsidR="00716F2F" w:rsidRPr="006F12DC">
        <w:t>s</w:t>
      </w:r>
      <w:r w:rsidRPr="006F12DC">
        <w:t xml:space="preserve"> recognize that </w:t>
      </w:r>
      <w:r w:rsidR="007B61FD" w:rsidRPr="006F12DC">
        <w:t>i</w:t>
      </w:r>
      <w:r w:rsidRPr="006F12DC">
        <w:t xml:space="preserve">ndigenous </w:t>
      </w:r>
      <w:r w:rsidR="007B61FD" w:rsidRPr="006F12DC">
        <w:t>p</w:t>
      </w:r>
      <w:r w:rsidRPr="006F12DC">
        <w:t xml:space="preserve">eoples have </w:t>
      </w:r>
      <w:r w:rsidR="00ED042F" w:rsidRPr="006F12DC">
        <w:t xml:space="preserve">collective </w:t>
      </w:r>
      <w:r w:rsidRPr="006F12DC">
        <w:t xml:space="preserve">rights to </w:t>
      </w:r>
      <w:r w:rsidR="00E16401" w:rsidRPr="006F12DC">
        <w:t xml:space="preserve">own, </w:t>
      </w:r>
      <w:r w:rsidRPr="006F12DC">
        <w:t>use,</w:t>
      </w:r>
      <w:r w:rsidR="005C13D5" w:rsidRPr="006F12DC">
        <w:t xml:space="preserve"> and</w:t>
      </w:r>
      <w:r w:rsidRPr="006F12DC">
        <w:t xml:space="preserve"> develop </w:t>
      </w:r>
      <w:r w:rsidR="00E16401" w:rsidRPr="006F12DC">
        <w:t xml:space="preserve">and control </w:t>
      </w:r>
      <w:r w:rsidRPr="006F12DC">
        <w:t xml:space="preserve">the lands, resources and territories </w:t>
      </w:r>
      <w:r w:rsidR="00027DB3" w:rsidRPr="006F12DC">
        <w:t xml:space="preserve">that </w:t>
      </w:r>
      <w:r w:rsidRPr="006F12DC">
        <w:t>they have traditionally owned, occupied or otherwise used or acquired</w:t>
      </w:r>
      <w:r w:rsidR="00027DB3" w:rsidRPr="006F12DC">
        <w:t>, including</w:t>
      </w:r>
      <w:r w:rsidRPr="006F12DC">
        <w:t xml:space="preserve"> lands and territories for which they do not yet possess title. </w:t>
      </w:r>
      <w:r w:rsidR="00694CC3">
        <w:t>P</w:t>
      </w:r>
      <w:r w:rsidR="00E60CC0">
        <w:t>roject</w:t>
      </w:r>
      <w:r w:rsidR="00D0418A" w:rsidRPr="006F12DC">
        <w:t xml:space="preserve"> activities that may undermine or inadvertently weaken such rights</w:t>
      </w:r>
      <w:r w:rsidR="00AC10D2" w:rsidRPr="006F12DC">
        <w:t xml:space="preserve"> are avoided</w:t>
      </w:r>
      <w:r w:rsidR="00D0418A" w:rsidRPr="006F12DC">
        <w:t xml:space="preserve">. </w:t>
      </w:r>
      <w:r w:rsidRPr="006F12DC">
        <w:t xml:space="preserve">If </w:t>
      </w:r>
      <w:r w:rsidR="00110631" w:rsidRPr="006F12DC">
        <w:t xml:space="preserve">the </w:t>
      </w:r>
      <w:r w:rsidR="00E60CC0">
        <w:t>project</w:t>
      </w:r>
      <w:r w:rsidRPr="006F12DC">
        <w:t xml:space="preserve"> involves activities that are contingent on establishing legally recognized rights to lands, resources, or territories that </w:t>
      </w:r>
      <w:r w:rsidR="007B61FD" w:rsidRPr="006F12DC">
        <w:t>i</w:t>
      </w:r>
      <w:r w:rsidRPr="006F12DC">
        <w:t xml:space="preserve">ndigenous </w:t>
      </w:r>
      <w:r w:rsidR="007B61FD" w:rsidRPr="006F12DC">
        <w:t>p</w:t>
      </w:r>
      <w:r w:rsidRPr="006F12DC">
        <w:t xml:space="preserve">eoples have traditionally owned, occupied or otherwise used or acquired, </w:t>
      </w:r>
      <w:r w:rsidR="0026588D" w:rsidRPr="006F12DC">
        <w:t xml:space="preserve">then </w:t>
      </w:r>
      <w:r w:rsidR="00F432E0" w:rsidRPr="006F12DC">
        <w:t>an action plan</w:t>
      </w:r>
      <w:r w:rsidRPr="006F12DC">
        <w:t xml:space="preserve"> </w:t>
      </w:r>
      <w:r w:rsidR="00AC10D2" w:rsidRPr="006F12DC">
        <w:t xml:space="preserve">is developed to </w:t>
      </w:r>
      <w:r w:rsidRPr="006F12DC">
        <w:t>outline the steps and timetable for achieving legal recognition of such ownership, occupation, or usage</w:t>
      </w:r>
      <w:r w:rsidR="00122057" w:rsidRPr="006F12DC">
        <w:t xml:space="preserve"> (see </w:t>
      </w:r>
      <w:r w:rsidR="00806609" w:rsidRPr="006F12DC">
        <w:lastRenderedPageBreak/>
        <w:t xml:space="preserve">paragraph </w:t>
      </w:r>
      <w:r w:rsidR="00122057" w:rsidRPr="006F12DC">
        <w:t>1</w:t>
      </w:r>
      <w:r w:rsidR="007E78D6">
        <w:t>6</w:t>
      </w:r>
      <w:r w:rsidR="00FD0094" w:rsidRPr="006F12DC">
        <w:t xml:space="preserve"> </w:t>
      </w:r>
      <w:r w:rsidR="00122057" w:rsidRPr="006F12DC">
        <w:t>below).</w:t>
      </w:r>
      <w:r w:rsidR="009E376D" w:rsidRPr="006F12DC">
        <w:rPr>
          <w:rStyle w:val="FootnoteReference"/>
        </w:rPr>
        <w:footnoteReference w:id="90"/>
      </w:r>
      <w:r w:rsidR="009E376D" w:rsidRPr="006F12DC">
        <w:t xml:space="preserve"> </w:t>
      </w:r>
      <w:r w:rsidR="00806609" w:rsidRPr="006F12DC">
        <w:t>In such cases</w:t>
      </w:r>
      <w:r w:rsidR="00057A4B" w:rsidRPr="006F12DC">
        <w:t xml:space="preserve">, </w:t>
      </w:r>
      <w:r w:rsidR="00542F5C" w:rsidRPr="006F12DC">
        <w:t xml:space="preserve">UNDP, </w:t>
      </w:r>
      <w:r w:rsidR="00057A4B" w:rsidRPr="006F12DC">
        <w:t xml:space="preserve">with the consent of </w:t>
      </w:r>
      <w:r w:rsidR="004871AF" w:rsidRPr="006F12DC">
        <w:t>the relevant authority</w:t>
      </w:r>
      <w:r w:rsidR="0070442E" w:rsidRPr="006F12DC">
        <w:t xml:space="preserve"> or </w:t>
      </w:r>
      <w:r w:rsidR="00F712FA">
        <w:t>i</w:t>
      </w:r>
      <w:r w:rsidR="0070442E" w:rsidRPr="006F12DC">
        <w:t xml:space="preserve">mplementing </w:t>
      </w:r>
      <w:r w:rsidR="00F712FA">
        <w:t>p</w:t>
      </w:r>
      <w:r w:rsidR="0070442E" w:rsidRPr="006F12DC">
        <w:t>artner</w:t>
      </w:r>
      <w:r w:rsidR="00057A4B" w:rsidRPr="006F12DC">
        <w:t xml:space="preserve">, </w:t>
      </w:r>
      <w:r w:rsidRPr="006F12DC">
        <w:t>support</w:t>
      </w:r>
      <w:r w:rsidR="00AC10D2" w:rsidRPr="006F12DC">
        <w:t>s</w:t>
      </w:r>
      <w:r w:rsidRPr="006F12DC">
        <w:t xml:space="preserve"> </w:t>
      </w:r>
      <w:r w:rsidR="00790770" w:rsidRPr="006F12DC">
        <w:t xml:space="preserve">such </w:t>
      </w:r>
      <w:r w:rsidRPr="006F12DC">
        <w:t>activities aimed at delimiting, demarcating and titling such lands</w:t>
      </w:r>
      <w:r w:rsidR="00790770" w:rsidRPr="006F12DC">
        <w:t>, resources,</w:t>
      </w:r>
      <w:r w:rsidRPr="006F12DC">
        <w:t xml:space="preserve"> and territories with due respect to </w:t>
      </w:r>
      <w:r w:rsidR="00B54B9E" w:rsidRPr="006F12DC">
        <w:t xml:space="preserve">the </w:t>
      </w:r>
      <w:r w:rsidRPr="006F12DC">
        <w:t xml:space="preserve">customs, traditions and land tenure systems </w:t>
      </w:r>
      <w:r w:rsidR="00B54B9E" w:rsidRPr="006F12DC">
        <w:t xml:space="preserve">of </w:t>
      </w:r>
      <w:r w:rsidR="00F15AFB" w:rsidRPr="006F12DC">
        <w:t>the</w:t>
      </w:r>
      <w:r w:rsidR="00B54B9E" w:rsidRPr="006F12DC">
        <w:t xml:space="preserve"> </w:t>
      </w:r>
      <w:r w:rsidR="00024037" w:rsidRPr="006F12DC">
        <w:t>i</w:t>
      </w:r>
      <w:r w:rsidR="00B54B9E" w:rsidRPr="006F12DC">
        <w:t xml:space="preserve">ndigenous </w:t>
      </w:r>
      <w:r w:rsidR="00024037" w:rsidRPr="006F12DC">
        <w:t>p</w:t>
      </w:r>
      <w:r w:rsidR="00B54B9E" w:rsidRPr="006F12DC">
        <w:t>eoples</w:t>
      </w:r>
      <w:r w:rsidR="00F15AFB" w:rsidRPr="006F12DC">
        <w:t xml:space="preserve"> concerned</w:t>
      </w:r>
      <w:r w:rsidR="009A7FD8" w:rsidRPr="006F12DC">
        <w:t>.</w:t>
      </w:r>
      <w:r w:rsidR="00543AEF" w:rsidRPr="006F12DC">
        <w:rPr>
          <w:rStyle w:val="FootnoteReference"/>
        </w:rPr>
        <w:footnoteReference w:id="91"/>
      </w:r>
      <w:r w:rsidR="00790770" w:rsidRPr="006F12DC">
        <w:t xml:space="preserve"> </w:t>
      </w:r>
    </w:p>
    <w:p w14:paraId="41CD2E08" w14:textId="799A90E2" w:rsidR="00C82628" w:rsidRDefault="008F2758">
      <w:pPr>
        <w:pStyle w:val="SEQSbodynumbered"/>
      </w:pPr>
      <w:r w:rsidRPr="00C362B8">
        <w:rPr>
          <w:b/>
        </w:rPr>
        <w:t>Legal personalit</w:t>
      </w:r>
      <w:r w:rsidRPr="00E3376C">
        <w:rPr>
          <w:b/>
        </w:rPr>
        <w:t>y</w:t>
      </w:r>
      <w:r w:rsidRPr="003456A8">
        <w:rPr>
          <w:b/>
        </w:rPr>
        <w:t>:</w:t>
      </w:r>
      <w:r w:rsidR="00C4492B">
        <w:rPr>
          <w:rStyle w:val="FootnoteReference"/>
        </w:rPr>
        <w:footnoteReference w:id="92"/>
      </w:r>
      <w:r w:rsidRPr="00C362B8">
        <w:t xml:space="preserve"> </w:t>
      </w:r>
      <w:r w:rsidR="001652B7">
        <w:rPr>
          <w:spacing w:val="-6"/>
        </w:rPr>
        <w:t xml:space="preserve">UNDP recognizes that </w:t>
      </w:r>
      <w:r w:rsidR="00024037">
        <w:t>i</w:t>
      </w:r>
      <w:r w:rsidR="001652B7">
        <w:t xml:space="preserve">ndigenous </w:t>
      </w:r>
      <w:r w:rsidR="00024037">
        <w:t>p</w:t>
      </w:r>
      <w:r w:rsidR="001652B7">
        <w:t xml:space="preserve">eoples' right to </w:t>
      </w:r>
      <w:r w:rsidRPr="00C362B8">
        <w:t>legal personality is critical to the protection</w:t>
      </w:r>
      <w:r w:rsidR="002F3159">
        <w:t>, respect and fulfil</w:t>
      </w:r>
      <w:r w:rsidR="00494CDE">
        <w:t>l</w:t>
      </w:r>
      <w:r w:rsidR="002F3159">
        <w:t>ment</w:t>
      </w:r>
      <w:r w:rsidR="00D301E0">
        <w:t xml:space="preserve"> </w:t>
      </w:r>
      <w:r w:rsidR="00D301E0" w:rsidRPr="00D301E0">
        <w:t xml:space="preserve">of </w:t>
      </w:r>
      <w:r w:rsidR="00D301E0" w:rsidRPr="00C82628">
        <w:t>their human rights</w:t>
      </w:r>
      <w:r w:rsidR="003F7C45">
        <w:t>.</w:t>
      </w:r>
      <w:r w:rsidR="00D301E0" w:rsidRPr="00D301E0">
        <w:t xml:space="preserve"> </w:t>
      </w:r>
      <w:r w:rsidR="00057A4B" w:rsidRPr="009F032C">
        <w:t xml:space="preserve">If </w:t>
      </w:r>
      <w:r w:rsidR="001D7AB1">
        <w:t xml:space="preserve">a UNDP </w:t>
      </w:r>
      <w:r w:rsidR="00E60CC0">
        <w:t>project</w:t>
      </w:r>
      <w:r w:rsidR="00057A4B" w:rsidRPr="009F032C">
        <w:t xml:space="preserve"> involves activities that are contingent on </w:t>
      </w:r>
      <w:r w:rsidR="00492268">
        <w:t xml:space="preserve">the </w:t>
      </w:r>
      <w:r w:rsidR="00057A4B">
        <w:t>recognition of such legal personality, and</w:t>
      </w:r>
      <w:r w:rsidR="00D301E0" w:rsidRPr="00C82628">
        <w:t xml:space="preserve"> such legal personality is not provided for in national laws consistent with the norms, values and customary laws of the peoples concerned, the </w:t>
      </w:r>
      <w:r w:rsidR="003F7C45">
        <w:t>action plan</w:t>
      </w:r>
      <w:r w:rsidR="00492268">
        <w:t xml:space="preserve"> </w:t>
      </w:r>
      <w:r w:rsidR="002B1FDD" w:rsidRPr="00CA3551">
        <w:t xml:space="preserve">(see </w:t>
      </w:r>
      <w:r w:rsidR="002B1FDD">
        <w:t>paragraph</w:t>
      </w:r>
      <w:r w:rsidR="002B1FDD" w:rsidRPr="00CA3551">
        <w:t xml:space="preserve"> </w:t>
      </w:r>
      <w:r w:rsidR="002B1FDD" w:rsidRPr="009D07A0">
        <w:t>1</w:t>
      </w:r>
      <w:r w:rsidR="006F12DC">
        <w:t>6</w:t>
      </w:r>
      <w:r w:rsidR="002B1FDD" w:rsidRPr="00CA3551">
        <w:t xml:space="preserve"> below</w:t>
      </w:r>
      <w:r w:rsidR="002B1FDD">
        <w:t xml:space="preserve">) </w:t>
      </w:r>
      <w:r w:rsidR="00492268">
        <w:t>outline</w:t>
      </w:r>
      <w:r w:rsidR="00AC10D2">
        <w:t>s</w:t>
      </w:r>
      <w:r w:rsidR="00492268">
        <w:t xml:space="preserve"> the steps and timetables for securing such recognition. In such cases, UNDP</w:t>
      </w:r>
      <w:r w:rsidR="00A010CC">
        <w:t xml:space="preserve">, with the consent of </w:t>
      </w:r>
      <w:r w:rsidR="00B7164A">
        <w:t>the relevant agency</w:t>
      </w:r>
      <w:r w:rsidR="0070442E" w:rsidRPr="00CA3551">
        <w:t xml:space="preserve"> or </w:t>
      </w:r>
      <w:r w:rsidR="00F712FA">
        <w:t>i</w:t>
      </w:r>
      <w:r w:rsidR="0070442E" w:rsidRPr="00CA3551">
        <w:t xml:space="preserve">mplementing </w:t>
      </w:r>
      <w:r w:rsidR="00F712FA">
        <w:t>p</w:t>
      </w:r>
      <w:r w:rsidR="0070442E" w:rsidRPr="00CA3551">
        <w:t>artner</w:t>
      </w:r>
      <w:r w:rsidR="00A010CC" w:rsidRPr="00CA3551">
        <w:t xml:space="preserve">, </w:t>
      </w:r>
      <w:r w:rsidR="00492268">
        <w:rPr>
          <w:spacing w:val="-1"/>
        </w:rPr>
        <w:t>support</w:t>
      </w:r>
      <w:r w:rsidR="00AC10D2">
        <w:rPr>
          <w:spacing w:val="-1"/>
        </w:rPr>
        <w:t>s</w:t>
      </w:r>
      <w:r w:rsidR="00492268">
        <w:rPr>
          <w:spacing w:val="-5"/>
        </w:rPr>
        <w:t xml:space="preserve"> </w:t>
      </w:r>
      <w:r w:rsidR="00492268">
        <w:t>such</w:t>
      </w:r>
      <w:r w:rsidR="00492268">
        <w:rPr>
          <w:spacing w:val="-6"/>
        </w:rPr>
        <w:t xml:space="preserve"> </w:t>
      </w:r>
      <w:r w:rsidR="00492268">
        <w:rPr>
          <w:spacing w:val="-1"/>
        </w:rPr>
        <w:t>activities aimed</w:t>
      </w:r>
      <w:r w:rsidR="00492268">
        <w:rPr>
          <w:spacing w:val="-6"/>
        </w:rPr>
        <w:t xml:space="preserve"> </w:t>
      </w:r>
      <w:r w:rsidR="00492268">
        <w:t xml:space="preserve">at </w:t>
      </w:r>
      <w:r w:rsidR="00D301E0" w:rsidRPr="00CA3551">
        <w:t>achieving such recognition</w:t>
      </w:r>
      <w:r w:rsidR="002B1FDD">
        <w:t>.</w:t>
      </w:r>
      <w:r w:rsidR="00D301E0" w:rsidRPr="00CA3551">
        <w:t xml:space="preserve"> </w:t>
      </w:r>
    </w:p>
    <w:p w14:paraId="776BB362" w14:textId="7861E533" w:rsidR="00D31516" w:rsidRPr="007E78D6" w:rsidRDefault="008F2758">
      <w:pPr>
        <w:pStyle w:val="SEQSbodynumbered"/>
      </w:pPr>
      <w:r w:rsidRPr="007E78D6">
        <w:rPr>
          <w:b/>
        </w:rPr>
        <w:t xml:space="preserve">Involuntary </w:t>
      </w:r>
      <w:r w:rsidR="00024037" w:rsidRPr="007E78D6">
        <w:rPr>
          <w:b/>
        </w:rPr>
        <w:t>r</w:t>
      </w:r>
      <w:r w:rsidRPr="007E78D6">
        <w:rPr>
          <w:b/>
        </w:rPr>
        <w:t>esettlement:</w:t>
      </w:r>
      <w:r w:rsidRPr="007E78D6">
        <w:t xml:space="preserve"> No </w:t>
      </w:r>
      <w:r w:rsidR="00E60CC0">
        <w:t>project</w:t>
      </w:r>
      <w:r w:rsidRPr="007E78D6">
        <w:t xml:space="preserve"> supported by UNDP will result in the forcible removal of </w:t>
      </w:r>
      <w:r w:rsidR="009D735D" w:rsidRPr="007E78D6">
        <w:t>i</w:t>
      </w:r>
      <w:r w:rsidRPr="007E78D6">
        <w:t xml:space="preserve">ndigenous </w:t>
      </w:r>
      <w:r w:rsidR="009D735D" w:rsidRPr="007E78D6">
        <w:t>p</w:t>
      </w:r>
      <w:r w:rsidRPr="007E78D6">
        <w:t xml:space="preserve">eoples from their lands and territories. </w:t>
      </w:r>
    </w:p>
    <w:p w14:paraId="79CDA591" w14:textId="77777777" w:rsidR="008F2758" w:rsidRPr="007E78D6" w:rsidRDefault="00D31516">
      <w:pPr>
        <w:pStyle w:val="SEQSbodynumbered"/>
      </w:pPr>
      <w:r w:rsidRPr="007E78D6">
        <w:rPr>
          <w:b/>
        </w:rPr>
        <w:t>Relocation:</w:t>
      </w:r>
      <w:r w:rsidRPr="007E78D6">
        <w:t xml:space="preserve"> </w:t>
      </w:r>
      <w:r w:rsidR="008F2758" w:rsidRPr="007E78D6">
        <w:t xml:space="preserve">No relocation of </w:t>
      </w:r>
      <w:r w:rsidR="00024037" w:rsidRPr="007E78D6">
        <w:t>i</w:t>
      </w:r>
      <w:r w:rsidR="008F2758" w:rsidRPr="007E78D6">
        <w:t xml:space="preserve">ndigenous </w:t>
      </w:r>
      <w:r w:rsidR="00024037" w:rsidRPr="007E78D6">
        <w:t>p</w:t>
      </w:r>
      <w:r w:rsidR="008F2758" w:rsidRPr="007E78D6">
        <w:t xml:space="preserve">eoples will take place without the free, prior and informed consent </w:t>
      </w:r>
      <w:r w:rsidR="00F15AFB" w:rsidRPr="007E78D6">
        <w:t xml:space="preserve">(FPIC) </w:t>
      </w:r>
      <w:r w:rsidR="008F2758" w:rsidRPr="007E78D6">
        <w:t xml:space="preserve">of the </w:t>
      </w:r>
      <w:r w:rsidR="00024037" w:rsidRPr="007E78D6">
        <w:t>i</w:t>
      </w:r>
      <w:r w:rsidR="008F2758" w:rsidRPr="007E78D6">
        <w:t xml:space="preserve">ndigenous </w:t>
      </w:r>
      <w:r w:rsidR="00024037" w:rsidRPr="007E78D6">
        <w:t>p</w:t>
      </w:r>
      <w:r w:rsidR="008F2758" w:rsidRPr="007E78D6">
        <w:t xml:space="preserve">eoples concerned and only after agreement on just and fair compensation and, where possible, with the option of return. Without prejudice to this requirement, for further guidance see the </w:t>
      </w:r>
      <w:r w:rsidR="008F6F2F" w:rsidRPr="007E78D6">
        <w:t xml:space="preserve">Standard 5: </w:t>
      </w:r>
      <w:r w:rsidR="008F2758" w:rsidRPr="007E78D6">
        <w:t>Displacement</w:t>
      </w:r>
      <w:r w:rsidR="0062032E" w:rsidRPr="007E78D6">
        <w:t xml:space="preserve"> and Resettlement</w:t>
      </w:r>
      <w:r w:rsidR="008F2758" w:rsidRPr="007E78D6">
        <w:t xml:space="preserve">. </w:t>
      </w:r>
    </w:p>
    <w:p w14:paraId="6155AC53" w14:textId="70101AEC" w:rsidR="008F2758" w:rsidRDefault="008F2758">
      <w:pPr>
        <w:pStyle w:val="SEQSbodynumbered"/>
      </w:pPr>
      <w:r w:rsidRPr="008F6F2F">
        <w:rPr>
          <w:b/>
        </w:rPr>
        <w:t>Full</w:t>
      </w:r>
      <w:r w:rsidR="00494CDE">
        <w:rPr>
          <w:b/>
        </w:rPr>
        <w:t xml:space="preserve">, </w:t>
      </w:r>
      <w:r w:rsidRPr="008F6F2F">
        <w:rPr>
          <w:b/>
        </w:rPr>
        <w:t xml:space="preserve">effective </w:t>
      </w:r>
      <w:r w:rsidR="00494CDE">
        <w:rPr>
          <w:b/>
        </w:rPr>
        <w:t xml:space="preserve">and meaningful </w:t>
      </w:r>
      <w:r w:rsidRPr="008F6F2F">
        <w:rPr>
          <w:b/>
        </w:rPr>
        <w:t>participation</w:t>
      </w:r>
      <w:r w:rsidR="0026588D">
        <w:rPr>
          <w:b/>
        </w:rPr>
        <w:t xml:space="preserve"> and FPIC</w:t>
      </w:r>
      <w:r w:rsidRPr="003456A8">
        <w:rPr>
          <w:b/>
        </w:rPr>
        <w:t>:</w:t>
      </w:r>
      <w:r w:rsidRPr="008F6F2F">
        <w:t xml:space="preserve"> At the earliest stage of </w:t>
      </w:r>
      <w:r w:rsidR="00E60CC0">
        <w:t>project</w:t>
      </w:r>
      <w:r w:rsidR="00AA5A13">
        <w:t xml:space="preserve"> </w:t>
      </w:r>
      <w:r w:rsidR="00E16CFF">
        <w:t>conceptualization</w:t>
      </w:r>
      <w:r w:rsidR="00024037">
        <w:t xml:space="preserve"> and</w:t>
      </w:r>
      <w:r w:rsidR="00E16CFF">
        <w:t xml:space="preserve"> </w:t>
      </w:r>
      <w:r w:rsidR="00AA5A13">
        <w:t>design</w:t>
      </w:r>
      <w:r w:rsidR="00024037">
        <w:t>,</w:t>
      </w:r>
      <w:r w:rsidRPr="008F6F2F">
        <w:t xml:space="preserve"> and iteratively throughout implementation and closure, mechanisms </w:t>
      </w:r>
      <w:r w:rsidR="00AC10D2">
        <w:t>are</w:t>
      </w:r>
      <w:r w:rsidRPr="008F6F2F">
        <w:t xml:space="preserve"> identified and implemented to guarantee the </w:t>
      </w:r>
      <w:r w:rsidR="00494CDE">
        <w:t xml:space="preserve">meaningful, </w:t>
      </w:r>
      <w:r w:rsidRPr="008F6F2F">
        <w:t xml:space="preserve">effective </w:t>
      </w:r>
      <w:r w:rsidR="008F6F2F">
        <w:t xml:space="preserve">and informed </w:t>
      </w:r>
      <w:r w:rsidRPr="008F6F2F">
        <w:t xml:space="preserve">participation of </w:t>
      </w:r>
      <w:r w:rsidR="00024037">
        <w:t>i</w:t>
      </w:r>
      <w:r w:rsidRPr="008F6F2F">
        <w:t xml:space="preserve">ndigenous </w:t>
      </w:r>
      <w:r w:rsidR="00024037">
        <w:t>p</w:t>
      </w:r>
      <w:r w:rsidRPr="008F6F2F">
        <w:t>eoples</w:t>
      </w:r>
      <w:r w:rsidR="00CE02F2">
        <w:t xml:space="preserve"> on all matters</w:t>
      </w:r>
      <w:r w:rsidRPr="008F6F2F">
        <w:t xml:space="preserve">. </w:t>
      </w:r>
      <w:r w:rsidR="008D6B0F">
        <w:t>Culturally appropriate c</w:t>
      </w:r>
      <w:r w:rsidRPr="008F6F2F">
        <w:t xml:space="preserve">onsultation </w:t>
      </w:r>
      <w:r w:rsidR="00AC10D2">
        <w:t>are</w:t>
      </w:r>
      <w:r w:rsidRPr="008F6F2F">
        <w:t xml:space="preserve"> carried out </w:t>
      </w:r>
      <w:r w:rsidR="00ED042F">
        <w:t xml:space="preserve">with the objective of achieving agreement </w:t>
      </w:r>
      <w:r w:rsidR="004840FD">
        <w:t xml:space="preserve">and FPIC </w:t>
      </w:r>
      <w:r w:rsidR="00AC10D2">
        <w:t>is</w:t>
      </w:r>
      <w:r w:rsidR="004840FD">
        <w:t xml:space="preserve"> ensured </w:t>
      </w:r>
      <w:r w:rsidRPr="008F6F2F">
        <w:t>on any matters that may affect</w:t>
      </w:r>
      <w:r w:rsidR="0026588D">
        <w:t>—positively or negatively—</w:t>
      </w:r>
      <w:r w:rsidRPr="008F6F2F">
        <w:t xml:space="preserve">the </w:t>
      </w:r>
      <w:r w:rsidR="00543AEF">
        <w:t xml:space="preserve">indigenous peoples’ </w:t>
      </w:r>
      <w:r w:rsidRPr="008F6F2F">
        <w:t xml:space="preserve">rights and interests, lands, </w:t>
      </w:r>
      <w:r w:rsidR="00543AEF" w:rsidRPr="008F6F2F">
        <w:t>territories</w:t>
      </w:r>
      <w:r w:rsidR="00494CDE">
        <w:t xml:space="preserve"> </w:t>
      </w:r>
      <w:r w:rsidR="0034242D">
        <w:t>(</w:t>
      </w:r>
      <w:r w:rsidR="00956B65">
        <w:t xml:space="preserve">whether </w:t>
      </w:r>
      <w:r w:rsidR="00AA5234">
        <w:t xml:space="preserve">titled </w:t>
      </w:r>
      <w:r w:rsidR="00956B65">
        <w:t xml:space="preserve">or </w:t>
      </w:r>
      <w:r w:rsidR="00AA5234">
        <w:t>untitled</w:t>
      </w:r>
      <w:r w:rsidR="00AA5A13">
        <w:t xml:space="preserve"> to the people in question</w:t>
      </w:r>
      <w:r w:rsidR="00AA5234">
        <w:t>)</w:t>
      </w:r>
      <w:r w:rsidR="00543AEF">
        <w:t>,</w:t>
      </w:r>
      <w:r w:rsidR="00AA5234">
        <w:t xml:space="preserve"> </w:t>
      </w:r>
      <w:r w:rsidR="00543AEF" w:rsidRPr="008F6F2F">
        <w:t>resources</w:t>
      </w:r>
      <w:r w:rsidR="00543AEF">
        <w:t>,</w:t>
      </w:r>
      <w:r w:rsidR="00F45B87">
        <w:t xml:space="preserve"> traditional liv</w:t>
      </w:r>
      <w:r w:rsidR="00494CDE">
        <w:t>elihoods</w:t>
      </w:r>
      <w:r w:rsidR="00543AEF">
        <w:t>,</w:t>
      </w:r>
      <w:r w:rsidR="0026588D">
        <w:t xml:space="preserve"> and/or</w:t>
      </w:r>
      <w:r w:rsidR="00543AEF">
        <w:t xml:space="preserve"> tangible and intangible cultural heritage</w:t>
      </w:r>
      <w:r w:rsidR="0026588D">
        <w:t>. This</w:t>
      </w:r>
      <w:r w:rsidR="00543AEF">
        <w:t xml:space="preserve"> includ</w:t>
      </w:r>
      <w:r w:rsidR="0026588D">
        <w:t>es</w:t>
      </w:r>
      <w:r w:rsidR="00543AEF">
        <w:t xml:space="preserve"> any potential relocation and activities proposing the development, utilization or exploitation of mineral, forest, water or other resources</w:t>
      </w:r>
      <w:r w:rsidR="00D31516">
        <w:t xml:space="preserve"> on lands and territories </w:t>
      </w:r>
      <w:r w:rsidR="00D31516" w:rsidRPr="00C362B8">
        <w:t>traditionally owned, occupied or otherwise used or acquired</w:t>
      </w:r>
      <w:r w:rsidR="00D31516">
        <w:t xml:space="preserve"> by indigenous peoples, including</w:t>
      </w:r>
      <w:r w:rsidR="00D31516" w:rsidRPr="00C362B8">
        <w:t xml:space="preserve"> lands and territories for which they do not yet possess titl</w:t>
      </w:r>
      <w:r w:rsidR="00D31516">
        <w:t>e</w:t>
      </w:r>
      <w:r w:rsidR="00543AEF">
        <w:t>.</w:t>
      </w:r>
      <w:r w:rsidRPr="008F6F2F">
        <w:t xml:space="preserve"> </w:t>
      </w:r>
      <w:bookmarkStart w:id="17" w:name="_Hlk4501519"/>
      <w:r w:rsidR="00694CC3">
        <w:t>P</w:t>
      </w:r>
      <w:r w:rsidR="00E60CC0">
        <w:t>roject</w:t>
      </w:r>
      <w:r w:rsidR="003B7263">
        <w:t xml:space="preserve"> activities that may</w:t>
      </w:r>
      <w:r w:rsidR="003B7263" w:rsidRPr="009F032C">
        <w:t xml:space="preserve"> </w:t>
      </w:r>
      <w:r w:rsidR="003B7263">
        <w:t>adversely</w:t>
      </w:r>
      <w:r w:rsidR="003B7263" w:rsidRPr="009F032C">
        <w:t xml:space="preserve"> affect the </w:t>
      </w:r>
      <w:r w:rsidR="003B7263" w:rsidRPr="009F032C">
        <w:lastRenderedPageBreak/>
        <w:t>existen</w:t>
      </w:r>
      <w:r w:rsidR="003B7263">
        <w:t>ce, value, use or enjoyment of indigenous</w:t>
      </w:r>
      <w:r w:rsidR="003B7263" w:rsidRPr="009F032C">
        <w:t xml:space="preserve"> lands, resources or territories</w:t>
      </w:r>
      <w:r w:rsidR="003B7263">
        <w:t xml:space="preserve"> </w:t>
      </w:r>
      <w:r w:rsidR="007D76E1">
        <w:t>are not</w:t>
      </w:r>
      <w:r w:rsidR="003B7263">
        <w:t xml:space="preserve"> conducted </w:t>
      </w:r>
      <w:r w:rsidR="00670CA0">
        <w:t xml:space="preserve">unless </w:t>
      </w:r>
      <w:r w:rsidR="00AA5234">
        <w:t xml:space="preserve">agreement has been achieved through the </w:t>
      </w:r>
      <w:r w:rsidR="003B7263">
        <w:t xml:space="preserve">FPIC </w:t>
      </w:r>
      <w:r w:rsidR="00AA5234">
        <w:t>process</w:t>
      </w:r>
      <w:r w:rsidR="003B7263">
        <w:t>.</w:t>
      </w:r>
      <w:r w:rsidR="00F45992">
        <w:rPr>
          <w:rStyle w:val="FootnoteReference"/>
        </w:rPr>
        <w:footnoteReference w:id="93"/>
      </w:r>
      <w:r w:rsidR="00DB2C9F">
        <w:t xml:space="preserve"> </w:t>
      </w:r>
      <w:r w:rsidR="00AC55D7">
        <w:rPr>
          <w:rStyle w:val="FootnoteReference"/>
        </w:rPr>
        <w:footnoteReference w:id="94"/>
      </w:r>
      <w:r w:rsidR="00CD20DC" w:rsidRPr="00407485">
        <w:t xml:space="preserve"> </w:t>
      </w:r>
    </w:p>
    <w:bookmarkEnd w:id="17"/>
    <w:p w14:paraId="2EC0E7B6" w14:textId="77777777" w:rsidR="00543AEF" w:rsidRPr="005969F9" w:rsidRDefault="0026588D">
      <w:pPr>
        <w:pStyle w:val="SEQSbodynumbered"/>
      </w:pPr>
      <w:r w:rsidRPr="00A42F72">
        <w:rPr>
          <w:b/>
        </w:rPr>
        <w:t>Documentation:</w:t>
      </w:r>
      <w:r>
        <w:t xml:space="preserve"> </w:t>
      </w:r>
      <w:r w:rsidR="00543AEF">
        <w:t xml:space="preserve">Engagement processes </w:t>
      </w:r>
      <w:r w:rsidR="00F55B3E">
        <w:t xml:space="preserve">with indigenous peoples </w:t>
      </w:r>
      <w:r w:rsidR="00543AEF">
        <w:t>require at a minimum d</w:t>
      </w:r>
      <w:r w:rsidR="00543AEF" w:rsidRPr="00D242A7">
        <w:t>ocument</w:t>
      </w:r>
      <w:r w:rsidR="00543AEF">
        <w:t>ation of</w:t>
      </w:r>
      <w:r w:rsidR="00543AEF" w:rsidRPr="00D242A7">
        <w:t xml:space="preserve"> (i) </w:t>
      </w:r>
      <w:r w:rsidR="00543AEF">
        <w:t xml:space="preserve">a </w:t>
      </w:r>
      <w:r w:rsidR="00543AEF" w:rsidRPr="00D242A7">
        <w:t>mutually accepted process to carry out good faith negotiations, (ii) outcome</w:t>
      </w:r>
      <w:r w:rsidR="00543AEF">
        <w:t xml:space="preserve">s of good faith negotiations, </w:t>
      </w:r>
      <w:r w:rsidR="00543AEF" w:rsidRPr="00D242A7">
        <w:t>including all agreements reac</w:t>
      </w:r>
      <w:r w:rsidR="00543AEF">
        <w:t>hed as well as disagreements and dissenting views, and (iii) efforts aimed at accommodating indigenous peoples’ expressed interest and concerns in the final programming design</w:t>
      </w:r>
      <w:r>
        <w:rPr>
          <w:lang w:val="en-GB"/>
        </w:rPr>
        <w:t>.</w:t>
      </w:r>
    </w:p>
    <w:p w14:paraId="3985F8C0" w14:textId="2A65BEB6" w:rsidR="008F2758" w:rsidRPr="00E322FE" w:rsidRDefault="008F2758">
      <w:pPr>
        <w:pStyle w:val="SEQSbodynumbered"/>
      </w:pPr>
      <w:r w:rsidRPr="00940799">
        <w:rPr>
          <w:b/>
        </w:rPr>
        <w:t xml:space="preserve">Prior </w:t>
      </w:r>
      <w:r w:rsidR="00457C7F">
        <w:rPr>
          <w:b/>
        </w:rPr>
        <w:t>social and e</w:t>
      </w:r>
      <w:r w:rsidRPr="00940799">
        <w:rPr>
          <w:b/>
        </w:rPr>
        <w:t xml:space="preserve">nvironmental </w:t>
      </w:r>
      <w:r w:rsidR="00457C7F">
        <w:rPr>
          <w:b/>
        </w:rPr>
        <w:t>i</w:t>
      </w:r>
      <w:r w:rsidRPr="00940799">
        <w:rPr>
          <w:b/>
        </w:rPr>
        <w:t xml:space="preserve">mpact </w:t>
      </w:r>
      <w:r w:rsidR="00457C7F">
        <w:rPr>
          <w:b/>
        </w:rPr>
        <w:t>s</w:t>
      </w:r>
      <w:r w:rsidRPr="00940799">
        <w:rPr>
          <w:b/>
        </w:rPr>
        <w:t>tudy</w:t>
      </w:r>
      <w:r w:rsidRPr="003456A8">
        <w:rPr>
          <w:b/>
        </w:rPr>
        <w:t>:</w:t>
      </w:r>
      <w:r w:rsidR="00CA1457">
        <w:t xml:space="preserve"> </w:t>
      </w:r>
      <w:r w:rsidR="00836580">
        <w:t>All</w:t>
      </w:r>
      <w:r w:rsidR="00836580" w:rsidRPr="00940799">
        <w:t xml:space="preserve"> </w:t>
      </w:r>
      <w:r w:rsidR="00E60CC0">
        <w:t>project</w:t>
      </w:r>
      <w:r w:rsidR="0000783E">
        <w:t xml:space="preserve">s </w:t>
      </w:r>
      <w:r w:rsidR="0000783E" w:rsidRPr="00940799">
        <w:t xml:space="preserve">that may impact the rights, lands, resources and territories of </w:t>
      </w:r>
      <w:r w:rsidR="004871AF">
        <w:t>i</w:t>
      </w:r>
      <w:r w:rsidR="0000783E" w:rsidRPr="00940799">
        <w:t xml:space="preserve">ndigenous </w:t>
      </w:r>
      <w:r w:rsidR="004871AF">
        <w:t>p</w:t>
      </w:r>
      <w:r w:rsidR="0000783E" w:rsidRPr="00940799">
        <w:t>eoples</w:t>
      </w:r>
      <w:r w:rsidR="0000783E">
        <w:t xml:space="preserve"> require prior </w:t>
      </w:r>
      <w:r w:rsidR="00836580">
        <w:t xml:space="preserve">review and/or </w:t>
      </w:r>
      <w:r w:rsidR="0000783E">
        <w:t>assessment of potential impacts and benefits.</w:t>
      </w:r>
      <w:r w:rsidR="00D968A5">
        <w:rPr>
          <w:rStyle w:val="FootnoteReference"/>
        </w:rPr>
        <w:footnoteReference w:id="95"/>
      </w:r>
      <w:r w:rsidR="0000783E">
        <w:t xml:space="preserve"> </w:t>
      </w:r>
      <w:r w:rsidR="00D60A2C">
        <w:t>Such reviews and assessments</w:t>
      </w:r>
      <w:r w:rsidR="00D60A2C" w:rsidRPr="00940799">
        <w:t xml:space="preserve"> will be conducted transparently and with the full</w:t>
      </w:r>
      <w:r w:rsidR="00D60A2C">
        <w:t xml:space="preserve">, </w:t>
      </w:r>
      <w:r w:rsidR="00D60A2C" w:rsidRPr="00940799">
        <w:t xml:space="preserve">effective </w:t>
      </w:r>
      <w:r w:rsidR="00D60A2C">
        <w:t xml:space="preserve">and meaningful </w:t>
      </w:r>
      <w:r w:rsidR="00D60A2C" w:rsidRPr="00940799">
        <w:t xml:space="preserve">participation of the </w:t>
      </w:r>
      <w:r w:rsidR="00D60A2C">
        <w:t>i</w:t>
      </w:r>
      <w:r w:rsidR="00D60A2C" w:rsidRPr="00940799">
        <w:t xml:space="preserve">ndigenous </w:t>
      </w:r>
      <w:r w:rsidR="00D60A2C">
        <w:t>p</w:t>
      </w:r>
      <w:r w:rsidR="00D60A2C" w:rsidRPr="00940799">
        <w:t>eoples concerned</w:t>
      </w:r>
      <w:r w:rsidR="00D60A2C">
        <w:t>.</w:t>
      </w:r>
      <w:r w:rsidR="00D60A2C" w:rsidRPr="001807DE">
        <w:t xml:space="preserve"> </w:t>
      </w:r>
      <w:r w:rsidR="009F2534" w:rsidRPr="001807DE">
        <w:t xml:space="preserve">The perspective of the indigenous peoples concerned </w:t>
      </w:r>
      <w:r w:rsidR="009F2534">
        <w:t>is</w:t>
      </w:r>
      <w:r w:rsidR="009F2534" w:rsidRPr="001807DE">
        <w:t xml:space="preserve"> a</w:t>
      </w:r>
      <w:r w:rsidR="009F2534">
        <w:t xml:space="preserve"> critical</w:t>
      </w:r>
      <w:r w:rsidR="009F2534" w:rsidRPr="001807DE">
        <w:t xml:space="preserve"> starting point for </w:t>
      </w:r>
      <w:r w:rsidR="009F2534">
        <w:t xml:space="preserve">impact assessment and the indigenous peoples concerned </w:t>
      </w:r>
      <w:r w:rsidR="00D60A2C">
        <w:t xml:space="preserve">will </w:t>
      </w:r>
      <w:r w:rsidR="009F2534">
        <w:t>have ample</w:t>
      </w:r>
      <w:r w:rsidR="009F2534" w:rsidRPr="001807DE">
        <w:t xml:space="preserve"> opportunities as early as possible to participate in the assessment and development of avoidance and mitigation measures. </w:t>
      </w:r>
      <w:r w:rsidR="009F2534" w:rsidRPr="003F0DF1">
        <w:t xml:space="preserve">Indigenous and traditional knowledge is a valuable resource </w:t>
      </w:r>
      <w:r w:rsidR="009F2534">
        <w:t>for</w:t>
      </w:r>
      <w:r w:rsidR="009F2534" w:rsidRPr="003F0DF1">
        <w:t xml:space="preserve"> identif</w:t>
      </w:r>
      <w:r w:rsidR="009F2534">
        <w:t>ying and addressing potential risks, including</w:t>
      </w:r>
      <w:r w:rsidR="009F2534" w:rsidRPr="003F0DF1">
        <w:t xml:space="preserve"> </w:t>
      </w:r>
      <w:r w:rsidR="009F2534">
        <w:t xml:space="preserve">hazards and </w:t>
      </w:r>
      <w:r w:rsidR="009F2534" w:rsidRPr="003F0DF1">
        <w:t>disaster risk</w:t>
      </w:r>
      <w:r w:rsidR="009F2534">
        <w:t>s</w:t>
      </w:r>
      <w:r w:rsidR="009F2534" w:rsidRPr="003F0DF1">
        <w:t xml:space="preserve">, </w:t>
      </w:r>
      <w:r w:rsidR="009F2534">
        <w:t xml:space="preserve">and should be incorporated </w:t>
      </w:r>
      <w:r w:rsidR="009F2534" w:rsidRPr="003F0DF1">
        <w:t xml:space="preserve">throughout the </w:t>
      </w:r>
      <w:r w:rsidR="00E60CC0">
        <w:t>project</w:t>
      </w:r>
      <w:r w:rsidR="00E02E11" w:rsidRPr="003F0DF1">
        <w:t xml:space="preserve"> </w:t>
      </w:r>
      <w:r w:rsidR="009F2534" w:rsidRPr="003F0DF1">
        <w:t>cycle</w:t>
      </w:r>
      <w:r w:rsidR="009F2534" w:rsidRPr="0091193F">
        <w:rPr>
          <w:i/>
        </w:rPr>
        <w:t>.</w:t>
      </w:r>
      <w:r w:rsidR="009F2534">
        <w:t xml:space="preserve"> </w:t>
      </w:r>
      <w:r w:rsidR="000A7380">
        <w:t>P</w:t>
      </w:r>
      <w:r w:rsidR="00E60CC0">
        <w:t>roject</w:t>
      </w:r>
      <w:r w:rsidR="0000783E">
        <w:t xml:space="preserve">s with potentially significant adverse impacts require a full </w:t>
      </w:r>
      <w:r w:rsidR="00757365">
        <w:t>s</w:t>
      </w:r>
      <w:r w:rsidR="0000783E">
        <w:t xml:space="preserve">ocial and </w:t>
      </w:r>
      <w:r w:rsidR="00757365">
        <w:t xml:space="preserve">environmental assessment </w:t>
      </w:r>
      <w:r w:rsidR="006A581E" w:rsidRPr="00D71750">
        <w:rPr>
          <w:spacing w:val="-1"/>
        </w:rPr>
        <w:t>conducted by an independent and capable entity</w:t>
      </w:r>
      <w:r w:rsidR="009F2534">
        <w:rPr>
          <w:spacing w:val="-1"/>
        </w:rPr>
        <w:t>.</w:t>
      </w:r>
      <w:r w:rsidR="009F2534">
        <w:rPr>
          <w:rStyle w:val="FootnoteReference"/>
        </w:rPr>
        <w:footnoteReference w:id="96"/>
      </w:r>
      <w:r w:rsidR="009F2534" w:rsidRPr="009F2534">
        <w:t xml:space="preserve"> </w:t>
      </w:r>
      <w:r w:rsidR="009F2534" w:rsidRPr="001807DE">
        <w:t xml:space="preserve">Assess all potential direct, indirect, social, cultural, </w:t>
      </w:r>
      <w:r w:rsidR="009F2534">
        <w:t xml:space="preserve">spiritual </w:t>
      </w:r>
      <w:r w:rsidR="009F2534" w:rsidRPr="001807DE">
        <w:t>environmental impacts on indigenous peoples, including potential impacts on their rights, lands, territories, and resources.</w:t>
      </w:r>
      <w:r w:rsidR="009F2534">
        <w:rPr>
          <w:rStyle w:val="FootnoteReference"/>
        </w:rPr>
        <w:footnoteReference w:id="97"/>
      </w:r>
      <w:r w:rsidR="009F2534" w:rsidRPr="001807DE">
        <w:t xml:space="preserve"> Review of all substantive rights, property interests, tenurial arrangements, and traditional resource usage may be required. Avoid adverse impacts on indigenous peoples to the maximum extent possible, including exploration of alternative programm</w:t>
      </w:r>
      <w:r w:rsidR="009F2534">
        <w:t>ing</w:t>
      </w:r>
      <w:r w:rsidR="009F2534" w:rsidRPr="001807DE">
        <w:t xml:space="preserve"> strategies, designs and locations</w:t>
      </w:r>
      <w:r w:rsidR="009F2534">
        <w:t xml:space="preserve"> or consideration of not proceeding with the activities</w:t>
      </w:r>
      <w:r w:rsidR="009F2534" w:rsidRPr="001807DE">
        <w:t xml:space="preserve">. </w:t>
      </w:r>
      <w:r w:rsidR="009F2534" w:rsidRPr="001807DE">
        <w:lastRenderedPageBreak/>
        <w:t>Where avoidance of adverse impacts is not possible, minimize and mitigate residual impacts in a culturally appropriate manner per the mitigation hierarchy</w:t>
      </w:r>
      <w:r w:rsidR="009F2534">
        <w:t>.</w:t>
      </w:r>
    </w:p>
    <w:p w14:paraId="63A4AA1A" w14:textId="08711AAD" w:rsidR="008F2758" w:rsidRPr="00E322FE" w:rsidRDefault="008F2758">
      <w:pPr>
        <w:pStyle w:val="SEQSbodynumbered"/>
      </w:pPr>
      <w:r w:rsidRPr="00042653">
        <w:rPr>
          <w:b/>
        </w:rPr>
        <w:t>Appropriate benefits</w:t>
      </w:r>
      <w:r w:rsidRPr="003456A8">
        <w:rPr>
          <w:b/>
        </w:rPr>
        <w:t>:</w:t>
      </w:r>
      <w:r w:rsidRPr="00042653">
        <w:t xml:space="preserve"> UNDP ensure</w:t>
      </w:r>
      <w:r w:rsidR="007D76E1">
        <w:t>s</w:t>
      </w:r>
      <w:r w:rsidRPr="00042653">
        <w:t xml:space="preserve"> that arrangements</w:t>
      </w:r>
      <w:r w:rsidR="000C73F0">
        <w:t>, evidenced in a documented outcome,</w:t>
      </w:r>
      <w:r w:rsidRPr="00042653">
        <w:t xml:space="preserve"> are concluded with </w:t>
      </w:r>
      <w:r w:rsidR="00C471E3">
        <w:t>i</w:t>
      </w:r>
      <w:r>
        <w:t xml:space="preserve">ndigenous </w:t>
      </w:r>
      <w:r w:rsidR="00C471E3">
        <w:t>p</w:t>
      </w:r>
      <w:r>
        <w:t>eoples</w:t>
      </w:r>
      <w:r w:rsidRPr="00042653">
        <w:t xml:space="preserve"> </w:t>
      </w:r>
      <w:r w:rsidR="00C471E3">
        <w:t xml:space="preserve">for the equitable sharing of benefits </w:t>
      </w:r>
      <w:r w:rsidRPr="00042653">
        <w:t xml:space="preserve">to be derived by the </w:t>
      </w:r>
      <w:r w:rsidR="00E60CC0">
        <w:t>project</w:t>
      </w:r>
      <w:r w:rsidRPr="00042653">
        <w:t xml:space="preserve"> in a manner that is culturally appropriate and inclusive </w:t>
      </w:r>
      <w:r w:rsidR="001D10A2" w:rsidRPr="00C53946">
        <w:t xml:space="preserve">giving full consideration to options preferred by </w:t>
      </w:r>
      <w:r w:rsidR="001D10A2">
        <w:t>the</w:t>
      </w:r>
      <w:r w:rsidR="001D10A2" w:rsidRPr="00C53946">
        <w:t xml:space="preserve"> indigenous peoples</w:t>
      </w:r>
      <w:r w:rsidR="001D10A2">
        <w:t xml:space="preserve"> concerned</w:t>
      </w:r>
      <w:r w:rsidR="001D10A2" w:rsidRPr="00C53946">
        <w:t xml:space="preserve">. The provision of compensation and benefits </w:t>
      </w:r>
      <w:r w:rsidR="007D76E1">
        <w:t>takes into account</w:t>
      </w:r>
      <w:r w:rsidR="001D10A2" w:rsidRPr="00C53946">
        <w:t xml:space="preserve"> the institutions, rules, and customs of affected indigenous peoples and may occur on a collective basis with mechanisms for effective distribution of benefits to all members of affected groups, as far as practical. </w:t>
      </w:r>
      <w:r w:rsidR="001D10A2">
        <w:t>I</w:t>
      </w:r>
      <w:r w:rsidR="001D10A2" w:rsidRPr="00C53946">
        <w:t xml:space="preserve">ndigenous peoples </w:t>
      </w:r>
      <w:r w:rsidR="001D10A2">
        <w:t xml:space="preserve">affected by </w:t>
      </w:r>
      <w:r w:rsidR="00E60CC0">
        <w:t>project</w:t>
      </w:r>
      <w:r w:rsidR="001D10A2">
        <w:t xml:space="preserve"> activities </w:t>
      </w:r>
      <w:r w:rsidR="001D10A2" w:rsidRPr="00C53946">
        <w:t>should share equitably in benefits derived from any commercial development of indigenous peoples’ lands, territories or resources or from the use or development of indigenous peoples’ cultural heritage.</w:t>
      </w:r>
    </w:p>
    <w:p w14:paraId="3F1E84CE" w14:textId="7178A289" w:rsidR="008F2758" w:rsidRPr="00E322FE" w:rsidRDefault="008F2758">
      <w:pPr>
        <w:pStyle w:val="SEQSbodynumbered"/>
      </w:pPr>
      <w:r w:rsidRPr="00042653">
        <w:rPr>
          <w:b/>
        </w:rPr>
        <w:t>Support rights implementation</w:t>
      </w:r>
      <w:r w:rsidRPr="003456A8">
        <w:rPr>
          <w:b/>
        </w:rPr>
        <w:t>:</w:t>
      </w:r>
      <w:r w:rsidRPr="00042653">
        <w:t xml:space="preserve"> UNDP </w:t>
      </w:r>
      <w:r w:rsidR="00E60CC0">
        <w:t>project</w:t>
      </w:r>
      <w:r w:rsidRPr="00042653">
        <w:t xml:space="preserve">s </w:t>
      </w:r>
      <w:r w:rsidR="007D76E1">
        <w:t>are</w:t>
      </w:r>
      <w:r w:rsidRPr="00042653">
        <w:t xml:space="preserve"> conducted </w:t>
      </w:r>
      <w:r w:rsidR="00C471E3">
        <w:t xml:space="preserve">in a manner </w:t>
      </w:r>
      <w:r w:rsidRPr="00042653">
        <w:t xml:space="preserve">consistent with </w:t>
      </w:r>
      <w:r w:rsidR="0030004B">
        <w:t>UNDP’s</w:t>
      </w:r>
      <w:r w:rsidR="0030004B" w:rsidRPr="00042653">
        <w:t xml:space="preserve"> </w:t>
      </w:r>
      <w:r w:rsidRPr="00042653">
        <w:t xml:space="preserve">commitment to support </w:t>
      </w:r>
      <w:r w:rsidR="008151AD">
        <w:t xml:space="preserve">countries </w:t>
      </w:r>
      <w:r w:rsidRPr="00042653">
        <w:t xml:space="preserve">to implement their duties and obligations under domestic and international law regarding the rights of </w:t>
      </w:r>
      <w:r w:rsidR="00C471E3">
        <w:t>i</w:t>
      </w:r>
      <w:r>
        <w:t xml:space="preserve">ndigenous </w:t>
      </w:r>
      <w:r w:rsidR="00C471E3">
        <w:t>p</w:t>
      </w:r>
      <w:r>
        <w:t>eoples</w:t>
      </w:r>
      <w:r w:rsidRPr="00042653">
        <w:t>, including relevant treaty obligations.</w:t>
      </w:r>
      <w:r>
        <w:t xml:space="preserve"> Without prejudice to paragraphs </w:t>
      </w:r>
      <w:r w:rsidRPr="009D07A0">
        <w:t>6 and 7</w:t>
      </w:r>
      <w:r>
        <w:t xml:space="preserve"> above, w</w:t>
      </w:r>
      <w:r w:rsidRPr="00042653">
        <w:t xml:space="preserve">henever possible, </w:t>
      </w:r>
      <w:r w:rsidR="00D55560">
        <w:t xml:space="preserve">and </w:t>
      </w:r>
      <w:r w:rsidRPr="00042653">
        <w:t xml:space="preserve">at the request of the relevant government, </w:t>
      </w:r>
      <w:r w:rsidR="00E60CC0">
        <w:t>project</w:t>
      </w:r>
      <w:r w:rsidRPr="00042653">
        <w:t xml:space="preserve">s will include activities that support legal reform of domestic laws </w:t>
      </w:r>
      <w:r w:rsidR="00A311F8">
        <w:t>to strengthen</w:t>
      </w:r>
      <w:r w:rsidRPr="00042653">
        <w:t xml:space="preserve"> compliance with the </w:t>
      </w:r>
      <w:r w:rsidR="008151AD">
        <w:t>country’s</w:t>
      </w:r>
      <w:r w:rsidRPr="00042653">
        <w:t xml:space="preserve"> duties and obligations under international law with respect to the rights of </w:t>
      </w:r>
      <w:r w:rsidR="00C471E3">
        <w:t>i</w:t>
      </w:r>
      <w:r>
        <w:t xml:space="preserve">ndigenous </w:t>
      </w:r>
      <w:r w:rsidR="00C471E3">
        <w:t>p</w:t>
      </w:r>
      <w:r>
        <w:t>eoples</w:t>
      </w:r>
      <w:r w:rsidR="00A311F8">
        <w:t>,</w:t>
      </w:r>
      <w:r w:rsidR="00D55560">
        <w:t xml:space="preserve"> and these steps and timetable </w:t>
      </w:r>
      <w:r w:rsidR="007D76E1">
        <w:t>are</w:t>
      </w:r>
      <w:r w:rsidR="00D55560">
        <w:t xml:space="preserve"> included in the I</w:t>
      </w:r>
      <w:r w:rsidR="00BA63A0">
        <w:t>ndigenous Peoples Plan</w:t>
      </w:r>
      <w:r w:rsidRPr="00C26A65">
        <w:t>.</w:t>
      </w:r>
      <w:r w:rsidR="00924589">
        <w:t xml:space="preserve"> </w:t>
      </w:r>
    </w:p>
    <w:p w14:paraId="10D9B91E" w14:textId="77777777" w:rsidR="008F2758" w:rsidRPr="007E78D6" w:rsidRDefault="008F2758">
      <w:pPr>
        <w:pStyle w:val="SEQSbodynumbered"/>
      </w:pPr>
      <w:r w:rsidRPr="007E78D6">
        <w:t xml:space="preserve">Special considerations: </w:t>
      </w:r>
    </w:p>
    <w:p w14:paraId="0B9F650E" w14:textId="7587A187" w:rsidR="008F2758" w:rsidRPr="000828D8" w:rsidRDefault="008F2758" w:rsidP="000828D8">
      <w:pPr>
        <w:pStyle w:val="listlettered"/>
        <w:numPr>
          <w:ilvl w:val="0"/>
          <w:numId w:val="11"/>
        </w:numPr>
        <w:rPr>
          <w:color w:val="auto"/>
        </w:rPr>
      </w:pPr>
      <w:r w:rsidRPr="000828D8">
        <w:rPr>
          <w:i/>
        </w:rPr>
        <w:t>Gender</w:t>
      </w:r>
      <w:r w:rsidRPr="002C6ACD">
        <w:t xml:space="preserve">: </w:t>
      </w:r>
      <w:r>
        <w:t>W</w:t>
      </w:r>
      <w:r w:rsidRPr="002C6ACD">
        <w:t xml:space="preserve">hile respecting the norms, values and customs of the </w:t>
      </w:r>
      <w:r w:rsidR="00C471E3">
        <w:t>i</w:t>
      </w:r>
      <w:r>
        <w:t xml:space="preserve">ndigenous </w:t>
      </w:r>
      <w:r w:rsidR="00C471E3">
        <w:t>p</w:t>
      </w:r>
      <w:r w:rsidRPr="002C6ACD">
        <w:t>eoples and communities</w:t>
      </w:r>
      <w:r>
        <w:t xml:space="preserve"> concerned,</w:t>
      </w:r>
      <w:r w:rsidRPr="002C6ACD">
        <w:t xml:space="preserve"> UNDP ensure</w:t>
      </w:r>
      <w:r w:rsidR="007D76E1">
        <w:t>s</w:t>
      </w:r>
      <w:r w:rsidRPr="002C6ACD">
        <w:t xml:space="preserve"> that </w:t>
      </w:r>
      <w:r w:rsidR="00E60CC0">
        <w:t>project</w:t>
      </w:r>
      <w:r w:rsidRPr="002C6ACD">
        <w:t xml:space="preserve">s </w:t>
      </w:r>
      <w:r>
        <w:t>which</w:t>
      </w:r>
      <w:r w:rsidRPr="002C6ACD">
        <w:t xml:space="preserve"> may affect or involve </w:t>
      </w:r>
      <w:r w:rsidR="00C471E3">
        <w:t>i</w:t>
      </w:r>
      <w:r w:rsidRPr="002C6ACD">
        <w:t xml:space="preserve">ndigenous </w:t>
      </w:r>
      <w:r w:rsidR="00C471E3">
        <w:t>p</w:t>
      </w:r>
      <w:r w:rsidRPr="002C6ACD">
        <w:t xml:space="preserve">eoples </w:t>
      </w:r>
      <w:r w:rsidR="002F15FC">
        <w:t xml:space="preserve">pay </w:t>
      </w:r>
      <w:r w:rsidR="002F15FC" w:rsidRPr="002F15FC">
        <w:t xml:space="preserve">particular attention to the rights and special needs of </w:t>
      </w:r>
      <w:r w:rsidR="002F15FC">
        <w:t>women</w:t>
      </w:r>
      <w:r w:rsidR="00C7730F">
        <w:t xml:space="preserve"> and girls</w:t>
      </w:r>
      <w:r w:rsidR="002F15FC">
        <w:t xml:space="preserve">, </w:t>
      </w:r>
      <w:r w:rsidR="007D76E1">
        <w:t xml:space="preserve">do </w:t>
      </w:r>
      <w:r w:rsidRPr="002C6ACD">
        <w:t xml:space="preserve">not discriminate against women </w:t>
      </w:r>
      <w:r w:rsidR="00757365">
        <w:t xml:space="preserve">and girls </w:t>
      </w:r>
      <w:r w:rsidRPr="002C6ACD">
        <w:t xml:space="preserve">and ensure that women </w:t>
      </w:r>
      <w:r w:rsidR="00757365">
        <w:t xml:space="preserve">and girls </w:t>
      </w:r>
      <w:r w:rsidRPr="002C6ACD">
        <w:t>have equal opportunities to participate and benefit</w:t>
      </w:r>
      <w:r w:rsidR="00211C20">
        <w:t>.</w:t>
      </w:r>
    </w:p>
    <w:p w14:paraId="7CF4838D" w14:textId="77777777" w:rsidR="00604C0A" w:rsidRDefault="0037144F" w:rsidP="000828D8">
      <w:pPr>
        <w:pStyle w:val="listlettered"/>
      </w:pPr>
      <w:r>
        <w:rPr>
          <w:i/>
        </w:rPr>
        <w:t xml:space="preserve">Vulnerable and </w:t>
      </w:r>
      <w:r w:rsidR="00B01B3F">
        <w:rPr>
          <w:i/>
        </w:rPr>
        <w:t>m</w:t>
      </w:r>
      <w:r>
        <w:rPr>
          <w:i/>
        </w:rPr>
        <w:t>arginalized</w:t>
      </w:r>
      <w:r w:rsidRPr="008555CF">
        <w:rPr>
          <w:i/>
        </w:rPr>
        <w:t xml:space="preserve"> </w:t>
      </w:r>
      <w:r w:rsidR="00B01B3F">
        <w:rPr>
          <w:i/>
        </w:rPr>
        <w:t>i</w:t>
      </w:r>
      <w:r w:rsidR="008F2758" w:rsidRPr="008555CF">
        <w:rPr>
          <w:i/>
        </w:rPr>
        <w:t xml:space="preserve">ndigenous </w:t>
      </w:r>
      <w:r w:rsidR="00B01B3F">
        <w:rPr>
          <w:i/>
        </w:rPr>
        <w:t>p</w:t>
      </w:r>
      <w:r w:rsidR="008F2758" w:rsidRPr="008555CF">
        <w:rPr>
          <w:i/>
        </w:rPr>
        <w:t>eoples</w:t>
      </w:r>
      <w:r w:rsidR="008F2758" w:rsidRPr="00A94B23">
        <w:t xml:space="preserve">: Particular attention </w:t>
      </w:r>
      <w:r w:rsidR="007D76E1">
        <w:t>is</w:t>
      </w:r>
      <w:r w:rsidR="008F2758" w:rsidRPr="00A94B23">
        <w:t xml:space="preserve"> paid to the rights and special needs of indigenous elders, youth, children, persons with disabilit</w:t>
      </w:r>
      <w:r w:rsidR="00F9145F">
        <w:t>ies</w:t>
      </w:r>
      <w:r w:rsidR="00F32DD4">
        <w:t xml:space="preserve">, </w:t>
      </w:r>
      <w:r w:rsidR="00F32DD4" w:rsidRPr="00F32DD4">
        <w:t xml:space="preserve">including consideration of special measures to improve their participation in decision-making and their </w:t>
      </w:r>
      <w:r w:rsidR="00F32DD4">
        <w:t>general</w:t>
      </w:r>
      <w:r w:rsidR="00F32DD4" w:rsidRPr="00F32DD4">
        <w:t xml:space="preserve"> well-</w:t>
      </w:r>
      <w:r w:rsidR="00F32DD4" w:rsidRPr="008A6C73">
        <w:t>being</w:t>
      </w:r>
      <w:r w:rsidR="008F2758" w:rsidRPr="00F45B87">
        <w:rPr>
          <w:color w:val="auto"/>
        </w:rPr>
        <w:t>.</w:t>
      </w:r>
      <w:r w:rsidR="008555CF" w:rsidRPr="00F45B87">
        <w:rPr>
          <w:color w:val="auto"/>
        </w:rPr>
        <w:t xml:space="preserve"> </w:t>
      </w:r>
    </w:p>
    <w:p w14:paraId="4B67C4A3" w14:textId="1469768F" w:rsidR="008F2758" w:rsidRPr="003B3DA6" w:rsidRDefault="008F2758" w:rsidP="000828D8">
      <w:pPr>
        <w:pStyle w:val="listlettered"/>
      </w:pPr>
      <w:r w:rsidRPr="00D80A36">
        <w:rPr>
          <w:i/>
        </w:rPr>
        <w:t xml:space="preserve">Uncontacted and </w:t>
      </w:r>
      <w:r w:rsidR="002F238E">
        <w:rPr>
          <w:i/>
        </w:rPr>
        <w:t>v</w:t>
      </w:r>
      <w:r w:rsidRPr="00D80A36">
        <w:rPr>
          <w:i/>
        </w:rPr>
        <w:t xml:space="preserve">oluntarily </w:t>
      </w:r>
      <w:r w:rsidR="002F238E">
        <w:rPr>
          <w:i/>
        </w:rPr>
        <w:t>i</w:t>
      </w:r>
      <w:r w:rsidRPr="00D80A36">
        <w:rPr>
          <w:i/>
        </w:rPr>
        <w:t xml:space="preserve">solated </w:t>
      </w:r>
      <w:r w:rsidR="002F238E">
        <w:rPr>
          <w:i/>
        </w:rPr>
        <w:t>i</w:t>
      </w:r>
      <w:r w:rsidRPr="00D80A36">
        <w:rPr>
          <w:i/>
        </w:rPr>
        <w:t>ndigenous</w:t>
      </w:r>
      <w:r w:rsidRPr="003B3DA6">
        <w:rPr>
          <w:i/>
        </w:rPr>
        <w:t xml:space="preserve"> </w:t>
      </w:r>
      <w:r w:rsidR="002F238E">
        <w:rPr>
          <w:i/>
        </w:rPr>
        <w:t>p</w:t>
      </w:r>
      <w:r w:rsidRPr="003B3DA6">
        <w:rPr>
          <w:i/>
        </w:rPr>
        <w:t>eoples:</w:t>
      </w:r>
      <w:r w:rsidRPr="003B3DA6">
        <w:t xml:space="preserve"> </w:t>
      </w:r>
      <w:r w:rsidR="00BC207E">
        <w:t>Where</w:t>
      </w:r>
      <w:r w:rsidRPr="003B3DA6">
        <w:t xml:space="preserve"> </w:t>
      </w:r>
      <w:r w:rsidR="00E60CC0">
        <w:t>project</w:t>
      </w:r>
      <w:r w:rsidRPr="003B3DA6">
        <w:t xml:space="preserve">s may directly or indirectly impact uncontacted or voluntarily isolated </w:t>
      </w:r>
      <w:r w:rsidR="002F238E">
        <w:t>i</w:t>
      </w:r>
      <w:r w:rsidRPr="000B5442">
        <w:t xml:space="preserve">ndigenous </w:t>
      </w:r>
      <w:r w:rsidR="002F238E">
        <w:t>p</w:t>
      </w:r>
      <w:r w:rsidRPr="007E6F80">
        <w:t>eoples, their lands, resources, territories or their way of life, this</w:t>
      </w:r>
      <w:r w:rsidR="00F9145F" w:rsidRPr="007E6F80">
        <w:t xml:space="preserve"> Standard</w:t>
      </w:r>
      <w:r w:rsidRPr="007E6F80">
        <w:t xml:space="preserve"> requires that such </w:t>
      </w:r>
      <w:r w:rsidR="00E60CC0">
        <w:t>project</w:t>
      </w:r>
      <w:r w:rsidRPr="007E6F80">
        <w:t xml:space="preserve">s respect </w:t>
      </w:r>
      <w:r w:rsidR="00C7730F">
        <w:t xml:space="preserve">and protect </w:t>
      </w:r>
      <w:r w:rsidRPr="007E6F80">
        <w:t xml:space="preserve">the right of these peoples to remain in isolation and to live freely in that condition according to their culture. Such </w:t>
      </w:r>
      <w:r w:rsidR="00E60CC0">
        <w:t>project</w:t>
      </w:r>
      <w:r w:rsidRPr="007E6F80">
        <w:t>s include the appropriate necessary measures to (i) safeguard the collective and individual physical, territorial, and cultural integrity of these peoples</w:t>
      </w:r>
      <w:r w:rsidR="00425D0B">
        <w:t>,</w:t>
      </w:r>
      <w:r w:rsidRPr="007E6F80">
        <w:t xml:space="preserve"> (ii) recognize, respect and protect their lands and territories, environment, health and culture</w:t>
      </w:r>
      <w:r w:rsidR="00425D0B">
        <w:t>,</w:t>
      </w:r>
      <w:r w:rsidRPr="007E6F80">
        <w:t xml:space="preserve"> and (iii) </w:t>
      </w:r>
      <w:r w:rsidR="008953A7">
        <w:rPr>
          <w:spacing w:val="-5"/>
        </w:rPr>
        <w:t xml:space="preserve">prohibit and therefore </w:t>
      </w:r>
      <w:r w:rsidRPr="007E6F80">
        <w:t xml:space="preserve">avoid contact with them as a direct or indirect consequence of the </w:t>
      </w:r>
      <w:r w:rsidR="00E60CC0">
        <w:t>project</w:t>
      </w:r>
      <w:r w:rsidRPr="007E6F80">
        <w:t>. Where relevant, UNDP support</w:t>
      </w:r>
      <w:r w:rsidR="007D76E1">
        <w:t>s</w:t>
      </w:r>
      <w:r w:rsidRPr="007E6F80">
        <w:t xml:space="preserve"> </w:t>
      </w:r>
      <w:r w:rsidR="00525C2C">
        <w:t>countries</w:t>
      </w:r>
      <w:r w:rsidR="00A453A4" w:rsidRPr="007E6F80">
        <w:t xml:space="preserve"> </w:t>
      </w:r>
      <w:r w:rsidRPr="007E6F80">
        <w:t xml:space="preserve">to regularize the lands and territories of these peoples and establish buffer zones, </w:t>
      </w:r>
      <w:r w:rsidR="00425D0B">
        <w:t xml:space="preserve">to </w:t>
      </w:r>
      <w:r w:rsidRPr="007E6F80">
        <w:t xml:space="preserve">limit </w:t>
      </w:r>
      <w:r w:rsidRPr="007E6F80">
        <w:lastRenderedPageBreak/>
        <w:t xml:space="preserve">access to such territories, and </w:t>
      </w:r>
      <w:r w:rsidR="00425D0B">
        <w:t xml:space="preserve">to </w:t>
      </w:r>
      <w:r w:rsidRPr="007E6F80">
        <w:t>develop monitoring and emergency response measures, making avoidance of contact a priority.</w:t>
      </w:r>
    </w:p>
    <w:p w14:paraId="66EF8A56" w14:textId="56412F89" w:rsidR="00604C0A" w:rsidRDefault="008F2758" w:rsidP="000828D8">
      <w:pPr>
        <w:pStyle w:val="listlettered"/>
      </w:pPr>
      <w:r w:rsidRPr="00C26A65">
        <w:rPr>
          <w:i/>
        </w:rPr>
        <w:t xml:space="preserve">Cultural </w:t>
      </w:r>
      <w:r w:rsidR="00137BF0">
        <w:rPr>
          <w:i/>
        </w:rPr>
        <w:t>H</w:t>
      </w:r>
      <w:r w:rsidRPr="00C26A65">
        <w:rPr>
          <w:i/>
        </w:rPr>
        <w:t>eritage</w:t>
      </w:r>
      <w:r w:rsidRPr="00C26A65">
        <w:t xml:space="preserve">: </w:t>
      </w:r>
      <w:r>
        <w:t>UNDP</w:t>
      </w:r>
      <w:r w:rsidRPr="00C26A65">
        <w:t xml:space="preserve"> respect</w:t>
      </w:r>
      <w:r w:rsidR="007D76E1">
        <w:t>s</w:t>
      </w:r>
      <w:r w:rsidRPr="00C26A65">
        <w:t>, protect</w:t>
      </w:r>
      <w:r w:rsidR="007D76E1">
        <w:t>s</w:t>
      </w:r>
      <w:r w:rsidR="00CC2621">
        <w:t xml:space="preserve">, </w:t>
      </w:r>
      <w:r w:rsidRPr="00C26A65">
        <w:t>conserve</w:t>
      </w:r>
      <w:r w:rsidR="007D76E1">
        <w:t>s</w:t>
      </w:r>
      <w:r w:rsidRPr="00C26A65">
        <w:t xml:space="preserve"> and </w:t>
      </w:r>
      <w:r w:rsidR="007D76E1">
        <w:t xml:space="preserve">does </w:t>
      </w:r>
      <w:r w:rsidRPr="00C26A65">
        <w:t xml:space="preserve">not take or appropriate the cultural, intellectual, religious and spiritual property of </w:t>
      </w:r>
      <w:r w:rsidR="00B6212D">
        <w:t>i</w:t>
      </w:r>
      <w:r>
        <w:t xml:space="preserve">ndigenous </w:t>
      </w:r>
      <w:r w:rsidR="00B6212D">
        <w:t>p</w:t>
      </w:r>
      <w:r>
        <w:t>eoples</w:t>
      </w:r>
      <w:r w:rsidRPr="00C26A65">
        <w:t xml:space="preserve"> without their free, prior and informed consent. </w:t>
      </w:r>
      <w:r w:rsidR="00F30C80" w:rsidRPr="00005FC4">
        <w:rPr>
          <w:rFonts w:eastAsia="Times New Roman"/>
        </w:rPr>
        <w:t xml:space="preserve">If </w:t>
      </w:r>
      <w:r w:rsidR="00F30C80">
        <w:rPr>
          <w:rFonts w:eastAsia="Times New Roman"/>
        </w:rPr>
        <w:t xml:space="preserve">indigenous peoples affected by </w:t>
      </w:r>
      <w:r w:rsidR="00E60CC0">
        <w:rPr>
          <w:rFonts w:eastAsia="Times New Roman"/>
        </w:rPr>
        <w:t>project</w:t>
      </w:r>
      <w:r w:rsidR="00F30C80">
        <w:rPr>
          <w:rFonts w:eastAsia="Times New Roman"/>
        </w:rPr>
        <w:t xml:space="preserve"> activities</w:t>
      </w:r>
      <w:r w:rsidR="00F30C80" w:rsidRPr="00005FC4">
        <w:rPr>
          <w:rFonts w:eastAsia="Times New Roman"/>
        </w:rPr>
        <w:t xml:space="preserve"> hold </w:t>
      </w:r>
      <w:r w:rsidR="00F30C80">
        <w:rPr>
          <w:rFonts w:eastAsia="Times New Roman"/>
        </w:rPr>
        <w:t xml:space="preserve">the </w:t>
      </w:r>
      <w:r w:rsidR="00F30C80" w:rsidRPr="00005FC4">
        <w:rPr>
          <w:rFonts w:eastAsia="Times New Roman"/>
        </w:rPr>
        <w:t xml:space="preserve">location, characteristics or traditional use of </w:t>
      </w:r>
      <w:r w:rsidR="00F30C80">
        <w:rPr>
          <w:rFonts w:eastAsia="Times New Roman"/>
        </w:rPr>
        <w:t>cultural heritage</w:t>
      </w:r>
      <w:r w:rsidR="00F30C80" w:rsidRPr="00005FC4">
        <w:rPr>
          <w:rFonts w:eastAsia="Times New Roman"/>
        </w:rPr>
        <w:t xml:space="preserve"> in secret, measures to maintain confidentiality</w:t>
      </w:r>
      <w:r w:rsidR="007D76E1">
        <w:rPr>
          <w:rFonts w:eastAsia="Times New Roman"/>
        </w:rPr>
        <w:t xml:space="preserve"> are put in place</w:t>
      </w:r>
      <w:r w:rsidR="00F30C80">
        <w:rPr>
          <w:rFonts w:eastAsia="Times New Roman"/>
        </w:rPr>
        <w:t>.</w:t>
      </w:r>
      <w:r w:rsidR="00F30C80">
        <w:rPr>
          <w:rStyle w:val="FootnoteReference"/>
          <w:rFonts w:eastAsia="Times New Roman"/>
        </w:rPr>
        <w:footnoteReference w:id="98"/>
      </w:r>
      <w:r w:rsidR="0026588D">
        <w:rPr>
          <w:rFonts w:eastAsia="Times New Roman"/>
        </w:rPr>
        <w:t xml:space="preserve"> </w:t>
      </w:r>
      <w:r>
        <w:t xml:space="preserve">Without prejudice to this requirement, </w:t>
      </w:r>
      <w:r w:rsidR="00CC2621">
        <w:t>Standard</w:t>
      </w:r>
      <w:r w:rsidR="00CC2621" w:rsidRPr="00C26A65">
        <w:t xml:space="preserve"> </w:t>
      </w:r>
      <w:r w:rsidR="00CC2621">
        <w:t>4</w:t>
      </w:r>
      <w:r w:rsidR="00A86EEE">
        <w:t>:</w:t>
      </w:r>
      <w:r w:rsidR="00B6212D">
        <w:t xml:space="preserve"> </w:t>
      </w:r>
      <w:r w:rsidR="00CC2621" w:rsidRPr="00C26A65">
        <w:t>Cultural Heritage appl</w:t>
      </w:r>
      <w:r w:rsidR="007D76E1">
        <w:t>ies</w:t>
      </w:r>
      <w:r w:rsidR="00CC2621">
        <w:t xml:space="preserve"> </w:t>
      </w:r>
      <w:r>
        <w:t>w</w:t>
      </w:r>
      <w:r w:rsidRPr="00C26A65">
        <w:t xml:space="preserve">here </w:t>
      </w:r>
      <w:r w:rsidR="00144723">
        <w:t>C</w:t>
      </w:r>
      <w:r w:rsidRPr="00C26A65">
        <w:t xml:space="preserve">ultural </w:t>
      </w:r>
      <w:r w:rsidR="00144723">
        <w:t>H</w:t>
      </w:r>
      <w:r w:rsidRPr="00C26A65">
        <w:t xml:space="preserve">eritage </w:t>
      </w:r>
      <w:r>
        <w:t xml:space="preserve">of </w:t>
      </w:r>
      <w:r w:rsidR="00A86EEE">
        <w:t>i</w:t>
      </w:r>
      <w:r>
        <w:t xml:space="preserve">ndigenous </w:t>
      </w:r>
      <w:r w:rsidR="00A86EEE">
        <w:t>p</w:t>
      </w:r>
      <w:r>
        <w:t xml:space="preserve">eoples </w:t>
      </w:r>
      <w:r w:rsidRPr="00C26A65">
        <w:t>may be affecte</w:t>
      </w:r>
      <w:r w:rsidR="007F1AC5">
        <w:t xml:space="preserve">d by a </w:t>
      </w:r>
      <w:r w:rsidR="00E60CC0">
        <w:t>project</w:t>
      </w:r>
      <w:r w:rsidRPr="00C26A65">
        <w:t xml:space="preserve">. </w:t>
      </w:r>
    </w:p>
    <w:p w14:paraId="0E9AFF61" w14:textId="203E6714" w:rsidR="00E340FD" w:rsidRPr="0096377B" w:rsidRDefault="008F2758" w:rsidP="00AC7F5D">
      <w:pPr>
        <w:pStyle w:val="SEQSbodynumbered"/>
      </w:pPr>
      <w:r>
        <w:rPr>
          <w:b/>
        </w:rPr>
        <w:t>Indigenous Peoples</w:t>
      </w:r>
      <w:r w:rsidRPr="00C26A65">
        <w:rPr>
          <w:b/>
        </w:rPr>
        <w:t xml:space="preserve"> Plan</w:t>
      </w:r>
      <w:r w:rsidRPr="003456A8">
        <w:rPr>
          <w:b/>
        </w:rPr>
        <w:t>:</w:t>
      </w:r>
      <w:r>
        <w:t xml:space="preserve"> </w:t>
      </w:r>
      <w:r w:rsidRPr="00C26A65">
        <w:t xml:space="preserve">If it is determined that the proposed </w:t>
      </w:r>
      <w:r w:rsidR="00E60CC0">
        <w:t>project</w:t>
      </w:r>
      <w:r w:rsidRPr="00C26A65">
        <w:t xml:space="preserve"> may affect the rights, lands, resources or territories of </w:t>
      </w:r>
      <w:r w:rsidR="005B6D12">
        <w:t>i</w:t>
      </w:r>
      <w:r>
        <w:t xml:space="preserve">ndigenous </w:t>
      </w:r>
      <w:r w:rsidR="005B6D12">
        <w:t>p</w:t>
      </w:r>
      <w:r>
        <w:t>eoples</w:t>
      </w:r>
      <w:r w:rsidRPr="00C26A65">
        <w:t>, an "</w:t>
      </w:r>
      <w:r>
        <w:t>Indigenous Peoples</w:t>
      </w:r>
      <w:r w:rsidRPr="00C26A65">
        <w:t xml:space="preserve"> Plan" </w:t>
      </w:r>
      <w:r w:rsidR="00A86EEE">
        <w:t>(IPP)</w:t>
      </w:r>
      <w:r w:rsidR="00DA45A3">
        <w:t xml:space="preserve"> or “Indigenous Peoples Plan Framework”</w:t>
      </w:r>
      <w:r w:rsidR="005B6D12">
        <w:t xml:space="preserve"> </w:t>
      </w:r>
      <w:r w:rsidR="007D76E1">
        <w:t>is</w:t>
      </w:r>
      <w:r w:rsidRPr="00C26A65">
        <w:t xml:space="preserve"> elaborated </w:t>
      </w:r>
      <w:r w:rsidR="001B29A4">
        <w:t xml:space="preserve">and included in the </w:t>
      </w:r>
      <w:r w:rsidR="00E60CC0">
        <w:t>project</w:t>
      </w:r>
      <w:r w:rsidR="001B29A4">
        <w:t xml:space="preserve"> </w:t>
      </w:r>
      <w:r w:rsidR="00F01B21">
        <w:t>d</w:t>
      </w:r>
      <w:r w:rsidR="001B29A4">
        <w:t>ocument</w:t>
      </w:r>
      <w:r w:rsidR="00F01B21">
        <w:t>ation</w:t>
      </w:r>
      <w:r w:rsidR="001B29A4">
        <w:t>.</w:t>
      </w:r>
      <w:r w:rsidR="00F30C80">
        <w:rPr>
          <w:rStyle w:val="FootnoteReference"/>
        </w:rPr>
        <w:footnoteReference w:id="99"/>
      </w:r>
      <w:r w:rsidR="001B29A4">
        <w:t xml:space="preserve"> </w:t>
      </w:r>
      <w:r w:rsidRPr="00C26A65">
        <w:t xml:space="preserve">This plan </w:t>
      </w:r>
      <w:r w:rsidR="007D76E1">
        <w:t>is</w:t>
      </w:r>
      <w:r w:rsidRPr="00C26A65">
        <w:t xml:space="preserve"> </w:t>
      </w:r>
      <w:r>
        <w:t>developed</w:t>
      </w:r>
      <w:r w:rsidRPr="00C26A65">
        <w:t xml:space="preserve"> in accordance with the effective and meaningful participation of </w:t>
      </w:r>
      <w:r w:rsidR="005B6D12">
        <w:t>i</w:t>
      </w:r>
      <w:r>
        <w:t xml:space="preserve">ndigenous </w:t>
      </w:r>
      <w:r w:rsidR="005B6D12">
        <w:t>p</w:t>
      </w:r>
      <w:r>
        <w:t>eoples</w:t>
      </w:r>
      <w:r w:rsidRPr="00C26A65">
        <w:t xml:space="preserve"> and in accordance with </w:t>
      </w:r>
      <w:r w:rsidR="00F30C80">
        <w:t xml:space="preserve">UNDP </w:t>
      </w:r>
      <w:r w:rsidRPr="00A37A8B">
        <w:t>Guidelines</w:t>
      </w:r>
      <w:r w:rsidRPr="00C26A65">
        <w:t>.</w:t>
      </w:r>
      <w:r w:rsidR="00F30C80">
        <w:rPr>
          <w:rStyle w:val="FootnoteReference"/>
        </w:rPr>
        <w:footnoteReference w:id="100"/>
      </w:r>
      <w:r w:rsidR="00297482">
        <w:t xml:space="preserve"> </w:t>
      </w:r>
      <w:r w:rsidR="001B29A4">
        <w:t>T</w:t>
      </w:r>
      <w:r w:rsidRPr="00C26A65">
        <w:t xml:space="preserve">he </w:t>
      </w:r>
      <w:r>
        <w:t>IPP</w:t>
      </w:r>
      <w:r w:rsidRPr="00C26A65">
        <w:t xml:space="preserve"> </w:t>
      </w:r>
      <w:r w:rsidR="007D76E1">
        <w:t>is</w:t>
      </w:r>
      <w:r w:rsidRPr="00C26A65">
        <w:t xml:space="preserve"> integrated into the design and implementation of the </w:t>
      </w:r>
      <w:r w:rsidR="00E60CC0">
        <w:t>project</w:t>
      </w:r>
      <w:r w:rsidR="0030012D">
        <w:t>. It must</w:t>
      </w:r>
      <w:r w:rsidRPr="00C26A65">
        <w:t xml:space="preserve"> have a level of detail proportional to the complexity of the nature and scale of the proposed </w:t>
      </w:r>
      <w:r w:rsidR="00E60CC0">
        <w:t>project</w:t>
      </w:r>
      <w:r w:rsidRPr="00C26A65">
        <w:t xml:space="preserve"> and its potential impacts on </w:t>
      </w:r>
      <w:r w:rsidR="005B6D12">
        <w:t>i</w:t>
      </w:r>
      <w:r>
        <w:t xml:space="preserve">ndigenous </w:t>
      </w:r>
      <w:r w:rsidR="005B6D12">
        <w:t>p</w:t>
      </w:r>
      <w:r>
        <w:t>eoples</w:t>
      </w:r>
      <w:r w:rsidR="005B6D12">
        <w:t xml:space="preserve"> and </w:t>
      </w:r>
      <w:r w:rsidRPr="00C26A65">
        <w:t xml:space="preserve">their lands, </w:t>
      </w:r>
      <w:r w:rsidR="00F30C80">
        <w:t xml:space="preserve">territories, </w:t>
      </w:r>
      <w:r w:rsidRPr="00C26A65">
        <w:t>resources</w:t>
      </w:r>
      <w:r w:rsidR="00F30C80">
        <w:t xml:space="preserve">, traditional </w:t>
      </w:r>
      <w:r w:rsidR="00F30C80" w:rsidRPr="005C760D">
        <w:t>livelihoods</w:t>
      </w:r>
      <w:r w:rsidR="00F30C80">
        <w:t>, and</w:t>
      </w:r>
      <w:r w:rsidR="0026588D">
        <w:t>/or</w:t>
      </w:r>
      <w:r w:rsidR="00F30C80">
        <w:t xml:space="preserve"> cultural heritage</w:t>
      </w:r>
      <w:r w:rsidRPr="00A735EC">
        <w:t>.</w:t>
      </w:r>
      <w:r w:rsidR="00122057" w:rsidRPr="00A735EC">
        <w:t xml:space="preserve"> </w:t>
      </w:r>
      <w:r w:rsidR="00F30C80" w:rsidRPr="005C760D">
        <w:t xml:space="preserve">The </w:t>
      </w:r>
      <w:r w:rsidR="00F30C80">
        <w:t>IPP</w:t>
      </w:r>
      <w:r w:rsidR="00F30C80" w:rsidRPr="005C760D">
        <w:t xml:space="preserve"> </w:t>
      </w:r>
      <w:r w:rsidR="007D76E1">
        <w:t>identifies</w:t>
      </w:r>
      <w:r w:rsidR="00F30C80" w:rsidRPr="005C760D">
        <w:t xml:space="preserve"> potential risks and impacts, risk avoidance and mitigation measures, and specif</w:t>
      </w:r>
      <w:r w:rsidR="007D76E1">
        <w:t>ies</w:t>
      </w:r>
      <w:r w:rsidR="00F30C80" w:rsidRPr="005C760D">
        <w:t xml:space="preserve"> measures for provision of culturally appropriate benefits, continued consultation and</w:t>
      </w:r>
      <w:r w:rsidR="00F30C80">
        <w:t xml:space="preserve"> participation processes</w:t>
      </w:r>
      <w:r w:rsidR="00F30C80" w:rsidRPr="005C760D">
        <w:t>, grievance procedures, monitoring and evaluation procedures, and a budget and financial plan for implementing agreed measures.</w:t>
      </w:r>
      <w:r w:rsidR="00F30C80">
        <w:t xml:space="preserve"> Where programming activities are designed solely to benefit indigenous peoples, a separate action plan may not be required</w:t>
      </w:r>
      <w:r w:rsidR="0026588D">
        <w:t>,</w:t>
      </w:r>
      <w:r w:rsidR="00F30C80">
        <w:t xml:space="preserve"> provided</w:t>
      </w:r>
      <w:r w:rsidR="0026588D">
        <w:t xml:space="preserve"> that</w:t>
      </w:r>
      <w:r w:rsidR="00F30C80">
        <w:t xml:space="preserve"> programming documentation addresses the above elements. </w:t>
      </w:r>
      <w:r w:rsidR="00DA45A3">
        <w:t>I</w:t>
      </w:r>
      <w:r w:rsidR="00147EC2">
        <w:t>n</w:t>
      </w:r>
      <w:r w:rsidR="00122057" w:rsidRPr="00A735EC">
        <w:t xml:space="preserve"> no case shall </w:t>
      </w:r>
      <w:r w:rsidR="00E60CC0">
        <w:t>project</w:t>
      </w:r>
      <w:r w:rsidR="00122057" w:rsidRPr="00A735EC">
        <w:t xml:space="preserve"> activities that may adversely affect </w:t>
      </w:r>
      <w:r w:rsidR="005B6D12">
        <w:t>i</w:t>
      </w:r>
      <w:r w:rsidR="001D3EE8">
        <w:t xml:space="preserve">ndigenous </w:t>
      </w:r>
      <w:r w:rsidR="005B6D12">
        <w:t>p</w:t>
      </w:r>
      <w:r w:rsidR="001D3EE8">
        <w:t>eoples, including the</w:t>
      </w:r>
      <w:r w:rsidR="001D3EE8" w:rsidRPr="00A735EC">
        <w:t xml:space="preserve"> </w:t>
      </w:r>
      <w:r w:rsidR="00122057" w:rsidRPr="00A735EC">
        <w:t xml:space="preserve">existence, value, use or enjoyment of </w:t>
      </w:r>
      <w:r w:rsidR="001D3EE8">
        <w:t>t</w:t>
      </w:r>
      <w:r w:rsidR="00DA45A3">
        <w:t>h</w:t>
      </w:r>
      <w:r w:rsidR="001D3EE8">
        <w:t>eir</w:t>
      </w:r>
      <w:r w:rsidR="001D3EE8" w:rsidRPr="00A735EC">
        <w:t xml:space="preserve"> </w:t>
      </w:r>
      <w:r w:rsidR="00122057" w:rsidRPr="00A735EC">
        <w:t>lands, resources or territories take place before the action plan is carried out.</w:t>
      </w:r>
    </w:p>
    <w:p w14:paraId="6B43E28F" w14:textId="084384DB" w:rsidR="008F2758" w:rsidRPr="0096377B" w:rsidRDefault="008F2758" w:rsidP="00AC7F5D">
      <w:pPr>
        <w:pStyle w:val="SEQSbodynumbered"/>
        <w:rPr>
          <w:rFonts w:ascii="Times New Roman" w:hAnsi="Times New Roman"/>
          <w:sz w:val="24"/>
        </w:rPr>
      </w:pPr>
      <w:r w:rsidRPr="0096377B">
        <w:rPr>
          <w:b/>
        </w:rPr>
        <w:t>Monitoring</w:t>
      </w:r>
      <w:r w:rsidRPr="003456A8">
        <w:rPr>
          <w:b/>
        </w:rPr>
        <w:t xml:space="preserve">: </w:t>
      </w:r>
      <w:r w:rsidRPr="0096377B">
        <w:t xml:space="preserve">With </w:t>
      </w:r>
      <w:r w:rsidR="005B6D12">
        <w:t xml:space="preserve">the </w:t>
      </w:r>
      <w:r w:rsidRPr="0096377B">
        <w:t xml:space="preserve">meaningful collaboration and contributions of </w:t>
      </w:r>
      <w:r w:rsidR="005B6D12">
        <w:t>i</w:t>
      </w:r>
      <w:r w:rsidRPr="0096377B">
        <w:t xml:space="preserve">ndigenous </w:t>
      </w:r>
      <w:r w:rsidR="005B6D12">
        <w:t>p</w:t>
      </w:r>
      <w:r w:rsidRPr="0096377B">
        <w:t xml:space="preserve">eoples, methods </w:t>
      </w:r>
      <w:r w:rsidR="007D76E1">
        <w:t>are</w:t>
      </w:r>
      <w:r w:rsidRPr="0096377B">
        <w:t xml:space="preserve"> developed and implemented for verifying </w:t>
      </w:r>
      <w:r w:rsidR="00A401C0">
        <w:t xml:space="preserve">and reporting </w:t>
      </w:r>
      <w:r w:rsidRPr="0096377B">
        <w:t xml:space="preserve">that the </w:t>
      </w:r>
      <w:r w:rsidR="00E60CC0">
        <w:t>project</w:t>
      </w:r>
      <w:r w:rsidRPr="0096377B">
        <w:t xml:space="preserve"> has been designed and implemented </w:t>
      </w:r>
      <w:r w:rsidR="00117C29">
        <w:t xml:space="preserve">in a manner </w:t>
      </w:r>
      <w:r w:rsidRPr="0096377B">
        <w:t xml:space="preserve">consistent with this </w:t>
      </w:r>
      <w:r w:rsidR="00F01864">
        <w:t>Standard</w:t>
      </w:r>
      <w:r w:rsidRPr="0096377B">
        <w:t xml:space="preserve">. Transparent participatory monitoring arrangements </w:t>
      </w:r>
      <w:r w:rsidR="007D76E1">
        <w:t>are</w:t>
      </w:r>
      <w:r w:rsidRPr="0096377B">
        <w:t xml:space="preserve"> put in place where</w:t>
      </w:r>
      <w:r w:rsidR="00117C29">
        <w:t>in</w:t>
      </w:r>
      <w:r w:rsidRPr="0096377B">
        <w:t xml:space="preserve"> </w:t>
      </w:r>
      <w:r w:rsidR="00117C29">
        <w:t>i</w:t>
      </w:r>
      <w:r w:rsidRPr="0096377B">
        <w:t xml:space="preserve">ndigenous </w:t>
      </w:r>
      <w:r w:rsidR="00117C29">
        <w:t>p</w:t>
      </w:r>
      <w:r w:rsidRPr="0096377B">
        <w:t xml:space="preserve">eoples will jointly monitor </w:t>
      </w:r>
      <w:r w:rsidR="00E60CC0">
        <w:t>project</w:t>
      </w:r>
      <w:r w:rsidRPr="0096377B">
        <w:t xml:space="preserve"> implementation with the </w:t>
      </w:r>
      <w:r w:rsidR="00F712FA">
        <w:t>i</w:t>
      </w:r>
      <w:r w:rsidR="00E340FD">
        <w:t>mplementing</w:t>
      </w:r>
      <w:r w:rsidRPr="0096377B">
        <w:t xml:space="preserve"> </w:t>
      </w:r>
      <w:r w:rsidR="00F712FA">
        <w:t>p</w:t>
      </w:r>
      <w:r w:rsidRPr="0096377B">
        <w:t xml:space="preserve">artner. </w:t>
      </w:r>
    </w:p>
    <w:p w14:paraId="26577C3D" w14:textId="77777777" w:rsidR="00FD7E41" w:rsidRDefault="00FD7E41" w:rsidP="00BA3A5F">
      <w:pPr>
        <w:spacing w:after="120" w:line="264" w:lineRule="auto"/>
        <w:rPr>
          <w:szCs w:val="20"/>
        </w:rPr>
      </w:pPr>
    </w:p>
    <w:p w14:paraId="05460668" w14:textId="77777777" w:rsidR="00E06E2E" w:rsidRDefault="00E06E2E" w:rsidP="00E12A29">
      <w:pPr>
        <w:jc w:val="center"/>
        <w:rPr>
          <w:szCs w:val="20"/>
        </w:rPr>
        <w:sectPr w:rsidR="00E06E2E" w:rsidSect="00722C83">
          <w:pgSz w:w="12240" w:h="15840"/>
          <w:pgMar w:top="1440" w:right="1800" w:bottom="1440" w:left="1800" w:header="720" w:footer="720" w:gutter="0"/>
          <w:cols w:space="720"/>
        </w:sectPr>
      </w:pPr>
    </w:p>
    <w:p w14:paraId="6A7079E1" w14:textId="77777777" w:rsidR="009077FC" w:rsidRPr="009077FC" w:rsidRDefault="009077FC" w:rsidP="009077FC">
      <w:pPr>
        <w:pStyle w:val="Heading2"/>
      </w:pPr>
      <w:bookmarkStart w:id="18" w:name="_Toc505078341"/>
      <w:bookmarkStart w:id="19" w:name="_Toc508199539"/>
      <w:bookmarkStart w:id="20" w:name="_Toc2432555"/>
      <w:bookmarkStart w:id="21" w:name="_Toc14683705"/>
      <w:r w:rsidRPr="003224EC">
        <w:lastRenderedPageBreak/>
        <w:t xml:space="preserve">Standard 7: </w:t>
      </w:r>
      <w:proofErr w:type="spellStart"/>
      <w:r w:rsidRPr="003224EC">
        <w:t>Labour</w:t>
      </w:r>
      <w:proofErr w:type="spellEnd"/>
      <w:r w:rsidRPr="003224EC">
        <w:t xml:space="preserve"> and Working Conditions</w:t>
      </w:r>
      <w:bookmarkEnd w:id="18"/>
      <w:bookmarkEnd w:id="19"/>
      <w:bookmarkEnd w:id="20"/>
      <w:bookmarkEnd w:id="21"/>
      <w:r w:rsidR="002F333A" w:rsidRPr="003224EC">
        <w:t xml:space="preserve"> </w:t>
      </w:r>
    </w:p>
    <w:p w14:paraId="78008C1E" w14:textId="77777777" w:rsidR="009077FC" w:rsidRPr="009077FC" w:rsidRDefault="009077FC" w:rsidP="008B3759">
      <w:pPr>
        <w:pStyle w:val="Heading4"/>
      </w:pPr>
      <w:r w:rsidRPr="009077FC">
        <w:t>Introduction</w:t>
      </w:r>
    </w:p>
    <w:p w14:paraId="480C63DE" w14:textId="214C8CF8" w:rsidR="009077FC" w:rsidRPr="007328CA" w:rsidRDefault="009077FC" w:rsidP="00AC7F5D">
      <w:pPr>
        <w:pStyle w:val="SEQSbodynumbered"/>
        <w:numPr>
          <w:ilvl w:val="0"/>
          <w:numId w:val="74"/>
        </w:numPr>
      </w:pPr>
      <w:r w:rsidRPr="00891C8F">
        <w:t>T</w:t>
      </w:r>
      <w:r w:rsidRPr="007328CA">
        <w:t xml:space="preserve">he pursuit of inclusive and sustainable economic growth, full and productive employment and decent work for all requires the protection of workers’ fundamental rights, their fair treatment, and the provision of safe and healthy working conditions. </w:t>
      </w:r>
      <w:r w:rsidR="005C7E99">
        <w:t>P</w:t>
      </w:r>
      <w:r w:rsidR="00E60CC0">
        <w:t>roject</w:t>
      </w:r>
      <w:r w:rsidR="0066593D" w:rsidRPr="007328CA">
        <w:t xml:space="preserve"> </w:t>
      </w:r>
      <w:r w:rsidRPr="007328CA">
        <w:t xml:space="preserve">activities </w:t>
      </w:r>
      <w:r w:rsidR="0066593D">
        <w:t xml:space="preserve">seek to </w:t>
      </w:r>
      <w:r w:rsidRPr="007328CA">
        <w:t xml:space="preserve">enhance employment promotion benefits, development outcomes and sustainability by ensuring sound worker-management relationships and cooperation in their design and implementation. The </w:t>
      </w:r>
      <w:r w:rsidR="007D76E1">
        <w:t>SES requirements</w:t>
      </w:r>
      <w:r w:rsidRPr="007328CA">
        <w:t xml:space="preserve"> have been guided by a number of international conventions and instruments, including those of the International </w:t>
      </w:r>
      <w:proofErr w:type="spellStart"/>
      <w:r w:rsidRPr="007328CA">
        <w:t>Labour</w:t>
      </w:r>
      <w:proofErr w:type="spellEnd"/>
      <w:r w:rsidRPr="007328CA">
        <w:t xml:space="preserve"> Organization (ILO) and the United Nations (UN).</w:t>
      </w:r>
      <w:r w:rsidRPr="007328CA">
        <w:rPr>
          <w:rStyle w:val="FootnoteReference"/>
        </w:rPr>
        <w:footnoteReference w:id="101"/>
      </w:r>
    </w:p>
    <w:p w14:paraId="1E6016FD" w14:textId="77777777" w:rsidR="009077FC" w:rsidRPr="009077FC" w:rsidRDefault="009077FC" w:rsidP="009077FC">
      <w:pPr>
        <w:pStyle w:val="Heading4"/>
      </w:pPr>
      <w:r w:rsidRPr="009077FC">
        <w:t>Scope of Application</w:t>
      </w:r>
    </w:p>
    <w:p w14:paraId="675EAB7E" w14:textId="58912151" w:rsidR="00FA707E" w:rsidRPr="003E3A8D" w:rsidRDefault="00571AD8" w:rsidP="00AC7F5D">
      <w:pPr>
        <w:pStyle w:val="SEQSbodynumbered"/>
      </w:pPr>
      <w:r w:rsidRPr="003E3A8D">
        <w:t>The applicability of this Standard is established during the social and environmental screening</w:t>
      </w:r>
      <w:r w:rsidR="00CC352F" w:rsidRPr="003E3A8D">
        <w:t xml:space="preserve"> and</w:t>
      </w:r>
      <w:r w:rsidRPr="003E3A8D">
        <w:t xml:space="preserve"> categorization process.</w:t>
      </w:r>
      <w:r w:rsidR="00FA707E" w:rsidRPr="003E3A8D">
        <w:t xml:space="preserve"> </w:t>
      </w:r>
      <w:r w:rsidR="00951864" w:rsidRPr="00440AF3">
        <w:t>T</w:t>
      </w:r>
      <w:r w:rsidR="002B64B5" w:rsidRPr="00440AF3">
        <w:t xml:space="preserve">he requirements of this Standard are to be applied in an appropriately-scaled manner based </w:t>
      </w:r>
      <w:r w:rsidR="00FA707E" w:rsidRPr="003E3A8D">
        <w:t>on the nature</w:t>
      </w:r>
      <w:r w:rsidR="002B64B5" w:rsidRPr="00440AF3">
        <w:t xml:space="preserve"> </w:t>
      </w:r>
      <w:r w:rsidR="00FA707E" w:rsidRPr="003E3A8D">
        <w:t xml:space="preserve">and scale of the </w:t>
      </w:r>
      <w:r w:rsidR="00E60CC0">
        <w:t>project</w:t>
      </w:r>
      <w:r w:rsidR="002B64B5" w:rsidRPr="00440AF3">
        <w:t>,</w:t>
      </w:r>
      <w:r w:rsidR="00FA707E" w:rsidRPr="003E3A8D">
        <w:t xml:space="preserve"> </w:t>
      </w:r>
      <w:r w:rsidR="002B64B5" w:rsidRPr="00440AF3">
        <w:t>its</w:t>
      </w:r>
      <w:r w:rsidR="00FA707E" w:rsidRPr="003E3A8D">
        <w:t xml:space="preserve"> specific activities</w:t>
      </w:r>
      <w:r w:rsidR="002B64B5" w:rsidRPr="00440AF3">
        <w:t xml:space="preserve">, the </w:t>
      </w:r>
      <w:r w:rsidR="00E60CC0">
        <w:t>project</w:t>
      </w:r>
      <w:r w:rsidR="002B64B5" w:rsidRPr="00440AF3">
        <w:t xml:space="preserve">’s </w:t>
      </w:r>
      <w:r w:rsidR="00FA707E" w:rsidRPr="003E3A8D">
        <w:t>associated social and environmental risks and impacts</w:t>
      </w:r>
      <w:r w:rsidR="002B64B5" w:rsidRPr="00440AF3">
        <w:t xml:space="preserve">, and the type of contractual relationships with </w:t>
      </w:r>
      <w:r w:rsidR="00E60CC0">
        <w:t>project</w:t>
      </w:r>
      <w:r w:rsidR="002B64B5" w:rsidRPr="00440AF3">
        <w:t xml:space="preserve"> workers</w:t>
      </w:r>
      <w:r w:rsidR="002D435E" w:rsidRPr="003E3A8D">
        <w:t>.</w:t>
      </w:r>
    </w:p>
    <w:p w14:paraId="35E5FAD5" w14:textId="6E71C88D" w:rsidR="002B64B5" w:rsidRPr="00E355B3" w:rsidRDefault="009077FC" w:rsidP="00FA00A6">
      <w:pPr>
        <w:pStyle w:val="SEQSbodynumbered"/>
      </w:pPr>
      <w:r w:rsidRPr="00E355B3">
        <w:t xml:space="preserve">The requirements regarding </w:t>
      </w:r>
      <w:proofErr w:type="spellStart"/>
      <w:r w:rsidRPr="00E355B3">
        <w:t>labour</w:t>
      </w:r>
      <w:proofErr w:type="spellEnd"/>
      <w:r w:rsidRPr="00E355B3">
        <w:t xml:space="preserve"> and working conditions apply to all </w:t>
      </w:r>
      <w:r w:rsidR="00E60CC0">
        <w:t>project</w:t>
      </w:r>
      <w:r w:rsidR="006B63F5" w:rsidRPr="00E355B3">
        <w:t xml:space="preserve"> </w:t>
      </w:r>
      <w:r w:rsidRPr="00E355B3">
        <w:t>workers</w:t>
      </w:r>
      <w:r w:rsidR="006B63F5" w:rsidRPr="00E355B3">
        <w:t xml:space="preserve">, including full-time, part-time, temporary, seasonal and migrant workers. </w:t>
      </w:r>
      <w:r w:rsidR="000A7380">
        <w:t>P</w:t>
      </w:r>
      <w:r w:rsidR="00E60CC0">
        <w:t>roject</w:t>
      </w:r>
      <w:r w:rsidR="006B63F5" w:rsidRPr="00E355B3">
        <w:t xml:space="preserve"> workers are those workers</w:t>
      </w:r>
      <w:r w:rsidRPr="00E355B3">
        <w:t xml:space="preserve"> </w:t>
      </w:r>
      <w:r w:rsidR="00F40BD4" w:rsidRPr="00E355B3">
        <w:t xml:space="preserve">who work on a </w:t>
      </w:r>
      <w:r w:rsidR="00E60CC0">
        <w:t>project</w:t>
      </w:r>
      <w:r w:rsidR="00F40BD4" w:rsidRPr="00E355B3">
        <w:t xml:space="preserve"> site or</w:t>
      </w:r>
      <w:r w:rsidR="00FB5B93" w:rsidRPr="00E355B3">
        <w:t xml:space="preserve"> </w:t>
      </w:r>
      <w:r w:rsidRPr="00E355B3">
        <w:t>perform work related to the core functions</w:t>
      </w:r>
      <w:r w:rsidRPr="00E355B3">
        <w:rPr>
          <w:rStyle w:val="FootnoteReference"/>
        </w:rPr>
        <w:footnoteReference w:id="102"/>
      </w:r>
      <w:r w:rsidRPr="00E355B3">
        <w:t xml:space="preserve"> of the </w:t>
      </w:r>
      <w:r w:rsidR="00E60CC0">
        <w:t>project</w:t>
      </w:r>
      <w:r w:rsidRPr="00E355B3">
        <w:t xml:space="preserve"> regardless of location</w:t>
      </w:r>
      <w:r w:rsidR="00FB5B93" w:rsidRPr="00E355B3">
        <w:t>, including those workers employed or engaged by third parties</w:t>
      </w:r>
      <w:r w:rsidR="00FB5B93" w:rsidRPr="00E355B3">
        <w:rPr>
          <w:rStyle w:val="FootnoteReference"/>
        </w:rPr>
        <w:footnoteReference w:id="103"/>
      </w:r>
      <w:r w:rsidR="00FB5B93" w:rsidRPr="00E355B3">
        <w:t xml:space="preserve"> (see paragraphs 29</w:t>
      </w:r>
      <w:r w:rsidR="00E355B3" w:rsidRPr="00440AF3">
        <w:t>-31</w:t>
      </w:r>
      <w:r w:rsidR="00FB5B93" w:rsidRPr="00E355B3">
        <w:t xml:space="preserve">) and the </w:t>
      </w:r>
      <w:r w:rsidR="00E60CC0">
        <w:t>project</w:t>
      </w:r>
      <w:r w:rsidR="00FB5B93" w:rsidRPr="00E355B3">
        <w:t>’s</w:t>
      </w:r>
      <w:r w:rsidRPr="00E355B3">
        <w:t xml:space="preserve"> primary suppliers</w:t>
      </w:r>
      <w:r w:rsidRPr="00E355B3">
        <w:rPr>
          <w:rStyle w:val="FootnoteReference"/>
        </w:rPr>
        <w:footnoteReference w:id="104"/>
      </w:r>
      <w:r w:rsidRPr="00E355B3">
        <w:t xml:space="preserve"> </w:t>
      </w:r>
      <w:r w:rsidR="00FB5B93" w:rsidRPr="00E355B3">
        <w:t>(see paragraphs 3</w:t>
      </w:r>
      <w:r w:rsidR="00E355B3" w:rsidRPr="00440AF3">
        <w:t>2-34</w:t>
      </w:r>
      <w:r w:rsidR="00FB5B93" w:rsidRPr="00E355B3">
        <w:t xml:space="preserve">). </w:t>
      </w:r>
    </w:p>
    <w:p w14:paraId="52D49319" w14:textId="54FBE1D1" w:rsidR="009077FC" w:rsidRPr="00440AF3" w:rsidRDefault="009077FC" w:rsidP="00FA00A6">
      <w:pPr>
        <w:pStyle w:val="SEQSbodynumbered"/>
      </w:pPr>
      <w:r w:rsidRPr="00E355B3">
        <w:t xml:space="preserve">The requirements </w:t>
      </w:r>
      <w:r w:rsidR="00FB5B93" w:rsidRPr="00E355B3">
        <w:t xml:space="preserve">of this Standard </w:t>
      </w:r>
      <w:r w:rsidRPr="00E355B3">
        <w:t xml:space="preserve">are to be addressed by the party or parties responsible for implementing </w:t>
      </w:r>
      <w:r w:rsidR="006F2906" w:rsidRPr="00E355B3">
        <w:t xml:space="preserve">the relevant </w:t>
      </w:r>
      <w:r w:rsidR="00593B06" w:rsidRPr="00E355B3">
        <w:t>project activities</w:t>
      </w:r>
      <w:r w:rsidR="002B64B5" w:rsidRPr="00E355B3">
        <w:t>, including implementing partners, responsible parties, contractor</w:t>
      </w:r>
      <w:r w:rsidR="00174BBB" w:rsidRPr="00E355B3">
        <w:t>s</w:t>
      </w:r>
      <w:r w:rsidR="003E3A8D" w:rsidRPr="00E355B3">
        <w:t xml:space="preserve"> and subcontractors</w:t>
      </w:r>
      <w:r w:rsidR="00174BBB" w:rsidRPr="00E355B3">
        <w:t xml:space="preserve"> </w:t>
      </w:r>
      <w:r w:rsidR="003E3A8D" w:rsidRPr="00E355B3">
        <w:t>(</w:t>
      </w:r>
      <w:r w:rsidR="00174BBB" w:rsidRPr="00E355B3">
        <w:t xml:space="preserve">referred to as </w:t>
      </w:r>
      <w:r w:rsidR="002B64B5" w:rsidRPr="00E355B3">
        <w:t>“</w:t>
      </w:r>
      <w:r w:rsidR="00EC316A" w:rsidRPr="00E355B3">
        <w:t xml:space="preserve">applicable </w:t>
      </w:r>
      <w:r w:rsidR="002B64B5" w:rsidRPr="00E355B3">
        <w:t>parties” herein</w:t>
      </w:r>
      <w:r w:rsidR="00174BBB" w:rsidRPr="00E355B3">
        <w:t xml:space="preserve">). </w:t>
      </w:r>
    </w:p>
    <w:p w14:paraId="0C0ADFDC" w14:textId="77777777" w:rsidR="009077FC" w:rsidRPr="009077FC" w:rsidRDefault="009077FC" w:rsidP="009077FC">
      <w:pPr>
        <w:pStyle w:val="Heading4"/>
      </w:pPr>
      <w:r w:rsidRPr="009077FC">
        <w:t xml:space="preserve">Objectives </w:t>
      </w:r>
    </w:p>
    <w:p w14:paraId="183AB48B" w14:textId="3E90583D" w:rsidR="009077FC" w:rsidRDefault="009077FC" w:rsidP="00A42F72">
      <w:pPr>
        <w:pStyle w:val="listbullets1"/>
        <w:numPr>
          <w:ilvl w:val="0"/>
          <w:numId w:val="72"/>
        </w:numPr>
      </w:pPr>
      <w:r>
        <w:t>To p</w:t>
      </w:r>
      <w:r w:rsidRPr="00AE65B7">
        <w:t>romote, respect and realize</w:t>
      </w:r>
      <w:r>
        <w:t xml:space="preserve"> </w:t>
      </w:r>
      <w:r w:rsidRPr="00AE65B7">
        <w:t>fundamental principles and rights at work</w:t>
      </w:r>
      <w:r w:rsidR="00723DFD" w:rsidRPr="002A6882">
        <w:rPr>
          <w:rStyle w:val="FootnoteReference"/>
        </w:rPr>
        <w:footnoteReference w:id="105"/>
      </w:r>
      <w:r w:rsidR="00723DFD">
        <w:rPr>
          <w:rStyle w:val="FootnoteReference"/>
        </w:rPr>
        <w:t xml:space="preserve"> </w:t>
      </w:r>
      <w:r w:rsidRPr="00AE65B7">
        <w:t xml:space="preserve">through: </w:t>
      </w:r>
    </w:p>
    <w:p w14:paraId="1F2D0620" w14:textId="77777777" w:rsidR="009077FC" w:rsidRPr="00AE65B7" w:rsidRDefault="009077FC" w:rsidP="000828D8">
      <w:pPr>
        <w:pStyle w:val="listbullets1"/>
        <w:numPr>
          <w:ilvl w:val="1"/>
          <w:numId w:val="72"/>
        </w:numPr>
      </w:pPr>
      <w:r w:rsidRPr="00AE65B7">
        <w:lastRenderedPageBreak/>
        <w:t xml:space="preserve">Supporting freedom of association and the </w:t>
      </w:r>
      <w:r w:rsidRPr="005E68CC">
        <w:t>effective recognition of the</w:t>
      </w:r>
      <w:r>
        <w:t xml:space="preserve"> </w:t>
      </w:r>
      <w:r w:rsidRPr="00AE65B7">
        <w:t>right to collective bargaining</w:t>
      </w:r>
      <w:r>
        <w:t>;</w:t>
      </w:r>
    </w:p>
    <w:p w14:paraId="1D50B3FF" w14:textId="77777777" w:rsidR="009077FC" w:rsidRPr="00AE65B7" w:rsidRDefault="009077FC" w:rsidP="000828D8">
      <w:pPr>
        <w:pStyle w:val="listbullets1"/>
        <w:numPr>
          <w:ilvl w:val="1"/>
          <w:numId w:val="72"/>
        </w:numPr>
      </w:pPr>
      <w:r w:rsidRPr="00AE65B7">
        <w:t xml:space="preserve">Preventing the use of child </w:t>
      </w:r>
      <w:proofErr w:type="spellStart"/>
      <w:r w:rsidRPr="00AE65B7">
        <w:t>labour</w:t>
      </w:r>
      <w:proofErr w:type="spellEnd"/>
      <w:r w:rsidRPr="00AE65B7">
        <w:t xml:space="preserve"> and forced </w:t>
      </w:r>
      <w:proofErr w:type="spellStart"/>
      <w:r w:rsidRPr="00AE65B7">
        <w:t>labour</w:t>
      </w:r>
      <w:proofErr w:type="spellEnd"/>
      <w:r>
        <w:t>;</w:t>
      </w:r>
    </w:p>
    <w:p w14:paraId="3C160438" w14:textId="77777777" w:rsidR="009077FC" w:rsidRPr="00AE65B7" w:rsidRDefault="009077FC" w:rsidP="000828D8">
      <w:pPr>
        <w:pStyle w:val="listbullets1"/>
        <w:numPr>
          <w:ilvl w:val="1"/>
          <w:numId w:val="72"/>
        </w:numPr>
      </w:pPr>
      <w:r w:rsidRPr="00AE65B7">
        <w:t>Preventing discrimination and promoting equal opportunity of workers</w:t>
      </w:r>
      <w:r>
        <w:t>;</w:t>
      </w:r>
    </w:p>
    <w:p w14:paraId="33ACB63B" w14:textId="77777777" w:rsidR="009077FC" w:rsidRPr="00AE65B7" w:rsidRDefault="009077FC" w:rsidP="00A42F72">
      <w:pPr>
        <w:pStyle w:val="listbullets1"/>
        <w:numPr>
          <w:ilvl w:val="0"/>
          <w:numId w:val="72"/>
        </w:numPr>
      </w:pPr>
      <w:r>
        <w:t>To p</w:t>
      </w:r>
      <w:r w:rsidRPr="00AE65B7">
        <w:t>rotect and promote the safety and health of workers</w:t>
      </w:r>
      <w:r>
        <w:t>;</w:t>
      </w:r>
    </w:p>
    <w:p w14:paraId="03D7BFC4" w14:textId="61CABF0E" w:rsidR="009077FC" w:rsidRPr="00AE65B7" w:rsidRDefault="009077FC" w:rsidP="00A42F72">
      <w:pPr>
        <w:pStyle w:val="listbullets1"/>
        <w:numPr>
          <w:ilvl w:val="0"/>
          <w:numId w:val="72"/>
        </w:numPr>
      </w:pPr>
      <w:r>
        <w:t>To e</w:t>
      </w:r>
      <w:r w:rsidRPr="00AE65B7">
        <w:t xml:space="preserve">nsure </w:t>
      </w:r>
      <w:r w:rsidR="00EC316A">
        <w:t xml:space="preserve">applicable </w:t>
      </w:r>
      <w:r w:rsidR="004540B3">
        <w:t>parties</w:t>
      </w:r>
      <w:r w:rsidRPr="00AE65B7">
        <w:t xml:space="preserve"> comply with employment and </w:t>
      </w:r>
      <w:proofErr w:type="spellStart"/>
      <w:r w:rsidRPr="00AE65B7">
        <w:t>labour</w:t>
      </w:r>
      <w:proofErr w:type="spellEnd"/>
      <w:r w:rsidRPr="00AE65B7">
        <w:t xml:space="preserve"> laws</w:t>
      </w:r>
      <w:r w:rsidR="004540B3">
        <w:t>, applicable rules and regulations</w:t>
      </w:r>
      <w:r w:rsidRPr="00AE65B7">
        <w:t xml:space="preserve"> and international commitments</w:t>
      </w:r>
      <w:r>
        <w:t>; and</w:t>
      </w:r>
    </w:p>
    <w:p w14:paraId="06E47CE0" w14:textId="77777777" w:rsidR="009077FC" w:rsidRDefault="009077FC" w:rsidP="00A42F72">
      <w:pPr>
        <w:pStyle w:val="listbullets1"/>
        <w:numPr>
          <w:ilvl w:val="0"/>
          <w:numId w:val="72"/>
        </w:numPr>
      </w:pPr>
      <w:r>
        <w:t>To l</w:t>
      </w:r>
      <w:r w:rsidRPr="00AE65B7">
        <w:t>eave no one behind by protecting and supporting workers in disadvantaged and vulnerable situations, including a special focus</w:t>
      </w:r>
      <w:r>
        <w:t>,</w:t>
      </w:r>
      <w:r w:rsidRPr="00AE65B7">
        <w:t xml:space="preserve"> as appropriate</w:t>
      </w:r>
      <w:r>
        <w:t>,</w:t>
      </w:r>
      <w:r w:rsidRPr="00AE65B7">
        <w:t xml:space="preserve"> on women workers, young workers, migrant workers and workers with disabilities.</w:t>
      </w:r>
    </w:p>
    <w:p w14:paraId="06975979" w14:textId="77777777" w:rsidR="009077FC" w:rsidRPr="002079A0" w:rsidRDefault="009077FC" w:rsidP="009077FC">
      <w:pPr>
        <w:pStyle w:val="Heading4"/>
      </w:pPr>
      <w:r w:rsidRPr="002079A0">
        <w:t>Requirements</w:t>
      </w:r>
    </w:p>
    <w:p w14:paraId="77501DFE" w14:textId="6AE4799A" w:rsidR="009077FC" w:rsidRPr="009A02C5" w:rsidRDefault="009077FC" w:rsidP="00AC7F5D">
      <w:pPr>
        <w:pStyle w:val="SEQSbodynumbered"/>
      </w:pPr>
      <w:r w:rsidRPr="009A02C5">
        <w:rPr>
          <w:b/>
        </w:rPr>
        <w:t>Terms and conditions of employment</w:t>
      </w:r>
      <w:r w:rsidR="001A1196">
        <w:rPr>
          <w:b/>
        </w:rPr>
        <w:t>:</w:t>
      </w:r>
      <w:r w:rsidRPr="009A02C5">
        <w:t xml:space="preserve"> </w:t>
      </w:r>
      <w:r w:rsidR="004540B3">
        <w:t>W</w:t>
      </w:r>
      <w:r w:rsidRPr="009A02C5">
        <w:t xml:space="preserve">ritten </w:t>
      </w:r>
      <w:proofErr w:type="spellStart"/>
      <w:r w:rsidR="00110A23">
        <w:t>lab</w:t>
      </w:r>
      <w:r w:rsidR="0066593D">
        <w:t>our</w:t>
      </w:r>
      <w:proofErr w:type="spellEnd"/>
      <w:r w:rsidR="0066593D">
        <w:t xml:space="preserve"> </w:t>
      </w:r>
      <w:r w:rsidRPr="009A02C5">
        <w:t xml:space="preserve">management </w:t>
      </w:r>
      <w:r w:rsidR="0066593D">
        <w:t>procedures</w:t>
      </w:r>
      <w:r w:rsidR="0066593D" w:rsidRPr="009A02C5">
        <w:t xml:space="preserve"> </w:t>
      </w:r>
      <w:r>
        <w:t>are</w:t>
      </w:r>
      <w:r w:rsidR="004540B3">
        <w:t xml:space="preserve"> established</w:t>
      </w:r>
      <w:r w:rsidR="00F23234">
        <w:rPr>
          <w:rStyle w:val="FootnoteReference"/>
        </w:rPr>
        <w:footnoteReference w:id="106"/>
      </w:r>
      <w:r>
        <w:t xml:space="preserve"> </w:t>
      </w:r>
      <w:r w:rsidR="004540B3">
        <w:t xml:space="preserve">that </w:t>
      </w:r>
      <w:r w:rsidRPr="009A02C5">
        <w:t xml:space="preserve">set out the conditions in which </w:t>
      </w:r>
      <w:r w:rsidR="00E60CC0">
        <w:t>project</w:t>
      </w:r>
      <w:r w:rsidRPr="009A02C5">
        <w:t xml:space="preserve"> workers will be employed or engaged and managed, in accordance with the </w:t>
      </w:r>
      <w:r>
        <w:t>requirements</w:t>
      </w:r>
      <w:r w:rsidRPr="009A02C5">
        <w:t xml:space="preserve"> </w:t>
      </w:r>
      <w:r>
        <w:t>herein</w:t>
      </w:r>
      <w:r w:rsidRPr="009A02C5">
        <w:t xml:space="preserve"> and </w:t>
      </w:r>
      <w:r w:rsidR="00C01879" w:rsidRPr="00C01879">
        <w:t xml:space="preserve">applicable </w:t>
      </w:r>
      <w:proofErr w:type="spellStart"/>
      <w:r w:rsidR="00C01879" w:rsidRPr="00C01879">
        <w:t>labour</w:t>
      </w:r>
      <w:proofErr w:type="spellEnd"/>
      <w:r w:rsidR="00C01879" w:rsidRPr="00C01879">
        <w:t xml:space="preserve"> laws, rules and regulations</w:t>
      </w:r>
      <w:r>
        <w:t>.</w:t>
      </w:r>
      <w:r>
        <w:rPr>
          <w:rStyle w:val="FootnoteReference"/>
        </w:rPr>
        <w:footnoteReference w:id="107"/>
      </w:r>
      <w:r>
        <w:t xml:space="preserve"> </w:t>
      </w:r>
      <w:r w:rsidRPr="009A02C5">
        <w:rPr>
          <w:rStyle w:val="FootnoteReference"/>
        </w:rPr>
        <w:footnoteReference w:id="108"/>
      </w:r>
      <w:r w:rsidRPr="009A02C5">
        <w:t xml:space="preserve"> The </w:t>
      </w:r>
      <w:r w:rsidR="0066593D">
        <w:t>procedures</w:t>
      </w:r>
      <w:r w:rsidRPr="009A02C5">
        <w:t xml:space="preserve"> </w:t>
      </w:r>
      <w:r w:rsidR="00511946">
        <w:t>are</w:t>
      </w:r>
      <w:r>
        <w:t xml:space="preserve"> </w:t>
      </w:r>
      <w:r w:rsidRPr="009A02C5">
        <w:t xml:space="preserve">appropriate to </w:t>
      </w:r>
      <w:r>
        <w:t xml:space="preserve">the </w:t>
      </w:r>
      <w:r w:rsidRPr="009A02C5">
        <w:t>size, locations and workforce</w:t>
      </w:r>
      <w:r>
        <w:t xml:space="preserve"> of </w:t>
      </w:r>
      <w:r w:rsidR="00E60CC0">
        <w:t>project</w:t>
      </w:r>
      <w:r>
        <w:t xml:space="preserve"> activities. </w:t>
      </w:r>
    </w:p>
    <w:p w14:paraId="579B8B77" w14:textId="6D074655" w:rsidR="009077FC" w:rsidRDefault="005C7E99" w:rsidP="00AC7F5D">
      <w:pPr>
        <w:pStyle w:val="SEQSbodynumbered"/>
      </w:pPr>
      <w:r>
        <w:t>P</w:t>
      </w:r>
      <w:r w:rsidR="00E60CC0">
        <w:t>roject</w:t>
      </w:r>
      <w:r w:rsidR="009077FC">
        <w:t xml:space="preserve"> workers</w:t>
      </w:r>
      <w:r w:rsidR="009077FC" w:rsidRPr="00A23CA5">
        <w:t xml:space="preserve"> </w:t>
      </w:r>
      <w:r w:rsidR="0066593D">
        <w:t xml:space="preserve">are provided </w:t>
      </w:r>
      <w:r w:rsidR="009077FC" w:rsidRPr="00A23CA5">
        <w:t xml:space="preserve">information and documentation that is clear and </w:t>
      </w:r>
      <w:r w:rsidR="009077FC" w:rsidRPr="006D020A">
        <w:t>understandable regarding their terms and conditions of employment</w:t>
      </w:r>
      <w:r w:rsidR="009077FC">
        <w:t xml:space="preserve">, including information that </w:t>
      </w:r>
      <w:r w:rsidR="009077FC" w:rsidRPr="006D020A">
        <w:t>set</w:t>
      </w:r>
      <w:r w:rsidR="009077FC">
        <w:t>s</w:t>
      </w:r>
      <w:r w:rsidR="009077FC" w:rsidRPr="006D020A">
        <w:t xml:space="preserve"> out their rights under</w:t>
      </w:r>
      <w:r w:rsidR="00C01879" w:rsidRPr="00C01879">
        <w:rPr>
          <w:rFonts w:asciiTheme="minorHAnsi" w:eastAsiaTheme="minorHAnsi" w:hAnsiTheme="minorHAnsi" w:cs="Arial"/>
          <w:bCs w:val="0"/>
          <w:sz w:val="18"/>
          <w:szCs w:val="18"/>
          <w:lang w:eastAsia="en-US"/>
        </w:rPr>
        <w:t xml:space="preserve"> </w:t>
      </w:r>
      <w:r w:rsidR="00C01879" w:rsidRPr="00C01879">
        <w:t xml:space="preserve">applicable </w:t>
      </w:r>
      <w:proofErr w:type="spellStart"/>
      <w:r w:rsidR="00C01879" w:rsidRPr="00C01879">
        <w:t>labour</w:t>
      </w:r>
      <w:proofErr w:type="spellEnd"/>
      <w:r w:rsidR="00C01879" w:rsidRPr="00C01879">
        <w:t xml:space="preserve"> laws, rules and regulations</w:t>
      </w:r>
      <w:r w:rsidR="009077FC">
        <w:t xml:space="preserve"> (</w:t>
      </w:r>
      <w:r w:rsidR="009077FC" w:rsidRPr="006D020A">
        <w:t>including any applicable collective agreements</w:t>
      </w:r>
      <w:r w:rsidR="009077FC">
        <w:t>)</w:t>
      </w:r>
      <w:r w:rsidR="009077FC" w:rsidRPr="006D020A">
        <w:t>, and their rights related to hours of work, wages, overtime</w:t>
      </w:r>
      <w:r w:rsidR="009077FC" w:rsidRPr="00A23CA5">
        <w:t>, compensation and benefits</w:t>
      </w:r>
      <w:r w:rsidR="009077FC" w:rsidRPr="006D020A">
        <w:t>, occupational safety and health</w:t>
      </w:r>
      <w:r w:rsidR="009077FC">
        <w:t xml:space="preserve"> </w:t>
      </w:r>
      <w:r w:rsidR="009077FC" w:rsidRPr="00A23CA5">
        <w:t>a</w:t>
      </w:r>
      <w:r w:rsidR="009077FC">
        <w:t xml:space="preserve">nd </w:t>
      </w:r>
      <w:r w:rsidR="009077FC" w:rsidRPr="00A23CA5">
        <w:t xml:space="preserve">the requirements </w:t>
      </w:r>
      <w:r w:rsidR="009077FC">
        <w:t>herein</w:t>
      </w:r>
      <w:r w:rsidR="009077FC" w:rsidRPr="00A23CA5">
        <w:t>.</w:t>
      </w:r>
      <w:r w:rsidR="009077FC">
        <w:rPr>
          <w:rStyle w:val="FootnoteReference"/>
        </w:rPr>
        <w:footnoteReference w:id="109"/>
      </w:r>
      <w:r w:rsidR="009077FC" w:rsidRPr="00A23CA5">
        <w:t xml:space="preserve"> This information and documentation </w:t>
      </w:r>
      <w:r w:rsidR="00511946">
        <w:t>is</w:t>
      </w:r>
      <w:r w:rsidR="009077FC" w:rsidRPr="00A23CA5">
        <w:t xml:space="preserve"> provided at the beginning of the working relationship and when any material changes to the terms or conditions of employment </w:t>
      </w:r>
      <w:r w:rsidR="009077FC">
        <w:t xml:space="preserve">or engagement </w:t>
      </w:r>
      <w:r w:rsidR="009077FC" w:rsidRPr="00A23CA5">
        <w:t xml:space="preserve">occur. </w:t>
      </w:r>
    </w:p>
    <w:p w14:paraId="0542272E" w14:textId="01A72F13" w:rsidR="009077FC" w:rsidRPr="009077FC" w:rsidRDefault="005C7E99" w:rsidP="007834FA">
      <w:pPr>
        <w:pStyle w:val="SEQSbodynumbered"/>
        <w:rPr>
          <w:lang w:val="en-GB" w:eastAsia="zh-CN"/>
        </w:rPr>
      </w:pPr>
      <w:r>
        <w:rPr>
          <w:lang w:val="en-GB" w:eastAsia="zh-CN"/>
        </w:rPr>
        <w:t>P</w:t>
      </w:r>
      <w:r w:rsidR="00E60CC0">
        <w:rPr>
          <w:rFonts w:hint="eastAsia"/>
          <w:lang w:val="en-GB" w:eastAsia="zh-CN"/>
        </w:rPr>
        <w:t>roject</w:t>
      </w:r>
      <w:r w:rsidR="009077FC" w:rsidRPr="009077FC">
        <w:rPr>
          <w:rFonts w:hint="eastAsia"/>
          <w:lang w:val="en-GB" w:eastAsia="zh-CN"/>
        </w:rPr>
        <w:t xml:space="preserve"> workers </w:t>
      </w:r>
      <w:r w:rsidR="0066593D">
        <w:rPr>
          <w:lang w:val="en-GB" w:eastAsia="zh-CN"/>
        </w:rPr>
        <w:t xml:space="preserve">are </w:t>
      </w:r>
      <w:r w:rsidR="009077FC" w:rsidRPr="009077FC">
        <w:rPr>
          <w:rFonts w:hint="eastAsia"/>
          <w:lang w:val="en-GB" w:eastAsia="zh-CN"/>
        </w:rPr>
        <w:t>paid on a regular basis as required by</w:t>
      </w:r>
      <w:r w:rsidR="00C01879">
        <w:rPr>
          <w:lang w:val="en-GB" w:eastAsia="zh-CN"/>
        </w:rPr>
        <w:t xml:space="preserve"> applicable</w:t>
      </w:r>
      <w:r w:rsidR="0066593D">
        <w:rPr>
          <w:lang w:val="en-GB" w:eastAsia="zh-CN"/>
        </w:rPr>
        <w:t xml:space="preserve"> labour </w:t>
      </w:r>
      <w:r w:rsidR="00C01879" w:rsidRPr="00C01879">
        <w:rPr>
          <w:lang w:eastAsia="zh-CN"/>
        </w:rPr>
        <w:t>laws, rules and regulations</w:t>
      </w:r>
      <w:r w:rsidR="009077FC" w:rsidRPr="009077FC">
        <w:rPr>
          <w:lang w:val="en-GB" w:eastAsia="zh-CN"/>
        </w:rPr>
        <w:t>.</w:t>
      </w:r>
      <w:r w:rsidR="009077FC" w:rsidRPr="009077FC">
        <w:rPr>
          <w:rStyle w:val="FootnoteReference"/>
          <w:lang w:val="en-GB" w:eastAsia="zh-CN"/>
        </w:rPr>
        <w:footnoteReference w:id="110"/>
      </w:r>
      <w:r w:rsidR="009077FC" w:rsidRPr="009077FC">
        <w:rPr>
          <w:rFonts w:hint="eastAsia"/>
          <w:lang w:val="en-GB" w:eastAsia="zh-CN"/>
        </w:rPr>
        <w:t xml:space="preserve"> Deductions from payment of wages </w:t>
      </w:r>
      <w:r w:rsidR="00511946">
        <w:rPr>
          <w:lang w:val="en-GB" w:eastAsia="zh-CN"/>
        </w:rPr>
        <w:t>are only</w:t>
      </w:r>
      <w:r w:rsidR="009077FC" w:rsidRPr="009077FC">
        <w:rPr>
          <w:rFonts w:hint="eastAsia"/>
          <w:lang w:val="en-GB" w:eastAsia="zh-CN"/>
        </w:rPr>
        <w:t xml:space="preserve"> made as allowed by</w:t>
      </w:r>
      <w:r w:rsidR="009077FC" w:rsidRPr="009077FC">
        <w:rPr>
          <w:lang w:val="en-GB" w:eastAsia="zh-CN"/>
        </w:rPr>
        <w:t xml:space="preserve"> human resources management policies and </w:t>
      </w:r>
      <w:r w:rsidR="00C01879" w:rsidRPr="00C01879">
        <w:rPr>
          <w:lang w:eastAsia="zh-CN"/>
        </w:rPr>
        <w:t xml:space="preserve">applicable </w:t>
      </w:r>
      <w:proofErr w:type="spellStart"/>
      <w:r w:rsidR="00C01879" w:rsidRPr="00C01879">
        <w:rPr>
          <w:lang w:eastAsia="zh-CN"/>
        </w:rPr>
        <w:t>labour</w:t>
      </w:r>
      <w:proofErr w:type="spellEnd"/>
      <w:r w:rsidR="00C01879" w:rsidRPr="00C01879">
        <w:rPr>
          <w:lang w:eastAsia="zh-CN"/>
        </w:rPr>
        <w:t xml:space="preserve"> laws, rules and regulations</w:t>
      </w:r>
      <w:r w:rsidR="00C01879">
        <w:rPr>
          <w:lang w:val="en-GB" w:eastAsia="zh-CN"/>
        </w:rPr>
        <w:t>.</w:t>
      </w:r>
      <w:r w:rsidR="009077FC" w:rsidRPr="009077FC">
        <w:rPr>
          <w:rFonts w:hint="eastAsia"/>
          <w:lang w:val="en-GB" w:eastAsia="zh-CN"/>
        </w:rPr>
        <w:t xml:space="preserve"> </w:t>
      </w:r>
      <w:r w:rsidR="00EF5E3E">
        <w:rPr>
          <w:lang w:val="en-GB" w:eastAsia="zh-CN"/>
        </w:rPr>
        <w:t>P</w:t>
      </w:r>
      <w:r w:rsidR="00E60CC0">
        <w:rPr>
          <w:lang w:val="en-GB" w:eastAsia="zh-CN"/>
        </w:rPr>
        <w:t>roject</w:t>
      </w:r>
      <w:r w:rsidR="009077FC" w:rsidRPr="009077FC">
        <w:rPr>
          <w:rFonts w:hint="eastAsia"/>
          <w:lang w:val="en-GB" w:eastAsia="zh-CN"/>
        </w:rPr>
        <w:t xml:space="preserve"> workers </w:t>
      </w:r>
      <w:r w:rsidR="00511946">
        <w:rPr>
          <w:lang w:val="en-GB" w:eastAsia="zh-CN"/>
        </w:rPr>
        <w:t>are</w:t>
      </w:r>
      <w:r w:rsidR="009077FC" w:rsidRPr="009077FC">
        <w:rPr>
          <w:rFonts w:hint="eastAsia"/>
          <w:lang w:val="en-GB" w:eastAsia="zh-CN"/>
        </w:rPr>
        <w:t xml:space="preserve"> informed of the conditions under which such deductions will be made. </w:t>
      </w:r>
      <w:r>
        <w:rPr>
          <w:lang w:val="en-GB" w:eastAsia="zh-CN"/>
        </w:rPr>
        <w:t>P</w:t>
      </w:r>
      <w:r w:rsidR="00E60CC0">
        <w:rPr>
          <w:rFonts w:hint="eastAsia"/>
          <w:lang w:val="en-GB" w:eastAsia="zh-CN"/>
        </w:rPr>
        <w:t>roject</w:t>
      </w:r>
      <w:r w:rsidR="009077FC" w:rsidRPr="009077FC">
        <w:rPr>
          <w:rFonts w:hint="eastAsia"/>
          <w:lang w:val="en-GB" w:eastAsia="zh-CN"/>
        </w:rPr>
        <w:t xml:space="preserve"> workers </w:t>
      </w:r>
      <w:r w:rsidR="00511946">
        <w:rPr>
          <w:lang w:val="en-GB" w:eastAsia="zh-CN"/>
        </w:rPr>
        <w:t>are</w:t>
      </w:r>
      <w:r w:rsidR="009077FC" w:rsidRPr="009077FC">
        <w:rPr>
          <w:rFonts w:hint="eastAsia"/>
          <w:lang w:val="en-GB" w:eastAsia="zh-CN"/>
        </w:rPr>
        <w:t xml:space="preserve"> provided with adequate periods of rest per week, annual holiday and sick, maternity and family leave, as required by </w:t>
      </w:r>
      <w:r w:rsidR="00C01879" w:rsidRPr="00C01879">
        <w:rPr>
          <w:lang w:eastAsia="zh-CN"/>
        </w:rPr>
        <w:t xml:space="preserve">applicable </w:t>
      </w:r>
      <w:proofErr w:type="spellStart"/>
      <w:r w:rsidR="00C01879" w:rsidRPr="00C01879">
        <w:rPr>
          <w:lang w:eastAsia="zh-CN"/>
        </w:rPr>
        <w:t>labour</w:t>
      </w:r>
      <w:proofErr w:type="spellEnd"/>
      <w:r w:rsidR="00C01879" w:rsidRPr="00C01879">
        <w:rPr>
          <w:lang w:eastAsia="zh-CN"/>
        </w:rPr>
        <w:t xml:space="preserve"> laws, rules and regulations</w:t>
      </w:r>
      <w:r w:rsidR="009077FC" w:rsidRPr="009077FC">
        <w:rPr>
          <w:lang w:val="en-GB" w:eastAsia="zh-CN"/>
        </w:rPr>
        <w:t>.</w:t>
      </w:r>
    </w:p>
    <w:p w14:paraId="55E5C61C" w14:textId="35B795A4" w:rsidR="009077FC" w:rsidRPr="005170C6" w:rsidRDefault="005C7E99">
      <w:pPr>
        <w:pStyle w:val="SEQSbodynumbered"/>
      </w:pPr>
      <w:r>
        <w:rPr>
          <w:lang w:val="en-GB" w:eastAsia="zh-CN"/>
        </w:rPr>
        <w:t>P</w:t>
      </w:r>
      <w:r w:rsidR="00E60CC0">
        <w:rPr>
          <w:lang w:val="en-GB" w:eastAsia="zh-CN"/>
        </w:rPr>
        <w:t>roject</w:t>
      </w:r>
      <w:r w:rsidR="009077FC" w:rsidRPr="009077FC">
        <w:rPr>
          <w:lang w:val="en-GB" w:eastAsia="zh-CN"/>
        </w:rPr>
        <w:t xml:space="preserve"> workers receive written notice of termination of employment and details of severance payments in a timely manner as required by </w:t>
      </w:r>
      <w:r w:rsidR="00C01879" w:rsidRPr="00C01879">
        <w:rPr>
          <w:lang w:eastAsia="zh-CN"/>
        </w:rPr>
        <w:t xml:space="preserve">applicable </w:t>
      </w:r>
      <w:proofErr w:type="spellStart"/>
      <w:r w:rsidR="00C01879" w:rsidRPr="00C01879">
        <w:rPr>
          <w:lang w:eastAsia="zh-CN"/>
        </w:rPr>
        <w:t>labour</w:t>
      </w:r>
      <w:proofErr w:type="spellEnd"/>
      <w:r w:rsidR="00C01879" w:rsidRPr="00C01879">
        <w:rPr>
          <w:lang w:eastAsia="zh-CN"/>
        </w:rPr>
        <w:t xml:space="preserve"> laws, rules and regulations</w:t>
      </w:r>
      <w:r w:rsidR="009077FC" w:rsidRPr="009077FC">
        <w:rPr>
          <w:lang w:val="en-GB" w:eastAsia="zh-CN"/>
        </w:rPr>
        <w:t xml:space="preserve">. All wages that have been earned, social security benefits, pension contributions and any other entitlements </w:t>
      </w:r>
      <w:r w:rsidR="00511946">
        <w:rPr>
          <w:lang w:val="en-GB" w:eastAsia="zh-CN"/>
        </w:rPr>
        <w:lastRenderedPageBreak/>
        <w:t>are</w:t>
      </w:r>
      <w:r w:rsidR="009077FC" w:rsidRPr="009077FC">
        <w:rPr>
          <w:lang w:val="en-GB" w:eastAsia="zh-CN"/>
        </w:rPr>
        <w:t xml:space="preserve"> paid, either directly to the </w:t>
      </w:r>
      <w:r w:rsidR="00E60CC0">
        <w:rPr>
          <w:lang w:val="en-GB" w:eastAsia="zh-CN"/>
        </w:rPr>
        <w:t>project</w:t>
      </w:r>
      <w:r w:rsidR="009077FC" w:rsidRPr="009077FC">
        <w:rPr>
          <w:rFonts w:hint="eastAsia"/>
          <w:lang w:val="en-GB" w:eastAsia="zh-CN"/>
        </w:rPr>
        <w:t xml:space="preserve"> workers or</w:t>
      </w:r>
      <w:r w:rsidR="009077FC" w:rsidRPr="009077FC">
        <w:rPr>
          <w:lang w:val="en-GB" w:eastAsia="zh-CN"/>
        </w:rPr>
        <w:t>,</w:t>
      </w:r>
      <w:r w:rsidR="009077FC" w:rsidRPr="009077FC">
        <w:rPr>
          <w:rFonts w:hint="eastAsia"/>
          <w:lang w:val="en-GB" w:eastAsia="zh-CN"/>
        </w:rPr>
        <w:t xml:space="preserve"> w</w:t>
      </w:r>
      <w:r w:rsidR="009077FC" w:rsidRPr="009077FC">
        <w:rPr>
          <w:lang w:val="en-GB" w:eastAsia="zh-CN"/>
        </w:rPr>
        <w:t xml:space="preserve">here appropriate, for the benefit of the </w:t>
      </w:r>
      <w:r w:rsidR="00E60CC0">
        <w:rPr>
          <w:lang w:val="en-GB" w:eastAsia="zh-CN"/>
        </w:rPr>
        <w:t>project</w:t>
      </w:r>
      <w:r w:rsidR="009077FC" w:rsidRPr="009077FC">
        <w:rPr>
          <w:lang w:val="en-GB" w:eastAsia="zh-CN"/>
        </w:rPr>
        <w:t xml:space="preserve"> workers, with evidence of such payments</w:t>
      </w:r>
      <w:r w:rsidR="009077FC" w:rsidRPr="009077FC">
        <w:rPr>
          <w:rFonts w:hint="eastAsia"/>
          <w:lang w:val="en-GB" w:eastAsia="zh-CN"/>
        </w:rPr>
        <w:t>.</w:t>
      </w:r>
      <w:r w:rsidR="009077FC">
        <w:rPr>
          <w:rFonts w:ascii="FiraSans" w:hAnsi="FiraSans"/>
        </w:rPr>
        <w:t xml:space="preserve"> </w:t>
      </w:r>
    </w:p>
    <w:p w14:paraId="6AEDF510" w14:textId="3D0D1677" w:rsidR="009077FC" w:rsidRPr="00F67675" w:rsidRDefault="009077FC">
      <w:pPr>
        <w:pStyle w:val="SEQSbodynumbered"/>
      </w:pPr>
      <w:r w:rsidRPr="009A02C5">
        <w:rPr>
          <w:b/>
        </w:rPr>
        <w:t>Non-discrimination and equal opportunity</w:t>
      </w:r>
      <w:r w:rsidR="001A1196">
        <w:t>:</w:t>
      </w:r>
      <w:r w:rsidRPr="009A02C5">
        <w:t xml:space="preserve"> Decisions relating to the employment or treatment of </w:t>
      </w:r>
      <w:r w:rsidR="00E60CC0">
        <w:t>project</w:t>
      </w:r>
      <w:r w:rsidRPr="009A02C5">
        <w:t xml:space="preserve"> workers </w:t>
      </w:r>
      <w:r w:rsidR="00511946">
        <w:t>are not</w:t>
      </w:r>
      <w:r w:rsidRPr="009A02C5">
        <w:t xml:space="preserve"> made on the basis of personal characteristics unrelated to inherent job requirements.</w:t>
      </w:r>
      <w:r w:rsidRPr="009A02C5">
        <w:rPr>
          <w:rStyle w:val="FootnoteReference"/>
        </w:rPr>
        <w:footnoteReference w:id="111"/>
      </w:r>
      <w:r w:rsidRPr="009A02C5">
        <w:t xml:space="preserve"> The employment of </w:t>
      </w:r>
      <w:r w:rsidR="00E60CC0">
        <w:t>project</w:t>
      </w:r>
      <w:r w:rsidRPr="009A02C5">
        <w:t xml:space="preserve"> workers </w:t>
      </w:r>
      <w:r w:rsidR="00511946">
        <w:t>is</w:t>
      </w:r>
      <w:r w:rsidRPr="009A02C5">
        <w:t xml:space="preserve"> based on the principle of equality of opportunity and treatment, and there </w:t>
      </w:r>
      <w:r>
        <w:t>shall</w:t>
      </w:r>
      <w:r w:rsidRPr="009A02C5">
        <w:t xml:space="preserve">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 </w:t>
      </w:r>
      <w:r w:rsidRPr="001B0888">
        <w:t xml:space="preserve">Women and men </w:t>
      </w:r>
      <w:r>
        <w:t>shall</w:t>
      </w:r>
      <w:r w:rsidRPr="001B0888">
        <w:t xml:space="preserve"> receive equal remuneration for work of equal value. </w:t>
      </w:r>
      <w:r w:rsidRPr="00F67675">
        <w:t xml:space="preserve">The </w:t>
      </w:r>
      <w:proofErr w:type="spellStart"/>
      <w:r w:rsidR="0066593D" w:rsidRPr="00F67675">
        <w:t>labour</w:t>
      </w:r>
      <w:proofErr w:type="spellEnd"/>
      <w:r w:rsidR="0066593D" w:rsidRPr="00F67675">
        <w:t xml:space="preserve"> </w:t>
      </w:r>
      <w:r w:rsidRPr="00F67675">
        <w:t xml:space="preserve">management </w:t>
      </w:r>
      <w:r w:rsidR="0066593D" w:rsidRPr="00F67675">
        <w:t xml:space="preserve">procedures </w:t>
      </w:r>
      <w:r w:rsidRPr="00F67675">
        <w:t xml:space="preserve">shall set out measures to prevent and address violence, harassment, intimidation and/or exploitation. Where </w:t>
      </w:r>
      <w:r w:rsidR="00080AE0" w:rsidRPr="00080AE0">
        <w:t xml:space="preserve">applicable </w:t>
      </w:r>
      <w:proofErr w:type="spellStart"/>
      <w:r w:rsidR="00080AE0" w:rsidRPr="00080AE0">
        <w:t>labour</w:t>
      </w:r>
      <w:proofErr w:type="spellEnd"/>
      <w:r w:rsidR="00080AE0" w:rsidRPr="00080AE0">
        <w:t xml:space="preserve"> laws, rules and regulations</w:t>
      </w:r>
      <w:r w:rsidR="00080AE0">
        <w:t xml:space="preserve"> are</w:t>
      </w:r>
      <w:r w:rsidRPr="00F67675">
        <w:t xml:space="preserve"> inconsistent with this paragraph, activities </w:t>
      </w:r>
      <w:r w:rsidR="00511946" w:rsidRPr="00F67675">
        <w:t xml:space="preserve">are carried out </w:t>
      </w:r>
      <w:r w:rsidRPr="00F67675">
        <w:t xml:space="preserve">in a manner that is consistent with these requirements to the extent possible. </w:t>
      </w:r>
    </w:p>
    <w:p w14:paraId="45DF5F4C" w14:textId="04184FB5" w:rsidR="009077FC" w:rsidRPr="00DC694C" w:rsidRDefault="00080AE0">
      <w:pPr>
        <w:pStyle w:val="SEQSbodynumbered"/>
      </w:pPr>
      <w:r>
        <w:t>Neither s</w:t>
      </w:r>
      <w:r w:rsidR="009077FC" w:rsidRPr="00DC694C">
        <w:t xml:space="preserve">pecial measures of protection and assistance to remedy discrimination </w:t>
      </w:r>
      <w:r>
        <w:t>n</w:t>
      </w:r>
      <w:r w:rsidR="009077FC" w:rsidRPr="00DC694C">
        <w:t xml:space="preserve">or selection for a particular job based on the inherent requirements of the job </w:t>
      </w:r>
      <w:r>
        <w:t xml:space="preserve">are </w:t>
      </w:r>
      <w:r w:rsidR="00511946">
        <w:t>not</w:t>
      </w:r>
      <w:r w:rsidR="009077FC" w:rsidRPr="00DC694C">
        <w:t xml:space="preserve"> deemed as discrimination.</w:t>
      </w:r>
    </w:p>
    <w:p w14:paraId="2557C373" w14:textId="77CB4E7A" w:rsidR="009077FC" w:rsidRDefault="00511946">
      <w:pPr>
        <w:pStyle w:val="SEQSbodynumbered"/>
      </w:pPr>
      <w:r>
        <w:t>A</w:t>
      </w:r>
      <w:r w:rsidR="009077FC" w:rsidRPr="00A23CA5">
        <w:t xml:space="preserve">ppropriate measures of protection and assistance </w:t>
      </w:r>
      <w:r w:rsidR="003004D0">
        <w:t xml:space="preserve">are provided </w:t>
      </w:r>
      <w:r w:rsidR="009077FC" w:rsidRPr="00A23CA5">
        <w:t xml:space="preserve">to address the vulnerabilities of </w:t>
      </w:r>
      <w:r w:rsidR="00E60CC0">
        <w:t>project</w:t>
      </w:r>
      <w:r w:rsidR="009077FC" w:rsidRPr="00A23CA5">
        <w:t xml:space="preserve"> workers, including specific groups of workers, such as women, </w:t>
      </w:r>
      <w:r w:rsidR="006B463B">
        <w:t>persons</w:t>
      </w:r>
      <w:r w:rsidR="006B463B" w:rsidRPr="00A23CA5">
        <w:t xml:space="preserve"> </w:t>
      </w:r>
      <w:r w:rsidR="009077FC" w:rsidRPr="00A23CA5">
        <w:t>with disabilities</w:t>
      </w:r>
      <w:r w:rsidR="009077FC" w:rsidRPr="00107BC2">
        <w:t xml:space="preserve">, migrant workers and </w:t>
      </w:r>
      <w:r w:rsidR="009077FC">
        <w:t>young workers</w:t>
      </w:r>
      <w:r w:rsidR="009077FC" w:rsidRPr="00A23CA5">
        <w:t xml:space="preserve">. </w:t>
      </w:r>
    </w:p>
    <w:p w14:paraId="32F1C847" w14:textId="77777777" w:rsidR="00934456" w:rsidRDefault="00934456">
      <w:pPr>
        <w:pStyle w:val="SEQSbodynumbered"/>
      </w:pPr>
      <w:r>
        <w:t>Appropriate measures will be taken to prevent and address any form of violence and harassment, bullying, intimidation and/or exploitation, including any form of gender-based violence (GBV).</w:t>
      </w:r>
    </w:p>
    <w:p w14:paraId="009D19CC" w14:textId="12670CF6" w:rsidR="009077FC" w:rsidRPr="00187520" w:rsidRDefault="009077FC">
      <w:pPr>
        <w:pStyle w:val="SEQSbodynumbered"/>
      </w:pPr>
      <w:r w:rsidRPr="00187520">
        <w:rPr>
          <w:b/>
        </w:rPr>
        <w:t>Workers organizations</w:t>
      </w:r>
      <w:r w:rsidR="001A1196">
        <w:rPr>
          <w:b/>
        </w:rPr>
        <w:t>:</w:t>
      </w:r>
      <w:r w:rsidRPr="00187520">
        <w:t xml:space="preserve"> </w:t>
      </w:r>
      <w:r w:rsidRPr="00187520">
        <w:rPr>
          <w:rFonts w:hint="eastAsia"/>
        </w:rPr>
        <w:t>In countries where national law recognizes workers</w:t>
      </w:r>
      <w:r w:rsidRPr="00187520">
        <w:t xml:space="preserve">’ </w:t>
      </w:r>
      <w:r w:rsidRPr="00187520">
        <w:rPr>
          <w:rFonts w:hint="eastAsia"/>
        </w:rPr>
        <w:t>rights to form and to join workers</w:t>
      </w:r>
      <w:r w:rsidRPr="00187520">
        <w:t>’</w:t>
      </w:r>
      <w:r w:rsidRPr="00187520">
        <w:rPr>
          <w:rFonts w:hint="eastAsia"/>
        </w:rPr>
        <w:t xml:space="preserve"> organizations of their choosing and to bargain collectively without interference, </w:t>
      </w:r>
      <w:r w:rsidR="00EA1A48">
        <w:t>the</w:t>
      </w:r>
      <w:r w:rsidR="00BF1B0B">
        <w:t xml:space="preserve"> </w:t>
      </w:r>
      <w:r w:rsidR="00EC316A">
        <w:t xml:space="preserve">applicable </w:t>
      </w:r>
      <w:r w:rsidR="00BF1B0B">
        <w:t xml:space="preserve">parties subject to national law who have engaged </w:t>
      </w:r>
      <w:r w:rsidR="00E60CC0">
        <w:t>project</w:t>
      </w:r>
      <w:r w:rsidR="00BF1B0B">
        <w:t xml:space="preserve"> workers must comply</w:t>
      </w:r>
      <w:r w:rsidRPr="00187520">
        <w:rPr>
          <w:rFonts w:hint="eastAsia"/>
        </w:rPr>
        <w:t>. In such circumstances, the role of legally established workers</w:t>
      </w:r>
      <w:r>
        <w:t>’</w:t>
      </w:r>
      <w:r w:rsidRPr="00187520">
        <w:rPr>
          <w:rFonts w:hint="eastAsia"/>
        </w:rPr>
        <w:t xml:space="preserve"> organizations and legitimate workers</w:t>
      </w:r>
      <w:r>
        <w:t xml:space="preserve">’ </w:t>
      </w:r>
      <w:r w:rsidRPr="00187520">
        <w:rPr>
          <w:rFonts w:hint="eastAsia"/>
        </w:rPr>
        <w:t xml:space="preserve">representatives </w:t>
      </w:r>
      <w:r w:rsidR="00511946">
        <w:t>is</w:t>
      </w:r>
      <w:r w:rsidRPr="00187520">
        <w:rPr>
          <w:rFonts w:hint="eastAsia"/>
        </w:rPr>
        <w:t xml:space="preserve"> respected and </w:t>
      </w:r>
      <w:r w:rsidR="007C3999">
        <w:t xml:space="preserve">they will be </w:t>
      </w:r>
      <w:r w:rsidRPr="00187520">
        <w:rPr>
          <w:rFonts w:hint="eastAsia"/>
        </w:rPr>
        <w:t>provided with information needed for meaningful negotiation in a timely manner. Where national law restricts workers</w:t>
      </w:r>
      <w:r>
        <w:t xml:space="preserve">’ </w:t>
      </w:r>
      <w:r w:rsidRPr="00187520">
        <w:rPr>
          <w:rFonts w:hint="eastAsia"/>
        </w:rPr>
        <w:t>organizations,</w:t>
      </w:r>
      <w:r>
        <w:t xml:space="preserve"> </w:t>
      </w:r>
      <w:r w:rsidR="00EA1A48">
        <w:t>the</w:t>
      </w:r>
      <w:r>
        <w:t xml:space="preserve"> </w:t>
      </w:r>
      <w:r w:rsidR="00EC316A">
        <w:t xml:space="preserve">applicable </w:t>
      </w:r>
      <w:r>
        <w:t>part</w:t>
      </w:r>
      <w:r w:rsidR="00BF1B0B">
        <w:t>ies subject to national law</w:t>
      </w:r>
      <w:r>
        <w:t xml:space="preserve"> shall </w:t>
      </w:r>
      <w:r w:rsidRPr="00187520">
        <w:rPr>
          <w:rFonts w:hint="eastAsia"/>
        </w:rPr>
        <w:t>not</w:t>
      </w:r>
      <w:r>
        <w:t xml:space="preserve"> </w:t>
      </w:r>
      <w:r w:rsidRPr="00187520">
        <w:rPr>
          <w:rFonts w:hint="eastAsia"/>
        </w:rPr>
        <w:t xml:space="preserve">restrict </w:t>
      </w:r>
      <w:r w:rsidR="00E60CC0">
        <w:t>project</w:t>
      </w:r>
      <w:r w:rsidRPr="00187520">
        <w:rPr>
          <w:rFonts w:hint="eastAsia"/>
        </w:rPr>
        <w:t xml:space="preserve"> workers from developing alternative mechanisms to express their grievances and protect their rights regarding working conditions and terms of employment</w:t>
      </w:r>
      <w:r w:rsidR="004F12BE">
        <w:t xml:space="preserve"> and shall not</w:t>
      </w:r>
      <w:r>
        <w:t xml:space="preserve"> </w:t>
      </w:r>
      <w:r w:rsidRPr="00187520">
        <w:rPr>
          <w:rFonts w:hint="eastAsia"/>
        </w:rPr>
        <w:t>seek to influence or control these alternative mechanisms</w:t>
      </w:r>
      <w:r w:rsidR="004F12BE">
        <w:t xml:space="preserve">. The </w:t>
      </w:r>
      <w:r w:rsidR="00EC316A">
        <w:t xml:space="preserve">applicable </w:t>
      </w:r>
      <w:r w:rsidR="004F12BE">
        <w:t>part</w:t>
      </w:r>
      <w:r w:rsidR="00EA1A48">
        <w:t>ies</w:t>
      </w:r>
      <w:r w:rsidR="004F12BE">
        <w:t xml:space="preserve"> </w:t>
      </w:r>
      <w:r w:rsidR="007C3999">
        <w:t>shall not</w:t>
      </w:r>
      <w:r>
        <w:t xml:space="preserve"> </w:t>
      </w:r>
      <w:r w:rsidRPr="00187520">
        <w:rPr>
          <w:rFonts w:hint="eastAsia"/>
        </w:rPr>
        <w:t xml:space="preserve">discriminate or retaliate against </w:t>
      </w:r>
      <w:r w:rsidR="00E60CC0">
        <w:t>project</w:t>
      </w:r>
      <w:r w:rsidRPr="00187520">
        <w:rPr>
          <w:rFonts w:hint="eastAsia"/>
        </w:rPr>
        <w:t xml:space="preserve"> workers who participate, or seek to participate, in such worker</w:t>
      </w:r>
      <w:r>
        <w:t xml:space="preserve">s’ </w:t>
      </w:r>
      <w:r w:rsidRPr="00187520">
        <w:rPr>
          <w:rFonts w:hint="eastAsia"/>
        </w:rPr>
        <w:t xml:space="preserve">organizations and collective bargaining or alternative mechanisms. </w:t>
      </w:r>
    </w:p>
    <w:p w14:paraId="25F35DF5" w14:textId="1E96C4E3" w:rsidR="009077FC" w:rsidRPr="00BE3B4B" w:rsidRDefault="009077FC">
      <w:pPr>
        <w:pStyle w:val="SEQSbodynumbered"/>
      </w:pPr>
      <w:r w:rsidRPr="00BE3B4B">
        <w:rPr>
          <w:b/>
        </w:rPr>
        <w:t xml:space="preserve">Forced </w:t>
      </w:r>
      <w:proofErr w:type="spellStart"/>
      <w:r w:rsidRPr="00BE3B4B">
        <w:rPr>
          <w:b/>
        </w:rPr>
        <w:t>labour</w:t>
      </w:r>
      <w:proofErr w:type="spellEnd"/>
      <w:r>
        <w:rPr>
          <w:b/>
        </w:rPr>
        <w:t>:</w:t>
      </w:r>
      <w:r w:rsidRPr="00BE3B4B">
        <w:t xml:space="preserve"> Forced </w:t>
      </w:r>
      <w:proofErr w:type="spellStart"/>
      <w:r w:rsidRPr="00BE3B4B">
        <w:t>labour</w:t>
      </w:r>
      <w:proofErr w:type="spellEnd"/>
      <w:r w:rsidRPr="00BE3B4B">
        <w:t>, which consists of any work or service not voluntarily</w:t>
      </w:r>
      <w:r w:rsidRPr="00BE3B4B">
        <w:rPr>
          <w:vertAlign w:val="superscript"/>
        </w:rPr>
        <w:footnoteReference w:id="112"/>
      </w:r>
      <w:r w:rsidRPr="00BE3B4B">
        <w:rPr>
          <w:vertAlign w:val="superscript"/>
        </w:rPr>
        <w:t xml:space="preserve"> </w:t>
      </w:r>
      <w:r w:rsidRPr="00BE3B4B">
        <w:t xml:space="preserve">performed that is exacted from an individual under threat of force or penalty, </w:t>
      </w:r>
      <w:r>
        <w:t>shall</w:t>
      </w:r>
      <w:r w:rsidRPr="00BE3B4B">
        <w:t xml:space="preserve"> not be used in connection with </w:t>
      </w:r>
      <w:r w:rsidRPr="00BE3B4B">
        <w:lastRenderedPageBreak/>
        <w:t>the project.</w:t>
      </w:r>
      <w:r>
        <w:rPr>
          <w:rStyle w:val="FootnoteReference"/>
        </w:rPr>
        <w:footnoteReference w:id="113"/>
      </w:r>
      <w:r w:rsidRPr="00BE3B4B">
        <w:t xml:space="preserve"> This prohibition covers any kind of involuntary or compulsory </w:t>
      </w:r>
      <w:proofErr w:type="spellStart"/>
      <w:r w:rsidRPr="00BE3B4B">
        <w:t>labour</w:t>
      </w:r>
      <w:proofErr w:type="spellEnd"/>
      <w:r w:rsidRPr="00BE3B4B">
        <w:t xml:space="preserve">, such as indentured </w:t>
      </w:r>
      <w:proofErr w:type="spellStart"/>
      <w:r w:rsidRPr="00BE3B4B">
        <w:t>labour</w:t>
      </w:r>
      <w:proofErr w:type="spellEnd"/>
      <w:r w:rsidRPr="00BE3B4B">
        <w:t xml:space="preserve">, bonded </w:t>
      </w:r>
      <w:proofErr w:type="spellStart"/>
      <w:r w:rsidRPr="00BE3B4B">
        <w:t>labour</w:t>
      </w:r>
      <w:proofErr w:type="spellEnd"/>
      <w:r w:rsidRPr="00BE3B4B">
        <w:t xml:space="preserve">, or similar </w:t>
      </w:r>
      <w:proofErr w:type="spellStart"/>
      <w:r w:rsidRPr="00BE3B4B">
        <w:t>labour</w:t>
      </w:r>
      <w:proofErr w:type="spellEnd"/>
      <w:r w:rsidRPr="00BE3B4B">
        <w:t xml:space="preserve">-contracting arrangements. No trafficked persons </w:t>
      </w:r>
      <w:r w:rsidR="00E23A5F">
        <w:t>may be</w:t>
      </w:r>
      <w:r w:rsidR="00E23A5F" w:rsidRPr="00BE3B4B">
        <w:t xml:space="preserve"> </w:t>
      </w:r>
      <w:r w:rsidRPr="00BE3B4B">
        <w:t xml:space="preserve">employed in connection with the </w:t>
      </w:r>
      <w:r w:rsidR="00E60CC0">
        <w:t>project</w:t>
      </w:r>
      <w:r w:rsidR="003004D0">
        <w:t xml:space="preserve"> </w:t>
      </w:r>
      <w:r>
        <w:t>activities</w:t>
      </w:r>
      <w:r w:rsidRPr="00BE3B4B">
        <w:t>.</w:t>
      </w:r>
      <w:r w:rsidRPr="00BE3B4B">
        <w:rPr>
          <w:vertAlign w:val="superscript"/>
        </w:rPr>
        <w:footnoteReference w:id="114"/>
      </w:r>
      <w:r w:rsidRPr="00BE3B4B">
        <w:rPr>
          <w:vertAlign w:val="superscript"/>
        </w:rPr>
        <w:t xml:space="preserve"> </w:t>
      </w:r>
    </w:p>
    <w:p w14:paraId="04685859" w14:textId="2AB70115" w:rsidR="009077FC" w:rsidRPr="00EC5ECA" w:rsidRDefault="009077FC">
      <w:pPr>
        <w:pStyle w:val="SEQSbodynumbered"/>
      </w:pPr>
      <w:r w:rsidRPr="00EC5ECA">
        <w:t>Where cases of forced</w:t>
      </w:r>
      <w:r w:rsidRPr="0051623F">
        <w:t xml:space="preserve"> </w:t>
      </w:r>
      <w:proofErr w:type="spellStart"/>
      <w:r>
        <w:t>labour</w:t>
      </w:r>
      <w:proofErr w:type="spellEnd"/>
      <w:r>
        <w:t xml:space="preserve"> </w:t>
      </w:r>
      <w:r w:rsidRPr="00EC5ECA">
        <w:t xml:space="preserve">are identified, immediate steps </w:t>
      </w:r>
      <w:r w:rsidR="00E23A5F">
        <w:t xml:space="preserve">must be taken by </w:t>
      </w:r>
      <w:r w:rsidR="00EC316A">
        <w:t>the</w:t>
      </w:r>
      <w:r w:rsidR="00E23A5F">
        <w:t xml:space="preserve"> </w:t>
      </w:r>
      <w:r w:rsidR="00EC316A">
        <w:t xml:space="preserve">applicable </w:t>
      </w:r>
      <w:r w:rsidR="00E23A5F">
        <w:t>part</w:t>
      </w:r>
      <w:r w:rsidR="00EC316A">
        <w:t>ies</w:t>
      </w:r>
      <w:r w:rsidR="00E23A5F">
        <w:t xml:space="preserve"> </w:t>
      </w:r>
      <w:r w:rsidRPr="00EC5ECA">
        <w:t>to correct and remedy them.</w:t>
      </w:r>
    </w:p>
    <w:p w14:paraId="3212133B" w14:textId="51E004F6" w:rsidR="009077FC" w:rsidRDefault="009077FC">
      <w:pPr>
        <w:pStyle w:val="SEQSbodynumbered"/>
      </w:pPr>
      <w:r w:rsidRPr="00DC1BBB">
        <w:rPr>
          <w:b/>
        </w:rPr>
        <w:t xml:space="preserve">Child </w:t>
      </w:r>
      <w:proofErr w:type="spellStart"/>
      <w:r w:rsidRPr="00DC1BBB">
        <w:rPr>
          <w:b/>
        </w:rPr>
        <w:t>labour</w:t>
      </w:r>
      <w:proofErr w:type="spellEnd"/>
      <w:r w:rsidR="00A125F2">
        <w:rPr>
          <w:b/>
        </w:rPr>
        <w:t>:</w:t>
      </w:r>
      <w:r w:rsidRPr="00DC1BBB">
        <w:t xml:space="preserve"> </w:t>
      </w:r>
      <w:bookmarkStart w:id="22" w:name="_Ref391770259"/>
      <w:r w:rsidRPr="00DC1BBB">
        <w:t xml:space="preserve">Child </w:t>
      </w:r>
      <w:proofErr w:type="spellStart"/>
      <w:r w:rsidRPr="00DC1BBB">
        <w:t>labour</w:t>
      </w:r>
      <w:proofErr w:type="spellEnd"/>
      <w:r w:rsidRPr="00DC1BBB">
        <w:t>, which consists of employment of children below the minimum age of employment</w:t>
      </w:r>
      <w:r>
        <w:t xml:space="preserve"> as defined by the ILO Minimum Age Convention, 1973 (No. 138) and ILO Worst Forms of Child </w:t>
      </w:r>
      <w:proofErr w:type="spellStart"/>
      <w:r>
        <w:t>Labour</w:t>
      </w:r>
      <w:proofErr w:type="spellEnd"/>
      <w:r>
        <w:t xml:space="preserve"> Convention, 1999 (No. 182)</w:t>
      </w:r>
      <w:r w:rsidRPr="00DC1BBB">
        <w:t xml:space="preserve">, </w:t>
      </w:r>
      <w:r w:rsidR="00E23A5F">
        <w:t xml:space="preserve">may </w:t>
      </w:r>
      <w:r w:rsidR="00511946">
        <w:t>not</w:t>
      </w:r>
      <w:r w:rsidRPr="00DC1BBB">
        <w:t xml:space="preserve"> </w:t>
      </w:r>
      <w:r w:rsidR="00E23A5F">
        <w:t xml:space="preserve">be </w:t>
      </w:r>
      <w:r w:rsidRPr="00DC1BBB">
        <w:t>used in connection with or aris</w:t>
      </w:r>
      <w:r w:rsidR="00E23A5F">
        <w:t>ing</w:t>
      </w:r>
      <w:r w:rsidRPr="00DC1BBB">
        <w:t xml:space="preserve"> from the </w:t>
      </w:r>
      <w:r w:rsidR="00E60CC0">
        <w:t>project</w:t>
      </w:r>
      <w:r w:rsidR="003004D0">
        <w:t xml:space="preserve"> </w:t>
      </w:r>
      <w:r>
        <w:t>activities</w:t>
      </w:r>
      <w:r w:rsidRPr="00DC1BBB">
        <w:t xml:space="preserve">. </w:t>
      </w:r>
    </w:p>
    <w:p w14:paraId="7A7885CD" w14:textId="1A2B2165" w:rsidR="009077FC" w:rsidRPr="00DC1BBB" w:rsidRDefault="009077FC">
      <w:pPr>
        <w:pStyle w:val="SEQSbodynumbered"/>
      </w:pPr>
      <w:r>
        <w:t>A</w:t>
      </w:r>
      <w:r w:rsidRPr="00DC1BBB">
        <w:t xml:space="preserve"> minimum age for employment </w:t>
      </w:r>
      <w:r>
        <w:t xml:space="preserve">shall be specified </w:t>
      </w:r>
      <w:r w:rsidRPr="00DC1BBB">
        <w:t xml:space="preserve">in connection with the </w:t>
      </w:r>
      <w:r w:rsidR="00E60CC0">
        <w:t>project</w:t>
      </w:r>
      <w:r w:rsidR="003004D0">
        <w:t xml:space="preserve"> </w:t>
      </w:r>
      <w:r>
        <w:t>activities</w:t>
      </w:r>
      <w:r w:rsidRPr="00DC1BBB">
        <w:t xml:space="preserve">, as determined by national law </w:t>
      </w:r>
      <w:r w:rsidR="00E23A5F">
        <w:t xml:space="preserve">for </w:t>
      </w:r>
      <w:r w:rsidR="00EC316A">
        <w:t xml:space="preserve">applicable </w:t>
      </w:r>
      <w:r w:rsidR="00E23A5F">
        <w:t xml:space="preserve">parties subject to national law </w:t>
      </w:r>
      <w:r w:rsidRPr="00DC1BBB">
        <w:t>and consistent with the ILO Convention No. 138.</w:t>
      </w:r>
      <w:r w:rsidRPr="00DC1BBB">
        <w:rPr>
          <w:vertAlign w:val="superscript"/>
        </w:rPr>
        <w:footnoteReference w:id="115"/>
      </w:r>
      <w:r w:rsidRPr="00DC1BBB">
        <w:t xml:space="preserve"> </w:t>
      </w:r>
      <w:bookmarkEnd w:id="22"/>
    </w:p>
    <w:p w14:paraId="7CB1F6FA" w14:textId="7D2205B0" w:rsidR="009077FC" w:rsidRDefault="00E23A5F">
      <w:pPr>
        <w:pStyle w:val="SEQSbodynumbered"/>
      </w:pPr>
      <w:r>
        <w:t>Notwithstanding paragraph 16 above</w:t>
      </w:r>
      <w:r w:rsidR="009077FC">
        <w:t>, a child under the age of 18 may not perform work</w:t>
      </w:r>
      <w:r w:rsidR="009077FC" w:rsidRPr="00FE3C97">
        <w:t xml:space="preserve"> </w:t>
      </w:r>
      <w:r w:rsidR="009077FC">
        <w:t xml:space="preserve">in connection with or arising from the </w:t>
      </w:r>
      <w:r w:rsidR="00E60CC0">
        <w:t>project</w:t>
      </w:r>
      <w:r w:rsidR="003004D0">
        <w:t xml:space="preserve"> </w:t>
      </w:r>
      <w:r w:rsidR="009077FC">
        <w:t xml:space="preserve">activities </w:t>
      </w:r>
      <w:r w:rsidR="009077FC" w:rsidRPr="00FE3C97">
        <w:t xml:space="preserve">which, by its nature or the circumstances in which it is carried out, is likely to harm his/her health, safety or morals. Such work is determined by national laws or regulations or by the competent authority and commonly specified in national lists of hazardous work prohibited to children. In the absence of such regulations, guidance on hazardous work to be prohibited in connection with </w:t>
      </w:r>
      <w:r w:rsidR="003004D0">
        <w:t xml:space="preserve">the </w:t>
      </w:r>
      <w:r w:rsidR="00E60CC0">
        <w:t>project</w:t>
      </w:r>
      <w:r w:rsidR="003004D0" w:rsidRPr="00FE3C97">
        <w:t xml:space="preserve"> </w:t>
      </w:r>
      <w:r w:rsidR="009077FC" w:rsidRPr="00FE3C97">
        <w:t xml:space="preserve">should </w:t>
      </w:r>
      <w:r w:rsidR="009077FC">
        <w:t xml:space="preserve">derive </w:t>
      </w:r>
      <w:r w:rsidR="009077FC" w:rsidRPr="00FE3C97">
        <w:t>from the relevant ILO instruments</w:t>
      </w:r>
      <w:r w:rsidR="009077FC">
        <w:t>.</w:t>
      </w:r>
      <w:r w:rsidR="009077FC" w:rsidRPr="00C16C62">
        <w:rPr>
          <w:vertAlign w:val="superscript"/>
        </w:rPr>
        <w:footnoteReference w:id="116"/>
      </w:r>
      <w:r w:rsidR="009077FC" w:rsidRPr="00C16C62">
        <w:rPr>
          <w:vertAlign w:val="superscript"/>
        </w:rPr>
        <w:t xml:space="preserve"> </w:t>
      </w:r>
      <w:r w:rsidR="009077FC" w:rsidRPr="00FE3C97">
        <w:t xml:space="preserve">In addition, a child under the age of 18 may not, in connection with </w:t>
      </w:r>
      <w:r w:rsidR="00E60CC0">
        <w:t>project</w:t>
      </w:r>
      <w:r w:rsidR="003004D0">
        <w:t xml:space="preserve"> </w:t>
      </w:r>
      <w:r w:rsidR="009077FC">
        <w:t>activities</w:t>
      </w:r>
      <w:r w:rsidR="009077FC" w:rsidRPr="00FE3C97">
        <w:t xml:space="preserve">, perform work that is likely to interfere with his/her </w:t>
      </w:r>
      <w:r w:rsidR="009077FC">
        <w:t xml:space="preserve">compulsory </w:t>
      </w:r>
      <w:r w:rsidR="009077FC" w:rsidRPr="00FE3C97">
        <w:t>education or be harmful to his/her physical, mental, spiritual, moral or social development</w:t>
      </w:r>
      <w:r w:rsidR="009077FC">
        <w:t xml:space="preserve">. </w:t>
      </w:r>
    </w:p>
    <w:p w14:paraId="525CD3D3" w14:textId="1D412754" w:rsidR="009077FC" w:rsidRDefault="009077FC">
      <w:pPr>
        <w:pStyle w:val="SEQSbodynumbered"/>
      </w:pPr>
      <w:r w:rsidRPr="00D12967">
        <w:t xml:space="preserve">Where cases of </w:t>
      </w:r>
      <w:r>
        <w:t xml:space="preserve">child </w:t>
      </w:r>
      <w:proofErr w:type="spellStart"/>
      <w:r>
        <w:t>labour</w:t>
      </w:r>
      <w:proofErr w:type="spellEnd"/>
      <w:r>
        <w:t xml:space="preserve"> </w:t>
      </w:r>
      <w:r w:rsidRPr="00D12967">
        <w:t xml:space="preserve">are identified, immediate steps </w:t>
      </w:r>
      <w:r>
        <w:t xml:space="preserve">shall be taken </w:t>
      </w:r>
      <w:r w:rsidR="00E23A5F">
        <w:t xml:space="preserve">by </w:t>
      </w:r>
      <w:r w:rsidR="004858E6">
        <w:t xml:space="preserve">applicable </w:t>
      </w:r>
      <w:r w:rsidR="00E23A5F">
        <w:t xml:space="preserve">parties </w:t>
      </w:r>
      <w:r w:rsidRPr="00D12967">
        <w:t>to correct and remedy them</w:t>
      </w:r>
      <w:r>
        <w:t>, including the rehabilitation and social integration of the child where necessary</w:t>
      </w:r>
      <w:r w:rsidRPr="00D12967">
        <w:t>.</w:t>
      </w:r>
    </w:p>
    <w:p w14:paraId="4E371AFF" w14:textId="3B33C09A" w:rsidR="009077FC" w:rsidRPr="005D3574" w:rsidRDefault="009077FC">
      <w:pPr>
        <w:pStyle w:val="SEQSbodynumbered"/>
      </w:pPr>
      <w:r w:rsidRPr="005D3574">
        <w:rPr>
          <w:b/>
        </w:rPr>
        <w:t>Occupational safety and health</w:t>
      </w:r>
      <w:r>
        <w:rPr>
          <w:b/>
        </w:rPr>
        <w:t xml:space="preserve"> (OSH)</w:t>
      </w:r>
      <w:r w:rsidR="00A125F2">
        <w:rPr>
          <w:b/>
        </w:rPr>
        <w:t>:</w:t>
      </w:r>
      <w:r w:rsidRPr="005D3574">
        <w:t xml:space="preserve"> Necessary processes and measures that address the safety and health of </w:t>
      </w:r>
      <w:r w:rsidR="00E60CC0">
        <w:t>project</w:t>
      </w:r>
      <w:r w:rsidRPr="005D3574">
        <w:t xml:space="preserve"> workers </w:t>
      </w:r>
      <w:r>
        <w:t>shall</w:t>
      </w:r>
      <w:r w:rsidRPr="005D3574">
        <w:t xml:space="preserve"> be in place to support </w:t>
      </w:r>
      <w:r w:rsidR="00E60CC0">
        <w:t>project</w:t>
      </w:r>
      <w:r w:rsidR="00437DB1" w:rsidRPr="005D3574">
        <w:t xml:space="preserve"> </w:t>
      </w:r>
      <w:r w:rsidRPr="005D3574">
        <w:t xml:space="preserve">design, planning and </w:t>
      </w:r>
      <w:r w:rsidRPr="005D3574">
        <w:lastRenderedPageBreak/>
        <w:t xml:space="preserve">implementation. These processes and measures may be encompassed and implemented through the </w:t>
      </w:r>
      <w:r w:rsidR="00437DB1">
        <w:t xml:space="preserve">applicable </w:t>
      </w:r>
      <w:r>
        <w:t>party’s</w:t>
      </w:r>
      <w:r w:rsidRPr="005D3574">
        <w:t xml:space="preserve"> occupational safety and health management system</w:t>
      </w:r>
      <w:r w:rsidRPr="005D3574">
        <w:rPr>
          <w:rStyle w:val="FootnoteReference"/>
        </w:rPr>
        <w:footnoteReference w:id="117"/>
      </w:r>
      <w:r w:rsidR="00B712DD">
        <w:t xml:space="preserve"> or processes</w:t>
      </w:r>
      <w:r w:rsidRPr="005D3574">
        <w:t xml:space="preserve"> and </w:t>
      </w:r>
      <w:r>
        <w:t>shall</w:t>
      </w:r>
      <w:r w:rsidRPr="005D3574">
        <w:t xml:space="preserve"> address: </w:t>
      </w:r>
    </w:p>
    <w:p w14:paraId="33137E35" w14:textId="77777777" w:rsidR="009077FC" w:rsidRPr="00A125F2" w:rsidRDefault="009077FC" w:rsidP="009077FC">
      <w:pPr>
        <w:pStyle w:val="ListParagraph"/>
        <w:rPr>
          <w:sz w:val="20"/>
          <w:szCs w:val="20"/>
        </w:rPr>
      </w:pPr>
      <w:r w:rsidRPr="00A125F2">
        <w:rPr>
          <w:sz w:val="20"/>
          <w:szCs w:val="20"/>
        </w:rPr>
        <w:t xml:space="preserve">(a) Identification and assessment of potential hazards and risks, particularly those that could result in serious injury, ill health or death and those identified through worker health surveillance; </w:t>
      </w:r>
    </w:p>
    <w:p w14:paraId="0DDD7B5E" w14:textId="77777777" w:rsidR="009077FC" w:rsidRPr="00A125F2" w:rsidRDefault="009077FC" w:rsidP="009077FC">
      <w:pPr>
        <w:pStyle w:val="ListParagraph"/>
        <w:rPr>
          <w:sz w:val="20"/>
          <w:szCs w:val="20"/>
        </w:rPr>
      </w:pPr>
      <w:r w:rsidRPr="00A125F2">
        <w:rPr>
          <w:sz w:val="20"/>
          <w:szCs w:val="20"/>
        </w:rPr>
        <w:t xml:space="preserve">(b) Elimination of hazards and minimization of risks through implementation of preventive and protective measures in the following order of priority: elimination or substitution, engineering and organizational controls, administrative controls, and where residual hazards and risks cannot be controlled through these collective measures, provision of personal protective equipment at no cost to the worker; </w:t>
      </w:r>
    </w:p>
    <w:p w14:paraId="04D27CE6" w14:textId="77777777" w:rsidR="009077FC" w:rsidRPr="00A125F2" w:rsidRDefault="009077FC" w:rsidP="009077FC">
      <w:pPr>
        <w:pStyle w:val="ListParagraph"/>
        <w:rPr>
          <w:sz w:val="20"/>
          <w:szCs w:val="20"/>
        </w:rPr>
      </w:pPr>
      <w:r w:rsidRPr="00A125F2">
        <w:rPr>
          <w:sz w:val="20"/>
          <w:szCs w:val="20"/>
        </w:rPr>
        <w:t xml:space="preserve">(c) Safety and health training, including on the proper use and maintenance of personal protective equipment, at no cost to workers conducted by competent persons and the maintenance of training records; </w:t>
      </w:r>
    </w:p>
    <w:p w14:paraId="1A0E3C6E" w14:textId="77777777" w:rsidR="009077FC" w:rsidRPr="00A125F2" w:rsidRDefault="009077FC" w:rsidP="009077FC">
      <w:pPr>
        <w:pStyle w:val="ListParagraph"/>
        <w:rPr>
          <w:sz w:val="20"/>
          <w:szCs w:val="20"/>
        </w:rPr>
      </w:pPr>
      <w:r w:rsidRPr="00A125F2">
        <w:rPr>
          <w:sz w:val="20"/>
          <w:szCs w:val="20"/>
        </w:rPr>
        <w:t xml:space="preserve">(d) Recording and notification of occupational accidents and incidents and any resulting injuries, ill health or death; </w:t>
      </w:r>
    </w:p>
    <w:p w14:paraId="2F30F645" w14:textId="77777777" w:rsidR="009077FC" w:rsidRPr="00A125F2" w:rsidRDefault="009077FC" w:rsidP="009077FC">
      <w:pPr>
        <w:pStyle w:val="ListParagraph"/>
        <w:rPr>
          <w:sz w:val="20"/>
          <w:szCs w:val="20"/>
        </w:rPr>
      </w:pPr>
      <w:r w:rsidRPr="00A125F2">
        <w:rPr>
          <w:sz w:val="20"/>
          <w:szCs w:val="20"/>
        </w:rPr>
        <w:t xml:space="preserve">(e) Emergency prevention and preparedness and response arrangements to emergency situations; and </w:t>
      </w:r>
    </w:p>
    <w:p w14:paraId="04647249" w14:textId="77777777" w:rsidR="009077FC" w:rsidRPr="00A125F2" w:rsidRDefault="009077FC" w:rsidP="009077FC">
      <w:pPr>
        <w:pStyle w:val="ListParagraph"/>
        <w:rPr>
          <w:sz w:val="20"/>
          <w:szCs w:val="20"/>
        </w:rPr>
      </w:pPr>
      <w:r w:rsidRPr="00A125F2">
        <w:rPr>
          <w:sz w:val="20"/>
          <w:szCs w:val="20"/>
        </w:rPr>
        <w:t>(f) Employment injury benefits and/or remedies for adverse impacts such as occupational injuries, disability, ill health or disease and death.</w:t>
      </w:r>
      <w:r w:rsidRPr="00A125F2">
        <w:rPr>
          <w:rStyle w:val="FootnoteReference"/>
          <w:sz w:val="20"/>
          <w:szCs w:val="20"/>
        </w:rPr>
        <w:t xml:space="preserve"> </w:t>
      </w:r>
      <w:r w:rsidRPr="00A125F2">
        <w:rPr>
          <w:rStyle w:val="FootnoteReference"/>
          <w:sz w:val="20"/>
          <w:szCs w:val="20"/>
        </w:rPr>
        <w:footnoteReference w:id="118"/>
      </w:r>
      <w:r w:rsidRPr="00A125F2">
        <w:rPr>
          <w:sz w:val="20"/>
          <w:szCs w:val="20"/>
        </w:rPr>
        <w:t xml:space="preserve"> </w:t>
      </w:r>
    </w:p>
    <w:p w14:paraId="1C811D5C" w14:textId="60819E50" w:rsidR="009077FC" w:rsidRDefault="009077FC" w:rsidP="00AC7F5D">
      <w:pPr>
        <w:pStyle w:val="SEQSbodynumbered"/>
      </w:pPr>
      <w:r w:rsidRPr="00B6348B">
        <w:t xml:space="preserve">All </w:t>
      </w:r>
      <w:r w:rsidR="004858E6">
        <w:t xml:space="preserve">applicable </w:t>
      </w:r>
      <w:r w:rsidRPr="00B6348B">
        <w:t xml:space="preserve">parties who employ or engage </w:t>
      </w:r>
      <w:r w:rsidR="00E60CC0">
        <w:t>project</w:t>
      </w:r>
      <w:r w:rsidRPr="00B6348B">
        <w:t xml:space="preserve"> workers </w:t>
      </w:r>
      <w:r w:rsidR="00437DB1">
        <w:t xml:space="preserve">shall </w:t>
      </w:r>
      <w:r>
        <w:t>put in place the above safety and health processes and measures</w:t>
      </w:r>
      <w:r w:rsidRPr="00B6348B">
        <w:t xml:space="preserve"> to</w:t>
      </w:r>
      <w:r>
        <w:t xml:space="preserve"> prevent and protect workers from chemical, physical, biological and psychosocial hazards and to </w:t>
      </w:r>
      <w:r w:rsidRPr="00B6348B">
        <w:t xml:space="preserve">establish and maintain </w:t>
      </w:r>
      <w:r>
        <w:t xml:space="preserve">safe and healthy </w:t>
      </w:r>
      <w:r w:rsidRPr="00B6348B">
        <w:t>workplaces</w:t>
      </w:r>
      <w:r>
        <w:t xml:space="preserve"> including the work environment, organization, processes, tools </w:t>
      </w:r>
      <w:r w:rsidRPr="00B6348B">
        <w:t>machinery</w:t>
      </w:r>
      <w:r>
        <w:t xml:space="preserve"> and </w:t>
      </w:r>
      <w:r w:rsidRPr="00B6348B">
        <w:t>equipment</w:t>
      </w:r>
      <w:r>
        <w:t>.</w:t>
      </w:r>
      <w:r>
        <w:rPr>
          <w:rStyle w:val="FootnoteReference"/>
        </w:rPr>
        <w:footnoteReference w:id="119"/>
      </w:r>
      <w:r w:rsidRPr="00B6348B">
        <w:t xml:space="preserve"> Such parties actively consult</w:t>
      </w:r>
      <w:r>
        <w:t xml:space="preserve"> and collaborate</w:t>
      </w:r>
      <w:r w:rsidRPr="00B6348B">
        <w:t xml:space="preserve"> with </w:t>
      </w:r>
      <w:r w:rsidR="00E60CC0">
        <w:t>project</w:t>
      </w:r>
      <w:r w:rsidRPr="00B6348B">
        <w:t xml:space="preserve"> workers </w:t>
      </w:r>
      <w:r>
        <w:t xml:space="preserve">and </w:t>
      </w:r>
      <w:r w:rsidRPr="00B6348B">
        <w:t>promot</w:t>
      </w:r>
      <w:r>
        <w:t>e their</w:t>
      </w:r>
      <w:r w:rsidRPr="00B6348B">
        <w:t xml:space="preserve"> understanding</w:t>
      </w:r>
      <w:r>
        <w:t xml:space="preserve"> and</w:t>
      </w:r>
      <w:r w:rsidRPr="00B6348B">
        <w:t xml:space="preserve"> </w:t>
      </w:r>
      <w:r>
        <w:t xml:space="preserve">participation in the </w:t>
      </w:r>
      <w:r w:rsidRPr="00B6348B">
        <w:t xml:space="preserve">implementation of </w:t>
      </w:r>
      <w:r>
        <w:t>safety and health measures,</w:t>
      </w:r>
      <w:r w:rsidRPr="00B6348B">
        <w:t xml:space="preserve"> as well as provid</w:t>
      </w:r>
      <w:r>
        <w:t>e</w:t>
      </w:r>
      <w:r w:rsidRPr="00B6348B">
        <w:t xml:space="preserve"> </w:t>
      </w:r>
      <w:r>
        <w:t xml:space="preserve">them </w:t>
      </w:r>
      <w:r w:rsidRPr="00B6348B">
        <w:t>information</w:t>
      </w:r>
      <w:r>
        <w:t>,</w:t>
      </w:r>
      <w:r w:rsidRPr="00B6348B">
        <w:t xml:space="preserve"> training </w:t>
      </w:r>
      <w:r>
        <w:t xml:space="preserve">and </w:t>
      </w:r>
      <w:r w:rsidRPr="00B6348B">
        <w:t>personal protective equipment</w:t>
      </w:r>
      <w:r>
        <w:t>.</w:t>
      </w:r>
      <w:r w:rsidRPr="00B6348B">
        <w:t xml:space="preserve"> </w:t>
      </w:r>
      <w:r>
        <w:t xml:space="preserve">Mechanisms </w:t>
      </w:r>
      <w:r w:rsidR="0000638B">
        <w:t>are used</w:t>
      </w:r>
      <w:r>
        <w:t xml:space="preserve"> for consultation and participation of </w:t>
      </w:r>
      <w:r w:rsidR="00E60CC0">
        <w:t>project</w:t>
      </w:r>
      <w:r>
        <w:t xml:space="preserve"> workers, such as worker safety representatives or joint worker-management safety and health committees. </w:t>
      </w:r>
    </w:p>
    <w:p w14:paraId="205006CD" w14:textId="2A68052F" w:rsidR="009077FC" w:rsidRDefault="009077FC" w:rsidP="00AC7F5D">
      <w:pPr>
        <w:pStyle w:val="SEQSbodynumbered"/>
      </w:pPr>
      <w:r w:rsidRPr="00B6348B">
        <w:t xml:space="preserve">Workplace </w:t>
      </w:r>
      <w:r>
        <w:t xml:space="preserve">mechanisms </w:t>
      </w:r>
      <w:r w:rsidR="00511946">
        <w:t>are</w:t>
      </w:r>
      <w:r w:rsidRPr="004A0BA3">
        <w:t xml:space="preserve"> made available</w:t>
      </w:r>
      <w:r w:rsidRPr="00B6348B">
        <w:t xml:space="preserve"> for </w:t>
      </w:r>
      <w:r w:rsidR="00E60CC0">
        <w:t>project</w:t>
      </w:r>
      <w:r w:rsidRPr="00B6348B">
        <w:t xml:space="preserve"> workers to report work situations that they</w:t>
      </w:r>
      <w:r>
        <w:t xml:space="preserve"> believe are not safe or healthy</w:t>
      </w:r>
      <w:r w:rsidRPr="00CB3735">
        <w:t xml:space="preserve"> and to remove t</w:t>
      </w:r>
      <w:r>
        <w:t>hemselves from a work situation</w:t>
      </w:r>
      <w:r w:rsidRPr="00CB3735">
        <w:t xml:space="preserve"> they have reasonable justification to believe presents an imminent and serious danger to their life or health. </w:t>
      </w:r>
      <w:r w:rsidR="00E60CC0">
        <w:t>project</w:t>
      </w:r>
      <w:r w:rsidRPr="00CB3735">
        <w:t xml:space="preserve"> workers who remove themselves from such situations </w:t>
      </w:r>
      <w:r w:rsidR="00511946">
        <w:t>are not</w:t>
      </w:r>
      <w:r w:rsidRPr="00CB3735">
        <w:t xml:space="preserve"> required to return to work until necessary remedial action to correct the situation has been taken</w:t>
      </w:r>
      <w:r>
        <w:t xml:space="preserve">, and </w:t>
      </w:r>
      <w:r w:rsidR="00511946">
        <w:t>are not</w:t>
      </w:r>
      <w:r w:rsidRPr="00CB3735">
        <w:t xml:space="preserve"> retaliated against or otherwise subject to reprisal or negative action</w:t>
      </w:r>
      <w:r>
        <w:t>.</w:t>
      </w:r>
      <w:r w:rsidRPr="00CB3735">
        <w:t xml:space="preserve"> </w:t>
      </w:r>
    </w:p>
    <w:p w14:paraId="392198AD" w14:textId="57C1ABA0" w:rsidR="009077FC" w:rsidRDefault="00CF6527" w:rsidP="007834FA">
      <w:pPr>
        <w:pStyle w:val="SEQSbodynumbered"/>
      </w:pPr>
      <w:r>
        <w:lastRenderedPageBreak/>
        <w:t>P</w:t>
      </w:r>
      <w:r w:rsidR="00E60CC0">
        <w:t>roject</w:t>
      </w:r>
      <w:r w:rsidR="009077FC" w:rsidRPr="00E018D0">
        <w:t xml:space="preserve"> workers </w:t>
      </w:r>
      <w:r w:rsidR="00511946">
        <w:t>are</w:t>
      </w:r>
      <w:r w:rsidR="009077FC" w:rsidRPr="00660239">
        <w:t xml:space="preserve"> provided with </w:t>
      </w:r>
      <w:r w:rsidR="009077FC">
        <w:t xml:space="preserve">safe and healthy </w:t>
      </w:r>
      <w:r w:rsidR="009077FC" w:rsidRPr="00660239">
        <w:t>facilities</w:t>
      </w:r>
      <w:r w:rsidR="009077FC">
        <w:t xml:space="preserve"> </w:t>
      </w:r>
      <w:r w:rsidR="009077FC" w:rsidRPr="00E018D0">
        <w:t>appropriate to t</w:t>
      </w:r>
      <w:r w:rsidR="009077FC" w:rsidRPr="00660239">
        <w:t>he circumstances of their work,</w:t>
      </w:r>
      <w:r w:rsidR="009077FC">
        <w:t xml:space="preserve"> </w:t>
      </w:r>
      <w:r w:rsidR="009077FC" w:rsidRPr="00E018D0">
        <w:t>including access to ca</w:t>
      </w:r>
      <w:r w:rsidR="009077FC" w:rsidRPr="00660239">
        <w:t>nteens, hygiene facilities, and</w:t>
      </w:r>
      <w:r w:rsidR="009077FC">
        <w:t xml:space="preserve"> </w:t>
      </w:r>
      <w:r w:rsidR="009077FC" w:rsidRPr="00E018D0">
        <w:t>appropriate area</w:t>
      </w:r>
      <w:r w:rsidR="009077FC" w:rsidRPr="00660239">
        <w:t>s for rest</w:t>
      </w:r>
      <w:r w:rsidR="005E3D57">
        <w:t xml:space="preserve"> where appropriate on the basis of the work performed</w:t>
      </w:r>
      <w:r w:rsidR="009077FC" w:rsidRPr="00660239">
        <w:t>. Where accommodation</w:t>
      </w:r>
      <w:r w:rsidR="009077FC">
        <w:t xml:space="preserve"> </w:t>
      </w:r>
      <w:r w:rsidR="009077FC" w:rsidRPr="00E018D0">
        <w:t>services are provid</w:t>
      </w:r>
      <w:r w:rsidR="009077FC" w:rsidRPr="00660239">
        <w:t xml:space="preserve">ed to </w:t>
      </w:r>
      <w:r w:rsidR="00E60CC0">
        <w:t>project</w:t>
      </w:r>
      <w:r w:rsidR="009077FC" w:rsidRPr="00660239">
        <w:t xml:space="preserve"> workers, policies</w:t>
      </w:r>
      <w:r w:rsidR="009077FC">
        <w:t xml:space="preserve"> </w:t>
      </w:r>
      <w:r w:rsidR="00A4783D">
        <w:t>are</w:t>
      </w:r>
      <w:r w:rsidR="009077FC" w:rsidRPr="00E018D0">
        <w:t xml:space="preserve"> put in</w:t>
      </w:r>
      <w:r w:rsidR="009077FC" w:rsidRPr="00660239">
        <w:t xml:space="preserve"> place and implemented on the management</w:t>
      </w:r>
      <w:r w:rsidR="009077FC">
        <w:t xml:space="preserve"> </w:t>
      </w:r>
      <w:r w:rsidR="009077FC" w:rsidRPr="00E018D0">
        <w:t>and qual</w:t>
      </w:r>
      <w:r w:rsidR="009077FC" w:rsidRPr="00660239">
        <w:t>ity of accommodation to protect</w:t>
      </w:r>
      <w:r w:rsidR="009077FC">
        <w:t xml:space="preserve"> </w:t>
      </w:r>
      <w:r w:rsidR="009077FC" w:rsidRPr="00660239">
        <w:t>and promote the health, safety, and well-being of</w:t>
      </w:r>
      <w:r w:rsidR="009077FC">
        <w:t xml:space="preserve"> </w:t>
      </w:r>
      <w:r w:rsidR="009077FC" w:rsidRPr="00E018D0">
        <w:t xml:space="preserve">the </w:t>
      </w:r>
      <w:r w:rsidR="00E60CC0">
        <w:t>project</w:t>
      </w:r>
      <w:r w:rsidR="009077FC" w:rsidRPr="00E018D0">
        <w:t xml:space="preserve"> workers, and to</w:t>
      </w:r>
      <w:r w:rsidR="009077FC" w:rsidRPr="00660239">
        <w:t xml:space="preserve"> provide access to or provision</w:t>
      </w:r>
      <w:r w:rsidR="009077FC">
        <w:t xml:space="preserve"> </w:t>
      </w:r>
      <w:r w:rsidR="009077FC" w:rsidRPr="00660239">
        <w:t>of services that accommodate their physical,</w:t>
      </w:r>
      <w:r w:rsidR="009077FC">
        <w:t xml:space="preserve"> </w:t>
      </w:r>
      <w:r w:rsidR="009077FC" w:rsidRPr="00E018D0">
        <w:t>social and cultural needs.</w:t>
      </w:r>
      <w:r w:rsidR="009077FC">
        <w:t xml:space="preserve"> </w:t>
      </w:r>
    </w:p>
    <w:p w14:paraId="58EAF326" w14:textId="77777777" w:rsidR="009077FC" w:rsidRDefault="009077FC">
      <w:pPr>
        <w:pStyle w:val="SEQSbodynumbered"/>
      </w:pPr>
      <w:r w:rsidRPr="00E018D0">
        <w:t>Where</w:t>
      </w:r>
      <w:r>
        <w:t xml:space="preserve"> more than one party are employing or engaging </w:t>
      </w:r>
      <w:r w:rsidRPr="00660239">
        <w:t xml:space="preserve">workers and </w:t>
      </w:r>
      <w:r>
        <w:t xml:space="preserve">such workers </w:t>
      </w:r>
      <w:r w:rsidRPr="00660239">
        <w:t>are working together</w:t>
      </w:r>
      <w:r>
        <w:t xml:space="preserve"> </w:t>
      </w:r>
      <w:r w:rsidRPr="00E018D0">
        <w:t>in one location, t</w:t>
      </w:r>
      <w:r w:rsidRPr="00660239">
        <w:t>he parties who employ or engage</w:t>
      </w:r>
      <w:r>
        <w:t xml:space="preserve"> </w:t>
      </w:r>
      <w:r w:rsidRPr="00E018D0">
        <w:t xml:space="preserve">the workers </w:t>
      </w:r>
      <w:r>
        <w:t xml:space="preserve">shall </w:t>
      </w:r>
      <w:r w:rsidRPr="00660239">
        <w:t xml:space="preserve">collaborate in applying the </w:t>
      </w:r>
      <w:r w:rsidRPr="004A0BA3">
        <w:t>OSH</w:t>
      </w:r>
      <w:r>
        <w:t xml:space="preserve"> measures</w:t>
      </w:r>
      <w:r w:rsidRPr="00E018D0">
        <w:t xml:space="preserve">, without </w:t>
      </w:r>
      <w:r w:rsidRPr="00660239">
        <w:t>prejudice to the responsibility</w:t>
      </w:r>
      <w:r>
        <w:t xml:space="preserve"> </w:t>
      </w:r>
      <w:r w:rsidRPr="00E018D0">
        <w:t xml:space="preserve">of each </w:t>
      </w:r>
      <w:r w:rsidR="005E3D57">
        <w:t xml:space="preserve">applicable </w:t>
      </w:r>
      <w:r w:rsidRPr="00E018D0">
        <w:t>party for t</w:t>
      </w:r>
      <w:r w:rsidRPr="00660239">
        <w:t xml:space="preserve">he </w:t>
      </w:r>
      <w:r>
        <w:t>safety and health</w:t>
      </w:r>
      <w:r w:rsidRPr="00660239">
        <w:t xml:space="preserve"> of its own</w:t>
      </w:r>
      <w:r>
        <w:t xml:space="preserve"> </w:t>
      </w:r>
      <w:r w:rsidRPr="00E018D0">
        <w:t>workers.</w:t>
      </w:r>
      <w:r>
        <w:t xml:space="preserve"> The design and implementation of OSH measures shall be reviewed and necessary action taken in the event of significant changes in the working conditions or workers. </w:t>
      </w:r>
    </w:p>
    <w:p w14:paraId="487ECB86" w14:textId="77777777" w:rsidR="009077FC" w:rsidRDefault="009077FC">
      <w:pPr>
        <w:pStyle w:val="SEQSbodynumbered"/>
      </w:pPr>
      <w:r w:rsidRPr="00E018D0">
        <w:t xml:space="preserve">A </w:t>
      </w:r>
      <w:r>
        <w:t xml:space="preserve">process </w:t>
      </w:r>
      <w:r w:rsidRPr="00E018D0">
        <w:t>for</w:t>
      </w:r>
      <w:r w:rsidRPr="00660239">
        <w:t xml:space="preserve"> </w:t>
      </w:r>
      <w:r>
        <w:t xml:space="preserve">conducting accident investigations and </w:t>
      </w:r>
      <w:r w:rsidRPr="00660239">
        <w:t xml:space="preserve">regular </w:t>
      </w:r>
      <w:r>
        <w:t>evaluation</w:t>
      </w:r>
      <w:r w:rsidRPr="00660239">
        <w:t xml:space="preserve"> of</w:t>
      </w:r>
      <w:r>
        <w:t xml:space="preserve"> preventive and protective measures and OSH</w:t>
      </w:r>
      <w:r w:rsidRPr="00660239">
        <w:t xml:space="preserve"> performance </w:t>
      </w:r>
      <w:r>
        <w:t>shall</w:t>
      </w:r>
      <w:r w:rsidRPr="00E018D0">
        <w:t xml:space="preserve"> be put in p</w:t>
      </w:r>
      <w:r w:rsidRPr="00660239">
        <w:t xml:space="preserve">lace </w:t>
      </w:r>
      <w:r>
        <w:t>and</w:t>
      </w:r>
      <w:r w:rsidRPr="00EC5ECA">
        <w:t xml:space="preserve"> </w:t>
      </w:r>
      <w:r>
        <w:t xml:space="preserve">necessary corrective </w:t>
      </w:r>
      <w:r w:rsidRPr="00EC5ECA">
        <w:t>action</w:t>
      </w:r>
      <w:r>
        <w:t xml:space="preserve">s adopted based on the results of such investigations and evaluations. </w:t>
      </w:r>
    </w:p>
    <w:p w14:paraId="4352C1E6" w14:textId="0E165955" w:rsidR="009077FC" w:rsidRPr="00206F68" w:rsidRDefault="009077FC">
      <w:pPr>
        <w:pStyle w:val="SEQSbodynumbered"/>
      </w:pPr>
      <w:r w:rsidRPr="00206F68">
        <w:rPr>
          <w:b/>
        </w:rPr>
        <w:t>Workplace grievance mechanism</w:t>
      </w:r>
      <w:r>
        <w:rPr>
          <w:b/>
        </w:rPr>
        <w:t>:</w:t>
      </w:r>
      <w:r w:rsidRPr="00206F68">
        <w:t xml:space="preserve"> </w:t>
      </w:r>
      <w:r>
        <w:t>A</w:t>
      </w:r>
      <w:r w:rsidR="00816704">
        <w:t xml:space="preserve"> workplace</w:t>
      </w:r>
      <w:r w:rsidRPr="00206F68">
        <w:t xml:space="preserve"> grievance mechanism</w:t>
      </w:r>
      <w:r w:rsidR="00816704">
        <w:t xml:space="preserve"> (distinct from any general </w:t>
      </w:r>
      <w:r w:rsidR="00E60CC0">
        <w:t>project</w:t>
      </w:r>
      <w:r w:rsidR="00816704">
        <w:t xml:space="preserve">-level grievance mechanism) </w:t>
      </w:r>
      <w:r w:rsidR="00A4783D">
        <w:t>is</w:t>
      </w:r>
      <w:r>
        <w:t xml:space="preserve"> provided</w:t>
      </w:r>
      <w:r w:rsidRPr="00206F68">
        <w:t xml:space="preserve"> for all </w:t>
      </w:r>
      <w:r w:rsidR="00E60CC0">
        <w:t>project</w:t>
      </w:r>
      <w:r w:rsidRPr="00206F68">
        <w:t xml:space="preserve"> workers (and, where relevant, their organizations) to raise </w:t>
      </w:r>
      <w:r w:rsidR="008A6C6B">
        <w:t xml:space="preserve">workplace </w:t>
      </w:r>
      <w:r w:rsidRPr="00206F68">
        <w:t xml:space="preserve">concerns </w:t>
      </w:r>
      <w:r w:rsidR="008A6C6B">
        <w:t>(including potential</w:t>
      </w:r>
      <w:r w:rsidR="008A6C6B" w:rsidRPr="00206F68">
        <w:t xml:space="preserve"> </w:t>
      </w:r>
      <w:r w:rsidRPr="00206F68">
        <w:t>violations of existing rights and entitlements as provided for in legislation, collective agreements, employment contracts and human resources policies</w:t>
      </w:r>
      <w:r w:rsidR="008A6C6B">
        <w:t>)</w:t>
      </w:r>
      <w:r w:rsidRPr="00206F68">
        <w:t xml:space="preserve">. </w:t>
      </w:r>
      <w:r w:rsidR="008A6C6B">
        <w:t xml:space="preserve">The mechanism will be easily accessible to </w:t>
      </w:r>
      <w:r w:rsidR="00E60CC0">
        <w:t>project</w:t>
      </w:r>
      <w:r w:rsidR="008A6C6B">
        <w:t xml:space="preserve"> w</w:t>
      </w:r>
      <w:r w:rsidRPr="00206F68">
        <w:t xml:space="preserve">orkers </w:t>
      </w:r>
      <w:r w:rsidR="0087498C">
        <w:t xml:space="preserve">who </w:t>
      </w:r>
      <w:r w:rsidR="00BF14C8">
        <w:t>are</w:t>
      </w:r>
      <w:r w:rsidR="0087498C" w:rsidRPr="00206F68">
        <w:t xml:space="preserve"> </w:t>
      </w:r>
      <w:r w:rsidR="00E76FF2">
        <w:t xml:space="preserve">to be </w:t>
      </w:r>
      <w:r w:rsidRPr="00206F68">
        <w:t xml:space="preserve">informed of the grievance mechanism at the time of recruitment and the measures to protect them against any reprisal for its use. </w:t>
      </w:r>
    </w:p>
    <w:p w14:paraId="58E575CF" w14:textId="47B36F30" w:rsidR="009077FC" w:rsidRPr="00493162" w:rsidRDefault="009077FC">
      <w:pPr>
        <w:pStyle w:val="SEQSbodynumbered"/>
      </w:pPr>
      <w:r w:rsidRPr="00493162">
        <w:t xml:space="preserve">The grievance mechanism </w:t>
      </w:r>
      <w:r>
        <w:t>shall</w:t>
      </w:r>
      <w:r w:rsidRPr="00493162">
        <w:t xml:space="preserve"> be designed to address workers’ concerns promptly, using an understandable</w:t>
      </w:r>
      <w:r>
        <w:t>,</w:t>
      </w:r>
      <w:r w:rsidRPr="00493162">
        <w:t xml:space="preserve"> transparent process that provides timely feedback to those concerned in a language they understand, without any retribution, and </w:t>
      </w:r>
      <w:r>
        <w:t>shall</w:t>
      </w:r>
      <w:r w:rsidRPr="00493162">
        <w:t xml:space="preserve"> operate in an independent and objective manner. The grievance mechanism may utilize existing grievance mechanisms, providing that they </w:t>
      </w:r>
      <w:r w:rsidR="00BF14C8">
        <w:t>meet the above criteria</w:t>
      </w:r>
      <w:r>
        <w:t>.</w:t>
      </w:r>
      <w:r w:rsidRPr="00493162">
        <w:t xml:space="preserve"> Existing grievance mechanisms may be supplemented as needed with </w:t>
      </w:r>
      <w:r w:rsidR="00E60CC0">
        <w:t>project</w:t>
      </w:r>
      <w:r w:rsidRPr="00493162">
        <w:t>-specific arrangements.</w:t>
      </w:r>
    </w:p>
    <w:p w14:paraId="75E57D8F" w14:textId="49BD6877" w:rsidR="009077FC" w:rsidRPr="00493162" w:rsidRDefault="009077FC">
      <w:pPr>
        <w:pStyle w:val="SEQSbodynumbered"/>
      </w:pPr>
      <w:r w:rsidRPr="00493162">
        <w:t xml:space="preserve">The grievance mechanism </w:t>
      </w:r>
      <w:r>
        <w:t>shall</w:t>
      </w:r>
      <w:r w:rsidRPr="00493162">
        <w:t xml:space="preserve"> not impede access to other judicial or administrative remedies that might be available under </w:t>
      </w:r>
      <w:r w:rsidR="00E76FF2">
        <w:t>applicable</w:t>
      </w:r>
      <w:r w:rsidR="00E76FF2" w:rsidRPr="00493162">
        <w:t xml:space="preserve"> </w:t>
      </w:r>
      <w:r w:rsidRPr="00493162">
        <w:t>law</w:t>
      </w:r>
      <w:r w:rsidR="00E76FF2">
        <w:t>s, regulations or rules</w:t>
      </w:r>
      <w:r w:rsidRPr="00493162">
        <w:t xml:space="preserve"> or through existing arbitration procedures, or substitute for grievance mechanisms provided through collective agreements</w:t>
      </w:r>
      <w:r w:rsidR="00E76FF2">
        <w:t>, if applicable</w:t>
      </w:r>
      <w:r w:rsidRPr="00493162">
        <w:t>.</w:t>
      </w:r>
      <w:r>
        <w:t xml:space="preserve"> The mechanism ensure</w:t>
      </w:r>
      <w:r w:rsidR="00A4783D">
        <w:t>s</w:t>
      </w:r>
      <w:r>
        <w:t xml:space="preserve"> workers’ rights to be present and to participate directly in the proceedings and to be represented by a trade union</w:t>
      </w:r>
      <w:r w:rsidR="00E76FF2">
        <w:t>, if applicable,</w:t>
      </w:r>
      <w:r>
        <w:t xml:space="preserve"> or person of their choosing. </w:t>
      </w:r>
    </w:p>
    <w:p w14:paraId="000EBE5B" w14:textId="6C450A1E" w:rsidR="009077FC" w:rsidRPr="00C36DB2" w:rsidRDefault="009077FC">
      <w:pPr>
        <w:pStyle w:val="SEQSbodynumbered"/>
      </w:pPr>
      <w:r w:rsidRPr="00C36DB2">
        <w:rPr>
          <w:b/>
        </w:rPr>
        <w:t>Contractor/Third Party Workers</w:t>
      </w:r>
      <w:r>
        <w:t>:</w:t>
      </w:r>
      <w:r w:rsidRPr="00C36DB2">
        <w:t xml:space="preserve"> </w:t>
      </w:r>
      <w:r w:rsidR="00A4783D">
        <w:t>D</w:t>
      </w:r>
      <w:r>
        <w:t>ue diligence</w:t>
      </w:r>
      <w:r w:rsidR="00A4783D">
        <w:t xml:space="preserve"> is conducted</w:t>
      </w:r>
      <w:r w:rsidRPr="00C36DB2">
        <w:t xml:space="preserve"> to ascertain that third parties who engage </w:t>
      </w:r>
      <w:r w:rsidR="00E60CC0">
        <w:t>project</w:t>
      </w:r>
      <w:r w:rsidRPr="00C36DB2">
        <w:t xml:space="preserve"> workers are legitimate and reliable entities and have in place </w:t>
      </w:r>
      <w:r w:rsidR="00E76FF2">
        <w:t xml:space="preserve">appropriate </w:t>
      </w:r>
      <w:r w:rsidRPr="00C36DB2">
        <w:t>policies</w:t>
      </w:r>
      <w:r w:rsidR="00E76FF2">
        <w:t>,</w:t>
      </w:r>
      <w:r w:rsidRPr="00C36DB2">
        <w:t xml:space="preserve"> processes and systems that allow them to operate in accordance with the minimum requirements herein.</w:t>
      </w:r>
    </w:p>
    <w:p w14:paraId="50A94FA5" w14:textId="7D72EDC0" w:rsidR="009077FC" w:rsidRPr="00137329" w:rsidRDefault="00A4783D">
      <w:pPr>
        <w:pStyle w:val="SEQSbodynumbered"/>
      </w:pPr>
      <w:r>
        <w:t>Procedures are established</w:t>
      </w:r>
      <w:r w:rsidR="009077FC" w:rsidRPr="00137329">
        <w:t xml:space="preserve"> for managing and monitoring the performance of such third parties in relation to the </w:t>
      </w:r>
      <w:r w:rsidR="002A08B2" w:rsidRPr="00C36DB2">
        <w:t>minimum requirements herein</w:t>
      </w:r>
      <w:r w:rsidR="009077FC">
        <w:t xml:space="preserve">, including </w:t>
      </w:r>
      <w:r w:rsidR="009077FC" w:rsidRPr="00137329">
        <w:t>incorporat</w:t>
      </w:r>
      <w:r w:rsidR="009077FC">
        <w:t>ion of</w:t>
      </w:r>
      <w:r w:rsidR="009077FC" w:rsidRPr="00137329">
        <w:t xml:space="preserve"> the</w:t>
      </w:r>
      <w:r w:rsidR="009077FC">
        <w:t xml:space="preserve"> </w:t>
      </w:r>
      <w:r w:rsidR="002A08B2" w:rsidRPr="00C36DB2">
        <w:t>minimum requirements</w:t>
      </w:r>
      <w:r w:rsidR="009077FC" w:rsidRPr="00137329">
        <w:t xml:space="preserve"> </w:t>
      </w:r>
      <w:r w:rsidR="009077FC" w:rsidRPr="00137329">
        <w:lastRenderedPageBreak/>
        <w:t xml:space="preserve">into contractual agreements with such third parties, together with appropriate noncompliance remedies. In the case of subcontracting, third parties </w:t>
      </w:r>
      <w:r>
        <w:t xml:space="preserve">are required </w:t>
      </w:r>
      <w:r w:rsidR="009077FC" w:rsidRPr="00137329">
        <w:t>to include equivalent requirements and remedies in their contractual agreements with subcontractors.</w:t>
      </w:r>
    </w:p>
    <w:p w14:paraId="0A615BB1" w14:textId="58EABBB6" w:rsidR="009077FC" w:rsidRDefault="009077FC">
      <w:pPr>
        <w:pStyle w:val="SEQSbodynumbered"/>
      </w:pPr>
      <w:r w:rsidRPr="00137329">
        <w:t xml:space="preserve">Contractor workers </w:t>
      </w:r>
      <w:r>
        <w:t>shall</w:t>
      </w:r>
      <w:r w:rsidRPr="00137329">
        <w:t xml:space="preserve"> have access to a grievance mechanism. </w:t>
      </w:r>
      <w:r>
        <w:t>W</w:t>
      </w:r>
      <w:r w:rsidRPr="00137329">
        <w:t>here the third party employing or engaging the workers is not able to provide a</w:t>
      </w:r>
      <w:r>
        <w:t xml:space="preserve">n easily accessible </w:t>
      </w:r>
      <w:r w:rsidRPr="00137329">
        <w:t xml:space="preserve">grievance mechanism, the grievance mechanism provided to direct </w:t>
      </w:r>
      <w:r w:rsidR="00E60CC0">
        <w:t>project</w:t>
      </w:r>
      <w:r>
        <w:t xml:space="preserve"> </w:t>
      </w:r>
      <w:r w:rsidRPr="00137329">
        <w:t xml:space="preserve">workers </w:t>
      </w:r>
      <w:r>
        <w:t xml:space="preserve">shall be made </w:t>
      </w:r>
      <w:r w:rsidRPr="00137329">
        <w:t>available</w:t>
      </w:r>
      <w:r>
        <w:t>.</w:t>
      </w:r>
    </w:p>
    <w:p w14:paraId="540741E2" w14:textId="69C4B67E" w:rsidR="009077FC" w:rsidRPr="00C36DB2" w:rsidRDefault="009077FC">
      <w:pPr>
        <w:pStyle w:val="SEQSbodynumbered"/>
      </w:pPr>
      <w:r w:rsidRPr="00C36DB2">
        <w:rPr>
          <w:b/>
        </w:rPr>
        <w:t>Primary Supplier Workers.</w:t>
      </w:r>
      <w:r w:rsidRPr="00C36DB2">
        <w:t xml:space="preserve"> </w:t>
      </w:r>
      <w:r w:rsidR="00B712DD">
        <w:t>P</w:t>
      </w:r>
      <w:r w:rsidRPr="00C36DB2">
        <w:t xml:space="preserve">otential risks of violations of </w:t>
      </w:r>
      <w:r w:rsidR="00B712DD">
        <w:t xml:space="preserve">primary </w:t>
      </w:r>
      <w:r w:rsidRPr="00C36DB2">
        <w:t>supplier workers’ fundamental rights</w:t>
      </w:r>
      <w:r w:rsidRPr="00C36DB2">
        <w:rPr>
          <w:vertAlign w:val="superscript"/>
        </w:rPr>
        <w:footnoteReference w:id="120"/>
      </w:r>
      <w:r w:rsidRPr="00C36DB2">
        <w:rPr>
          <w:vertAlign w:val="superscript"/>
        </w:rPr>
        <w:t xml:space="preserve"> </w:t>
      </w:r>
      <w:r w:rsidRPr="00C36DB2">
        <w:t>and safety and health issues</w:t>
      </w:r>
      <w:r w:rsidR="00B712DD">
        <w:t xml:space="preserve"> </w:t>
      </w:r>
      <w:r w:rsidRPr="00C36DB2">
        <w:t>which may arise in relation to primary suppliers (at a minimum)</w:t>
      </w:r>
      <w:r w:rsidR="00B712DD">
        <w:t xml:space="preserve"> are to be identified</w:t>
      </w:r>
      <w:r w:rsidRPr="00C36DB2">
        <w:t xml:space="preserve">. </w:t>
      </w:r>
      <w:r w:rsidR="005E3D57">
        <w:t>R</w:t>
      </w:r>
      <w:r w:rsidRPr="00C36DB2">
        <w:t>oles and responsibilities for monitoring primary suppliers</w:t>
      </w:r>
      <w:r w:rsidR="005E3D57">
        <w:t xml:space="preserve"> are established</w:t>
      </w:r>
      <w:r w:rsidRPr="00C36DB2">
        <w:t xml:space="preserve">. If child </w:t>
      </w:r>
      <w:proofErr w:type="spellStart"/>
      <w:r w:rsidRPr="00C36DB2">
        <w:t>labour</w:t>
      </w:r>
      <w:proofErr w:type="spellEnd"/>
      <w:r w:rsidRPr="00C36DB2">
        <w:t xml:space="preserve"> or forced </w:t>
      </w:r>
      <w:proofErr w:type="spellStart"/>
      <w:r w:rsidRPr="00C36DB2">
        <w:t>labour</w:t>
      </w:r>
      <w:proofErr w:type="spellEnd"/>
      <w:r w:rsidRPr="00C36DB2">
        <w:t xml:space="preserve"> cases or breaches of other fundamental rights are identified, </w:t>
      </w:r>
      <w:r w:rsidR="00B712DD">
        <w:t xml:space="preserve">the </w:t>
      </w:r>
      <w:r w:rsidR="005E3D57">
        <w:t>applicable</w:t>
      </w:r>
      <w:r w:rsidR="00B712DD" w:rsidRPr="005E3D57">
        <w:t xml:space="preserve"> party</w:t>
      </w:r>
      <w:r w:rsidR="00B712DD">
        <w:t xml:space="preserve"> will </w:t>
      </w:r>
      <w:r w:rsidRPr="00C36DB2">
        <w:t>require the primary supplier to take appropriate steps to remedy them.</w:t>
      </w:r>
    </w:p>
    <w:p w14:paraId="357757DD" w14:textId="3A99FFC0" w:rsidR="009077FC" w:rsidRPr="00A125F2" w:rsidRDefault="009077FC">
      <w:pPr>
        <w:pStyle w:val="SEQSbodynumbered"/>
      </w:pPr>
      <w:r w:rsidRPr="00A125F2">
        <w:t xml:space="preserve">Additionally, where primary supplier workers are exposed to hazards that present a risk of serious injury, ill health or death, the relevant primary supplier </w:t>
      </w:r>
      <w:r w:rsidR="005E3D57">
        <w:t xml:space="preserve">is </w:t>
      </w:r>
      <w:r w:rsidR="004D4E2C">
        <w:t xml:space="preserve">required </w:t>
      </w:r>
      <w:r w:rsidRPr="00A125F2">
        <w:t xml:space="preserve">to </w:t>
      </w:r>
      <w:r w:rsidR="00816704">
        <w:t>have</w:t>
      </w:r>
      <w:r w:rsidR="00816704" w:rsidRPr="00A125F2">
        <w:t xml:space="preserve"> </w:t>
      </w:r>
      <w:r w:rsidRPr="00A125F2">
        <w:t xml:space="preserve">procedures </w:t>
      </w:r>
      <w:r w:rsidR="00816704">
        <w:t xml:space="preserve">in place </w:t>
      </w:r>
      <w:r w:rsidRPr="00A125F2">
        <w:t xml:space="preserve">to address such safety and health issues. Such procedures and mitigation measures shall be reviewed periodically to ascertain their effectiveness. </w:t>
      </w:r>
    </w:p>
    <w:p w14:paraId="3E728E2E" w14:textId="52A2BEBB" w:rsidR="009077FC" w:rsidRPr="00A125F2" w:rsidRDefault="009077FC">
      <w:pPr>
        <w:pStyle w:val="SEQSbodynumbered"/>
      </w:pPr>
      <w:r w:rsidRPr="00A125F2">
        <w:t xml:space="preserve">The ability to address these risks shall depend upon the </w:t>
      </w:r>
      <w:r w:rsidR="005E3D57">
        <w:t>applicable</w:t>
      </w:r>
      <w:r w:rsidR="005E3D57" w:rsidRPr="005E3D57">
        <w:t xml:space="preserve"> </w:t>
      </w:r>
      <w:r w:rsidRPr="005E3D57">
        <w:t>party’s</w:t>
      </w:r>
      <w:r w:rsidRPr="00A125F2">
        <w:t xml:space="preserve"> level of control or influence over its primary suppliers. Where prevention and remedy are not possible, shift the </w:t>
      </w:r>
      <w:r w:rsidR="00E60CC0">
        <w:t>project</w:t>
      </w:r>
      <w:r w:rsidR="002A08B2">
        <w:t>’s</w:t>
      </w:r>
      <w:r w:rsidRPr="00A125F2">
        <w:t xml:space="preserve"> primary suppliers to suppliers that can demonstrate that they are meeting the relevant requirements herein. Where there is imminent danger of serious injury, ill health or death to workers, the </w:t>
      </w:r>
      <w:r w:rsidR="005E3D57">
        <w:t>applicable</w:t>
      </w:r>
      <w:r w:rsidR="005E3D57" w:rsidRPr="005E3D57">
        <w:t xml:space="preserve"> </w:t>
      </w:r>
      <w:r w:rsidRPr="005E3D57">
        <w:t>party</w:t>
      </w:r>
      <w:r w:rsidRPr="00A125F2">
        <w:t xml:space="preserve"> shall exercise its control or influence to stop the operation concerned until such time as the primary supplier can demonstrate that it can control the hazard in a manner consistent with the </w:t>
      </w:r>
      <w:r w:rsidR="002A08B2">
        <w:t>minimum requirements</w:t>
      </w:r>
      <w:r w:rsidRPr="00A125F2">
        <w:t xml:space="preserve"> herein.</w:t>
      </w:r>
    </w:p>
    <w:p w14:paraId="4BC54CD5" w14:textId="77777777" w:rsidR="00093FDE" w:rsidRDefault="00093FDE" w:rsidP="00440AF3">
      <w:pPr>
        <w:pStyle w:val="SEQSbodynumbered"/>
        <w:numPr>
          <w:ilvl w:val="0"/>
          <w:numId w:val="0"/>
        </w:numPr>
        <w:ind w:left="432"/>
      </w:pPr>
    </w:p>
    <w:p w14:paraId="7B0E6DD7" w14:textId="77777777" w:rsidR="00FF0BE0" w:rsidRDefault="00093FDE" w:rsidP="00B46B06">
      <w:pPr>
        <w:pStyle w:val="Heading2"/>
      </w:pPr>
      <w:r>
        <w:br w:type="page"/>
      </w:r>
      <w:bookmarkStart w:id="23" w:name="_Toc14683706"/>
      <w:r>
        <w:lastRenderedPageBreak/>
        <w:t xml:space="preserve">Standard 8: </w:t>
      </w:r>
      <w:r w:rsidR="00FF0BE0">
        <w:t>Pollution Prevention and Resource Efficiency</w:t>
      </w:r>
      <w:bookmarkEnd w:id="23"/>
    </w:p>
    <w:p w14:paraId="7398C59E" w14:textId="77777777" w:rsidR="00FF0BE0" w:rsidRPr="00F00DDC" w:rsidRDefault="00FF0BE0" w:rsidP="000B5442">
      <w:pPr>
        <w:pStyle w:val="Heading4"/>
      </w:pPr>
      <w:r w:rsidRPr="00F00DDC">
        <w:t>Introduction</w:t>
      </w:r>
    </w:p>
    <w:p w14:paraId="46E2299F" w14:textId="74F75C51" w:rsidR="00FF0BE0" w:rsidRPr="00114F37" w:rsidRDefault="00FF0BE0" w:rsidP="00AC7F5D">
      <w:pPr>
        <w:pStyle w:val="SEQSbodynumbered"/>
        <w:numPr>
          <w:ilvl w:val="0"/>
          <w:numId w:val="6"/>
        </w:numPr>
      </w:pPr>
      <w:r w:rsidRPr="00114F37">
        <w:t>The Pollution Prevention and Resource Efficiency Standard recognizes that increased industrial activity</w:t>
      </w:r>
      <w:r w:rsidR="005E3AA3">
        <w:t xml:space="preserve">, </w:t>
      </w:r>
      <w:r w:rsidRPr="00114F37">
        <w:t>urbanization</w:t>
      </w:r>
      <w:r w:rsidR="005E3AA3">
        <w:t xml:space="preserve">, </w:t>
      </w:r>
      <w:r w:rsidR="00046CCC">
        <w:t xml:space="preserve">and </w:t>
      </w:r>
      <w:r w:rsidR="005E3AA3">
        <w:t>intensive agricultural development</w:t>
      </w:r>
      <w:r w:rsidRPr="00114F37">
        <w:t xml:space="preserve"> often generate increased levels of pollution</w:t>
      </w:r>
      <w:r>
        <w:rPr>
          <w:rStyle w:val="FootnoteReference"/>
        </w:rPr>
        <w:footnoteReference w:id="121"/>
      </w:r>
      <w:r w:rsidRPr="00114F37">
        <w:t xml:space="preserve"> to air, water, and land, and consume finite resources in a manner that may threaten people and the environment at the local, regional, and global level. Pollution prevention and resource efficiency are </w:t>
      </w:r>
      <w:r w:rsidR="00F26FF4">
        <w:t>core</w:t>
      </w:r>
      <w:r w:rsidRPr="00114F37">
        <w:t xml:space="preserve"> </w:t>
      </w:r>
      <w:r w:rsidR="00F26FF4">
        <w:t>elements</w:t>
      </w:r>
      <w:r w:rsidRPr="00114F37">
        <w:t xml:space="preserve"> of a sustainable development agenda and UNDP </w:t>
      </w:r>
      <w:r w:rsidR="00E60CC0">
        <w:t>project</w:t>
      </w:r>
      <w:r w:rsidRPr="00114F37">
        <w:t>s must meet good international practice in this regard.</w:t>
      </w:r>
    </w:p>
    <w:p w14:paraId="6D638FE7" w14:textId="46F80CAE" w:rsidR="00FF0BE0" w:rsidRPr="00114F37" w:rsidRDefault="00FF0BE0" w:rsidP="00AC7F5D">
      <w:pPr>
        <w:pStyle w:val="SEQSbodynumbered"/>
      </w:pPr>
      <w:r w:rsidRPr="00114F37">
        <w:t>This Standard outlines a project-level approach to pollution prevention and resource efficiency</w:t>
      </w:r>
      <w:r>
        <w:t xml:space="preserve">. </w:t>
      </w:r>
      <w:r w:rsidRPr="00114F37">
        <w:t xml:space="preserve">Reduction of greenhouse gas emissions that contribute to climate change is addressed in </w:t>
      </w:r>
      <w:r w:rsidR="006B43F0">
        <w:t xml:space="preserve">Standard 2: </w:t>
      </w:r>
      <w:r w:rsidRPr="00114F37">
        <w:t xml:space="preserve">Climate Change </w:t>
      </w:r>
      <w:r w:rsidR="005F5F42">
        <w:t>and Disaster Risks.</w:t>
      </w:r>
    </w:p>
    <w:p w14:paraId="1F947446" w14:textId="77777777" w:rsidR="00FF0BE0" w:rsidRPr="00F00DDC" w:rsidRDefault="00FF0BE0" w:rsidP="000B5442">
      <w:pPr>
        <w:pStyle w:val="Heading4"/>
      </w:pPr>
      <w:r w:rsidRPr="00F00DDC">
        <w:t>Objectives</w:t>
      </w:r>
    </w:p>
    <w:p w14:paraId="1D3D75E0" w14:textId="0FB8C9F9" w:rsidR="00FF0BE0" w:rsidRPr="0053666D" w:rsidRDefault="00FF0BE0" w:rsidP="000828D8">
      <w:pPr>
        <w:pStyle w:val="listbullets1"/>
      </w:pPr>
      <w:r w:rsidRPr="0053666D">
        <w:t xml:space="preserve">To avoid or minimize adverse impacts on human health and the environment by avoiding or minimizing pollution from </w:t>
      </w:r>
      <w:r w:rsidR="00E60CC0">
        <w:t>project</w:t>
      </w:r>
      <w:r w:rsidRPr="0053666D">
        <w:t xml:space="preserve"> activities</w:t>
      </w:r>
    </w:p>
    <w:p w14:paraId="59DFE10C" w14:textId="77777777" w:rsidR="00FF0BE0" w:rsidRDefault="00FF0BE0" w:rsidP="000828D8">
      <w:pPr>
        <w:pStyle w:val="listbullets1"/>
      </w:pPr>
      <w:r w:rsidRPr="0053666D">
        <w:t>To promote more sustainable use of resources, including energy</w:t>
      </w:r>
      <w:r w:rsidR="00783594">
        <w:t>, land</w:t>
      </w:r>
      <w:r w:rsidRPr="0053666D">
        <w:t xml:space="preserve"> and water</w:t>
      </w:r>
    </w:p>
    <w:p w14:paraId="7CC97EEB" w14:textId="77777777" w:rsidR="009A1C35" w:rsidRDefault="009A1C35" w:rsidP="000828D8">
      <w:pPr>
        <w:pStyle w:val="listbullets1"/>
      </w:pPr>
      <w:r>
        <w:t>To a</w:t>
      </w:r>
      <w:r w:rsidRPr="00892AF5">
        <w:t>void or minimize programm</w:t>
      </w:r>
      <w:r>
        <w:t>ing</w:t>
      </w:r>
      <w:r w:rsidRPr="00892AF5">
        <w:t>-related emissions of short and long-lived climate pollutants</w:t>
      </w:r>
      <w:r w:rsidRPr="00892AF5">
        <w:rPr>
          <w:rStyle w:val="FootnoteReference"/>
        </w:rPr>
        <w:footnoteReference w:id="122"/>
      </w:r>
      <w:r w:rsidRPr="00892AF5">
        <w:t xml:space="preserve"> and ozone-depleting substances</w:t>
      </w:r>
      <w:r w:rsidRPr="00892AF5">
        <w:rPr>
          <w:rStyle w:val="FootnoteReference"/>
        </w:rPr>
        <w:footnoteReference w:id="123"/>
      </w:r>
    </w:p>
    <w:p w14:paraId="5916FD59" w14:textId="77777777" w:rsidR="006E4FE1" w:rsidRPr="006E4FE1" w:rsidRDefault="006E4FE1" w:rsidP="000828D8">
      <w:pPr>
        <w:pStyle w:val="listbullets1"/>
      </w:pPr>
      <w:r>
        <w:t>To a</w:t>
      </w:r>
      <w:r w:rsidRPr="006E4FE1">
        <w:t>void or minimize generation of hazardous and non-hazardous substances and wastes, and promote a human rights-based approach to the management and disposal of hazardous substances and waste</w:t>
      </w:r>
      <w:r>
        <w:t>s</w:t>
      </w:r>
      <w:r w:rsidRPr="006E4FE1">
        <w:rPr>
          <w:vertAlign w:val="superscript"/>
        </w:rPr>
        <w:footnoteReference w:id="124"/>
      </w:r>
      <w:r w:rsidRPr="006E4FE1">
        <w:t xml:space="preserve"> </w:t>
      </w:r>
    </w:p>
    <w:p w14:paraId="62022276" w14:textId="77777777" w:rsidR="006E4FE1" w:rsidRPr="0053666D" w:rsidRDefault="006E4FE1" w:rsidP="000828D8">
      <w:pPr>
        <w:pStyle w:val="listbullets1"/>
      </w:pPr>
      <w:r>
        <w:t>To p</w:t>
      </w:r>
      <w:r w:rsidRPr="006E4FE1">
        <w:t>romote safe, effective, environmentally sound pest management.</w:t>
      </w:r>
    </w:p>
    <w:p w14:paraId="06F0EEA0" w14:textId="77777777" w:rsidR="00FF0BE0" w:rsidRPr="00F00DDC" w:rsidRDefault="00FF0BE0" w:rsidP="000B5442">
      <w:pPr>
        <w:pStyle w:val="Heading4"/>
      </w:pPr>
      <w:r w:rsidRPr="00F00DDC">
        <w:t>Scope of Application</w:t>
      </w:r>
    </w:p>
    <w:p w14:paraId="63FF16DC" w14:textId="239EF221" w:rsidR="00FF0BE0" w:rsidRPr="00AC1E35" w:rsidRDefault="00FF0BE0" w:rsidP="00AC7F5D">
      <w:pPr>
        <w:pStyle w:val="SEQSbodynumbered"/>
      </w:pPr>
      <w:r w:rsidRPr="00AC1E35">
        <w:t xml:space="preserve">The applicability of </w:t>
      </w:r>
      <w:r w:rsidR="00081CE9">
        <w:t>this</w:t>
      </w:r>
      <w:r>
        <w:t xml:space="preserve"> </w:t>
      </w:r>
      <w:r w:rsidR="004C2219">
        <w:t>Standard</w:t>
      </w:r>
      <w:r w:rsidRPr="00AC1E35">
        <w:t xml:space="preserve"> is established during the </w:t>
      </w:r>
      <w:r w:rsidR="00D7769D">
        <w:t>social and environmental</w:t>
      </w:r>
      <w:r w:rsidRPr="00AC1E35">
        <w:t xml:space="preserve"> screening and </w:t>
      </w:r>
      <w:r w:rsidR="00085A45">
        <w:t>categorization</w:t>
      </w:r>
      <w:r w:rsidR="00085A45" w:rsidRPr="00F00DDC">
        <w:t xml:space="preserve"> </w:t>
      </w:r>
      <w:r w:rsidRPr="00AC1E35">
        <w:t>process.</w:t>
      </w:r>
      <w:r w:rsidR="009720BB">
        <w:t xml:space="preserve"> Requirements of this Standard apply to </w:t>
      </w:r>
      <w:r w:rsidR="00E60CC0">
        <w:t>project</w:t>
      </w:r>
      <w:r w:rsidR="009720BB">
        <w:t>s that</w:t>
      </w:r>
      <w:r w:rsidR="00453C26">
        <w:t xml:space="preserve"> (i) </w:t>
      </w:r>
      <w:r w:rsidR="00E60CE4">
        <w:t>aim to improve existing waste management practices</w:t>
      </w:r>
      <w:r w:rsidR="00F4480C">
        <w:t>;</w:t>
      </w:r>
      <w:r w:rsidR="00E60CE4">
        <w:t xml:space="preserve"> (ii) </w:t>
      </w:r>
      <w:r w:rsidR="009847FE">
        <w:t>generate or cause</w:t>
      </w:r>
      <w:r w:rsidR="00453C26">
        <w:t xml:space="preserve"> generation of solid, liquid or gaseous waste; (ii</w:t>
      </w:r>
      <w:r w:rsidR="00E60CE4">
        <w:t>i</w:t>
      </w:r>
      <w:r w:rsidR="009847FE">
        <w:t>) use, cause use of, or manage</w:t>
      </w:r>
      <w:r w:rsidR="00453C26">
        <w:t xml:space="preserve"> </w:t>
      </w:r>
      <w:r w:rsidR="006B43F0">
        <w:t xml:space="preserve">the </w:t>
      </w:r>
      <w:r w:rsidR="00453C26">
        <w:t xml:space="preserve">use, storage </w:t>
      </w:r>
      <w:r w:rsidR="006B43F0">
        <w:t xml:space="preserve">or </w:t>
      </w:r>
      <w:r w:rsidR="00453C26">
        <w:t xml:space="preserve">disposal of hazardous materials and </w:t>
      </w:r>
      <w:r w:rsidR="00453C26">
        <w:lastRenderedPageBreak/>
        <w:t>chemicals, including pesticides; and (i</w:t>
      </w:r>
      <w:r w:rsidR="00E60CE4">
        <w:t>v</w:t>
      </w:r>
      <w:r w:rsidR="009847FE">
        <w:t>) that significantly consume</w:t>
      </w:r>
      <w:r w:rsidR="00453C26">
        <w:t xml:space="preserve"> or c</w:t>
      </w:r>
      <w:r w:rsidR="009847FE">
        <w:t>ause</w:t>
      </w:r>
      <w:r w:rsidR="00453C26">
        <w:t xml:space="preserve"> consumption of water, energy, or other resources</w:t>
      </w:r>
      <w:r w:rsidR="00BF6185">
        <w:t>.</w:t>
      </w:r>
      <w:r w:rsidR="009720BB">
        <w:t xml:space="preserve"> </w:t>
      </w:r>
    </w:p>
    <w:p w14:paraId="4C1CF29A" w14:textId="77777777" w:rsidR="00FF0BE0" w:rsidRDefault="00FF0BE0" w:rsidP="000B5442">
      <w:pPr>
        <w:pStyle w:val="Heading4"/>
      </w:pPr>
      <w:r w:rsidRPr="00F00DDC">
        <w:t>Requirements</w:t>
      </w:r>
    </w:p>
    <w:p w14:paraId="0D93E161" w14:textId="6B527953" w:rsidR="00FF0BE0" w:rsidRDefault="00FF0BE0" w:rsidP="00AC7F5D">
      <w:pPr>
        <w:pStyle w:val="SEQSbodynumbered"/>
      </w:pPr>
      <w:r w:rsidRPr="00AC1E35">
        <w:rPr>
          <w:b/>
        </w:rPr>
        <w:t xml:space="preserve">Pollution </w:t>
      </w:r>
      <w:r w:rsidR="00F4480C">
        <w:rPr>
          <w:b/>
        </w:rPr>
        <w:t>p</w:t>
      </w:r>
      <w:r w:rsidRPr="00AC1E35">
        <w:rPr>
          <w:b/>
        </w:rPr>
        <w:t xml:space="preserve">revention: </w:t>
      </w:r>
      <w:r>
        <w:t>UNDP</w:t>
      </w:r>
      <w:r w:rsidRPr="00D60FB2">
        <w:t xml:space="preserve"> ensure</w:t>
      </w:r>
      <w:r w:rsidR="00A4783D">
        <w:t>s</w:t>
      </w:r>
      <w:r w:rsidRPr="00D60FB2">
        <w:t xml:space="preserve"> that </w:t>
      </w:r>
      <w:r w:rsidR="00E60CC0">
        <w:t>project</w:t>
      </w:r>
      <w:r w:rsidRPr="00D60FB2">
        <w:t xml:space="preserve">s avoid the release of pollutants, </w:t>
      </w:r>
      <w:r w:rsidR="00221D64">
        <w:t>and</w:t>
      </w:r>
      <w:r w:rsidRPr="00D60FB2">
        <w:t xml:space="preserve"> when avoidance is not feasible, minimize and/or control the intensity and mass flow of their release. This applies to the release of pollutants to air, water, and land due to routine, non-routine, and accidental circumstances.</w:t>
      </w:r>
      <w:r>
        <w:rPr>
          <w:rStyle w:val="FootnoteReference"/>
        </w:rPr>
        <w:footnoteReference w:id="125"/>
      </w:r>
      <w:r>
        <w:rPr>
          <w:b/>
        </w:rPr>
        <w:t xml:space="preserve"> </w:t>
      </w:r>
      <w:r w:rsidRPr="00AC1E35">
        <w:t xml:space="preserve">UNDP </w:t>
      </w:r>
      <w:r w:rsidR="00E60CC0">
        <w:t>project</w:t>
      </w:r>
      <w:r w:rsidR="00036EFF">
        <w:t xml:space="preserve">s </w:t>
      </w:r>
      <w:r w:rsidRPr="00AC1E35">
        <w:t xml:space="preserve">ensure that pollution prevention and control technologies and practices </w:t>
      </w:r>
      <w:r w:rsidR="009A1C35">
        <w:t xml:space="preserve">are applied during the </w:t>
      </w:r>
      <w:r w:rsidR="00E60CC0">
        <w:t>project</w:t>
      </w:r>
      <w:r w:rsidR="009A1C35">
        <w:t xml:space="preserve"> life cycle, utilizing performance levels and measures</w:t>
      </w:r>
      <w:r w:rsidR="009A1C35" w:rsidRPr="00AC1E35">
        <w:t xml:space="preserve"> </w:t>
      </w:r>
      <w:r w:rsidR="009A1C35">
        <w:t>specified in</w:t>
      </w:r>
      <w:r w:rsidRPr="00AC1E35">
        <w:t xml:space="preserve"> </w:t>
      </w:r>
      <w:r w:rsidR="009A1C35">
        <w:t xml:space="preserve">national law or in good </w:t>
      </w:r>
      <w:r w:rsidRPr="00AC1E35">
        <w:t>international good practice</w:t>
      </w:r>
      <w:r w:rsidR="009A1C35">
        <w:t>,</w:t>
      </w:r>
      <w:r>
        <w:rPr>
          <w:rStyle w:val="FootnoteReference"/>
        </w:rPr>
        <w:footnoteReference w:id="126"/>
      </w:r>
      <w:r>
        <w:t xml:space="preserve"> </w:t>
      </w:r>
      <w:r w:rsidR="009A1C35">
        <w:t>whichever is more stringent</w:t>
      </w:r>
      <w:r>
        <w:t xml:space="preserve">. </w:t>
      </w:r>
      <w:r w:rsidR="009A1C35" w:rsidRPr="00B82B68">
        <w:t>If less stringent measures</w:t>
      </w:r>
      <w:r w:rsidR="007C5AEF">
        <w:t xml:space="preserve"> (</w:t>
      </w:r>
      <w:r w:rsidR="006468F5">
        <w:t>as compared to</w:t>
      </w:r>
      <w:r w:rsidR="007C5AEF">
        <w:t xml:space="preserve"> good</w:t>
      </w:r>
      <w:r w:rsidR="003B3E77">
        <w:t xml:space="preserve"> international</w:t>
      </w:r>
      <w:r w:rsidR="007C5AEF">
        <w:t xml:space="preserve"> practice)</w:t>
      </w:r>
      <w:r w:rsidR="009A1C35" w:rsidRPr="00B82B68">
        <w:t xml:space="preserve"> are appropriate, </w:t>
      </w:r>
      <w:r w:rsidR="003B3E77">
        <w:t xml:space="preserve">the </w:t>
      </w:r>
      <w:r w:rsidR="00E60CC0">
        <w:t>project</w:t>
      </w:r>
      <w:r w:rsidR="003B3E77">
        <w:t xml:space="preserve"> will </w:t>
      </w:r>
      <w:r w:rsidR="009A1C35" w:rsidRPr="00B82B68">
        <w:t xml:space="preserve">fully justify </w:t>
      </w:r>
      <w:r w:rsidR="009A1C35">
        <w:t xml:space="preserve">the chosen </w:t>
      </w:r>
      <w:r w:rsidR="009A1C35" w:rsidRPr="00B82B68">
        <w:t xml:space="preserve">alternative through </w:t>
      </w:r>
      <w:r w:rsidR="009A1C35">
        <w:t xml:space="preserve">the </w:t>
      </w:r>
      <w:r w:rsidR="009A1C35" w:rsidRPr="00B82B68">
        <w:t>assessment process</w:t>
      </w:r>
      <w:r w:rsidR="009A1C35">
        <w:t>, demonstrating</w:t>
      </w:r>
      <w:r w:rsidR="009A1C35" w:rsidRPr="00B82B68">
        <w:t xml:space="preserve"> that </w:t>
      </w:r>
      <w:r w:rsidR="009A1C35">
        <w:t xml:space="preserve">the </w:t>
      </w:r>
      <w:r w:rsidR="009A1C35" w:rsidRPr="00B82B68">
        <w:t xml:space="preserve">alternative is consistent with </w:t>
      </w:r>
      <w:r w:rsidR="009A1C35">
        <w:t xml:space="preserve">these </w:t>
      </w:r>
      <w:r w:rsidR="009A1C35" w:rsidRPr="00B82B68">
        <w:t>requirements</w:t>
      </w:r>
      <w:r w:rsidR="009A1C35">
        <w:t xml:space="preserve">. </w:t>
      </w:r>
      <w:r>
        <w:t xml:space="preserve">The technologies and practices applied will be tailored to the hazards and risks associated with the nature of the </w:t>
      </w:r>
      <w:r w:rsidR="00E60CC0">
        <w:t>project</w:t>
      </w:r>
      <w:r>
        <w:t>.</w:t>
      </w:r>
    </w:p>
    <w:p w14:paraId="7D39FB22" w14:textId="77777777" w:rsidR="003730F5" w:rsidRPr="003730F5" w:rsidRDefault="008E7901" w:rsidP="00AC7F5D">
      <w:pPr>
        <w:pStyle w:val="SEQSbodynumbered"/>
      </w:pPr>
      <w:r>
        <w:t xml:space="preserve">Upon request, </w:t>
      </w:r>
      <w:r w:rsidR="003730F5" w:rsidRPr="000E6C9D">
        <w:t>UNDP will support</w:t>
      </w:r>
      <w:r w:rsidR="00DB29DB">
        <w:t xml:space="preserve"> countries </w:t>
      </w:r>
      <w:r>
        <w:t xml:space="preserve">to strengthen </w:t>
      </w:r>
      <w:r w:rsidR="000E6C9D">
        <w:t>management and systems for improved pollution prevention</w:t>
      </w:r>
      <w:r w:rsidR="00B82704">
        <w:t>, waste reduction, and chemicals management.</w:t>
      </w:r>
      <w:r w:rsidR="00B82704">
        <w:rPr>
          <w:rStyle w:val="FootnoteReference"/>
        </w:rPr>
        <w:footnoteReference w:id="127"/>
      </w:r>
    </w:p>
    <w:p w14:paraId="346450B2" w14:textId="085BB3DB" w:rsidR="00FF0BE0" w:rsidRPr="00E37417" w:rsidRDefault="00FF0BE0" w:rsidP="007834FA">
      <w:pPr>
        <w:pStyle w:val="SEQSbodynumbered"/>
      </w:pPr>
      <w:r w:rsidRPr="00E37417">
        <w:rPr>
          <w:b/>
        </w:rPr>
        <w:t xml:space="preserve">Ambient </w:t>
      </w:r>
      <w:r w:rsidR="00D9643E">
        <w:rPr>
          <w:b/>
        </w:rPr>
        <w:t>c</w:t>
      </w:r>
      <w:r w:rsidRPr="00E37417">
        <w:rPr>
          <w:b/>
        </w:rPr>
        <w:t>onsiderations:</w:t>
      </w:r>
      <w:r>
        <w:t xml:space="preserve"> </w:t>
      </w:r>
      <w:r w:rsidRPr="00E37417">
        <w:t xml:space="preserve">To address adverse impacts on existing ambient conditions (such as air, surface </w:t>
      </w:r>
      <w:r w:rsidR="00D9643E">
        <w:t xml:space="preserve">water, </w:t>
      </w:r>
      <w:r w:rsidRPr="00E37417">
        <w:t>groundwater, and soils</w:t>
      </w:r>
      <w:r w:rsidR="005432D0">
        <w:t>)</w:t>
      </w:r>
      <w:r w:rsidR="00E6295D">
        <w:t xml:space="preserve">, </w:t>
      </w:r>
      <w:r w:rsidRPr="00E37417">
        <w:t>a number of factors</w:t>
      </w:r>
      <w:r w:rsidR="00E6295D">
        <w:t xml:space="preserve"> will be considered</w:t>
      </w:r>
      <w:r w:rsidRPr="00E37417">
        <w:t>, including the finite assimilative capacity of the environment</w:t>
      </w:r>
      <w:r w:rsidR="004B4A44">
        <w:t>,</w:t>
      </w:r>
      <w:r w:rsidR="00362274">
        <w:rPr>
          <w:rStyle w:val="FootnoteReference"/>
        </w:rPr>
        <w:footnoteReference w:id="128"/>
      </w:r>
      <w:r w:rsidRPr="00E37417">
        <w:t xml:space="preserve"> existing and </w:t>
      </w:r>
      <w:r w:rsidR="004B4A44">
        <w:t>planned</w:t>
      </w:r>
      <w:r w:rsidR="004B4A44" w:rsidRPr="00E37417">
        <w:t xml:space="preserve"> </w:t>
      </w:r>
      <w:r w:rsidRPr="00E37417">
        <w:t xml:space="preserve">land use, existing ambient conditions, the </w:t>
      </w:r>
      <w:r w:rsidR="00E60CC0">
        <w:t>project</w:t>
      </w:r>
      <w:r w:rsidRPr="00E37417">
        <w:t>’s proximity to ecologically</w:t>
      </w:r>
      <w:r w:rsidR="00D9643E">
        <w:t xml:space="preserve"> </w:t>
      </w:r>
      <w:r w:rsidRPr="00E37417">
        <w:t>sensitive or protected areas</w:t>
      </w:r>
      <w:r w:rsidR="003B3E77">
        <w:t xml:space="preserve"> (see Standard 1)</w:t>
      </w:r>
      <w:r w:rsidRPr="00E37417">
        <w:t>, the potential for cumulative impacts with uncertain and irreversible consequences</w:t>
      </w:r>
      <w:r w:rsidR="007D20B0">
        <w:t xml:space="preserve">, </w:t>
      </w:r>
      <w:r w:rsidRPr="00E37417">
        <w:t xml:space="preserve">and </w:t>
      </w:r>
      <w:r w:rsidR="007D20B0">
        <w:t>strategies for avoiding and minimizing the</w:t>
      </w:r>
      <w:r w:rsidRPr="00E37417">
        <w:t xml:space="preserve"> release of pollutants</w:t>
      </w:r>
      <w:r w:rsidR="007D20B0">
        <w:t>.</w:t>
      </w:r>
      <w:r>
        <w:t xml:space="preserve"> </w:t>
      </w:r>
      <w:r w:rsidR="009A1C35" w:rsidRPr="009A1C35">
        <w:t xml:space="preserve">If the </w:t>
      </w:r>
      <w:r w:rsidR="00E60CC0">
        <w:t>project</w:t>
      </w:r>
      <w:r w:rsidR="009A1C35" w:rsidRPr="009A1C35">
        <w:t xml:space="preserve"> activities will generate significant</w:t>
      </w:r>
      <w:r w:rsidR="003B3E77">
        <w:t xml:space="preserve"> pollutants</w:t>
      </w:r>
      <w:r w:rsidR="009A1C35" w:rsidRPr="009A1C35">
        <w:t xml:space="preserve"> in already degraded/polluted areas, adopt measures that avoid and minimize potential negative effects, including potential alternative locations. </w:t>
      </w:r>
      <w:r w:rsidR="003B3E77">
        <w:t xml:space="preserve">The </w:t>
      </w:r>
      <w:r w:rsidR="00E60CC0">
        <w:t>project</w:t>
      </w:r>
      <w:r w:rsidR="003B3E77">
        <w:t xml:space="preserve"> will c</w:t>
      </w:r>
      <w:r w:rsidR="009A1C35" w:rsidRPr="009A1C35">
        <w:t xml:space="preserve">ontrol runoff of contaminated water from </w:t>
      </w:r>
      <w:r w:rsidR="00E60CC0">
        <w:t>project</w:t>
      </w:r>
      <w:r w:rsidR="009A1C35" w:rsidRPr="009A1C35">
        <w:t xml:space="preserve"> sites and ensure polluted wastewater is treated.</w:t>
      </w:r>
    </w:p>
    <w:p w14:paraId="0778948F" w14:textId="64251AE5" w:rsidR="00464B15" w:rsidRPr="00A42F72" w:rsidRDefault="00FF0BE0">
      <w:pPr>
        <w:pStyle w:val="SEQSbodynumbered"/>
      </w:pPr>
      <w:r w:rsidRPr="00DB20CD">
        <w:rPr>
          <w:b/>
        </w:rPr>
        <w:t xml:space="preserve">Wastes: </w:t>
      </w:r>
      <w:r w:rsidRPr="00DB20CD">
        <w:t>UNDP ensure</w:t>
      </w:r>
      <w:r w:rsidR="00A4783D">
        <w:t>s</w:t>
      </w:r>
      <w:r w:rsidRPr="00DB20CD">
        <w:t xml:space="preserve"> that </w:t>
      </w:r>
      <w:r w:rsidR="00E60CC0">
        <w:t>project</w:t>
      </w:r>
      <w:r w:rsidRPr="00DB20CD">
        <w:t xml:space="preserve">s avoid the generation of hazardous and non-hazardous waste materials. Where waste generation cannot be avoided, </w:t>
      </w:r>
      <w:r w:rsidR="00E60CC0">
        <w:t>project</w:t>
      </w:r>
      <w:r w:rsidRPr="00DB20CD">
        <w:t>s reduce the generation of waste</w:t>
      </w:r>
      <w:r w:rsidR="00DE57E6">
        <w:t>—including plastics—</w:t>
      </w:r>
      <w:r w:rsidRPr="00DB20CD">
        <w:t xml:space="preserve">and recover and reuse waste in a manner that is safe for human health and the environment. Where waste cannot be recovered or reused, it </w:t>
      </w:r>
      <w:r w:rsidR="00A4783D">
        <w:t>is</w:t>
      </w:r>
      <w:r w:rsidRPr="00DB20CD">
        <w:t xml:space="preserve"> treated, destroyed, or disposed of in </w:t>
      </w:r>
      <w:r w:rsidRPr="00DB20CD">
        <w:lastRenderedPageBreak/>
        <w:t xml:space="preserve">an environmentally sound manner that includes the appropriate control of emissions and residues resulting from the handling and processing of the waste material. </w:t>
      </w:r>
      <w:r w:rsidR="00464B15">
        <w:t xml:space="preserve">UNDP </w:t>
      </w:r>
      <w:r w:rsidR="00E60CC0">
        <w:t>project</w:t>
      </w:r>
      <w:r w:rsidR="00464B15">
        <w:t>s d</w:t>
      </w:r>
      <w:r w:rsidR="00CC4831" w:rsidRPr="003E7270">
        <w:t>evelop</w:t>
      </w:r>
      <w:r w:rsidR="00CC4831">
        <w:rPr>
          <w:rFonts w:eastAsia="Times New Roman"/>
          <w:color w:val="000000"/>
        </w:rPr>
        <w:t xml:space="preserve"> waste management plans where waste generation and handling may be significant.</w:t>
      </w:r>
    </w:p>
    <w:p w14:paraId="37E7E7E6" w14:textId="6C74ED8F" w:rsidR="00FF0BE0" w:rsidRDefault="00FF0BE0">
      <w:pPr>
        <w:pStyle w:val="SEQSbodynumbered"/>
      </w:pPr>
      <w:r w:rsidRPr="00DB20CD">
        <w:t>If the generated waste is considered hazardous</w:t>
      </w:r>
      <w:r w:rsidR="00A844DB">
        <w:t>,</w:t>
      </w:r>
      <w:r w:rsidR="00920ECC">
        <w:rPr>
          <w:rStyle w:val="FootnoteReference"/>
        </w:rPr>
        <w:footnoteReference w:id="129"/>
      </w:r>
      <w:r w:rsidRPr="00DB20CD">
        <w:t xml:space="preserve"> reasonable alternatives for its environmentally sound disposal </w:t>
      </w:r>
      <w:r>
        <w:t xml:space="preserve">will be adopted </w:t>
      </w:r>
      <w:r w:rsidRPr="00DB20CD">
        <w:t>while adhering to the limitations applicable to its transboundary movement.</w:t>
      </w:r>
      <w:r>
        <w:rPr>
          <w:rStyle w:val="FootnoteReference"/>
        </w:rPr>
        <w:footnoteReference w:id="130"/>
      </w:r>
      <w:r w:rsidRPr="00DB20CD">
        <w:t xml:space="preserve"> When hazardous waste disposal is conducted by third parties, UNDP will ensure the use of contractors that are reputable and legitimate enterprises licensed by the relevant government regulatory agencies and </w:t>
      </w:r>
      <w:r w:rsidR="00D9643E">
        <w:t>that</w:t>
      </w:r>
      <w:r w:rsidR="00D9643E" w:rsidRPr="00DB20CD">
        <w:t xml:space="preserve"> </w:t>
      </w:r>
      <w:r w:rsidRPr="00DB20CD">
        <w:t>chain of custody documentation to the final destination</w:t>
      </w:r>
      <w:r w:rsidR="00D9643E">
        <w:t xml:space="preserve"> is obtained.</w:t>
      </w:r>
      <w:r w:rsidR="00CC4831">
        <w:t xml:space="preserve"> </w:t>
      </w:r>
      <w:r w:rsidR="00464B15">
        <w:rPr>
          <w:rFonts w:eastAsia="Times New Roman"/>
          <w:color w:val="000000"/>
        </w:rPr>
        <w:t xml:space="preserve">UNDP </w:t>
      </w:r>
      <w:r w:rsidR="00E60CC0">
        <w:rPr>
          <w:rFonts w:eastAsia="Times New Roman"/>
          <w:color w:val="000000"/>
        </w:rPr>
        <w:t>project</w:t>
      </w:r>
      <w:r w:rsidR="00464B15">
        <w:rPr>
          <w:rFonts w:eastAsia="Times New Roman"/>
          <w:color w:val="000000"/>
        </w:rPr>
        <w:t>s will a</w:t>
      </w:r>
      <w:r w:rsidR="00CC4831" w:rsidRPr="00B82B68">
        <w:rPr>
          <w:rFonts w:eastAsia="Times New Roman"/>
          <w:color w:val="000000"/>
        </w:rPr>
        <w:t>scertain if licensed disposal sites are being operated to acceptable standards</w:t>
      </w:r>
      <w:r w:rsidR="00464B15">
        <w:rPr>
          <w:rFonts w:eastAsia="Times New Roman"/>
          <w:color w:val="000000"/>
        </w:rPr>
        <w:t>; i</w:t>
      </w:r>
      <w:r w:rsidR="00CC4831" w:rsidRPr="00B82B68">
        <w:rPr>
          <w:rFonts w:eastAsia="Times New Roman"/>
          <w:color w:val="000000"/>
        </w:rPr>
        <w:t xml:space="preserve">f </w:t>
      </w:r>
      <w:r w:rsidR="00464B15">
        <w:rPr>
          <w:rFonts w:eastAsia="Times New Roman"/>
          <w:color w:val="000000"/>
        </w:rPr>
        <w:t xml:space="preserve">this is </w:t>
      </w:r>
      <w:r w:rsidR="00CC4831" w:rsidRPr="00B82B68">
        <w:rPr>
          <w:rFonts w:eastAsia="Times New Roman"/>
          <w:color w:val="000000"/>
        </w:rPr>
        <w:t>not</w:t>
      </w:r>
      <w:r w:rsidR="00464B15">
        <w:rPr>
          <w:rFonts w:eastAsia="Times New Roman"/>
          <w:color w:val="000000"/>
        </w:rPr>
        <w:t xml:space="preserve"> the case, the </w:t>
      </w:r>
      <w:r w:rsidR="00E60CC0">
        <w:rPr>
          <w:rFonts w:eastAsia="Times New Roman"/>
          <w:color w:val="000000"/>
        </w:rPr>
        <w:t>project</w:t>
      </w:r>
      <w:r w:rsidR="00464B15">
        <w:rPr>
          <w:rFonts w:eastAsia="Times New Roman"/>
          <w:color w:val="000000"/>
        </w:rPr>
        <w:t xml:space="preserve"> will</w:t>
      </w:r>
      <w:r w:rsidR="00CC4831" w:rsidRPr="00B82B68">
        <w:rPr>
          <w:rFonts w:eastAsia="Times New Roman"/>
          <w:color w:val="000000"/>
        </w:rPr>
        <w:t xml:space="preserve"> minimize waste sent to such sites and conside</w:t>
      </w:r>
      <w:r w:rsidR="00CC4831">
        <w:rPr>
          <w:rFonts w:eastAsia="Times New Roman"/>
          <w:color w:val="000000"/>
        </w:rPr>
        <w:t>r alternative disposal options.</w:t>
      </w:r>
    </w:p>
    <w:p w14:paraId="56B83400" w14:textId="34B1FE46" w:rsidR="00FF0BE0" w:rsidRDefault="00FF0BE0">
      <w:pPr>
        <w:pStyle w:val="SEQSbodynumbered"/>
      </w:pPr>
      <w:r>
        <w:rPr>
          <w:b/>
          <w:iCs/>
        </w:rPr>
        <w:t xml:space="preserve">Hazardous </w:t>
      </w:r>
      <w:r w:rsidR="00B9646A">
        <w:rPr>
          <w:b/>
          <w:iCs/>
        </w:rPr>
        <w:t>m</w:t>
      </w:r>
      <w:r>
        <w:rPr>
          <w:b/>
          <w:iCs/>
        </w:rPr>
        <w:t xml:space="preserve">aterials: </w:t>
      </w:r>
      <w:r w:rsidRPr="00DB20CD">
        <w:t xml:space="preserve">UNDP </w:t>
      </w:r>
      <w:r w:rsidR="00E60CC0">
        <w:t>project</w:t>
      </w:r>
      <w:r w:rsidRPr="00DB20CD">
        <w:t>s will avoid or, when avoidance is not feasible, minimize and control release</w:t>
      </w:r>
      <w:r w:rsidR="00CC4831">
        <w:t xml:space="preserve"> and</w:t>
      </w:r>
      <w:r w:rsidR="00464B15">
        <w:t xml:space="preserve"> </w:t>
      </w:r>
      <w:r w:rsidR="00CC4831">
        <w:t>exposure</w:t>
      </w:r>
      <w:r w:rsidRPr="00DB20CD">
        <w:t xml:space="preserve"> </w:t>
      </w:r>
      <w:r w:rsidR="00CC4831">
        <w:t>to</w:t>
      </w:r>
      <w:r w:rsidR="00CC4831" w:rsidRPr="00DB20CD">
        <w:t xml:space="preserve"> </w:t>
      </w:r>
      <w:r w:rsidRPr="00DB20CD">
        <w:t xml:space="preserve">hazardous materials resulting from their production, transportation, handling, storage and use. </w:t>
      </w:r>
      <w:r w:rsidR="0047427F">
        <w:t>Where avoidance is not possible, the health risks</w:t>
      </w:r>
      <w:r w:rsidR="00464B15">
        <w:t>—</w:t>
      </w:r>
      <w:r w:rsidR="0047427F">
        <w:t>including potential differentiated effects on men</w:t>
      </w:r>
      <w:r w:rsidR="00A844DB">
        <w:t>,</w:t>
      </w:r>
      <w:r w:rsidR="0047427F">
        <w:t xml:space="preserve"> women and children</w:t>
      </w:r>
      <w:r w:rsidR="00464B15">
        <w:t>—</w:t>
      </w:r>
      <w:r w:rsidR="0047427F">
        <w:t xml:space="preserve">of the potential use of hazardous materials will be addressed in the social and environmental assessment. </w:t>
      </w:r>
      <w:r w:rsidR="00464B15">
        <w:rPr>
          <w:rFonts w:eastAsia="Times New Roman"/>
          <w:color w:val="000000"/>
        </w:rPr>
        <w:t xml:space="preserve">UNDP </w:t>
      </w:r>
      <w:r w:rsidR="00E60CC0">
        <w:rPr>
          <w:rFonts w:eastAsia="Times New Roman"/>
          <w:color w:val="000000"/>
        </w:rPr>
        <w:t>project</w:t>
      </w:r>
      <w:r w:rsidR="00464B15">
        <w:rPr>
          <w:rFonts w:eastAsia="Times New Roman"/>
          <w:color w:val="000000"/>
        </w:rPr>
        <w:t>s will c</w:t>
      </w:r>
      <w:r w:rsidR="00CC4831">
        <w:rPr>
          <w:rFonts w:eastAsia="Times New Roman"/>
          <w:color w:val="000000"/>
        </w:rPr>
        <w:t>onsider the special vulnerabilities faced</w:t>
      </w:r>
      <w:r w:rsidR="00CC4831" w:rsidRPr="00B13A18">
        <w:rPr>
          <w:rFonts w:eastAsia="Times New Roman"/>
          <w:color w:val="000000"/>
        </w:rPr>
        <w:t xml:space="preserve"> </w:t>
      </w:r>
      <w:r w:rsidR="00CC4831">
        <w:rPr>
          <w:rFonts w:eastAsia="Times New Roman"/>
          <w:color w:val="000000"/>
        </w:rPr>
        <w:t>by workers as well as low-income communities,</w:t>
      </w:r>
      <w:r w:rsidR="0002426F">
        <w:rPr>
          <w:rFonts w:eastAsia="Times New Roman"/>
          <w:color w:val="000000"/>
        </w:rPr>
        <w:t xml:space="preserve"> peoples with disabilities,</w:t>
      </w:r>
      <w:r w:rsidR="00CC4831">
        <w:rPr>
          <w:rFonts w:eastAsia="Times New Roman"/>
          <w:color w:val="000000"/>
        </w:rPr>
        <w:t xml:space="preserve"> indigenous peoples and minorities</w:t>
      </w:r>
      <w:r w:rsidR="00464B15">
        <w:rPr>
          <w:rFonts w:eastAsia="Times New Roman"/>
          <w:color w:val="000000"/>
        </w:rPr>
        <w:t xml:space="preserve"> to hazardous materials</w:t>
      </w:r>
      <w:r w:rsidR="00CC4831">
        <w:rPr>
          <w:rFonts w:eastAsia="Times New Roman"/>
          <w:color w:val="000000"/>
        </w:rPr>
        <w:t xml:space="preserve">. </w:t>
      </w:r>
      <w:r w:rsidR="00464B15">
        <w:rPr>
          <w:rFonts w:eastAsia="Times New Roman"/>
          <w:color w:val="000000"/>
        </w:rPr>
        <w:t xml:space="preserve">The </w:t>
      </w:r>
      <w:r w:rsidR="00E60CC0">
        <w:rPr>
          <w:rFonts w:eastAsia="Times New Roman"/>
          <w:color w:val="000000"/>
        </w:rPr>
        <w:t>project</w:t>
      </w:r>
      <w:r w:rsidR="00464B15">
        <w:rPr>
          <w:rFonts w:eastAsia="Times New Roman"/>
          <w:color w:val="000000"/>
        </w:rPr>
        <w:t xml:space="preserve"> will d</w:t>
      </w:r>
      <w:r w:rsidR="00CC4831" w:rsidRPr="00B13A18">
        <w:rPr>
          <w:rFonts w:eastAsia="Times New Roman"/>
          <w:color w:val="000000"/>
        </w:rPr>
        <w:t>evelop hazardous materials manage</w:t>
      </w:r>
      <w:r w:rsidR="00CC4831">
        <w:rPr>
          <w:rFonts w:eastAsia="Times New Roman"/>
          <w:color w:val="000000"/>
        </w:rPr>
        <w:t>ment and safety measures/plans per good international practice.</w:t>
      </w:r>
      <w:r w:rsidR="00CC4831">
        <w:rPr>
          <w:rStyle w:val="FootnoteReference"/>
          <w:rFonts w:eastAsia="Times New Roman"/>
          <w:color w:val="000000"/>
        </w:rPr>
        <w:footnoteReference w:id="131"/>
      </w:r>
      <w:r w:rsidR="00CC4831">
        <w:rPr>
          <w:rFonts w:eastAsia="Times New Roman"/>
          <w:color w:val="000000"/>
        </w:rPr>
        <w:t xml:space="preserve"> </w:t>
      </w:r>
      <w:r w:rsidRPr="00DB20CD">
        <w:t xml:space="preserve">UNDP </w:t>
      </w:r>
      <w:r w:rsidR="00E60CC0">
        <w:t>project</w:t>
      </w:r>
      <w:r w:rsidRPr="00DB20CD">
        <w:t>s will consider the use of less hazardous substitutes for such chemicals and materials</w:t>
      </w:r>
      <w:r w:rsidR="00662E2A">
        <w:t xml:space="preserve"> and</w:t>
      </w:r>
      <w:r w:rsidRPr="00DB20CD">
        <w:t xml:space="preserve"> will avoid </w:t>
      </w:r>
      <w:r w:rsidR="00CC4831">
        <w:t xml:space="preserve">supporting </w:t>
      </w:r>
      <w:r w:rsidRPr="00DB20CD">
        <w:t>the manufacture, trade, and use of chemicals and hazardous materials subject to international bans</w:t>
      </w:r>
      <w:r w:rsidR="00CC4831">
        <w:t>, restrictions</w:t>
      </w:r>
      <w:r w:rsidRPr="00DB20CD">
        <w:t xml:space="preserve"> or phase-outs due to their high toxicity to living organisms, environmental persistence, potential for bioaccumulation, or potential for depletion of the ozone layer</w:t>
      </w:r>
      <w:r w:rsidR="00CC4831">
        <w:t xml:space="preserve">, </w:t>
      </w:r>
      <w:r w:rsidR="00CC4831" w:rsidRPr="00AA01D3">
        <w:rPr>
          <w:rFonts w:eastAsia="Times New Roman"/>
          <w:color w:val="000000"/>
        </w:rPr>
        <w:t>unless for acceptable purposes as defined by the conventions or protocols</w:t>
      </w:r>
      <w:r w:rsidR="00CC4831">
        <w:rPr>
          <w:rFonts w:eastAsia="Times New Roman"/>
          <w:color w:val="000000"/>
        </w:rPr>
        <w:t xml:space="preserve"> (e.g. the </w:t>
      </w:r>
      <w:hyperlink r:id="rId16" w:history="1">
        <w:r w:rsidR="00CC4831" w:rsidRPr="00292C75">
          <w:rPr>
            <w:rStyle w:val="Hyperlink"/>
            <w:rFonts w:eastAsia="Times New Roman"/>
          </w:rPr>
          <w:t>Montreal Protocol</w:t>
        </w:r>
      </w:hyperlink>
      <w:r w:rsidR="00CC4831" w:rsidRPr="00B93BFF">
        <w:rPr>
          <w:rFonts w:eastAsia="Times New Roman"/>
          <w:color w:val="000000"/>
        </w:rPr>
        <w:t xml:space="preserve">, </w:t>
      </w:r>
      <w:hyperlink r:id="rId17" w:history="1">
        <w:r w:rsidR="00CC4831" w:rsidRPr="00CA4576">
          <w:rPr>
            <w:rStyle w:val="Hyperlink"/>
            <w:rFonts w:eastAsia="Times New Roman"/>
          </w:rPr>
          <w:t>Minamata Convention</w:t>
        </w:r>
      </w:hyperlink>
      <w:r w:rsidR="00CC4831" w:rsidRPr="00B93BFF">
        <w:rPr>
          <w:rFonts w:eastAsia="Times New Roman"/>
          <w:color w:val="000000"/>
        </w:rPr>
        <w:t xml:space="preserve">, </w:t>
      </w:r>
      <w:hyperlink r:id="rId18" w:history="1">
        <w:r w:rsidR="00CC4831" w:rsidRPr="00292C75">
          <w:rPr>
            <w:rStyle w:val="Hyperlink"/>
            <w:rFonts w:eastAsia="Times New Roman"/>
          </w:rPr>
          <w:t>Basel Convention</w:t>
        </w:r>
      </w:hyperlink>
      <w:r w:rsidR="00CC4831" w:rsidRPr="00B93BFF">
        <w:rPr>
          <w:rFonts w:eastAsia="Times New Roman"/>
          <w:color w:val="000000"/>
        </w:rPr>
        <w:t xml:space="preserve">, </w:t>
      </w:r>
      <w:hyperlink r:id="rId19" w:history="1">
        <w:r w:rsidR="00CC4831" w:rsidRPr="00292C75">
          <w:rPr>
            <w:rStyle w:val="Hyperlink"/>
            <w:rFonts w:eastAsia="Times New Roman"/>
          </w:rPr>
          <w:t>Rotterdam Convention</w:t>
        </w:r>
      </w:hyperlink>
      <w:r w:rsidR="00CC4831">
        <w:rPr>
          <w:rFonts w:eastAsia="Times New Roman"/>
          <w:color w:val="000000"/>
        </w:rPr>
        <w:t>,</w:t>
      </w:r>
      <w:r w:rsidR="00CC4831" w:rsidRPr="00B93BFF">
        <w:rPr>
          <w:rFonts w:eastAsia="Times New Roman"/>
          <w:color w:val="000000"/>
        </w:rPr>
        <w:t xml:space="preserve"> </w:t>
      </w:r>
      <w:hyperlink r:id="rId20" w:history="1">
        <w:r w:rsidR="00CC4831" w:rsidRPr="00292C75">
          <w:rPr>
            <w:rStyle w:val="Hyperlink"/>
            <w:rFonts w:eastAsia="Times New Roman"/>
          </w:rPr>
          <w:t>Stockholm Convention</w:t>
        </w:r>
      </w:hyperlink>
      <w:r w:rsidR="00CC4831">
        <w:rPr>
          <w:rFonts w:eastAsia="Times New Roman"/>
          <w:color w:val="000000"/>
        </w:rPr>
        <w:t>)</w:t>
      </w:r>
      <w:r w:rsidRPr="00DB20CD">
        <w:t>.</w:t>
      </w:r>
      <w:r>
        <w:rPr>
          <w:rStyle w:val="FootnoteReference"/>
          <w:rFonts w:cs="Arial"/>
          <w:color w:val="000000"/>
        </w:rPr>
        <w:footnoteReference w:id="132"/>
      </w:r>
      <w:r w:rsidR="00662E2A">
        <w:t xml:space="preserve"> </w:t>
      </w:r>
    </w:p>
    <w:p w14:paraId="73AFCED8" w14:textId="77777777" w:rsidR="00F45A2D" w:rsidRDefault="00FF0BE0">
      <w:pPr>
        <w:pStyle w:val="SEQSbodynumbered"/>
      </w:pPr>
      <w:r w:rsidRPr="00DB20CD">
        <w:rPr>
          <w:b/>
        </w:rPr>
        <w:t xml:space="preserve">Pesticide </w:t>
      </w:r>
      <w:r w:rsidR="008836D1">
        <w:rPr>
          <w:b/>
        </w:rPr>
        <w:t>u</w:t>
      </w:r>
      <w:r w:rsidRPr="00DB20CD">
        <w:rPr>
          <w:b/>
        </w:rPr>
        <w:t xml:space="preserve">se and </w:t>
      </w:r>
      <w:r w:rsidR="008836D1">
        <w:rPr>
          <w:b/>
        </w:rPr>
        <w:t>m</w:t>
      </w:r>
      <w:r w:rsidRPr="00DB20CD">
        <w:rPr>
          <w:b/>
        </w:rPr>
        <w:t>anagement</w:t>
      </w:r>
      <w:r w:rsidRPr="00DB20CD">
        <w:t xml:space="preserve">: </w:t>
      </w:r>
      <w:r w:rsidR="0013699E">
        <w:t>UNDP seek</w:t>
      </w:r>
      <w:r w:rsidR="00303AC1">
        <w:t>s</w:t>
      </w:r>
      <w:r w:rsidR="0013699E">
        <w:t xml:space="preserve"> to avoid use of pesticides in supported activities. Integrated Pest Management (IPM) and Integrated Vector Management (IVM) approaches</w:t>
      </w:r>
      <w:r w:rsidR="003A2BFE">
        <w:t xml:space="preserve"> are </w:t>
      </w:r>
      <w:r w:rsidR="00F67675">
        <w:t xml:space="preserve">to be </w:t>
      </w:r>
      <w:r w:rsidR="003A2BFE">
        <w:t>utilized</w:t>
      </w:r>
      <w:r w:rsidR="0013699E">
        <w:t xml:space="preserve"> that</w:t>
      </w:r>
      <w:r w:rsidRPr="00DB20CD">
        <w:t xml:space="preserve"> entail coordinated use of pest and environmental information along with available pest/vector control methods, including cultural practices, biological, genetic and, as a last resort, chemical means to prevent unacceptable levels of pest damage. </w:t>
      </w:r>
      <w:r w:rsidR="0013699E" w:rsidRPr="00C0226B">
        <w:t xml:space="preserve">If after having considered </w:t>
      </w:r>
      <w:r w:rsidR="00783DED">
        <w:t>such</w:t>
      </w:r>
      <w:r w:rsidR="00783DED" w:rsidRPr="00C0226B">
        <w:t xml:space="preserve"> </w:t>
      </w:r>
      <w:r w:rsidR="0013699E" w:rsidRPr="00C0226B">
        <w:lastRenderedPageBreak/>
        <w:t xml:space="preserve">approaches </w:t>
      </w:r>
      <w:r w:rsidR="0008102D">
        <w:t xml:space="preserve">recourse to pesticide use is deemed necessary, adopt safe, effective and environmentally sound pest management in accordance with </w:t>
      </w:r>
      <w:r w:rsidR="0008102D" w:rsidRPr="00A8117D">
        <w:rPr>
          <w:lang w:val="en-GB"/>
        </w:rPr>
        <w:t xml:space="preserve">the </w:t>
      </w:r>
      <w:r w:rsidR="0008102D">
        <w:rPr>
          <w:lang w:val="en-GB"/>
        </w:rPr>
        <w:t xml:space="preserve">WHO/FAO </w:t>
      </w:r>
      <w:r w:rsidR="0008102D" w:rsidRPr="00A8117D">
        <w:rPr>
          <w:lang w:val="en-GB"/>
        </w:rPr>
        <w:t>International Code of Conduct on Pesticide Management</w:t>
      </w:r>
      <w:r w:rsidR="0008102D" w:rsidRPr="00A8117D">
        <w:rPr>
          <w:vertAlign w:val="superscript"/>
          <w:lang w:val="en-GB"/>
        </w:rPr>
        <w:footnoteReference w:id="133"/>
      </w:r>
      <w:r w:rsidR="0008102D" w:rsidRPr="00A8117D">
        <w:rPr>
          <w:lang w:val="en-GB"/>
        </w:rPr>
        <w:t xml:space="preserve"> for the </w:t>
      </w:r>
      <w:r w:rsidR="0008102D">
        <w:rPr>
          <w:lang w:val="en-GB"/>
        </w:rPr>
        <w:t xml:space="preserve">safe labelling, packaging, </w:t>
      </w:r>
      <w:r w:rsidR="0008102D" w:rsidRPr="00A8117D">
        <w:rPr>
          <w:lang w:val="en-GB"/>
        </w:rPr>
        <w:t>handling, storage, application and disposal of pesticides</w:t>
      </w:r>
      <w:r w:rsidR="0008102D">
        <w:rPr>
          <w:lang w:val="en-GB"/>
        </w:rPr>
        <w:t xml:space="preserve">. </w:t>
      </w:r>
      <w:r w:rsidR="0008102D">
        <w:t>H</w:t>
      </w:r>
      <w:r w:rsidR="0013699E" w:rsidRPr="00B82B68">
        <w:t>azards</w:t>
      </w:r>
      <w:r w:rsidR="003A2BFE">
        <w:t xml:space="preserve"> </w:t>
      </w:r>
      <w:r w:rsidR="0008102D">
        <w:t xml:space="preserve">of pesticide use are </w:t>
      </w:r>
      <w:r w:rsidR="00F67675">
        <w:t xml:space="preserve">to be </w:t>
      </w:r>
      <w:r w:rsidR="003A2BFE">
        <w:t>carefully considered</w:t>
      </w:r>
      <w:r w:rsidR="0013699E">
        <w:t xml:space="preserve"> and </w:t>
      </w:r>
      <w:r w:rsidR="003A2BFE">
        <w:t xml:space="preserve">the </w:t>
      </w:r>
      <w:r w:rsidR="0013699E" w:rsidRPr="00A8117D">
        <w:rPr>
          <w:rFonts w:eastAsia="Times New Roman"/>
          <w:color w:val="000000"/>
        </w:rPr>
        <w:t>least toxic pesticides</w:t>
      </w:r>
      <w:r w:rsidR="003A2BFE">
        <w:rPr>
          <w:rFonts w:eastAsia="Times New Roman"/>
          <w:color w:val="000000"/>
        </w:rPr>
        <w:t xml:space="preserve"> selected</w:t>
      </w:r>
      <w:r w:rsidR="0013699E" w:rsidRPr="00A8117D">
        <w:rPr>
          <w:rFonts w:eastAsia="Times New Roman"/>
          <w:color w:val="000000"/>
        </w:rPr>
        <w:t xml:space="preserve"> that are known to be effective, have minimal effects on non-target species and the environment</w:t>
      </w:r>
      <w:r w:rsidR="0013699E" w:rsidRPr="00B82B68">
        <w:t xml:space="preserve">, </w:t>
      </w:r>
      <w:r w:rsidR="0013699E">
        <w:t xml:space="preserve">and </w:t>
      </w:r>
      <w:r w:rsidR="0013699E" w:rsidRPr="00A8117D">
        <w:rPr>
          <w:rFonts w:eastAsia="Times New Roman"/>
          <w:color w:val="000000"/>
        </w:rPr>
        <w:t>minimize risks associated with development of resistance in pests and vectors.</w:t>
      </w:r>
      <w:r w:rsidR="0008102D">
        <w:t xml:space="preserve"> </w:t>
      </w:r>
      <w:r w:rsidR="003A2BFE">
        <w:rPr>
          <w:rFonts w:eastAsia="Times New Roman"/>
          <w:color w:val="000000"/>
        </w:rPr>
        <w:t>A</w:t>
      </w:r>
      <w:r w:rsidR="0013699E" w:rsidRPr="00A8117D">
        <w:rPr>
          <w:rFonts w:eastAsia="Times New Roman"/>
          <w:color w:val="000000"/>
        </w:rPr>
        <w:t xml:space="preserve"> Pest Management Plan </w:t>
      </w:r>
      <w:r w:rsidR="003A2BFE">
        <w:rPr>
          <w:rFonts w:eastAsia="Times New Roman"/>
          <w:color w:val="000000"/>
        </w:rPr>
        <w:t xml:space="preserve">is developed </w:t>
      </w:r>
      <w:r w:rsidR="0013699E" w:rsidRPr="00A8117D">
        <w:rPr>
          <w:rFonts w:eastAsia="Times New Roman"/>
          <w:color w:val="000000"/>
        </w:rPr>
        <w:t xml:space="preserve">where use </w:t>
      </w:r>
      <w:r w:rsidR="0013699E">
        <w:rPr>
          <w:rFonts w:eastAsia="Times New Roman"/>
          <w:color w:val="000000"/>
        </w:rPr>
        <w:t>o</w:t>
      </w:r>
      <w:r w:rsidR="0013699E" w:rsidRPr="00A8117D">
        <w:rPr>
          <w:rFonts w:eastAsia="Times New Roman"/>
          <w:color w:val="000000"/>
        </w:rPr>
        <w:t xml:space="preserve">f a significant volume of pesticides is </w:t>
      </w:r>
      <w:r w:rsidR="0013699E" w:rsidRPr="003E7270">
        <w:t>foreseen</w:t>
      </w:r>
      <w:r w:rsidR="0013699E">
        <w:t xml:space="preserve"> </w:t>
      </w:r>
      <w:r w:rsidR="003A2BFE">
        <w:t>to</w:t>
      </w:r>
      <w:r w:rsidR="0013699E">
        <w:t xml:space="preserve"> </w:t>
      </w:r>
      <w:r w:rsidR="00F420F0">
        <w:t xml:space="preserve">demonstrate </w:t>
      </w:r>
      <w:r w:rsidR="0013699E" w:rsidRPr="009B776E">
        <w:t>how IPM will be promoted t</w:t>
      </w:r>
      <w:r w:rsidR="0013699E">
        <w:t>o reduce reliance on pesticides</w:t>
      </w:r>
      <w:r w:rsidR="0013699E" w:rsidRPr="009B776E">
        <w:t xml:space="preserve"> and </w:t>
      </w:r>
      <w:r w:rsidR="0013699E">
        <w:t>describes</w:t>
      </w:r>
      <w:r w:rsidR="0013699E" w:rsidRPr="009B776E">
        <w:t xml:space="preserve"> measures to minimize risks of pesticide use. </w:t>
      </w:r>
    </w:p>
    <w:p w14:paraId="3A9F356C" w14:textId="2B749F71" w:rsidR="00FF0BE0" w:rsidRDefault="00F45A2D">
      <w:pPr>
        <w:pStyle w:val="SEQSbodynumbered"/>
      </w:pPr>
      <w:r>
        <w:t xml:space="preserve">UNDP </w:t>
      </w:r>
      <w:r w:rsidR="00E60CC0">
        <w:t>project</w:t>
      </w:r>
      <w:r>
        <w:t xml:space="preserve">s </w:t>
      </w:r>
      <w:r w:rsidR="003A2BFE">
        <w:t>do</w:t>
      </w:r>
      <w:r>
        <w:t xml:space="preserve"> </w:t>
      </w:r>
      <w:r w:rsidR="0013699E" w:rsidRPr="00A72253">
        <w:t xml:space="preserve">not supply or use pesticides that </w:t>
      </w:r>
      <w:r w:rsidR="0013699E" w:rsidRPr="00EB1A60">
        <w:t>contain active ingredients that are banned or restricted under applicable international treaties and agreements, or meet the criteria of carcinogenicity, mutagenicity, or reproductive toxicity as set forth by relevant international agencies</w:t>
      </w:r>
      <w:r w:rsidR="0013699E">
        <w:t>.</w:t>
      </w:r>
      <w:r w:rsidR="0013699E">
        <w:rPr>
          <w:rStyle w:val="FootnoteReference"/>
          <w:rFonts w:eastAsia="Times New Roman"/>
          <w:color w:val="000000"/>
        </w:rPr>
        <w:footnoteReference w:id="134"/>
      </w:r>
      <w:r w:rsidR="0013699E" w:rsidRPr="00011BA6">
        <w:t xml:space="preserve"> </w:t>
      </w:r>
      <w:r w:rsidR="0013699E" w:rsidRPr="00A72253">
        <w:t xml:space="preserve">Users </w:t>
      </w:r>
      <w:r w:rsidR="0013699E">
        <w:t>of any pesticides shall</w:t>
      </w:r>
      <w:r w:rsidR="0013699E" w:rsidRPr="00A72253">
        <w:t xml:space="preserve"> be trained to handle pesticides in a proper and responsible manner and utilize appropriate application equipment and adequate personal protective equipment</w:t>
      </w:r>
      <w:r w:rsidR="0013699E" w:rsidRPr="00011BA6">
        <w:t>.</w:t>
      </w:r>
    </w:p>
    <w:p w14:paraId="08D13AF1" w14:textId="7196ECF4" w:rsidR="00D07470" w:rsidRDefault="00FF0BE0">
      <w:pPr>
        <w:pStyle w:val="SEQSbodynumbered"/>
      </w:pPr>
      <w:r w:rsidRPr="003F144D">
        <w:rPr>
          <w:b/>
        </w:rPr>
        <w:t xml:space="preserve">Resource </w:t>
      </w:r>
      <w:r w:rsidR="00B31501">
        <w:rPr>
          <w:b/>
        </w:rPr>
        <w:t>e</w:t>
      </w:r>
      <w:r w:rsidRPr="003F144D">
        <w:rPr>
          <w:b/>
        </w:rPr>
        <w:t>fficiency:</w:t>
      </w:r>
      <w:r w:rsidRPr="003F144D">
        <w:t xml:space="preserve"> UNDP </w:t>
      </w:r>
      <w:r w:rsidR="00E60CC0">
        <w:t>project</w:t>
      </w:r>
      <w:r w:rsidR="00F45A2D">
        <w:t xml:space="preserve">s </w:t>
      </w:r>
      <w:r w:rsidR="003A2BFE">
        <w:t>are</w:t>
      </w:r>
      <w:r w:rsidR="00F45A2D">
        <w:t xml:space="preserve"> designed and implemented </w:t>
      </w:r>
      <w:r w:rsidR="00C66418">
        <w:t xml:space="preserve">in a manner that promotes the efficient use and consumption of land/soils, </w:t>
      </w:r>
      <w:r w:rsidR="00C66418" w:rsidRPr="003F144D">
        <w:t xml:space="preserve">energy, water, </w:t>
      </w:r>
      <w:r w:rsidR="00C66418">
        <w:t>and</w:t>
      </w:r>
      <w:r w:rsidR="00C66418" w:rsidRPr="003F144D">
        <w:t xml:space="preserve"> other resources and material inputs</w:t>
      </w:r>
      <w:r w:rsidR="00723DFD" w:rsidRPr="003F144D">
        <w:t>.</w:t>
      </w:r>
      <w:r w:rsidR="00723DFD">
        <w:rPr>
          <w:rStyle w:val="FootnoteReference"/>
        </w:rPr>
        <w:footnoteReference w:id="135"/>
      </w:r>
      <w:r w:rsidR="00723DFD">
        <w:t xml:space="preserve"> </w:t>
      </w:r>
      <w:r w:rsidR="003A2BFE">
        <w:t>T</w:t>
      </w:r>
      <w:r w:rsidRPr="003F144D">
        <w:t>echnically and financially feasible and cost</w:t>
      </w:r>
      <w:r w:rsidR="0067207B">
        <w:t>-</w:t>
      </w:r>
      <w:r w:rsidRPr="003F144D">
        <w:t xml:space="preserve">effective </w:t>
      </w:r>
      <w:r w:rsidR="00C66418">
        <w:t xml:space="preserve">efficiency </w:t>
      </w:r>
      <w:r w:rsidRPr="003F144D">
        <w:t>measures</w:t>
      </w:r>
      <w:r w:rsidR="003A2BFE">
        <w:t xml:space="preserve"> are implemented.</w:t>
      </w:r>
      <w:r w:rsidR="00BF6185">
        <w:rPr>
          <w:rStyle w:val="FootnoteReference"/>
        </w:rPr>
        <w:footnoteReference w:id="136"/>
      </w:r>
      <w:r w:rsidRPr="003F144D">
        <w:t xml:space="preserve"> Such measures integrate the principles of cleaner production into product design and production processes with the objective of conserving raw materials, energy, and water. </w:t>
      </w:r>
      <w:r w:rsidR="00C66418">
        <w:t xml:space="preserve">For resource intensive </w:t>
      </w:r>
      <w:r w:rsidR="00E60CC0">
        <w:t>project</w:t>
      </w:r>
      <w:r w:rsidR="00C66418">
        <w:t xml:space="preserve">s, </w:t>
      </w:r>
      <w:r w:rsidRPr="003F144D">
        <w:t xml:space="preserve">benchmarking data </w:t>
      </w:r>
      <w:r w:rsidR="003A2BFE">
        <w:t>are</w:t>
      </w:r>
      <w:r w:rsidR="00C66418">
        <w:t xml:space="preserve"> utilized </w:t>
      </w:r>
      <w:r w:rsidRPr="003F144D">
        <w:t xml:space="preserve">to establish the relative level of efficiency. </w:t>
      </w:r>
      <w:r w:rsidR="003A2BFE">
        <w:rPr>
          <w:rFonts w:eastAsia="Times New Roman"/>
          <w:color w:val="000000"/>
        </w:rPr>
        <w:t>P</w:t>
      </w:r>
      <w:r w:rsidR="00410679">
        <w:rPr>
          <w:rFonts w:eastAsia="Times New Roman"/>
          <w:color w:val="000000"/>
        </w:rPr>
        <w:t xml:space="preserve">rinciples of green design, </w:t>
      </w:r>
      <w:r w:rsidR="0047275F">
        <w:rPr>
          <w:rFonts w:eastAsia="Times New Roman"/>
          <w:color w:val="000000"/>
        </w:rPr>
        <w:t xml:space="preserve">circular economy, </w:t>
      </w:r>
      <w:r w:rsidR="00410679">
        <w:rPr>
          <w:rFonts w:eastAsia="Times New Roman"/>
          <w:color w:val="000000"/>
        </w:rPr>
        <w:t xml:space="preserve">sustainable infrastructure and sustainable procurement </w:t>
      </w:r>
      <w:r w:rsidR="003A2BFE">
        <w:rPr>
          <w:rFonts w:eastAsia="Times New Roman"/>
          <w:color w:val="000000"/>
        </w:rPr>
        <w:t xml:space="preserve">are considered </w:t>
      </w:r>
      <w:r w:rsidR="00410679">
        <w:rPr>
          <w:rFonts w:eastAsia="Times New Roman"/>
          <w:color w:val="000000"/>
        </w:rPr>
        <w:t>where feasible</w:t>
      </w:r>
      <w:r w:rsidR="006468F5">
        <w:rPr>
          <w:rFonts w:eastAsia="Times New Roman"/>
          <w:color w:val="000000"/>
        </w:rPr>
        <w:t>.</w:t>
      </w:r>
    </w:p>
    <w:p w14:paraId="5DCEE6B2" w14:textId="7A460613" w:rsidR="00907E44" w:rsidRDefault="00DE783C">
      <w:pPr>
        <w:pStyle w:val="SEQSbodynumbered"/>
      </w:pPr>
      <w:r w:rsidRPr="00A42F72">
        <w:rPr>
          <w:b/>
        </w:rPr>
        <w:t>Water usage:</w:t>
      </w:r>
      <w:r>
        <w:t xml:space="preserve"> </w:t>
      </w:r>
      <w:r w:rsidR="009B1F71">
        <w:t xml:space="preserve">For </w:t>
      </w:r>
      <w:r w:rsidR="00E60CC0">
        <w:t>project</w:t>
      </w:r>
      <w:r w:rsidR="009B1F71">
        <w:t>s with high water demand (generally greater than 5,0</w:t>
      </w:r>
      <w:r w:rsidR="00BA0D3C">
        <w:t>0</w:t>
      </w:r>
      <w:r w:rsidR="009B1F71">
        <w:t>0</w:t>
      </w:r>
      <w:r w:rsidR="00BA0D3C">
        <w:t xml:space="preserve"> </w:t>
      </w:r>
      <w:r w:rsidR="00DE0940">
        <w:t>m</w:t>
      </w:r>
      <w:r w:rsidR="00DE0940" w:rsidRPr="00265B5E">
        <w:rPr>
          <w:vertAlign w:val="superscript"/>
        </w:rPr>
        <w:t>3</w:t>
      </w:r>
      <w:r w:rsidR="009B1F71">
        <w:t>/day</w:t>
      </w:r>
      <w:r w:rsidR="00D56C5F">
        <w:t xml:space="preserve"> in non-arid climates</w:t>
      </w:r>
      <w:r w:rsidR="009B1F71">
        <w:t>),</w:t>
      </w:r>
      <w:r w:rsidR="00FF0BE0" w:rsidRPr="003F144D">
        <w:t xml:space="preserve"> in addition to applying the resource efficiency requirements of this Standard, measures </w:t>
      </w:r>
      <w:r w:rsidR="00F061CC">
        <w:t xml:space="preserve">are adopted </w:t>
      </w:r>
      <w:r w:rsidR="00FF0BE0" w:rsidRPr="003F144D">
        <w:t xml:space="preserve">that avoid or reduce water usage so that the </w:t>
      </w:r>
      <w:r w:rsidR="00E60CC0">
        <w:t>project</w:t>
      </w:r>
      <w:r w:rsidR="00FF0BE0" w:rsidRPr="003F144D">
        <w:t>’s water consumption does not have signifi</w:t>
      </w:r>
      <w:r w:rsidR="00FF0BE0">
        <w:t xml:space="preserve">cant adverse impacts on </w:t>
      </w:r>
      <w:r w:rsidR="00410679">
        <w:t xml:space="preserve">communities, </w:t>
      </w:r>
      <w:r w:rsidR="00FF0BE0">
        <w:t>other</w:t>
      </w:r>
      <w:r w:rsidR="00410679">
        <w:t xml:space="preserve"> users</w:t>
      </w:r>
      <w:r w:rsidR="00EB2DC0">
        <w:t xml:space="preserve"> or </w:t>
      </w:r>
      <w:r w:rsidR="00410679">
        <w:t xml:space="preserve">on the environment and </w:t>
      </w:r>
      <w:r w:rsidR="00EB2DC0">
        <w:t>ecosystems</w:t>
      </w:r>
      <w:r>
        <w:t xml:space="preserve"> (</w:t>
      </w:r>
      <w:r w:rsidR="00F45A2D">
        <w:t xml:space="preserve">see </w:t>
      </w:r>
      <w:r>
        <w:t>Standard 1</w:t>
      </w:r>
      <w:r w:rsidR="00F45A2D">
        <w:t xml:space="preserve"> on conserving ecosy</w:t>
      </w:r>
      <w:r w:rsidR="00A43E36">
        <w:t>s</w:t>
      </w:r>
      <w:r w:rsidR="00F45A2D">
        <w:t>tems</w:t>
      </w:r>
      <w:r>
        <w:t>)</w:t>
      </w:r>
      <w:r w:rsidR="00EB2DC0">
        <w:t>.</w:t>
      </w:r>
      <w:r w:rsidR="00410679">
        <w:t xml:space="preserve"> </w:t>
      </w:r>
      <w:r w:rsidR="003A2BFE">
        <w:rPr>
          <w:rFonts w:eastAsia="Times New Roman"/>
          <w:color w:val="000000"/>
        </w:rPr>
        <w:t>C</w:t>
      </w:r>
      <w:r w:rsidR="00410679" w:rsidRPr="00B82B68">
        <w:rPr>
          <w:rFonts w:eastAsia="Times New Roman"/>
          <w:color w:val="000000"/>
        </w:rPr>
        <w:t xml:space="preserve">umulative </w:t>
      </w:r>
      <w:r w:rsidR="00410679" w:rsidRPr="003E7270">
        <w:t>impacts</w:t>
      </w:r>
      <w:r w:rsidR="00410679" w:rsidRPr="00B82B68">
        <w:rPr>
          <w:rFonts w:eastAsia="Times New Roman"/>
          <w:color w:val="000000"/>
        </w:rPr>
        <w:t xml:space="preserve"> of water use</w:t>
      </w:r>
      <w:r w:rsidR="003A2BFE">
        <w:rPr>
          <w:rFonts w:eastAsia="Times New Roman"/>
          <w:color w:val="000000"/>
        </w:rPr>
        <w:t xml:space="preserve"> are </w:t>
      </w:r>
      <w:r w:rsidR="003A2BFE">
        <w:rPr>
          <w:rFonts w:eastAsia="Times New Roman"/>
          <w:color w:val="000000"/>
        </w:rPr>
        <w:lastRenderedPageBreak/>
        <w:t>assessed</w:t>
      </w:r>
      <w:r w:rsidR="00410679" w:rsidRPr="00B82B68">
        <w:rPr>
          <w:rFonts w:eastAsia="Times New Roman"/>
          <w:color w:val="000000"/>
        </w:rPr>
        <w:t xml:space="preserve"> </w:t>
      </w:r>
      <w:r w:rsidR="00410679">
        <w:rPr>
          <w:rFonts w:eastAsia="Times New Roman"/>
          <w:color w:val="000000"/>
        </w:rPr>
        <w:t>and</w:t>
      </w:r>
      <w:r w:rsidR="00410679" w:rsidRPr="00B82B68">
        <w:rPr>
          <w:rFonts w:eastAsia="Times New Roman"/>
          <w:color w:val="000000"/>
        </w:rPr>
        <w:t xml:space="preserve"> appropriate mitigation measures</w:t>
      </w:r>
      <w:r w:rsidR="00410679">
        <w:rPr>
          <w:rFonts w:eastAsia="Times New Roman"/>
          <w:color w:val="000000"/>
        </w:rPr>
        <w:t xml:space="preserve"> </w:t>
      </w:r>
      <w:r w:rsidR="003A2BFE">
        <w:rPr>
          <w:rFonts w:eastAsia="Times New Roman"/>
          <w:color w:val="000000"/>
        </w:rPr>
        <w:t xml:space="preserve">implemented, </w:t>
      </w:r>
      <w:r w:rsidR="00410679">
        <w:rPr>
          <w:rFonts w:eastAsia="Times New Roman"/>
          <w:color w:val="000000"/>
        </w:rPr>
        <w:t xml:space="preserve">such as </w:t>
      </w:r>
      <w:r w:rsidR="00410679">
        <w:t>water demand management</w:t>
      </w:r>
      <w:r w:rsidR="00410679" w:rsidRPr="00B82B68">
        <w:t xml:space="preserve">, </w:t>
      </w:r>
      <w:r w:rsidR="00410679">
        <w:t xml:space="preserve">efficiency measures, benchmarking usage, </w:t>
      </w:r>
      <w:r w:rsidR="00410679" w:rsidRPr="00B82B68">
        <w:t>alternative supplies, r</w:t>
      </w:r>
      <w:r w:rsidR="00410679">
        <w:t>esource contamination avoidance, mitigation of</w:t>
      </w:r>
      <w:r w:rsidR="00410679" w:rsidRPr="00B82B68">
        <w:t xml:space="preserve"> impacts on downstream users, </w:t>
      </w:r>
      <w:r w:rsidR="00410679">
        <w:t xml:space="preserve">and </w:t>
      </w:r>
      <w:r w:rsidR="00410679" w:rsidRPr="00B82B68">
        <w:t>water use offsets</w:t>
      </w:r>
      <w:r w:rsidR="00410679">
        <w:t xml:space="preserve">. </w:t>
      </w:r>
      <w:r w:rsidR="003A2BFE">
        <w:t>G</w:t>
      </w:r>
      <w:r w:rsidR="00410679">
        <w:t>ood international practice for water conservation and efficiency</w:t>
      </w:r>
      <w:r w:rsidR="003A2BFE">
        <w:t xml:space="preserve"> is applied</w:t>
      </w:r>
      <w:r w:rsidR="00410679">
        <w:t>, including for irrigation activities and wastewater usage.</w:t>
      </w:r>
    </w:p>
    <w:p w14:paraId="65752EE0" w14:textId="77777777" w:rsidR="0047427F" w:rsidRDefault="0047427F" w:rsidP="00440AF3">
      <w:pPr>
        <w:pStyle w:val="SEQSbodynumbered"/>
        <w:numPr>
          <w:ilvl w:val="0"/>
          <w:numId w:val="0"/>
        </w:numPr>
        <w:ind w:left="432"/>
      </w:pPr>
    </w:p>
    <w:p w14:paraId="5B943D03" w14:textId="77777777" w:rsidR="00341113" w:rsidRDefault="00341113" w:rsidP="00A62E8C">
      <w:pPr>
        <w:pStyle w:val="Heading1"/>
        <w:sectPr w:rsidR="00341113" w:rsidSect="00722C83">
          <w:pgSz w:w="12240" w:h="15840"/>
          <w:pgMar w:top="1440" w:right="1800" w:bottom="1440" w:left="1800" w:header="720" w:footer="720" w:gutter="0"/>
          <w:cols w:space="720"/>
        </w:sectPr>
      </w:pPr>
    </w:p>
    <w:p w14:paraId="60F57CAC" w14:textId="77777777" w:rsidR="00A62E8C" w:rsidRDefault="00B453F1" w:rsidP="00A62E8C">
      <w:pPr>
        <w:pStyle w:val="Heading1"/>
      </w:pPr>
      <w:bookmarkStart w:id="24" w:name="_Toc14683707"/>
      <w:r>
        <w:lastRenderedPageBreak/>
        <w:t xml:space="preserve">PART C: </w:t>
      </w:r>
      <w:r w:rsidR="001C4565">
        <w:t xml:space="preserve">Social and Environmental </w:t>
      </w:r>
      <w:r w:rsidR="00467732">
        <w:t>Management System Requirements</w:t>
      </w:r>
      <w:bookmarkEnd w:id="24"/>
    </w:p>
    <w:p w14:paraId="44BCB17E" w14:textId="3B3B3960" w:rsidR="00273C15" w:rsidRDefault="003A2BFE" w:rsidP="00AC7F5D">
      <w:pPr>
        <w:pStyle w:val="SEQSbodynumbered"/>
        <w:numPr>
          <w:ilvl w:val="0"/>
          <w:numId w:val="113"/>
        </w:numPr>
      </w:pPr>
      <w:r>
        <w:t>T</w:t>
      </w:r>
      <w:r w:rsidR="00273C15" w:rsidRPr="00E60457">
        <w:t xml:space="preserve">he objectives and requirements of the SES are </w:t>
      </w:r>
      <w:r w:rsidR="00273C15">
        <w:t>considered throughout UNDP’s programming</w:t>
      </w:r>
      <w:r w:rsidR="00273C15" w:rsidRPr="00E60457">
        <w:t xml:space="preserve"> </w:t>
      </w:r>
      <w:r w:rsidR="00273C15">
        <w:t>c</w:t>
      </w:r>
      <w:r w:rsidR="00273C15" w:rsidRPr="00E60457">
        <w:t>ycle.</w:t>
      </w:r>
      <w:r w:rsidR="00273C15">
        <w:t xml:space="preserve"> </w:t>
      </w:r>
      <w:r w:rsidR="00273C15" w:rsidRPr="00502445">
        <w:t xml:space="preserve">Opportunities to strengthen social and environmental sustainability </w:t>
      </w:r>
      <w:r>
        <w:t>are</w:t>
      </w:r>
      <w:r w:rsidR="00273C15" w:rsidRPr="00502445">
        <w:t xml:space="preserve"> identified at the earliest stage of </w:t>
      </w:r>
      <w:proofErr w:type="spellStart"/>
      <w:r w:rsidR="00E60CC0">
        <w:t>programme</w:t>
      </w:r>
      <w:proofErr w:type="spellEnd"/>
      <w:r w:rsidR="00273C15" w:rsidRPr="00502445">
        <w:t xml:space="preserve"> and </w:t>
      </w:r>
      <w:r w:rsidR="00E60CC0">
        <w:t>project</w:t>
      </w:r>
      <w:r w:rsidR="00273C15" w:rsidRPr="00502445">
        <w:t xml:space="preserve"> design</w:t>
      </w:r>
      <w:r w:rsidR="00273C15">
        <w:t>,</w:t>
      </w:r>
      <w:r w:rsidR="00273C15">
        <w:rPr>
          <w:rStyle w:val="FootnoteReference"/>
        </w:rPr>
        <w:footnoteReference w:id="137"/>
      </w:r>
      <w:r w:rsidR="00273C15" w:rsidRPr="00502445">
        <w:t xml:space="preserve"> realized through implementation and tracked through monitoring and evaluation.</w:t>
      </w:r>
      <w:r w:rsidR="00273C15">
        <w:t xml:space="preserve"> </w:t>
      </w:r>
      <w:r>
        <w:t>S</w:t>
      </w:r>
      <w:r w:rsidR="00273C15">
        <w:t xml:space="preserve">ocial and environmental opportunities and risks </w:t>
      </w:r>
      <w:r>
        <w:t xml:space="preserve">are addressed </w:t>
      </w:r>
      <w:r w:rsidR="00273C15">
        <w:t>in an integrated manner, recognizing the interrelatedness of social and environmental issues.</w:t>
      </w:r>
    </w:p>
    <w:p w14:paraId="15F214E7" w14:textId="77777777" w:rsidR="00FE549A" w:rsidRDefault="00FE549A" w:rsidP="00AC7F5D">
      <w:pPr>
        <w:pStyle w:val="SEQSbodynumbered"/>
        <w:numPr>
          <w:ilvl w:val="0"/>
          <w:numId w:val="113"/>
        </w:numPr>
      </w:pPr>
      <w:r>
        <w:t>UNDP’s social and environmental management system ensures the SES are applied through the programming cycle and includes the following elements: (a) quality assurance and risk management; (b) screening, assessment and management of social and environmental risks and impacts; (c) stakeholder engagement and response mechanisms; (d) access to information; and (e) monitoring, reporting and compliance.</w:t>
      </w:r>
    </w:p>
    <w:p w14:paraId="0318AB80" w14:textId="77777777" w:rsidR="00FE549A" w:rsidRDefault="00FE549A" w:rsidP="00A42F72">
      <w:pPr>
        <w:pStyle w:val="Heading2"/>
      </w:pPr>
      <w:bookmarkStart w:id="25" w:name="_Toc14683708"/>
      <w:r>
        <w:t>Programming Quality Assurance and Risk Management</w:t>
      </w:r>
      <w:bookmarkEnd w:id="25"/>
    </w:p>
    <w:p w14:paraId="64780F36" w14:textId="409DEA3F" w:rsidR="00FE549A" w:rsidRPr="00AE34DB" w:rsidRDefault="00FE549A" w:rsidP="00AC7F5D">
      <w:pPr>
        <w:pStyle w:val="SEQSbodynumbered"/>
        <w:numPr>
          <w:ilvl w:val="0"/>
          <w:numId w:val="113"/>
        </w:numPr>
      </w:pPr>
      <w:r>
        <w:t xml:space="preserve">The SES are included in the “Principled” quality criteria within the Quality Assurance Framework for UNDP Programming. Therefore, compliance with the SES are reviewed by UNDP throughout the </w:t>
      </w:r>
      <w:proofErr w:type="spellStart"/>
      <w:r w:rsidR="00E60CC0">
        <w:t>programme</w:t>
      </w:r>
      <w:proofErr w:type="spellEnd"/>
      <w:r>
        <w:t xml:space="preserve"> and </w:t>
      </w:r>
      <w:r w:rsidR="00E60CC0">
        <w:t>project</w:t>
      </w:r>
      <w:r>
        <w:t xml:space="preserve"> management cycle as part of the Programming Quality Assurance system.</w:t>
      </w:r>
    </w:p>
    <w:p w14:paraId="6CEC6FEC" w14:textId="306FF3C5" w:rsidR="00FE549A" w:rsidRDefault="005C7E99" w:rsidP="00AC7F5D">
      <w:pPr>
        <w:pStyle w:val="SEQSbodynumbered"/>
        <w:numPr>
          <w:ilvl w:val="0"/>
          <w:numId w:val="113"/>
        </w:numPr>
      </w:pPr>
      <w:r>
        <w:t>P</w:t>
      </w:r>
      <w:r w:rsidR="00E60CC0">
        <w:t>rogramme</w:t>
      </w:r>
      <w:r w:rsidR="00FE549A">
        <w:t xml:space="preserve"> and </w:t>
      </w:r>
      <w:r w:rsidR="00E60CC0">
        <w:t>project</w:t>
      </w:r>
      <w:r w:rsidR="00FE549A">
        <w:t xml:space="preserve"> documents incorporate appropriate management and budgetary resources to address associated social and environmental risks. For </w:t>
      </w:r>
      <w:proofErr w:type="spellStart"/>
      <w:r w:rsidR="00E60CC0">
        <w:t>programme</w:t>
      </w:r>
      <w:r w:rsidR="00FE549A">
        <w:t>s</w:t>
      </w:r>
      <w:proofErr w:type="spellEnd"/>
      <w:r w:rsidR="00FE549A">
        <w:t xml:space="preserve"> that include a set of activities which pose potentially significant adverse social and environmental risks, a Strategic Social and Environmental Assessment (SESA)</w:t>
      </w:r>
      <w:r w:rsidR="00FE549A" w:rsidRPr="003E5E40">
        <w:rPr>
          <w:rStyle w:val="FootnoteReference"/>
        </w:rPr>
        <w:t xml:space="preserve"> </w:t>
      </w:r>
      <w:r w:rsidR="00FE549A" w:rsidRPr="00DD43E9">
        <w:rPr>
          <w:rStyle w:val="FootnoteReference"/>
        </w:rPr>
        <w:footnoteReference w:id="138"/>
      </w:r>
      <w:r w:rsidR="00FE549A">
        <w:t xml:space="preserve"> may need to be integrated into the </w:t>
      </w:r>
      <w:proofErr w:type="spellStart"/>
      <w:r w:rsidR="00E60CC0">
        <w:t>programme</w:t>
      </w:r>
      <w:proofErr w:type="spellEnd"/>
      <w:r w:rsidR="00FE549A">
        <w:t>.</w:t>
      </w:r>
    </w:p>
    <w:p w14:paraId="458E9164" w14:textId="3C2D34E1" w:rsidR="00FE549A" w:rsidRPr="00CA3551" w:rsidRDefault="005C7E99" w:rsidP="007834FA">
      <w:pPr>
        <w:pStyle w:val="SEQSbodynumbered"/>
      </w:pPr>
      <w:r>
        <w:t>P</w:t>
      </w:r>
      <w:r w:rsidR="00E60CC0">
        <w:t>rogramme</w:t>
      </w:r>
      <w:r w:rsidR="00FE549A">
        <w:t xml:space="preserve"> and </w:t>
      </w:r>
      <w:r w:rsidR="00E60CC0">
        <w:t>project</w:t>
      </w:r>
      <w:r w:rsidR="00FE549A">
        <w:t xml:space="preserve"> level social and environmental risks will be tracked and monitored using UNDP’s Risk Register and escalated where needed. Refer to UNDP’s ERM Policy.</w:t>
      </w:r>
    </w:p>
    <w:p w14:paraId="096C8F76" w14:textId="2D52791A" w:rsidR="00A62E8C" w:rsidRDefault="00AC7958" w:rsidP="00A62E8C">
      <w:pPr>
        <w:pStyle w:val="Heading2"/>
      </w:pPr>
      <w:bookmarkStart w:id="26" w:name="_Toc14683709"/>
      <w:r>
        <w:t>P</w:t>
      </w:r>
      <w:r w:rsidR="00E60CC0">
        <w:t>roject</w:t>
      </w:r>
      <w:r w:rsidR="00FE549A">
        <w:t xml:space="preserve">-Level </w:t>
      </w:r>
      <w:r w:rsidR="00A62E8C">
        <w:t xml:space="preserve">Screening, </w:t>
      </w:r>
      <w:r w:rsidR="00A62E8C" w:rsidRPr="009D58D8">
        <w:t>Assessment and Management of Social and Environmental Risks and Impacts</w:t>
      </w:r>
      <w:bookmarkEnd w:id="26"/>
    </w:p>
    <w:p w14:paraId="24C84516" w14:textId="77777777" w:rsidR="00A62E8C" w:rsidRPr="002D2C96" w:rsidRDefault="00A62E8C" w:rsidP="00A62E8C">
      <w:pPr>
        <w:pStyle w:val="Heading4"/>
        <w:rPr>
          <w:i/>
        </w:rPr>
      </w:pPr>
      <w:r w:rsidRPr="002D2C96">
        <w:rPr>
          <w:i/>
        </w:rPr>
        <w:t>Screening</w:t>
      </w:r>
      <w:r>
        <w:rPr>
          <w:i/>
        </w:rPr>
        <w:t xml:space="preserve"> and Categorization</w:t>
      </w:r>
    </w:p>
    <w:p w14:paraId="320F1EB5" w14:textId="56367D9B" w:rsidR="00A62E8C" w:rsidRPr="00D46919" w:rsidRDefault="00AC7958" w:rsidP="00AC7F5D">
      <w:pPr>
        <w:pStyle w:val="SEQSbodynumbered"/>
      </w:pPr>
      <w:r>
        <w:t>P</w:t>
      </w:r>
      <w:r w:rsidR="00E60CC0">
        <w:t>roject</w:t>
      </w:r>
      <w:r w:rsidR="00A62E8C" w:rsidRPr="00D46919">
        <w:t xml:space="preserve"> screening and categorization</w:t>
      </w:r>
      <w:r w:rsidR="00755480">
        <w:t xml:space="preserve"> i</w:t>
      </w:r>
      <w:r w:rsidR="00547DAE">
        <w:t>s</w:t>
      </w:r>
      <w:r w:rsidR="00755480">
        <w:t xml:space="preserve"> conducted</w:t>
      </w:r>
      <w:r w:rsidR="00A62E8C" w:rsidRPr="00D46919">
        <w:t xml:space="preserve"> at the earliest stage of </w:t>
      </w:r>
      <w:r w:rsidR="00E60CC0">
        <w:t>project</w:t>
      </w:r>
      <w:r w:rsidR="00A62E8C" w:rsidRPr="00D46919">
        <w:t xml:space="preserve"> preparation when sufficient informatio</w:t>
      </w:r>
      <w:r w:rsidR="00A62E8C">
        <w:t>n is available for this purpose.</w:t>
      </w:r>
      <w:r w:rsidR="00A62E8C" w:rsidRPr="00D46919">
        <w:t xml:space="preserve"> Screening is undertaken (i) </w:t>
      </w:r>
      <w:r w:rsidR="00A62E8C">
        <w:t xml:space="preserve">to identify and </w:t>
      </w:r>
      <w:r w:rsidR="00A62E8C" w:rsidRPr="00D46919">
        <w:t xml:space="preserve">reflect the significance of potential impacts or risks that </w:t>
      </w:r>
      <w:r w:rsidR="00E60CC0">
        <w:t>project</w:t>
      </w:r>
      <w:r w:rsidR="00A62E8C" w:rsidRPr="00D46919">
        <w:t xml:space="preserve"> </w:t>
      </w:r>
      <w:r w:rsidR="00A62E8C">
        <w:t xml:space="preserve">activities </w:t>
      </w:r>
      <w:r w:rsidR="00A62E8C" w:rsidRPr="00D46919">
        <w:t>might present</w:t>
      </w:r>
      <w:r w:rsidR="00B91853">
        <w:t>,</w:t>
      </w:r>
      <w:r w:rsidR="00A62E8C" w:rsidRPr="00D46919">
        <w:t xml:space="preserve"> and (ii)</w:t>
      </w:r>
      <w:r w:rsidR="00A62E8C">
        <w:t xml:space="preserve"> to</w:t>
      </w:r>
      <w:r w:rsidR="00A62E8C" w:rsidRPr="00D46919">
        <w:t xml:space="preserve"> identify </w:t>
      </w:r>
      <w:r w:rsidR="00A62E8C">
        <w:lastRenderedPageBreak/>
        <w:t xml:space="preserve">opportunities to enhance benefits and to support stakeholders. Categorization is undertaken to reflect the </w:t>
      </w:r>
      <w:r w:rsidR="00A62E8C" w:rsidRPr="00D46919">
        <w:t xml:space="preserve">level of </w:t>
      </w:r>
      <w:r w:rsidR="00A62E8C">
        <w:t>review</w:t>
      </w:r>
      <w:r w:rsidR="00A62E8C" w:rsidRPr="00D46919">
        <w:t xml:space="preserve"> and resources required for addressing such impacts and risks. </w:t>
      </w:r>
    </w:p>
    <w:p w14:paraId="0919C4B3" w14:textId="57C5F513" w:rsidR="00723A6A" w:rsidRDefault="00A62E8C" w:rsidP="00AC7F5D">
      <w:pPr>
        <w:pStyle w:val="SEQSbodynumbered"/>
      </w:pPr>
      <w:r>
        <w:t xml:space="preserve">UNDP utilizes its Social and Environmental Screening Procedure (SESP) to identify potential social and environmental risks and opportunities associated with the </w:t>
      </w:r>
      <w:r w:rsidR="00E60CC0">
        <w:t>project</w:t>
      </w:r>
      <w:r>
        <w:t>.</w:t>
      </w:r>
      <w:r w:rsidR="00143141">
        <w:rPr>
          <w:rStyle w:val="FootnoteReference"/>
        </w:rPr>
        <w:footnoteReference w:id="139"/>
      </w:r>
      <w:r w:rsidR="00723A6A">
        <w:t xml:space="preserve"> </w:t>
      </w:r>
      <w:r w:rsidR="00723A6A" w:rsidRPr="00723A6A">
        <w:t xml:space="preserve">The SESP screens </w:t>
      </w:r>
      <w:r w:rsidR="00E60CC0">
        <w:t>project</w:t>
      </w:r>
      <w:r w:rsidR="00723A6A" w:rsidRPr="00723A6A">
        <w:t>s for all environmental and social risks and impacts associated with the SES Programming Principles</w:t>
      </w:r>
      <w:r w:rsidR="00723A6A">
        <w:t xml:space="preserve"> (i.e. leave no one behind; human rights</w:t>
      </w:r>
      <w:r w:rsidR="00915593">
        <w:t>;</w:t>
      </w:r>
      <w:r w:rsidR="00723A6A">
        <w:t xml:space="preserve"> gender equality and women’s empowerment; sustainability and resilience; and accountability)</w:t>
      </w:r>
      <w:r w:rsidR="00755480">
        <w:t xml:space="preserve"> </w:t>
      </w:r>
      <w:r w:rsidR="00723A6A" w:rsidRPr="00723A6A">
        <w:t xml:space="preserve">and </w:t>
      </w:r>
      <w:r w:rsidR="00E60CC0">
        <w:t>project</w:t>
      </w:r>
      <w:r w:rsidR="00723A6A" w:rsidRPr="00723A6A">
        <w:t>-level Standards, including direct, indirect, cumulative, transboundary risks and impacts and those related to associated facilities</w:t>
      </w:r>
      <w:r w:rsidR="00A66657">
        <w:t xml:space="preserve"> (see </w:t>
      </w:r>
      <w:r w:rsidR="004C3003">
        <w:t>paragraph 16 below</w:t>
      </w:r>
      <w:r w:rsidR="0062286C">
        <w:t>)</w:t>
      </w:r>
      <w:r w:rsidR="00723A6A" w:rsidRPr="00723A6A">
        <w:t>.</w:t>
      </w:r>
    </w:p>
    <w:p w14:paraId="3C9BAA52" w14:textId="2082F576" w:rsidR="00F0216D" w:rsidRDefault="00A62E8C" w:rsidP="007834FA">
      <w:pPr>
        <w:pStyle w:val="SEQSbodynumbered"/>
      </w:pPr>
      <w:r w:rsidRPr="00D46919">
        <w:t>UNDP</w:t>
      </w:r>
      <w:r>
        <w:t xml:space="preserve">’s SESP applies </w:t>
      </w:r>
      <w:r w:rsidRPr="00D46919">
        <w:t xml:space="preserve">a </w:t>
      </w:r>
      <w:r w:rsidR="00E60CC0">
        <w:t>project</w:t>
      </w:r>
      <w:r>
        <w:t xml:space="preserve">-level </w:t>
      </w:r>
      <w:r w:rsidRPr="00D46919">
        <w:t xml:space="preserve">categorization system to reflect the significance of potential </w:t>
      </w:r>
      <w:r>
        <w:t>social and environmental</w:t>
      </w:r>
      <w:r w:rsidRPr="00D46919">
        <w:t xml:space="preserve"> risks and impacts</w:t>
      </w:r>
      <w:r>
        <w:t xml:space="preserve"> and to determine the appropriate type and level of social and environmental assessment</w:t>
      </w:r>
      <w:r w:rsidRPr="00D46919">
        <w:t xml:space="preserve">. Each proposed </w:t>
      </w:r>
      <w:r w:rsidR="00E60CC0">
        <w:t>project</w:t>
      </w:r>
      <w:r w:rsidRPr="00D46919">
        <w:t xml:space="preserve"> is scrutinized as to its type, location, scale, sensitivity and the magnitude of its potential </w:t>
      </w:r>
      <w:r>
        <w:t xml:space="preserve">social and </w:t>
      </w:r>
      <w:r w:rsidRPr="00D46919">
        <w:t xml:space="preserve">environmental impacts. </w:t>
      </w:r>
      <w:r>
        <w:t xml:space="preserve">UNDP screens </w:t>
      </w:r>
      <w:r w:rsidR="00E60CC0">
        <w:t>project</w:t>
      </w:r>
      <w:r>
        <w:t xml:space="preserve"> activities, including </w:t>
      </w:r>
      <w:r w:rsidRPr="0014421F">
        <w:t xml:space="preserve">planning </w:t>
      </w:r>
      <w:r>
        <w:t>support, policy advice, and capacity</w:t>
      </w:r>
      <w:r w:rsidR="00527285">
        <w:t>-</w:t>
      </w:r>
      <w:r>
        <w:t xml:space="preserve">building (often referred to as “upstream” activities), as well as site-specific, physical interventions (“downstream” activities) and </w:t>
      </w:r>
      <w:r w:rsidR="00593B06">
        <w:t>those that will be implemented through</w:t>
      </w:r>
      <w:r w:rsidR="00C426B7">
        <w:t xml:space="preserve"> </w:t>
      </w:r>
      <w:r>
        <w:t>procurement.</w:t>
      </w:r>
      <w:r w:rsidR="00F13681">
        <w:rPr>
          <w:rStyle w:val="FootnoteReference"/>
        </w:rPr>
        <w:footnoteReference w:id="140"/>
      </w:r>
      <w:r w:rsidR="00E94040">
        <w:t xml:space="preserve"> </w:t>
      </w:r>
    </w:p>
    <w:p w14:paraId="3AE1D478" w14:textId="4EB38E75" w:rsidR="00A62E8C" w:rsidRPr="00470552" w:rsidRDefault="00A62E8C" w:rsidP="00E02E11">
      <w:pPr>
        <w:pStyle w:val="SEQSbodynumbered"/>
      </w:pPr>
      <w:r>
        <w:t xml:space="preserve">Based on the screening, UNDP categorizes </w:t>
      </w:r>
      <w:r w:rsidR="00E60CC0">
        <w:t>project</w:t>
      </w:r>
      <w:r>
        <w:t>s according to the degree of potential social and environmental risks and impacts.</w:t>
      </w:r>
      <w:r w:rsidRPr="00D46919">
        <w:t xml:space="preserve"> </w:t>
      </w:r>
      <w:r>
        <w:t xml:space="preserve">In some cases, applicability of specific requirements will need to be determined through additional scoping, assessment, or management review. The screening process results in one of the following three categories for the proposed </w:t>
      </w:r>
      <w:r w:rsidR="00E60CC0">
        <w:t>project</w:t>
      </w:r>
      <w:r>
        <w:t xml:space="preserve">: </w:t>
      </w:r>
    </w:p>
    <w:p w14:paraId="04A0E0C8" w14:textId="16ADA5FE" w:rsidR="00A62E8C" w:rsidRDefault="00A62E8C" w:rsidP="000828D8">
      <w:pPr>
        <w:pStyle w:val="listbullets1"/>
      </w:pPr>
      <w:r w:rsidRPr="00411553">
        <w:rPr>
          <w:b/>
        </w:rPr>
        <w:t>Low Risk:</w:t>
      </w:r>
      <w:r w:rsidRPr="00EA0F0B">
        <w:t xml:space="preserve"> </w:t>
      </w:r>
      <w:r w:rsidR="005C7E99">
        <w:t>P</w:t>
      </w:r>
      <w:r w:rsidR="00E60CC0">
        <w:t>roject</w:t>
      </w:r>
      <w:r>
        <w:t xml:space="preserve">s </w:t>
      </w:r>
      <w:r w:rsidRPr="00B55BD7">
        <w:t>that</w:t>
      </w:r>
      <w:r>
        <w:t xml:space="preserve"> include activities with minimal or no adverse social or environmental </w:t>
      </w:r>
      <w:r w:rsidR="0051750F">
        <w:t xml:space="preserve">risks and </w:t>
      </w:r>
      <w:r>
        <w:t xml:space="preserve">impacts. Further assessment of potential adverse social and environmental risks and impacts is not required. </w:t>
      </w:r>
      <w:r w:rsidR="0051750F" w:rsidRPr="00392558">
        <w:t xml:space="preserve">However, the SES Programming Principles and stakeholder engagement requirements still apply to </w:t>
      </w:r>
      <w:r w:rsidR="00E60CC0">
        <w:t>project</w:t>
      </w:r>
      <w:r w:rsidR="0051750F" w:rsidRPr="00392558">
        <w:t xml:space="preserve"> activities</w:t>
      </w:r>
      <w:r w:rsidR="0081070D">
        <w:t>.</w:t>
      </w:r>
    </w:p>
    <w:p w14:paraId="2ADBFC53" w14:textId="29B906AB" w:rsidR="0009292A" w:rsidRDefault="00A62E8C" w:rsidP="00B968D2">
      <w:pPr>
        <w:pStyle w:val="listbullets1"/>
      </w:pPr>
      <w:r w:rsidRPr="00377B22">
        <w:rPr>
          <w:b/>
        </w:rPr>
        <w:t>Moderate Risk:</w:t>
      </w:r>
      <w:r w:rsidRPr="0014421F">
        <w:t xml:space="preserve"> </w:t>
      </w:r>
      <w:r w:rsidR="005C7E99">
        <w:t>P</w:t>
      </w:r>
      <w:r w:rsidR="00E60CC0">
        <w:t>roject</w:t>
      </w:r>
      <w:r>
        <w:t xml:space="preserve">s that include activities with </w:t>
      </w:r>
      <w:r w:rsidRPr="0014421F">
        <w:t xml:space="preserve">potential </w:t>
      </w:r>
      <w:r>
        <w:t xml:space="preserve">adverse social and </w:t>
      </w:r>
      <w:r w:rsidRPr="0014421F">
        <w:t xml:space="preserve">environmental </w:t>
      </w:r>
      <w:r>
        <w:t xml:space="preserve">risks and </w:t>
      </w:r>
      <w:r w:rsidR="00067140">
        <w:t xml:space="preserve">impacts </w:t>
      </w:r>
      <w:r w:rsidR="00175C51">
        <w:t>that</w:t>
      </w:r>
      <w:r>
        <w:t xml:space="preserve"> are </w:t>
      </w:r>
      <w:r w:rsidRPr="0014421F">
        <w:t>limited in scale</w:t>
      </w:r>
      <w:r w:rsidR="0081070D">
        <w:t>, are largely reversible</w:t>
      </w:r>
      <w:r w:rsidR="00CB7653">
        <w:t xml:space="preserve"> and</w:t>
      </w:r>
      <w:r w:rsidRPr="0014421F">
        <w:t xml:space="preserve"> can be identified with a reasonable degree of certainty</w:t>
      </w:r>
      <w:r w:rsidR="0009292A">
        <w:t xml:space="preserve"> </w:t>
      </w:r>
      <w:r w:rsidR="0009292A" w:rsidRPr="0009292A">
        <w:t xml:space="preserve">and readily addressed through application of recognized good international practice, mitigation measures and stakeholder engagement during </w:t>
      </w:r>
      <w:r w:rsidR="00E60CC0">
        <w:t>project</w:t>
      </w:r>
      <w:r w:rsidR="0009292A" w:rsidRPr="0009292A">
        <w:t xml:space="preserve"> implementation</w:t>
      </w:r>
      <w:r w:rsidR="00CB7653">
        <w:t xml:space="preserve">. </w:t>
      </w:r>
    </w:p>
    <w:p w14:paraId="44E3E6A4" w14:textId="550767FD" w:rsidR="0081070D" w:rsidRDefault="0009292A" w:rsidP="0009292A">
      <w:pPr>
        <w:pStyle w:val="listbullets1"/>
      </w:pPr>
      <w:r w:rsidRPr="0009292A">
        <w:rPr>
          <w:b/>
        </w:rPr>
        <w:t>Substantial Risk:</w:t>
      </w:r>
      <w:r w:rsidRPr="0009292A">
        <w:t xml:space="preserve"> </w:t>
      </w:r>
      <w:r w:rsidR="00AC7958">
        <w:t>P</w:t>
      </w:r>
      <w:r w:rsidR="00E60CC0">
        <w:t>roject</w:t>
      </w:r>
      <w:r w:rsidRPr="0009292A">
        <w:t xml:space="preserve">s that include activities with potential adverse social and environmental risks and impacts that are more varied or complex than those of Moderate Risk </w:t>
      </w:r>
      <w:r w:rsidR="00E60CC0">
        <w:t>project</w:t>
      </w:r>
      <w:r w:rsidRPr="0009292A">
        <w:t xml:space="preserve">s but </w:t>
      </w:r>
      <w:r>
        <w:t>remain</w:t>
      </w:r>
      <w:r w:rsidRPr="000E1D5D">
        <w:t xml:space="preserve"> limited in scale </w:t>
      </w:r>
      <w:r>
        <w:t xml:space="preserve">and </w:t>
      </w:r>
      <w:r w:rsidRPr="0009292A">
        <w:t xml:space="preserve">are of lesser magnitude than those of High Risk </w:t>
      </w:r>
      <w:r w:rsidR="00E60CC0">
        <w:t>project</w:t>
      </w:r>
      <w:r w:rsidRPr="0009292A">
        <w:t xml:space="preserve">s (e.g. reversible, predictable, smaller footprint, less risk of cumulative impacts). Substantial Risk </w:t>
      </w:r>
      <w:r w:rsidR="00E60CC0">
        <w:t>project</w:t>
      </w:r>
      <w:r w:rsidRPr="0009292A">
        <w:t xml:space="preserve">s may also include those with a varied range of Moderate Risks that </w:t>
      </w:r>
      <w:r w:rsidRPr="0009292A">
        <w:lastRenderedPageBreak/>
        <w:t xml:space="preserve">require more extensive assessment and management measures. </w:t>
      </w:r>
      <w:r w:rsidR="00DC679C">
        <w:t xml:space="preserve">Scoping and </w:t>
      </w:r>
      <w:r w:rsidR="00AC7D00">
        <w:t xml:space="preserve">assessment </w:t>
      </w:r>
      <w:r w:rsidR="00A62E8C">
        <w:t>may determine</w:t>
      </w:r>
      <w:r w:rsidR="00B34F1B">
        <w:t xml:space="preserve"> </w:t>
      </w:r>
      <w:r w:rsidR="00024CBB">
        <w:t xml:space="preserve">that </w:t>
      </w:r>
      <w:r w:rsidR="00A62E8C">
        <w:t xml:space="preserve">a </w:t>
      </w:r>
      <w:r>
        <w:t xml:space="preserve">scoped, </w:t>
      </w:r>
      <w:r w:rsidR="00DC679C">
        <w:t xml:space="preserve">fit-for-purpose </w:t>
      </w:r>
      <w:r w:rsidR="00ED5CD7">
        <w:t>Environmental and Social Impact Assessment (ESIA) or Strategic Environmental and Social Assessment (SESA) may be</w:t>
      </w:r>
      <w:r w:rsidR="00A62E8C">
        <w:t xml:space="preserve"> required in order </w:t>
      </w:r>
      <w:r w:rsidR="005D4DA2">
        <w:t xml:space="preserve">to </w:t>
      </w:r>
      <w:r w:rsidR="00A62E8C">
        <w:t xml:space="preserve">ensure that the SES requirements are </w:t>
      </w:r>
      <w:r w:rsidR="00DC679C">
        <w:t xml:space="preserve">appropriately </w:t>
      </w:r>
      <w:r w:rsidR="00A62E8C">
        <w:t>addressed</w:t>
      </w:r>
      <w:r w:rsidR="00DC679C">
        <w:t>.</w:t>
      </w:r>
      <w:r w:rsidR="0081070D" w:rsidRPr="0081070D">
        <w:t xml:space="preserve"> </w:t>
      </w:r>
    </w:p>
    <w:p w14:paraId="7613ED7A" w14:textId="2E197A68" w:rsidR="001F0394" w:rsidRDefault="00A62E8C" w:rsidP="001F0394">
      <w:pPr>
        <w:pStyle w:val="listbullets1"/>
      </w:pPr>
      <w:r w:rsidRPr="000A6216">
        <w:rPr>
          <w:b/>
        </w:rPr>
        <w:t>High Risk:</w:t>
      </w:r>
      <w:r>
        <w:t xml:space="preserve"> </w:t>
      </w:r>
      <w:r w:rsidR="005C7E99">
        <w:t>P</w:t>
      </w:r>
      <w:r w:rsidR="00E60CC0">
        <w:t>roject</w:t>
      </w:r>
      <w:r>
        <w:t>s that include activities with</w:t>
      </w:r>
      <w:r w:rsidRPr="0014421F">
        <w:t xml:space="preserve"> potential</w:t>
      </w:r>
      <w:r>
        <w:t xml:space="preserve"> significant</w:t>
      </w:r>
      <w:r w:rsidRPr="0014421F">
        <w:t xml:space="preserve"> </w:t>
      </w:r>
      <w:r>
        <w:t xml:space="preserve">adverse social and </w:t>
      </w:r>
      <w:r w:rsidRPr="0014421F">
        <w:t xml:space="preserve">environmental </w:t>
      </w:r>
      <w:r>
        <w:t xml:space="preserve">risks and </w:t>
      </w:r>
      <w:r w:rsidRPr="0014421F">
        <w:t>impacts</w:t>
      </w:r>
      <w:r w:rsidR="00497460">
        <w:t xml:space="preserve"> that are irreversible</w:t>
      </w:r>
      <w:r w:rsidR="00416E4B">
        <w:t>,</w:t>
      </w:r>
      <w:r w:rsidR="00497460">
        <w:t xml:space="preserve"> unprecedented</w:t>
      </w:r>
      <w:r w:rsidR="00416E4B">
        <w:t xml:space="preserve"> </w:t>
      </w:r>
      <w:r w:rsidR="00497460">
        <w:t>and/</w:t>
      </w:r>
      <w:r w:rsidR="007B0C94" w:rsidRPr="00175C51">
        <w:t xml:space="preserve">or which raise </w:t>
      </w:r>
      <w:r w:rsidR="007B0C94">
        <w:t xml:space="preserve">significant </w:t>
      </w:r>
      <w:r w:rsidR="007B0C94" w:rsidRPr="00175C51">
        <w:t>concerns among potentially affected communities and individu</w:t>
      </w:r>
      <w:r w:rsidR="007B0C94">
        <w:t>als a</w:t>
      </w:r>
      <w:r w:rsidR="007B0C94" w:rsidRPr="00175C51">
        <w:t>s expressed during the s</w:t>
      </w:r>
      <w:r w:rsidR="007B0C94">
        <w:t>takeholder engagement process</w:t>
      </w:r>
      <w:r>
        <w:t xml:space="preserve">. High Risk activities may involve significant </w:t>
      </w:r>
      <w:r w:rsidR="00497460">
        <w:t xml:space="preserve">adverse </w:t>
      </w:r>
      <w:r>
        <w:t>impacts on physical, biological, socioeconomic, or cultural resources</w:t>
      </w:r>
      <w:r w:rsidR="00497460">
        <w:t xml:space="preserve">, and </w:t>
      </w:r>
      <w:r w:rsidR="0094451F" w:rsidRPr="00B40E80">
        <w:t>may have the potential to aggravate existing situations of fragility or conflict</w:t>
      </w:r>
      <w:r w:rsidR="00497460">
        <w:t>,</w:t>
      </w:r>
      <w:r w:rsidR="0094451F">
        <w:t xml:space="preserve"> adversely affect human rights</w:t>
      </w:r>
      <w:r w:rsidR="00934EF0">
        <w:t>, lead to extensive environmental degradation and/or contribute to cumulative impacts</w:t>
      </w:r>
      <w:r w:rsidR="0094451F" w:rsidRPr="00B40E80">
        <w:t>.</w:t>
      </w:r>
      <w:r w:rsidR="00497460">
        <w:rPr>
          <w:rStyle w:val="FootnoteReference"/>
        </w:rPr>
        <w:footnoteReference w:id="141"/>
      </w:r>
      <w:r>
        <w:t xml:space="preserve"> </w:t>
      </w:r>
      <w:r w:rsidR="00934EF0">
        <w:t xml:space="preserve">High Risk </w:t>
      </w:r>
      <w:r w:rsidR="00E60CC0">
        <w:t>project</w:t>
      </w:r>
      <w:r w:rsidR="00934EF0">
        <w:t xml:space="preserve">s typically involve a range of issues regarding the SES Programming Principles and </w:t>
      </w:r>
      <w:r w:rsidR="00E60CC0">
        <w:t>project</w:t>
      </w:r>
      <w:r w:rsidR="00934EF0">
        <w:t xml:space="preserve">-level Standards. Activities that </w:t>
      </w:r>
      <w:r w:rsidR="00934EF0" w:rsidRPr="00DE343D">
        <w:t xml:space="preserve">promote </w:t>
      </w:r>
      <w:r w:rsidR="00934EF0">
        <w:t xml:space="preserve">plans and </w:t>
      </w:r>
      <w:r w:rsidR="00934EF0" w:rsidRPr="00DE343D">
        <w:t>policy reforms</w:t>
      </w:r>
      <w:r w:rsidR="00934EF0">
        <w:t xml:space="preserve"> (</w:t>
      </w:r>
      <w:r>
        <w:t>“upstream” activities</w:t>
      </w:r>
      <w:r w:rsidR="00934EF0">
        <w:t xml:space="preserve">) that </w:t>
      </w:r>
      <w:r w:rsidR="00934EF0" w:rsidRPr="00DE343D">
        <w:t xml:space="preserve">may lead to </w:t>
      </w:r>
      <w:r w:rsidR="00934EF0">
        <w:t xml:space="preserve">significant </w:t>
      </w:r>
      <w:r w:rsidR="00934EF0" w:rsidRPr="00DE343D">
        <w:t>adverse social and environmental risks and impacts</w:t>
      </w:r>
      <w:r>
        <w:t xml:space="preserve"> shall be analyzed and addressed, utilizing a potential range of tools, including Strategic Environmental and Social Assessment (SESA). A </w:t>
      </w:r>
      <w:r w:rsidR="00143141">
        <w:t>comprehensive</w:t>
      </w:r>
      <w:r w:rsidR="00143141" w:rsidRPr="0014421F">
        <w:t xml:space="preserve"> </w:t>
      </w:r>
      <w:r w:rsidRPr="0014421F">
        <w:t>environment</w:t>
      </w:r>
      <w:r>
        <w:t xml:space="preserve">al and social impact assessment (ESIA), including development of applicable social and environmental management plans, </w:t>
      </w:r>
      <w:r w:rsidRPr="0014421F">
        <w:t>is required</w:t>
      </w:r>
      <w:r>
        <w:t xml:space="preserve"> for</w:t>
      </w:r>
      <w:r w:rsidR="00934EF0">
        <w:t xml:space="preserve"> physical interventions</w:t>
      </w:r>
      <w:r>
        <w:t xml:space="preserve"> </w:t>
      </w:r>
      <w:r w:rsidR="00934EF0">
        <w:t>(</w:t>
      </w:r>
      <w:r w:rsidR="00DD6192">
        <w:t>“</w:t>
      </w:r>
      <w:r>
        <w:t>downstream</w:t>
      </w:r>
      <w:r w:rsidR="00DD6192">
        <w:t>”</w:t>
      </w:r>
      <w:r>
        <w:t xml:space="preserve"> activities</w:t>
      </w:r>
      <w:r w:rsidR="00934EF0">
        <w:t>)</w:t>
      </w:r>
      <w:r>
        <w:t xml:space="preserve"> with potentially significant adverse </w:t>
      </w:r>
      <w:r w:rsidR="00934EF0">
        <w:t xml:space="preserve">risks and </w:t>
      </w:r>
      <w:r>
        <w:t>impacts</w:t>
      </w:r>
      <w:r w:rsidRPr="0014421F">
        <w:t>.</w:t>
      </w:r>
      <w:r w:rsidRPr="00834D18">
        <w:rPr>
          <w:rStyle w:val="FootnoteReference"/>
        </w:rPr>
        <w:footnoteReference w:id="142"/>
      </w:r>
      <w:r>
        <w:t xml:space="preserve"> Such assessments are required, for example, for </w:t>
      </w:r>
      <w:r w:rsidR="00E60CC0">
        <w:t>project</w:t>
      </w:r>
      <w:r>
        <w:t xml:space="preserve">s that (i) may adversely impact critical habitats, (ii) involve </w:t>
      </w:r>
      <w:r w:rsidRPr="00F347B6">
        <w:t>significant</w:t>
      </w:r>
      <w:r>
        <w:t xml:space="preserve"> displacement and/or resettlement,</w:t>
      </w:r>
      <w:r>
        <w:rPr>
          <w:rStyle w:val="FootnoteReference"/>
        </w:rPr>
        <w:footnoteReference w:id="143"/>
      </w:r>
      <w:r>
        <w:t xml:space="preserve"> (iii) </w:t>
      </w:r>
      <w:r w:rsidRPr="009F6C2E">
        <w:t xml:space="preserve">produce </w:t>
      </w:r>
      <w:r>
        <w:t>significant quantities of greenhouse gases, (</w:t>
      </w:r>
      <w:r w:rsidR="00E7054E">
        <w:t>iv</w:t>
      </w:r>
      <w:r>
        <w:t xml:space="preserve">) </w:t>
      </w:r>
      <w:r w:rsidR="00ED042F">
        <w:t xml:space="preserve">may </w:t>
      </w:r>
      <w:r>
        <w:t xml:space="preserve">adversely </w:t>
      </w:r>
      <w:r w:rsidRPr="00940799">
        <w:t xml:space="preserve">impact the rights, lands, resources and territories of the </w:t>
      </w:r>
      <w:r w:rsidR="003B54E4">
        <w:t>i</w:t>
      </w:r>
      <w:r w:rsidRPr="00940799">
        <w:t xml:space="preserve">ndigenous </w:t>
      </w:r>
      <w:r w:rsidR="003B54E4">
        <w:t>p</w:t>
      </w:r>
      <w:r w:rsidRPr="00940799">
        <w:t>eoples</w:t>
      </w:r>
      <w:r>
        <w:t xml:space="preserve">, </w:t>
      </w:r>
      <w:r w:rsidR="00203F76">
        <w:t xml:space="preserve">or </w:t>
      </w:r>
      <w:r w:rsidR="00E7054E">
        <w:t xml:space="preserve">(v) </w:t>
      </w:r>
      <w:r>
        <w:t xml:space="preserve">other circumstances that reflect potentially significant adverse impacts. </w:t>
      </w:r>
      <w:r w:rsidR="005C7E99">
        <w:t>P</w:t>
      </w:r>
      <w:r w:rsidR="00E60CC0">
        <w:t>roject</w:t>
      </w:r>
      <w:r>
        <w:t xml:space="preserve">s </w:t>
      </w:r>
      <w:r w:rsidR="00E7054E">
        <w:t>will</w:t>
      </w:r>
      <w:r>
        <w:t xml:space="preserve"> adhere to</w:t>
      </w:r>
      <w:r w:rsidR="00143141">
        <w:t xml:space="preserve"> the requirements and recommendati</w:t>
      </w:r>
      <w:r w:rsidR="00390486">
        <w:t>o</w:t>
      </w:r>
      <w:r w:rsidR="00143141">
        <w:t>ns of the applicable management plan (e.g. ESMP or ESMF)</w:t>
      </w:r>
      <w:r>
        <w:t xml:space="preserve">. High Risk </w:t>
      </w:r>
      <w:r w:rsidR="00E60CC0">
        <w:t>project</w:t>
      </w:r>
      <w:r>
        <w:t>s require enhanced internal and external support.</w:t>
      </w:r>
      <w:r>
        <w:rPr>
          <w:rStyle w:val="FootnoteReference"/>
        </w:rPr>
        <w:footnoteReference w:id="144"/>
      </w:r>
      <w:r w:rsidR="001F0394" w:rsidRPr="001F0394">
        <w:t xml:space="preserve"> </w:t>
      </w:r>
    </w:p>
    <w:p w14:paraId="758A6198" w14:textId="27F2B399" w:rsidR="00A62E8C" w:rsidRPr="00BF3EF9" w:rsidRDefault="00210EBE" w:rsidP="00AC7F5D">
      <w:pPr>
        <w:pStyle w:val="SEQSbodynumbered"/>
      </w:pPr>
      <w:r>
        <w:t xml:space="preserve">The Social and Environmental Screening </w:t>
      </w:r>
      <w:r w:rsidR="00755480">
        <w:t>is</w:t>
      </w:r>
      <w:r w:rsidR="00A434A9">
        <w:t xml:space="preserve"> </w:t>
      </w:r>
      <w:r>
        <w:t xml:space="preserve">updated as needed during implementation as part of </w:t>
      </w:r>
      <w:r w:rsidR="00E60CC0">
        <w:t>project</w:t>
      </w:r>
      <w:r>
        <w:t xml:space="preserve"> risk management and monitoring. At a minimum, </w:t>
      </w:r>
      <w:r w:rsidR="00E60CC0">
        <w:t>project</w:t>
      </w:r>
      <w:r>
        <w:t xml:space="preserve">s </w:t>
      </w:r>
      <w:r w:rsidR="00A62E8C">
        <w:t xml:space="preserve">that undergo substantive revision </w:t>
      </w:r>
      <w:r>
        <w:t xml:space="preserve">or experience a change in context that affects the risk profile </w:t>
      </w:r>
      <w:r w:rsidR="00A62E8C">
        <w:t>will be re-screened and potentially re-categorized.</w:t>
      </w:r>
    </w:p>
    <w:p w14:paraId="58CF0339" w14:textId="77777777" w:rsidR="00A62E8C" w:rsidRPr="002D2C96" w:rsidRDefault="00A62E8C" w:rsidP="00A62E8C">
      <w:pPr>
        <w:pStyle w:val="Heading4"/>
        <w:rPr>
          <w:i/>
        </w:rPr>
      </w:pPr>
      <w:r w:rsidRPr="002D2C96">
        <w:rPr>
          <w:i/>
        </w:rPr>
        <w:lastRenderedPageBreak/>
        <w:t>Assessment and Management</w:t>
      </w:r>
    </w:p>
    <w:p w14:paraId="18BB770E" w14:textId="77777777" w:rsidR="00A62E8C" w:rsidRDefault="00755480" w:rsidP="00AC7F5D">
      <w:pPr>
        <w:pStyle w:val="SEQSbodynumbered"/>
      </w:pPr>
      <w:r>
        <w:t>P</w:t>
      </w:r>
      <w:r w:rsidR="00A62E8C">
        <w:t>otential social and environmental risks, impacts and opportunities of supported activities are systematically identified and assessed in an integrated manner. The type and scale of assessment and the agreed management measures should be proportionate to the level of social and environmental risk</w:t>
      </w:r>
      <w:r w:rsidR="00192CAA">
        <w:t>s and impacts</w:t>
      </w:r>
      <w:r w:rsidR="00A62E8C">
        <w:t>.</w:t>
      </w:r>
    </w:p>
    <w:p w14:paraId="6AD3034A" w14:textId="77777777" w:rsidR="00A62E8C" w:rsidRDefault="00A62E8C" w:rsidP="00AC7F5D">
      <w:pPr>
        <w:pStyle w:val="SEQSbodynumbered"/>
      </w:pPr>
      <w:r>
        <w:t>UNDP supports countries through a wide range of services, including policy advisory services and capacity building. UNDP applies a social and environmental mainstreaming approach to these types of services. UNDP will seek entry points for strengthening capacities for integrated approaches to development policies and planning that consider social and environmental risks and opportunities.</w:t>
      </w:r>
      <w:r>
        <w:rPr>
          <w:rStyle w:val="FootnoteReference"/>
        </w:rPr>
        <w:footnoteReference w:id="145"/>
      </w:r>
      <w:r w:rsidRPr="00F006A0">
        <w:t xml:space="preserve"> </w:t>
      </w:r>
    </w:p>
    <w:p w14:paraId="3C32185B" w14:textId="24E0B3C0" w:rsidR="00A62E8C" w:rsidRDefault="00AC7958" w:rsidP="007834FA">
      <w:pPr>
        <w:pStyle w:val="SEQSbodynumbered"/>
      </w:pPr>
      <w:r>
        <w:t>P</w:t>
      </w:r>
      <w:r w:rsidR="00E60CC0">
        <w:t>roject</w:t>
      </w:r>
      <w:r w:rsidR="00A62E8C">
        <w:t xml:space="preserve">s with potential adverse risks and impacts, </w:t>
      </w:r>
      <w:r w:rsidR="00A62E8C" w:rsidRPr="001714C8">
        <w:t xml:space="preserve">including </w:t>
      </w:r>
      <w:r w:rsidR="00FE036E">
        <w:t xml:space="preserve">potential impacts which may undermine </w:t>
      </w:r>
      <w:r w:rsidR="00992258">
        <w:t xml:space="preserve">the realization of </w:t>
      </w:r>
      <w:r w:rsidR="00A62E8C" w:rsidRPr="001714C8">
        <w:t>human rights,</w:t>
      </w:r>
      <w:r w:rsidR="00A62E8C">
        <w:t xml:space="preserve"> require </w:t>
      </w:r>
      <w:r w:rsidR="00A7354D">
        <w:t xml:space="preserve">appropriately-scaled forms of </w:t>
      </w:r>
      <w:r w:rsidR="00A62E8C">
        <w:t xml:space="preserve">assessment </w:t>
      </w:r>
      <w:r w:rsidR="00A7354D">
        <w:t xml:space="preserve">and management </w:t>
      </w:r>
      <w:r w:rsidR="00A62E8C">
        <w:t>measures</w:t>
      </w:r>
      <w:r w:rsidR="00A7354D">
        <w:t>/plans</w:t>
      </w:r>
      <w:r w:rsidR="00A62E8C">
        <w:t xml:space="preserve"> to avoid and minimize adverse impacts and to improve social and environmental performance. </w:t>
      </w:r>
    </w:p>
    <w:p w14:paraId="68DD393E" w14:textId="5B5C84F2" w:rsidR="00B81AD6" w:rsidRDefault="00B81AD6">
      <w:pPr>
        <w:pStyle w:val="SEQSbodynumbered"/>
      </w:pPr>
      <w:r>
        <w:t xml:space="preserve">In addressing </w:t>
      </w:r>
      <w:r w:rsidR="00E60CC0">
        <w:t>project</w:t>
      </w:r>
      <w:r w:rsidR="00E60E64">
        <w:t>s with potential adverse social and environmental impacts, UNDP requires that key principles are applied, including a</w:t>
      </w:r>
      <w:r w:rsidR="00E60E64" w:rsidRPr="00591D68">
        <w:t xml:space="preserve"> precautionary approach to addressing significant environmental and social challenges</w:t>
      </w:r>
      <w:r w:rsidR="00E60E64">
        <w:t>; the mitigation hierarchy;</w:t>
      </w:r>
      <w:r w:rsidR="00E60E64">
        <w:rPr>
          <w:rStyle w:val="FootnoteReference"/>
        </w:rPr>
        <w:footnoteReference w:id="146"/>
      </w:r>
      <w:r w:rsidR="00E60E64">
        <w:t xml:space="preserve"> the “polluter pays” principle (whereby t</w:t>
      </w:r>
      <w:r w:rsidR="00E60E64" w:rsidRPr="00E60E64">
        <w:t>he cost of mitigation is borne by the polluter, where relevant</w:t>
      </w:r>
      <w:r w:rsidR="00E60E64">
        <w:t>); and a</w:t>
      </w:r>
      <w:r w:rsidR="00E60E64" w:rsidRPr="00E60E64">
        <w:t xml:space="preserve">daptive management techniques </w:t>
      </w:r>
      <w:r w:rsidR="00E60E64">
        <w:t>(</w:t>
      </w:r>
      <w:r w:rsidR="00E60E64" w:rsidRPr="00E60E64">
        <w:t>whereby lessons are learned from past management actions and are proactively utilized to predict and improve management as programming progresses</w:t>
      </w:r>
      <w:r w:rsidR="00E60E64">
        <w:t>)</w:t>
      </w:r>
      <w:r w:rsidR="00E60E64" w:rsidRPr="00E60E64">
        <w:t>.</w:t>
      </w:r>
    </w:p>
    <w:p w14:paraId="09E9E5BB" w14:textId="4CBA1B86" w:rsidR="00E60E64" w:rsidRDefault="00E60E64">
      <w:pPr>
        <w:pStyle w:val="SEQSbodynumbered"/>
      </w:pPr>
      <w:r>
        <w:t xml:space="preserve">The social and environmental assessment process is undertaken as early as possible, noting that in some cases, it will be undertaken as a component of the </w:t>
      </w:r>
      <w:r w:rsidR="00E60CC0">
        <w:t>project</w:t>
      </w:r>
      <w:r>
        <w:t xml:space="preserve">. In no case shall </w:t>
      </w:r>
      <w:r w:rsidR="00E60CC0">
        <w:t>project</w:t>
      </w:r>
      <w:r>
        <w:t xml:space="preserve"> activities that may cause adverse impacts be carried out until completion of the assessment and adoption of appropriate management measures and plans.</w:t>
      </w:r>
    </w:p>
    <w:p w14:paraId="6D1EE11E" w14:textId="77777777" w:rsidR="00A62E8C" w:rsidRDefault="00755480">
      <w:pPr>
        <w:pStyle w:val="SEQSbodynumbered"/>
      </w:pPr>
      <w:r>
        <w:t>T</w:t>
      </w:r>
      <w:r w:rsidR="00336119">
        <w:t xml:space="preserve">he </w:t>
      </w:r>
      <w:r w:rsidR="005B44BB">
        <w:t>social and environmental assessment process and development of appropriate management measures</w:t>
      </w:r>
      <w:r w:rsidR="00A62E8C">
        <w:t xml:space="preserve"> </w:t>
      </w:r>
      <w:r w:rsidR="00A5638E">
        <w:t>include</w:t>
      </w:r>
      <w:r w:rsidR="00336119">
        <w:t>s</w:t>
      </w:r>
      <w:r w:rsidR="00A5638E">
        <w:t xml:space="preserve"> and/or reflect</w:t>
      </w:r>
      <w:r w:rsidR="00336119">
        <w:t>s</w:t>
      </w:r>
      <w:r w:rsidR="00A5638E">
        <w:t xml:space="preserve"> the following</w:t>
      </w:r>
      <w:r w:rsidR="004D487F">
        <w:t xml:space="preserve"> </w:t>
      </w:r>
      <w:r w:rsidR="00F10027">
        <w:t>criteria and</w:t>
      </w:r>
      <w:r w:rsidR="00887656">
        <w:t xml:space="preserve"> </w:t>
      </w:r>
      <w:r w:rsidR="004D487F">
        <w:t>measures</w:t>
      </w:r>
      <w:r w:rsidR="00A62E8C">
        <w:t>:</w:t>
      </w:r>
      <w:r w:rsidR="00A62E8C">
        <w:rPr>
          <w:rStyle w:val="FootnoteReference"/>
        </w:rPr>
        <w:footnoteReference w:id="147"/>
      </w:r>
      <w:r w:rsidR="00A62E8C">
        <w:t xml:space="preserve"> </w:t>
      </w:r>
    </w:p>
    <w:p w14:paraId="54AF1FDA" w14:textId="12BFB9CF" w:rsidR="00A25A9F" w:rsidRDefault="00755480" w:rsidP="000828D8">
      <w:pPr>
        <w:pStyle w:val="listbullets1"/>
      </w:pPr>
      <w:r>
        <w:t>I</w:t>
      </w:r>
      <w:r w:rsidR="00A62E8C">
        <w:t xml:space="preserve">mpacts on physical, biological, socioeconomic </w:t>
      </w:r>
      <w:r w:rsidR="004D487F">
        <w:t xml:space="preserve">and </w:t>
      </w:r>
      <w:r w:rsidR="00A62E8C">
        <w:t xml:space="preserve">cultural resources, including </w:t>
      </w:r>
      <w:r w:rsidR="00A62E8C" w:rsidRPr="00D46919">
        <w:t>direct, indirect,</w:t>
      </w:r>
      <w:r w:rsidR="007179FB">
        <w:t xml:space="preserve"> </w:t>
      </w:r>
      <w:r w:rsidR="00A25A9F">
        <w:t xml:space="preserve">and </w:t>
      </w:r>
      <w:r w:rsidR="00A62E8C" w:rsidRPr="00D46919">
        <w:t xml:space="preserve">cumulative impacts in </w:t>
      </w:r>
      <w:r w:rsidR="00A62E8C">
        <w:t xml:space="preserve">the </w:t>
      </w:r>
      <w:r w:rsidR="00E60CC0">
        <w:t>project</w:t>
      </w:r>
      <w:r w:rsidR="00A62E8C">
        <w:t>’s area of influence,</w:t>
      </w:r>
      <w:r w:rsidR="00A62E8C">
        <w:rPr>
          <w:rStyle w:val="FootnoteReference"/>
        </w:rPr>
        <w:footnoteReference w:id="148"/>
      </w:r>
      <w:r w:rsidR="00A62E8C">
        <w:t xml:space="preserve"> </w:t>
      </w:r>
      <w:r w:rsidR="00B811EE">
        <w:t xml:space="preserve">including those related </w:t>
      </w:r>
      <w:r w:rsidR="00B811EE">
        <w:lastRenderedPageBreak/>
        <w:t>to associated facilities.</w:t>
      </w:r>
      <w:r w:rsidR="00B811EE">
        <w:rPr>
          <w:rStyle w:val="FootnoteReference"/>
        </w:rPr>
        <w:footnoteReference w:id="149"/>
      </w:r>
      <w:r w:rsidR="00B811EE">
        <w:t xml:space="preserve"> </w:t>
      </w:r>
      <w:r>
        <w:t>P</w:t>
      </w:r>
      <w:r w:rsidR="009F76E1">
        <w:t xml:space="preserve">otential transboundary and global concerns, </w:t>
      </w:r>
      <w:r w:rsidR="009F76E1" w:rsidRPr="00EF4D9D">
        <w:t xml:space="preserve">including climate pollutants and other emissions, as they relate to </w:t>
      </w:r>
      <w:r w:rsidR="00E60CC0">
        <w:t>project</w:t>
      </w:r>
      <w:r w:rsidR="009F76E1">
        <w:t xml:space="preserve"> activities. </w:t>
      </w:r>
      <w:r>
        <w:t>S</w:t>
      </w:r>
      <w:r w:rsidR="009F76E1" w:rsidRPr="002F1FD9">
        <w:t>trategic, sectoral or re</w:t>
      </w:r>
      <w:r w:rsidR="009F76E1">
        <w:t xml:space="preserve">gional environmental assessment </w:t>
      </w:r>
      <w:r w:rsidR="009F76E1" w:rsidRPr="002F1FD9">
        <w:t>whe</w:t>
      </w:r>
      <w:r w:rsidR="009F76E1">
        <w:t>re</w:t>
      </w:r>
      <w:r w:rsidR="009F76E1" w:rsidRPr="002F1FD9">
        <w:t xml:space="preserve"> appropriate</w:t>
      </w:r>
    </w:p>
    <w:p w14:paraId="5D65D405" w14:textId="6047F7A4" w:rsidR="00A25A9F" w:rsidRDefault="00755480" w:rsidP="000828D8">
      <w:pPr>
        <w:pStyle w:val="listbullets1"/>
      </w:pPr>
      <w:r>
        <w:t>R</w:t>
      </w:r>
      <w:r w:rsidR="00A25A9F" w:rsidRPr="00A25A9F">
        <w:t>elevant environmental and social risks and impacts</w:t>
      </w:r>
      <w:r w:rsidR="007179FB">
        <w:t xml:space="preserve"> associated with the </w:t>
      </w:r>
      <w:r w:rsidR="009F76E1">
        <w:t xml:space="preserve">SES </w:t>
      </w:r>
      <w:r w:rsidR="007179FB">
        <w:t xml:space="preserve">Programming Principles and </w:t>
      </w:r>
      <w:r w:rsidR="00E60CC0">
        <w:t>project</w:t>
      </w:r>
      <w:r w:rsidR="007179FB">
        <w:t>-level Standards.</w:t>
      </w:r>
    </w:p>
    <w:p w14:paraId="2683BE40" w14:textId="2353D9F1" w:rsidR="001D2763" w:rsidRDefault="001D2763" w:rsidP="000828D8">
      <w:pPr>
        <w:pStyle w:val="listbullets1"/>
      </w:pPr>
      <w:r>
        <w:t>Risks</w:t>
      </w:r>
      <w:r w:rsidR="00673A2E">
        <w:t xml:space="preserve"> to human security through escalation of conflict, crime and violence</w:t>
      </w:r>
      <w:r w:rsidR="00C94C79">
        <w:t xml:space="preserve">, with appropriate </w:t>
      </w:r>
      <w:r w:rsidR="00A948D3">
        <w:t xml:space="preserve">response </w:t>
      </w:r>
      <w:r w:rsidR="00C94C79">
        <w:t>measures</w:t>
      </w:r>
      <w:r w:rsidR="00673A2E">
        <w:t>.</w:t>
      </w:r>
      <w:r w:rsidR="005D5E02">
        <w:t xml:space="preserve"> </w:t>
      </w:r>
      <w:r w:rsidR="00282E45">
        <w:t>Take into account the risk of reprisals against individuals and communities in relation to project activities.</w:t>
      </w:r>
    </w:p>
    <w:p w14:paraId="27266F73" w14:textId="086EE62B" w:rsidR="003F3941" w:rsidRDefault="00C47EE1" w:rsidP="000828D8">
      <w:pPr>
        <w:pStyle w:val="listbullets1"/>
      </w:pPr>
      <w:r>
        <w:t>A</w:t>
      </w:r>
      <w:r w:rsidR="00A62E8C" w:rsidRPr="00105FD6">
        <w:t xml:space="preserve">pplicable legal and institutional framework, including </w:t>
      </w:r>
      <w:r w:rsidR="00A62E8C">
        <w:t xml:space="preserve">obligations under Applicable Law </w:t>
      </w:r>
      <w:r w:rsidR="00A62E8C" w:rsidRPr="00105FD6">
        <w:t xml:space="preserve">and confirm that </w:t>
      </w:r>
      <w:r w:rsidR="00A62E8C">
        <w:t xml:space="preserve">the </w:t>
      </w:r>
      <w:r w:rsidR="00E60CC0">
        <w:t>project</w:t>
      </w:r>
      <w:r w:rsidR="00A62E8C" w:rsidRPr="00105FD6">
        <w:t xml:space="preserve"> </w:t>
      </w:r>
      <w:r w:rsidR="00A62E8C">
        <w:t xml:space="preserve">would not be supported if it </w:t>
      </w:r>
      <w:r w:rsidR="00A62E8C" w:rsidRPr="00105FD6">
        <w:t>contravene</w:t>
      </w:r>
      <w:r w:rsidR="00A62E8C">
        <w:t>s</w:t>
      </w:r>
      <w:r w:rsidR="00A62E8C" w:rsidRPr="00105FD6">
        <w:t xml:space="preserve"> internation</w:t>
      </w:r>
      <w:r w:rsidR="00A62E8C">
        <w:t>al obligations.</w:t>
      </w:r>
    </w:p>
    <w:p w14:paraId="088E4C39" w14:textId="77777777" w:rsidR="003F3941" w:rsidRDefault="00C47EE1" w:rsidP="000828D8">
      <w:pPr>
        <w:pStyle w:val="listbullets1"/>
      </w:pPr>
      <w:r>
        <w:t xml:space="preserve">Adequate and recent </w:t>
      </w:r>
      <w:r w:rsidR="003F3941">
        <w:t xml:space="preserve">social and </w:t>
      </w:r>
      <w:r w:rsidR="0013699E">
        <w:t>environmental</w:t>
      </w:r>
      <w:r w:rsidR="003F3941">
        <w:t xml:space="preserve"> baseline data at an appropriate level of de</w:t>
      </w:r>
      <w:r w:rsidR="0013699E">
        <w:t>t</w:t>
      </w:r>
      <w:r w:rsidR="003F3941">
        <w:t xml:space="preserve">ail, recognizing that variability over time </w:t>
      </w:r>
      <w:r w:rsidR="00795171">
        <w:t xml:space="preserve">(e.g. seasonal variations, movement of people) may </w:t>
      </w:r>
      <w:r w:rsidR="009F76E1">
        <w:t>necessitate collection of</w:t>
      </w:r>
      <w:r w:rsidR="00795171">
        <w:t xml:space="preserve"> additional baseline data.</w:t>
      </w:r>
    </w:p>
    <w:p w14:paraId="560ED815" w14:textId="77777777" w:rsidR="00A62E8C" w:rsidRPr="00105FD6" w:rsidRDefault="00C47EE1" w:rsidP="000828D8">
      <w:pPr>
        <w:pStyle w:val="listbullets1"/>
      </w:pPr>
      <w:r>
        <w:t>Feasibility of</w:t>
      </w:r>
      <w:r w:rsidR="00A62E8C" w:rsidRPr="00105FD6">
        <w:t xml:space="preserve"> investment, technical, and siting alternatives, including the “no action” alternative, as well as potential impacts, feasibility of mitigating these impacts, their capital and recurrent costs, their suitability under local conditions, and the institutional, training and monitoring re</w:t>
      </w:r>
      <w:r w:rsidR="00A62E8C">
        <w:t>quirements associated with them.</w:t>
      </w:r>
    </w:p>
    <w:p w14:paraId="1284925F" w14:textId="28E91CBF" w:rsidR="003F3941" w:rsidRPr="00105FD6" w:rsidRDefault="00A62E8C" w:rsidP="00E60E64">
      <w:pPr>
        <w:pStyle w:val="listbullets1"/>
      </w:pPr>
      <w:r>
        <w:t>E</w:t>
      </w:r>
      <w:r w:rsidRPr="00105FD6">
        <w:t xml:space="preserve">nhance positive impacts </w:t>
      </w:r>
      <w:r>
        <w:t xml:space="preserve">and avoid, minimize, and/or mitigate adverse impacts </w:t>
      </w:r>
      <w:r w:rsidRPr="00105FD6">
        <w:t xml:space="preserve">through </w:t>
      </w:r>
      <w:r>
        <w:t xml:space="preserve">social and </w:t>
      </w:r>
      <w:r w:rsidRPr="00105FD6">
        <w:t xml:space="preserve">environmental planning and </w:t>
      </w:r>
      <w:r w:rsidR="00DF490B">
        <w:t xml:space="preserve">appropriately-scaled </w:t>
      </w:r>
      <w:r w:rsidRPr="00105FD6">
        <w:t>management</w:t>
      </w:r>
      <w:r w:rsidR="00D2312C">
        <w:t xml:space="preserve"> </w:t>
      </w:r>
      <w:r w:rsidR="00DF490B">
        <w:t>measures and plans</w:t>
      </w:r>
      <w:r w:rsidR="00334BED">
        <w:t xml:space="preserve"> that are </w:t>
      </w:r>
      <w:r w:rsidR="001D51E3">
        <w:t xml:space="preserve">adequately budgeted and resourced. </w:t>
      </w:r>
      <w:r w:rsidR="00186276">
        <w:t>D</w:t>
      </w:r>
      <w:r>
        <w:t xml:space="preserve">evelop an Environmental and Social Management Plan (ESMP) </w:t>
      </w:r>
      <w:r w:rsidR="00C8798B">
        <w:t xml:space="preserve">or equivalent </w:t>
      </w:r>
      <w:r w:rsidR="007D2C1E" w:rsidRPr="007D2C1E">
        <w:t xml:space="preserve">scaled to reflect the nature of the activity and its potential impacts (e.g. from relatively simple </w:t>
      </w:r>
      <w:r w:rsidR="00C8798B">
        <w:t>plans</w:t>
      </w:r>
      <w:r w:rsidR="007D2C1E" w:rsidRPr="007D2C1E">
        <w:t xml:space="preserve"> for </w:t>
      </w:r>
      <w:r w:rsidR="00E60CC0">
        <w:t>project</w:t>
      </w:r>
      <w:r w:rsidR="007D2C1E" w:rsidRPr="007D2C1E">
        <w:t xml:space="preserve">s with few </w:t>
      </w:r>
      <w:r w:rsidR="00C8798B">
        <w:t xml:space="preserve">social and </w:t>
      </w:r>
      <w:r w:rsidR="007D2C1E" w:rsidRPr="007D2C1E">
        <w:t>environmental</w:t>
      </w:r>
      <w:r w:rsidR="00C8798B">
        <w:t xml:space="preserve"> </w:t>
      </w:r>
      <w:r w:rsidR="007D2C1E" w:rsidRPr="007D2C1E">
        <w:t>risks</w:t>
      </w:r>
      <w:r w:rsidR="00C8798B">
        <w:t xml:space="preserve"> </w:t>
      </w:r>
      <w:r w:rsidR="007D2C1E" w:rsidRPr="007D2C1E">
        <w:t>to comprehensive plans for High Risk activities with potentially significant adverse risks and impacts)</w:t>
      </w:r>
      <w:r w:rsidR="00C8798B">
        <w:t xml:space="preserve">. The ESMP </w:t>
      </w:r>
      <w:r w:rsidRPr="00105FD6">
        <w:t>includes the proposed measures</w:t>
      </w:r>
      <w:r w:rsidR="004D487F">
        <w:t xml:space="preserve"> for mitigation</w:t>
      </w:r>
      <w:r w:rsidRPr="00105FD6">
        <w:t xml:space="preserve">, monitoring, institutional capacity development and training </w:t>
      </w:r>
      <w:r>
        <w:t>(if required)</w:t>
      </w:r>
      <w:r w:rsidRPr="00105FD6">
        <w:t>, an implementati</w:t>
      </w:r>
      <w:r>
        <w:t>on schedule, and cost estimates.</w:t>
      </w:r>
      <w:r w:rsidRPr="00105FD6">
        <w:t xml:space="preserve"> </w:t>
      </w:r>
      <w:r w:rsidRPr="00090513">
        <w:t xml:space="preserve">When uncertainty remains regarding specific </w:t>
      </w:r>
      <w:r w:rsidR="00E60CC0">
        <w:t>project</w:t>
      </w:r>
      <w:r w:rsidRPr="00090513">
        <w:t xml:space="preserve"> components or exact locations</w:t>
      </w:r>
      <w:r>
        <w:t xml:space="preserve"> (e.g. </w:t>
      </w:r>
      <w:r w:rsidR="00E60CC0">
        <w:t>project</w:t>
      </w:r>
      <w:r w:rsidR="00C83F44">
        <w:t xml:space="preserve">s still under development, </w:t>
      </w:r>
      <w:r>
        <w:t>“upstream” activities)</w:t>
      </w:r>
      <w:r w:rsidR="004B280C">
        <w:t>, develop</w:t>
      </w:r>
      <w:r w:rsidRPr="00090513">
        <w:t xml:space="preserve"> an Environmental and Social Management Framework (ESMF) in place of an ESMP</w:t>
      </w:r>
      <w:r>
        <w:t>.</w:t>
      </w:r>
      <w:r>
        <w:rPr>
          <w:rStyle w:val="FootnoteReference"/>
        </w:rPr>
        <w:footnoteReference w:id="150"/>
      </w:r>
      <w:r w:rsidR="00E60E64" w:rsidDel="00E60E64">
        <w:t xml:space="preserve"> </w:t>
      </w:r>
    </w:p>
    <w:p w14:paraId="02EFF9D7" w14:textId="33EB3549" w:rsidR="00A62E8C" w:rsidRDefault="00C47EE1" w:rsidP="000828D8">
      <w:pPr>
        <w:pStyle w:val="listbullets1"/>
      </w:pPr>
      <w:r>
        <w:t>I</w:t>
      </w:r>
      <w:r w:rsidR="003E1714" w:rsidRPr="002E694D">
        <w:t>ndependent experts</w:t>
      </w:r>
      <w:r w:rsidR="003E1714" w:rsidRPr="00CA3551">
        <w:t xml:space="preserve"> not directly affiliated with the </w:t>
      </w:r>
      <w:r w:rsidR="00F712FA">
        <w:t>i</w:t>
      </w:r>
      <w:r w:rsidR="003E1714" w:rsidRPr="00CA3551">
        <w:t xml:space="preserve">mplementing </w:t>
      </w:r>
      <w:r w:rsidR="00F712FA">
        <w:t>p</w:t>
      </w:r>
      <w:r w:rsidR="003E1714" w:rsidRPr="00CA3551">
        <w:t xml:space="preserve">artner </w:t>
      </w:r>
      <w:r w:rsidR="003E1714" w:rsidRPr="002E694D">
        <w:t xml:space="preserve">or UNDP </w:t>
      </w:r>
      <w:r>
        <w:t xml:space="preserve">must </w:t>
      </w:r>
      <w:r w:rsidR="003E1714" w:rsidRPr="00CA3551">
        <w:t>conduct ESIAs</w:t>
      </w:r>
      <w:r w:rsidR="003E1714">
        <w:t xml:space="preserve"> or SESAs</w:t>
      </w:r>
      <w:r w:rsidR="003E1714" w:rsidRPr="00CA3551">
        <w:t xml:space="preserve"> for </w:t>
      </w:r>
      <w:r w:rsidR="003E1714">
        <w:t xml:space="preserve">High Risk </w:t>
      </w:r>
      <w:r w:rsidR="00E60CC0">
        <w:t>project</w:t>
      </w:r>
      <w:r w:rsidR="003E1714">
        <w:t xml:space="preserve">s, and where appropriate, </w:t>
      </w:r>
      <w:r w:rsidR="00DB79B6">
        <w:t xml:space="preserve">Substantial and </w:t>
      </w:r>
      <w:r w:rsidR="003E1714">
        <w:t xml:space="preserve">Moderate Risk </w:t>
      </w:r>
      <w:r w:rsidR="00E60CC0">
        <w:t>project</w:t>
      </w:r>
      <w:r w:rsidR="003E1714">
        <w:t>s</w:t>
      </w:r>
      <w:r w:rsidR="003E1714" w:rsidRPr="00CA3551">
        <w:t xml:space="preserve">. UNDP </w:t>
      </w:r>
      <w:r w:rsidR="003E1714">
        <w:t xml:space="preserve">will </w:t>
      </w:r>
      <w:r w:rsidR="003E1714" w:rsidRPr="00CA3551">
        <w:t>ensure that conflict</w:t>
      </w:r>
      <w:r w:rsidR="003E1714">
        <w:t>s</w:t>
      </w:r>
      <w:r w:rsidR="003E1714" w:rsidRPr="00CA3551">
        <w:t xml:space="preserve"> of interest </w:t>
      </w:r>
      <w:r w:rsidR="003E1714">
        <w:t>are</w:t>
      </w:r>
      <w:r w:rsidR="003E1714" w:rsidRPr="00CA3551">
        <w:t xml:space="preserve"> avoided.</w:t>
      </w:r>
      <w:r w:rsidR="003E1714">
        <w:t xml:space="preserve"> </w:t>
      </w:r>
      <w:r>
        <w:t>I</w:t>
      </w:r>
      <w:r w:rsidR="00A62E8C" w:rsidRPr="00105FD6">
        <w:t xml:space="preserve">ndependent advisory panels </w:t>
      </w:r>
      <w:r>
        <w:t xml:space="preserve">are used </w:t>
      </w:r>
      <w:r w:rsidR="00A62E8C" w:rsidRPr="00105FD6">
        <w:t xml:space="preserve">during preparation and implementation of </w:t>
      </w:r>
      <w:r w:rsidR="00E60CC0">
        <w:t>project</w:t>
      </w:r>
      <w:r w:rsidR="00A62E8C" w:rsidRPr="00105FD6">
        <w:t xml:space="preserve">s that are highly risky or contentious or that involve serious and multi-dimensional </w:t>
      </w:r>
      <w:r w:rsidR="00ED2630">
        <w:t xml:space="preserve">social and/or </w:t>
      </w:r>
      <w:r w:rsidR="00A62E8C" w:rsidRPr="00105FD6">
        <w:t>envir</w:t>
      </w:r>
      <w:r w:rsidR="00A62E8C">
        <w:t>onmental concerns.</w:t>
      </w:r>
    </w:p>
    <w:p w14:paraId="4B5070D7" w14:textId="1B9A0955" w:rsidR="00A62E8C" w:rsidRPr="00A37A8B" w:rsidRDefault="00C47EE1" w:rsidP="000828D8">
      <w:pPr>
        <w:pStyle w:val="listbullets1"/>
      </w:pPr>
      <w:r>
        <w:lastRenderedPageBreak/>
        <w:t>The needs of p</w:t>
      </w:r>
      <w:r w:rsidR="00A62E8C">
        <w:t>articular individuals and groups</w:t>
      </w:r>
      <w:r>
        <w:t xml:space="preserve"> are assessed</w:t>
      </w:r>
      <w:r w:rsidR="00A62E8C">
        <w:t xml:space="preserve"> </w:t>
      </w:r>
      <w:r>
        <w:t xml:space="preserve">that </w:t>
      </w:r>
      <w:r w:rsidR="00A62E8C">
        <w:t xml:space="preserve">may be differentially or disproportionately affected by the </w:t>
      </w:r>
      <w:r w:rsidR="00E60CC0">
        <w:t>project</w:t>
      </w:r>
      <w:r w:rsidR="00A62E8C">
        <w:t xml:space="preserve">’s potential adverse impacts because of their disadvantaged or marginalized status, due to such factors </w:t>
      </w:r>
      <w:r w:rsidR="00A62E8C">
        <w:rPr>
          <w:spacing w:val="1"/>
        </w:rPr>
        <w:t>as</w:t>
      </w:r>
      <w:r w:rsidR="00A62E8C">
        <w:rPr>
          <w:spacing w:val="-7"/>
        </w:rPr>
        <w:t xml:space="preserve"> </w:t>
      </w:r>
      <w:r w:rsidR="00834400" w:rsidRPr="00834400">
        <w:rPr>
          <w:lang w:val="en-CA"/>
        </w:rPr>
        <w:t xml:space="preserve">race, ethnicity, </w:t>
      </w:r>
      <w:r w:rsidR="0089664D" w:rsidRPr="00F67675">
        <w:rPr>
          <w:lang w:val="en-CA"/>
        </w:rPr>
        <w:t>sex</w:t>
      </w:r>
      <w:r w:rsidR="00834400" w:rsidRPr="00834400">
        <w:rPr>
          <w:lang w:val="en-CA"/>
        </w:rPr>
        <w:t xml:space="preserve">, age, language, disability, sexual orientation, </w:t>
      </w:r>
      <w:r w:rsidR="00BF084A">
        <w:rPr>
          <w:lang w:val="en-CA"/>
        </w:rPr>
        <w:t xml:space="preserve">gender identity, </w:t>
      </w:r>
      <w:r w:rsidR="00834400" w:rsidRPr="00834400">
        <w:rPr>
          <w:lang w:val="en-CA"/>
        </w:rPr>
        <w:t>religion, political or other opinion, national or social or geographical origin, property, birth</w:t>
      </w:r>
      <w:r w:rsidR="00E60A05">
        <w:rPr>
          <w:lang w:val="en-CA"/>
        </w:rPr>
        <w:t>, health status</w:t>
      </w:r>
      <w:r w:rsidR="00834400" w:rsidRPr="00834400">
        <w:rPr>
          <w:lang w:val="en-CA"/>
        </w:rPr>
        <w:t xml:space="preserve"> or other status including as an indigenous person or as a member of a minority</w:t>
      </w:r>
      <w:r w:rsidR="00A62E8C" w:rsidRPr="009B4042">
        <w:t>.</w:t>
      </w:r>
      <w:r w:rsidR="00A62E8C" w:rsidRPr="00A44FBE">
        <w:rPr>
          <w:b/>
        </w:rPr>
        <w:t xml:space="preserve"> </w:t>
      </w:r>
      <w:r w:rsidR="00A62E8C">
        <w:t>Where</w:t>
      </w:r>
      <w:r w:rsidR="00A62E8C">
        <w:rPr>
          <w:spacing w:val="-6"/>
        </w:rPr>
        <w:t xml:space="preserve"> </w:t>
      </w:r>
      <w:r w:rsidR="00A62E8C">
        <w:rPr>
          <w:spacing w:val="-1"/>
        </w:rPr>
        <w:t>such</w:t>
      </w:r>
      <w:r w:rsidR="00A62E8C">
        <w:rPr>
          <w:spacing w:val="-6"/>
        </w:rPr>
        <w:t xml:space="preserve"> </w:t>
      </w:r>
      <w:r w:rsidR="00A62E8C">
        <w:rPr>
          <w:spacing w:val="-1"/>
        </w:rPr>
        <w:t>individuals</w:t>
      </w:r>
      <w:r w:rsidR="00A62E8C">
        <w:rPr>
          <w:spacing w:val="-7"/>
        </w:rPr>
        <w:t xml:space="preserve"> </w:t>
      </w:r>
      <w:r w:rsidR="00A62E8C">
        <w:t>or</w:t>
      </w:r>
      <w:r w:rsidR="00A62E8C">
        <w:rPr>
          <w:spacing w:val="-6"/>
        </w:rPr>
        <w:t xml:space="preserve"> </w:t>
      </w:r>
      <w:r w:rsidR="00A62E8C">
        <w:t>groups</w:t>
      </w:r>
      <w:r w:rsidR="00A62E8C">
        <w:rPr>
          <w:spacing w:val="-8"/>
        </w:rPr>
        <w:t xml:space="preserve"> </w:t>
      </w:r>
      <w:r w:rsidR="00A62E8C">
        <w:rPr>
          <w:spacing w:val="1"/>
        </w:rPr>
        <w:t>are</w:t>
      </w:r>
      <w:r w:rsidR="00A62E8C">
        <w:rPr>
          <w:spacing w:val="-8"/>
        </w:rPr>
        <w:t xml:space="preserve"> </w:t>
      </w:r>
      <w:r w:rsidR="00A62E8C">
        <w:t>identified,</w:t>
      </w:r>
      <w:r w:rsidR="00A62E8C">
        <w:rPr>
          <w:spacing w:val="-6"/>
        </w:rPr>
        <w:t xml:space="preserve"> </w:t>
      </w:r>
      <w:r w:rsidR="00A62E8C">
        <w:rPr>
          <w:spacing w:val="-1"/>
        </w:rPr>
        <w:t>recommend</w:t>
      </w:r>
      <w:r w:rsidR="00A62E8C">
        <w:rPr>
          <w:spacing w:val="-6"/>
        </w:rPr>
        <w:t xml:space="preserve"> </w:t>
      </w:r>
      <w:r w:rsidR="00A62E8C">
        <w:t>targeted</w:t>
      </w:r>
      <w:r w:rsidR="00A62E8C">
        <w:rPr>
          <w:spacing w:val="-6"/>
        </w:rPr>
        <w:t xml:space="preserve"> </w:t>
      </w:r>
      <w:r w:rsidR="00A62E8C">
        <w:t>and</w:t>
      </w:r>
      <w:r w:rsidR="00A62E8C">
        <w:rPr>
          <w:spacing w:val="-6"/>
        </w:rPr>
        <w:t xml:space="preserve"> </w:t>
      </w:r>
      <w:r w:rsidR="00A62E8C">
        <w:rPr>
          <w:spacing w:val="-1"/>
        </w:rPr>
        <w:t>differentiated</w:t>
      </w:r>
      <w:r w:rsidR="00A62E8C">
        <w:rPr>
          <w:spacing w:val="-6"/>
        </w:rPr>
        <w:t xml:space="preserve"> </w:t>
      </w:r>
      <w:r w:rsidR="00A62E8C">
        <w:t>measures</w:t>
      </w:r>
      <w:r>
        <w:t xml:space="preserve"> are applied</w:t>
      </w:r>
      <w:r w:rsidR="00A62E8C">
        <w:rPr>
          <w:spacing w:val="-8"/>
        </w:rPr>
        <w:t xml:space="preserve"> to ensure </w:t>
      </w:r>
      <w:r w:rsidR="00A62E8C">
        <w:t>that</w:t>
      </w:r>
      <w:r w:rsidR="00A62E8C">
        <w:rPr>
          <w:spacing w:val="-6"/>
        </w:rPr>
        <w:t xml:space="preserve"> </w:t>
      </w:r>
      <w:r w:rsidR="00A62E8C">
        <w:t>the</w:t>
      </w:r>
      <w:r w:rsidR="00A62E8C">
        <w:rPr>
          <w:spacing w:val="-7"/>
        </w:rPr>
        <w:t xml:space="preserve"> </w:t>
      </w:r>
      <w:r w:rsidR="00A62E8C">
        <w:rPr>
          <w:spacing w:val="-1"/>
        </w:rPr>
        <w:t>adverse</w:t>
      </w:r>
      <w:r w:rsidR="00A62E8C">
        <w:rPr>
          <w:spacing w:val="-7"/>
        </w:rPr>
        <w:t xml:space="preserve"> </w:t>
      </w:r>
      <w:r w:rsidR="00A62E8C">
        <w:t>impacts</w:t>
      </w:r>
      <w:r w:rsidR="00A62E8C">
        <w:rPr>
          <w:spacing w:val="-8"/>
        </w:rPr>
        <w:t xml:space="preserve"> </w:t>
      </w:r>
      <w:r w:rsidR="00A62E8C">
        <w:t>do</w:t>
      </w:r>
      <w:r w:rsidR="00A62E8C">
        <w:rPr>
          <w:spacing w:val="-6"/>
        </w:rPr>
        <w:t xml:space="preserve"> </w:t>
      </w:r>
      <w:r w:rsidR="00A62E8C">
        <w:t>not</w:t>
      </w:r>
      <w:r w:rsidR="00A62E8C">
        <w:rPr>
          <w:spacing w:val="-6"/>
        </w:rPr>
        <w:t xml:space="preserve"> </w:t>
      </w:r>
      <w:r w:rsidR="00A62E8C">
        <w:rPr>
          <w:spacing w:val="-1"/>
        </w:rPr>
        <w:t>fall</w:t>
      </w:r>
      <w:r w:rsidR="00A62E8C">
        <w:rPr>
          <w:spacing w:val="68"/>
          <w:w w:val="99"/>
        </w:rPr>
        <w:t xml:space="preserve"> </w:t>
      </w:r>
      <w:r w:rsidR="00A62E8C">
        <w:rPr>
          <w:spacing w:val="-1"/>
        </w:rPr>
        <w:t>disproportionately</w:t>
      </w:r>
      <w:r w:rsidR="00A62E8C">
        <w:rPr>
          <w:spacing w:val="-11"/>
        </w:rPr>
        <w:t xml:space="preserve"> </w:t>
      </w:r>
      <w:r w:rsidR="00A62E8C">
        <w:t>on</w:t>
      </w:r>
      <w:r w:rsidR="00A62E8C">
        <w:rPr>
          <w:spacing w:val="-8"/>
        </w:rPr>
        <w:t xml:space="preserve"> </w:t>
      </w:r>
      <w:r w:rsidR="00A62E8C">
        <w:rPr>
          <w:spacing w:val="-1"/>
        </w:rPr>
        <w:t>them</w:t>
      </w:r>
      <w:r w:rsidR="00CA30CB">
        <w:rPr>
          <w:spacing w:val="-1"/>
        </w:rPr>
        <w:t xml:space="preserve"> and they are </w:t>
      </w:r>
      <w:r w:rsidR="00CA30CB" w:rsidRPr="00CA30CB">
        <w:rPr>
          <w:spacing w:val="-1"/>
        </w:rPr>
        <w:t xml:space="preserve">not disadvantaged in sharing </w:t>
      </w:r>
      <w:r w:rsidR="00E60CC0">
        <w:rPr>
          <w:spacing w:val="-1"/>
        </w:rPr>
        <w:t>project</w:t>
      </w:r>
      <w:r w:rsidR="00CA30CB" w:rsidRPr="00CA30CB">
        <w:rPr>
          <w:spacing w:val="-1"/>
        </w:rPr>
        <w:t xml:space="preserve"> benefits and opportunities</w:t>
      </w:r>
      <w:r w:rsidR="00A62E8C">
        <w:rPr>
          <w:spacing w:val="-1"/>
        </w:rPr>
        <w:t>.</w:t>
      </w:r>
    </w:p>
    <w:p w14:paraId="6805C9BD" w14:textId="7F64C10A" w:rsidR="00D24A6C" w:rsidRPr="00A37A8B" w:rsidRDefault="00C47EE1" w:rsidP="000828D8">
      <w:pPr>
        <w:pStyle w:val="listbullets1"/>
      </w:pPr>
      <w:r>
        <w:t>P</w:t>
      </w:r>
      <w:r w:rsidR="00D24A6C">
        <w:t xml:space="preserve">otential adverse gender impacts related to </w:t>
      </w:r>
      <w:r w:rsidR="00E60CC0">
        <w:t>project</w:t>
      </w:r>
      <w:r w:rsidR="00D24A6C">
        <w:t xml:space="preserve"> activit</w:t>
      </w:r>
      <w:r w:rsidR="006E3E68">
        <w:t>i</w:t>
      </w:r>
      <w:r w:rsidR="00D24A6C">
        <w:t xml:space="preserve">es </w:t>
      </w:r>
      <w:r>
        <w:t xml:space="preserve">are identified </w:t>
      </w:r>
      <w:r w:rsidR="00D24A6C">
        <w:t xml:space="preserve">and differentiated measures </w:t>
      </w:r>
      <w:r>
        <w:t xml:space="preserve">are adopted </w:t>
      </w:r>
      <w:r w:rsidR="00D24A6C">
        <w:t xml:space="preserve">to </w:t>
      </w:r>
      <w:r w:rsidR="006E3E68">
        <w:t xml:space="preserve">prevent gender-based discrimination. </w:t>
      </w:r>
      <w:r>
        <w:t>P</w:t>
      </w:r>
      <w:r w:rsidR="006E3E68">
        <w:t xml:space="preserve">otential risks of </w:t>
      </w:r>
      <w:r w:rsidR="00615885">
        <w:t xml:space="preserve">gender-based violence and/or sexual </w:t>
      </w:r>
      <w:r w:rsidR="00615885" w:rsidRPr="009164BD">
        <w:t xml:space="preserve">exploitation </w:t>
      </w:r>
      <w:r w:rsidR="00615885">
        <w:t>and abuse of men, women, girls and boys that may occur in connection with any of supported activities</w:t>
      </w:r>
      <w:r>
        <w:t xml:space="preserve"> are considered</w:t>
      </w:r>
      <w:r w:rsidR="0013699E">
        <w:t>.</w:t>
      </w:r>
    </w:p>
    <w:p w14:paraId="41193C24" w14:textId="574EA18E" w:rsidR="00CA30CB" w:rsidRDefault="00CA30CB" w:rsidP="000828D8">
      <w:pPr>
        <w:pStyle w:val="listbullets1"/>
      </w:pPr>
      <w:r w:rsidRPr="00CA30CB">
        <w:t xml:space="preserve">Where potential </w:t>
      </w:r>
      <w:r w:rsidR="00E60CC0">
        <w:t>project</w:t>
      </w:r>
      <w:r w:rsidRPr="00CA30CB">
        <w:t>-related adverse risks and impacts to persons with disabilities</w:t>
      </w:r>
      <w:r>
        <w:t xml:space="preserve"> are identified</w:t>
      </w:r>
      <w:r w:rsidRPr="00CA30CB">
        <w:t>, differentiated measures</w:t>
      </w:r>
      <w:r w:rsidR="00F45144">
        <w:t xml:space="preserve"> are adopted</w:t>
      </w:r>
      <w:r w:rsidRPr="00CA30CB">
        <w:t xml:space="preserve"> that ensure non-discrimination and equality, access, and opportunities for persons with disabilities to participate in and benefit from supported activities on an equal basis with others.</w:t>
      </w:r>
    </w:p>
    <w:p w14:paraId="0024FAD0" w14:textId="77777777" w:rsidR="00A62E8C" w:rsidRDefault="00F45144" w:rsidP="000828D8">
      <w:pPr>
        <w:pStyle w:val="listbullets1"/>
      </w:pPr>
      <w:r>
        <w:t>E</w:t>
      </w:r>
      <w:r w:rsidR="00A62E8C">
        <w:t>arly, iterative and meaningful stakeholder engagement and participation, predicated on timely disclosure of relevant information.</w:t>
      </w:r>
      <w:r w:rsidR="00A62E8C">
        <w:rPr>
          <w:rStyle w:val="FootnoteReference"/>
        </w:rPr>
        <w:footnoteReference w:id="151"/>
      </w:r>
      <w:r w:rsidR="00A62E8C">
        <w:t xml:space="preserve"> </w:t>
      </w:r>
    </w:p>
    <w:p w14:paraId="25B6A6DA" w14:textId="6DF40C7C" w:rsidR="00DF5B29" w:rsidRPr="00105FD6" w:rsidRDefault="00F45144" w:rsidP="000828D8">
      <w:pPr>
        <w:pStyle w:val="listbullets1"/>
      </w:pPr>
      <w:r>
        <w:t>P</w:t>
      </w:r>
      <w:r w:rsidR="000E0439">
        <w:t xml:space="preserve">otential environmental and social risks and impacts associated with </w:t>
      </w:r>
      <w:r w:rsidR="00E60CC0">
        <w:t>project</w:t>
      </w:r>
      <w:r w:rsidR="000E0439">
        <w:t xml:space="preserve"> </w:t>
      </w:r>
      <w:r w:rsidR="000E0439" w:rsidRPr="00A42F72">
        <w:t>contractors and primary suppliers</w:t>
      </w:r>
      <w:r>
        <w:t xml:space="preserve"> are identified</w:t>
      </w:r>
      <w:r w:rsidR="000E0439" w:rsidRPr="00A42F72">
        <w:t>.</w:t>
      </w:r>
      <w:r w:rsidR="000E0439">
        <w:t xml:space="preserve"> Specific due diligence should be undertaken to ascertain the performance and reputation of contractors and primary suppliers. Include covenants in legal agreements with </w:t>
      </w:r>
      <w:r w:rsidR="00E60CC0">
        <w:rPr>
          <w:lang w:val="en-GB"/>
        </w:rPr>
        <w:t>project</w:t>
      </w:r>
      <w:r w:rsidR="000E0439" w:rsidRPr="00D66193">
        <w:rPr>
          <w:lang w:val="en-GB"/>
        </w:rPr>
        <w:t xml:space="preserve"> contractors </w:t>
      </w:r>
      <w:r w:rsidR="000E0439">
        <w:rPr>
          <w:lang w:val="en-GB"/>
        </w:rPr>
        <w:t xml:space="preserve">to comply with relevant SES requirements. </w:t>
      </w:r>
      <w:r w:rsidR="000E0439">
        <w:t xml:space="preserve">Risks and impacts associated with </w:t>
      </w:r>
      <w:r w:rsidR="00E60CC0">
        <w:t>project</w:t>
      </w:r>
      <w:r w:rsidR="000E0439">
        <w:t xml:space="preserve"> primary suppliers should be addressed in a manner proportionate to UNDP’s </w:t>
      </w:r>
      <w:r w:rsidR="00640EC0">
        <w:t xml:space="preserve">control or </w:t>
      </w:r>
      <w:r w:rsidR="000E0439">
        <w:t>influence over them.</w:t>
      </w:r>
    </w:p>
    <w:p w14:paraId="6B2BAFE4" w14:textId="77777777" w:rsidR="00A62E8C" w:rsidRDefault="00A62E8C" w:rsidP="00AC7F5D">
      <w:pPr>
        <w:pStyle w:val="SEQSbodynumbered"/>
      </w:pPr>
      <w:r w:rsidRPr="0014421F">
        <w:t xml:space="preserve">UNDP’s </w:t>
      </w:r>
      <w:r>
        <w:t>mandatory Social and Environmental</w:t>
      </w:r>
      <w:r w:rsidRPr="0014421F">
        <w:t xml:space="preserve"> Screening Procedure (</w:t>
      </w:r>
      <w:r>
        <w:t>SE</w:t>
      </w:r>
      <w:r w:rsidRPr="0014421F">
        <w:t xml:space="preserve">SP) </w:t>
      </w:r>
      <w:r>
        <w:t>provides</w:t>
      </w:r>
      <w:r w:rsidRPr="0014421F">
        <w:t xml:space="preserve"> </w:t>
      </w:r>
      <w:r>
        <w:t xml:space="preserve">detailed </w:t>
      </w:r>
      <w:r w:rsidRPr="0014421F">
        <w:t>requirements and guidan</w:t>
      </w:r>
      <w:r>
        <w:t>ce on screening and assessment.</w:t>
      </w:r>
    </w:p>
    <w:p w14:paraId="0607BCFC" w14:textId="77777777" w:rsidR="00A62E8C" w:rsidRPr="00D46919" w:rsidRDefault="00A62E8C" w:rsidP="00A62E8C">
      <w:pPr>
        <w:pStyle w:val="Heading2"/>
      </w:pPr>
      <w:bookmarkStart w:id="27" w:name="_Toc14683710"/>
      <w:r w:rsidRPr="00D46919">
        <w:t xml:space="preserve">Stakeholder Engagement and </w:t>
      </w:r>
      <w:r>
        <w:t>Response Mechanisms</w:t>
      </w:r>
      <w:bookmarkEnd w:id="27"/>
    </w:p>
    <w:p w14:paraId="71E9CC76" w14:textId="4F9CA5F2" w:rsidR="00A62E8C" w:rsidRDefault="00A62E8C" w:rsidP="00AC7F5D">
      <w:pPr>
        <w:pStyle w:val="SEQSbodynumbered"/>
      </w:pPr>
      <w:r w:rsidRPr="0014421F">
        <w:t xml:space="preserve">UNDP </w:t>
      </w:r>
      <w:r w:rsidR="00F45144">
        <w:t>ensures</w:t>
      </w:r>
      <w:r w:rsidRPr="00D46919">
        <w:t xml:space="preserve"> </w:t>
      </w:r>
      <w:r>
        <w:t xml:space="preserve">meaningful, </w:t>
      </w:r>
      <w:r w:rsidRPr="00D46919">
        <w:t>effective and informed participation of stakeholders</w:t>
      </w:r>
      <w:r w:rsidR="00455201">
        <w:rPr>
          <w:rStyle w:val="FootnoteReference"/>
        </w:rPr>
        <w:footnoteReference w:id="152"/>
      </w:r>
      <w:r w:rsidRPr="00D46919">
        <w:t xml:space="preserve"> in the formulation and implementation of </w:t>
      </w:r>
      <w:r>
        <w:t xml:space="preserve">UNDP </w:t>
      </w:r>
      <w:proofErr w:type="spellStart"/>
      <w:r w:rsidR="00E60CC0">
        <w:t>programme</w:t>
      </w:r>
      <w:r>
        <w:t>s</w:t>
      </w:r>
      <w:proofErr w:type="spellEnd"/>
      <w:r>
        <w:t xml:space="preserve"> and </w:t>
      </w:r>
      <w:r w:rsidR="00E60CC0">
        <w:t>project</w:t>
      </w:r>
      <w:r>
        <w:t>s.</w:t>
      </w:r>
      <w:r w:rsidRPr="00D46919">
        <w:t xml:space="preserve"> </w:t>
      </w:r>
      <w:r w:rsidRPr="0014421F">
        <w:t xml:space="preserve">Stakeholder engagement is an ongoing process that may involve, </w:t>
      </w:r>
      <w:r>
        <w:t>to</w:t>
      </w:r>
      <w:r w:rsidRPr="0014421F">
        <w:t xml:space="preserve"> varying degrees, the following elements: stakeholder analysis and planning, disclosure and dissemination of information, consultation and </w:t>
      </w:r>
      <w:r>
        <w:t xml:space="preserve">meaningful </w:t>
      </w:r>
      <w:r w:rsidRPr="0014421F">
        <w:t xml:space="preserve">participation, </w:t>
      </w:r>
      <w:r>
        <w:t xml:space="preserve">dispute resolution and </w:t>
      </w:r>
      <w:r w:rsidRPr="0014421F">
        <w:t xml:space="preserve">grievance </w:t>
      </w:r>
      <w:r>
        <w:t>redress</w:t>
      </w:r>
      <w:r w:rsidRPr="0014421F">
        <w:t>, ongoing reporting to affected communities and stakeholders</w:t>
      </w:r>
      <w:r>
        <w:t>, and inclusion of stakeholders in monitoring and evaluation</w:t>
      </w:r>
      <w:r w:rsidRPr="0014421F">
        <w:t xml:space="preserve">. </w:t>
      </w:r>
      <w:r>
        <w:t xml:space="preserve">Stakeholder analysis and </w:t>
      </w:r>
      <w:r>
        <w:lastRenderedPageBreak/>
        <w:t xml:space="preserve">engagement </w:t>
      </w:r>
      <w:r w:rsidR="00F45144">
        <w:t>is</w:t>
      </w:r>
      <w:r>
        <w:t xml:space="preserve"> conducted in a gender-responsive, culturally sensitive, non-discriminatory and inclusive manner, ensuring that potentially affected vulnerable </w:t>
      </w:r>
      <w:r w:rsidR="006059FE">
        <w:t xml:space="preserve">and </w:t>
      </w:r>
      <w:r>
        <w:t>marginalized groups are identified and provided opportunities to participate.</w:t>
      </w:r>
      <w:r>
        <w:rPr>
          <w:rStyle w:val="FootnoteReference"/>
        </w:rPr>
        <w:footnoteReference w:id="153"/>
      </w:r>
      <w:r>
        <w:t xml:space="preserve"> Measures </w:t>
      </w:r>
      <w:r w:rsidR="00F45144">
        <w:t>are</w:t>
      </w:r>
      <w:r>
        <w:t xml:space="preserve"> undertaken to ensure that effective stakeholder engagement occurs where conditions for inclusive participation are </w:t>
      </w:r>
      <w:proofErr w:type="spellStart"/>
      <w:r>
        <w:t>unfavo</w:t>
      </w:r>
      <w:r w:rsidR="006059FE">
        <w:t>u</w:t>
      </w:r>
      <w:r>
        <w:t>rable</w:t>
      </w:r>
      <w:proofErr w:type="spellEnd"/>
      <w:r>
        <w:t xml:space="preserve">. </w:t>
      </w:r>
    </w:p>
    <w:p w14:paraId="3155BE8F" w14:textId="77777777" w:rsidR="00A62E8C" w:rsidRDefault="00A62E8C" w:rsidP="00AC7F5D">
      <w:pPr>
        <w:pStyle w:val="SEQSbodynumbered"/>
      </w:pPr>
      <w:r>
        <w:t xml:space="preserve">Meaningful, effective and informed </w:t>
      </w:r>
      <w:r w:rsidRPr="0014421F">
        <w:t xml:space="preserve">stakeholder engagement </w:t>
      </w:r>
      <w:r>
        <w:t xml:space="preserve">and participation </w:t>
      </w:r>
      <w:r w:rsidR="00F45144">
        <w:t>is</w:t>
      </w:r>
      <w:r w:rsidRPr="0014421F">
        <w:t xml:space="preserve"> </w:t>
      </w:r>
      <w:r>
        <w:t>undertaken</w:t>
      </w:r>
      <w:r w:rsidRPr="0014421F">
        <w:t xml:space="preserve"> that </w:t>
      </w:r>
      <w:r w:rsidR="00F45144">
        <w:t>seeks</w:t>
      </w:r>
      <w:r>
        <w:t xml:space="preserve"> to </w:t>
      </w:r>
      <w:r w:rsidRPr="0014421F">
        <w:t>build and maintain over time a constructive relationship with stakeholders</w:t>
      </w:r>
      <w:r>
        <w:t>, with the purpose of avoiding or mitigating any potential risks in a timely manner</w:t>
      </w:r>
      <w:r w:rsidRPr="0014421F">
        <w:t xml:space="preserve">. The </w:t>
      </w:r>
      <w:r>
        <w:t>scale</w:t>
      </w:r>
      <w:r w:rsidRPr="0014421F">
        <w:t xml:space="preserve"> and frequency of the engagement reflect</w:t>
      </w:r>
      <w:r w:rsidR="00F45144">
        <w:t>s</w:t>
      </w:r>
      <w:r w:rsidRPr="0014421F">
        <w:t xml:space="preserve"> the </w:t>
      </w:r>
      <w:r>
        <w:t xml:space="preserve">nature of the activity, the magnitude of potential </w:t>
      </w:r>
      <w:r w:rsidRPr="0014421F">
        <w:t>risks and adverse impacts</w:t>
      </w:r>
      <w:r>
        <w:t xml:space="preserve">, and concerns raised by </w:t>
      </w:r>
      <w:r w:rsidRPr="0014421F">
        <w:t>affected communities</w:t>
      </w:r>
      <w:r>
        <w:t xml:space="preserve">. </w:t>
      </w:r>
    </w:p>
    <w:p w14:paraId="417C38CF" w14:textId="74AEDEE5" w:rsidR="00A62E8C" w:rsidRDefault="00A62E8C" w:rsidP="007834FA">
      <w:pPr>
        <w:pStyle w:val="SEQSbodynumbered"/>
      </w:pPr>
      <w:r>
        <w:t>Meaningful, e</w:t>
      </w:r>
      <w:r w:rsidRPr="0014421F">
        <w:t xml:space="preserve">ffective </w:t>
      </w:r>
      <w:r>
        <w:t xml:space="preserve">and informed </w:t>
      </w:r>
      <w:r w:rsidRPr="0014421F">
        <w:t xml:space="preserve">consultation processes in UNDP </w:t>
      </w:r>
      <w:proofErr w:type="spellStart"/>
      <w:r w:rsidR="00E60CC0">
        <w:t>programme</w:t>
      </w:r>
      <w:r w:rsidRPr="0014421F">
        <w:t>s</w:t>
      </w:r>
      <w:proofErr w:type="spellEnd"/>
      <w:r w:rsidRPr="0014421F">
        <w:t xml:space="preserve"> and </w:t>
      </w:r>
      <w:r w:rsidR="00E60CC0">
        <w:t>project</w:t>
      </w:r>
      <w:r w:rsidRPr="0014421F">
        <w:t xml:space="preserve">s </w:t>
      </w:r>
      <w:r>
        <w:t xml:space="preserve">seeks to identify priorities of stakeholders and </w:t>
      </w:r>
      <w:r w:rsidRPr="0014421F">
        <w:t>provide</w:t>
      </w:r>
      <w:r w:rsidR="008A2064">
        <w:t>s</w:t>
      </w:r>
      <w:r w:rsidRPr="0014421F">
        <w:t xml:space="preserve"> </w:t>
      </w:r>
      <w:r>
        <w:t>them</w:t>
      </w:r>
      <w:r w:rsidRPr="0014421F">
        <w:t xml:space="preserve"> with opportunities to express their views at all points in the </w:t>
      </w:r>
      <w:proofErr w:type="spellStart"/>
      <w:r w:rsidR="00E60CC0">
        <w:t>programme</w:t>
      </w:r>
      <w:proofErr w:type="spellEnd"/>
      <w:r>
        <w:t xml:space="preserve"> and/or </w:t>
      </w:r>
      <w:r w:rsidR="00E60CC0">
        <w:t>project</w:t>
      </w:r>
      <w:r w:rsidRPr="0014421F">
        <w:t xml:space="preserve"> decision-making process on matters that affect them and allows the </w:t>
      </w:r>
      <w:proofErr w:type="spellStart"/>
      <w:r w:rsidR="00E60CC0">
        <w:t>programme</w:t>
      </w:r>
      <w:proofErr w:type="spellEnd"/>
      <w:r>
        <w:t xml:space="preserve"> and/or </w:t>
      </w:r>
      <w:r w:rsidR="00E60CC0">
        <w:t>project</w:t>
      </w:r>
      <w:r w:rsidRPr="0014421F">
        <w:t xml:space="preserve"> team</w:t>
      </w:r>
      <w:r w:rsidR="0039734B">
        <w:t>s</w:t>
      </w:r>
      <w:r w:rsidRPr="0014421F">
        <w:t xml:space="preserve"> to </w:t>
      </w:r>
      <w:r>
        <w:t>consider and respond to them. Meaningful, e</w:t>
      </w:r>
      <w:r w:rsidRPr="0014421F">
        <w:t xml:space="preserve">ffective </w:t>
      </w:r>
      <w:r>
        <w:t xml:space="preserve">and informed </w:t>
      </w:r>
      <w:r w:rsidRPr="0014421F">
        <w:t>consultation processes will</w:t>
      </w:r>
      <w:r>
        <w:t xml:space="preserve"> </w:t>
      </w:r>
      <w:r w:rsidR="00DA1747">
        <w:t xml:space="preserve">be free of charge and </w:t>
      </w:r>
      <w:r>
        <w:t>possess the following characteristics</w:t>
      </w:r>
      <w:r w:rsidRPr="0014421F">
        <w:t xml:space="preserve">: </w:t>
      </w:r>
    </w:p>
    <w:p w14:paraId="559C3444" w14:textId="77777777" w:rsidR="00A62E8C" w:rsidRDefault="00A62E8C" w:rsidP="000828D8">
      <w:pPr>
        <w:pStyle w:val="listbullets1"/>
      </w:pPr>
      <w:r>
        <w:t>F</w:t>
      </w:r>
      <w:r w:rsidRPr="0014421F">
        <w:t>ree of external manipulation, interfere</w:t>
      </w:r>
      <w:r>
        <w:t>nce, coercion, and intimidation.</w:t>
      </w:r>
      <w:r w:rsidRPr="0014421F">
        <w:t xml:space="preserve"> </w:t>
      </w:r>
    </w:p>
    <w:p w14:paraId="648DF116" w14:textId="77777777" w:rsidR="00A62E8C" w:rsidRDefault="00A62E8C" w:rsidP="000828D8">
      <w:pPr>
        <w:pStyle w:val="listbullets1"/>
      </w:pPr>
      <w:r>
        <w:t>G</w:t>
      </w:r>
      <w:r w:rsidRPr="0014421F">
        <w:t>ender</w:t>
      </w:r>
      <w:r>
        <w:t xml:space="preserve"> and age-</w:t>
      </w:r>
      <w:r w:rsidRPr="0014421F">
        <w:t>inclusive</w:t>
      </w:r>
      <w:r>
        <w:t xml:space="preserve"> and responsive.</w:t>
      </w:r>
    </w:p>
    <w:p w14:paraId="3466D7C6" w14:textId="77777777" w:rsidR="00A62E8C" w:rsidRDefault="00A62E8C" w:rsidP="000828D8">
      <w:pPr>
        <w:pStyle w:val="listbullets1"/>
      </w:pPr>
      <w:r>
        <w:t>C</w:t>
      </w:r>
      <w:r w:rsidRPr="0014421F">
        <w:t xml:space="preserve">ulturally appropriate and tailored to the language </w:t>
      </w:r>
      <w:r w:rsidR="00594F9A">
        <w:t xml:space="preserve">and accessibility </w:t>
      </w:r>
      <w:r w:rsidRPr="0014421F">
        <w:t>preferences and decision-making processes of each identified stakeholder group, including dis</w:t>
      </w:r>
      <w:r>
        <w:t>advantaged or marginalized groups.</w:t>
      </w:r>
      <w:r w:rsidR="00075F75">
        <w:t xml:space="preserve"> Where applicable, includes differentiated measures to allow effective participation of disadvantaged or vulnerable groups, including persons with disabilities.</w:t>
      </w:r>
    </w:p>
    <w:p w14:paraId="6870874A" w14:textId="77777777" w:rsidR="00A62E8C" w:rsidRDefault="00A62E8C" w:rsidP="000828D8">
      <w:pPr>
        <w:pStyle w:val="listbullets1"/>
      </w:pPr>
      <w:r>
        <w:t>B</w:t>
      </w:r>
      <w:r w:rsidRPr="0014421F">
        <w:t>ased on prior and timely disclosure of accessible, understandable, relevant and adequate information, incl</w:t>
      </w:r>
      <w:r>
        <w:t>uding draft documents and plans.</w:t>
      </w:r>
      <w:r w:rsidRPr="0014421F">
        <w:t xml:space="preserve"> </w:t>
      </w:r>
    </w:p>
    <w:p w14:paraId="40032336" w14:textId="1062562B" w:rsidR="00A62E8C" w:rsidRDefault="00C66255" w:rsidP="000828D8">
      <w:pPr>
        <w:pStyle w:val="listbullets1"/>
      </w:pPr>
      <w:r>
        <w:t>Initiated</w:t>
      </w:r>
      <w:r w:rsidR="00A62E8C" w:rsidRPr="0014421F">
        <w:t xml:space="preserve"> early in the </w:t>
      </w:r>
      <w:proofErr w:type="spellStart"/>
      <w:r w:rsidR="00E60CC0">
        <w:t>programme</w:t>
      </w:r>
      <w:proofErr w:type="spellEnd"/>
      <w:r w:rsidR="00A62E8C">
        <w:t xml:space="preserve"> and/or </w:t>
      </w:r>
      <w:r w:rsidR="00E60CC0">
        <w:t>project</w:t>
      </w:r>
      <w:r w:rsidR="00A62E8C">
        <w:t xml:space="preserve"> design </w:t>
      </w:r>
      <w:r w:rsidR="00A62E8C" w:rsidRPr="0014421F">
        <w:t>process, continue</w:t>
      </w:r>
      <w:r w:rsidR="0039734B">
        <w:t>d</w:t>
      </w:r>
      <w:r w:rsidR="00A62E8C" w:rsidRPr="0014421F">
        <w:t xml:space="preserve"> iteratively throughout the </w:t>
      </w:r>
      <w:proofErr w:type="spellStart"/>
      <w:r w:rsidR="00E60CC0">
        <w:t>programme</w:t>
      </w:r>
      <w:proofErr w:type="spellEnd"/>
      <w:r w:rsidR="00A62E8C">
        <w:t xml:space="preserve"> and </w:t>
      </w:r>
      <w:r w:rsidR="00E60CC0">
        <w:t>project</w:t>
      </w:r>
      <w:r w:rsidR="00A62E8C" w:rsidRPr="0014421F">
        <w:t xml:space="preserve"> life cycle, and adjusted as risks and impacts </w:t>
      </w:r>
      <w:r w:rsidR="00A62E8C">
        <w:t>arise.</w:t>
      </w:r>
      <w:r w:rsidR="00A62E8C" w:rsidRPr="0014421F">
        <w:t xml:space="preserve"> </w:t>
      </w:r>
    </w:p>
    <w:p w14:paraId="536A95B9" w14:textId="77777777" w:rsidR="00A62E8C" w:rsidRDefault="00A62E8C" w:rsidP="000828D8">
      <w:pPr>
        <w:pStyle w:val="listbullets1"/>
      </w:pPr>
      <w:r>
        <w:t>A</w:t>
      </w:r>
      <w:r w:rsidRPr="0014421F">
        <w:t>ddress</w:t>
      </w:r>
      <w:r w:rsidR="0039734B">
        <w:t>es</w:t>
      </w:r>
      <w:r w:rsidRPr="0014421F">
        <w:t xml:space="preserve"> </w:t>
      </w:r>
      <w:r>
        <w:t xml:space="preserve">social and environmental </w:t>
      </w:r>
      <w:r w:rsidRPr="0014421F">
        <w:t>risks and adverse impacts, and the proposed measur</w:t>
      </w:r>
      <w:r>
        <w:t>es and actions to address these.</w:t>
      </w:r>
    </w:p>
    <w:p w14:paraId="3AFEC282" w14:textId="67D217CA" w:rsidR="00075F75" w:rsidRDefault="00A62E8C" w:rsidP="000828D8">
      <w:pPr>
        <w:pStyle w:val="listbullets1"/>
      </w:pPr>
      <w:r>
        <w:t>Seek</w:t>
      </w:r>
      <w:r w:rsidR="0039734B">
        <w:t>s</w:t>
      </w:r>
      <w:r>
        <w:t xml:space="preserve"> to empower stakeholders, particularly marginalized groups, and enable</w:t>
      </w:r>
      <w:r w:rsidRPr="0014421F">
        <w:t xml:space="preserve"> the incorporation of all relevant views of affected people and other stakeholders into decision</w:t>
      </w:r>
      <w:r>
        <w:t>-</w:t>
      </w:r>
      <w:r w:rsidRPr="0014421F">
        <w:t>making</w:t>
      </w:r>
      <w:r w:rsidR="0039734B">
        <w:t xml:space="preserve"> processes</w:t>
      </w:r>
      <w:r w:rsidRPr="0014421F">
        <w:t xml:space="preserve">, such as </w:t>
      </w:r>
      <w:r w:rsidR="00E60CC0">
        <w:t>project</w:t>
      </w:r>
      <w:r w:rsidRPr="0014421F">
        <w:t xml:space="preserve"> </w:t>
      </w:r>
      <w:r>
        <w:t xml:space="preserve">goals and </w:t>
      </w:r>
      <w:r w:rsidRPr="0014421F">
        <w:t>design, mitigation measures, the sharing of development benefits and opportunities, and implementation issues</w:t>
      </w:r>
      <w:r>
        <w:t>.</w:t>
      </w:r>
      <w:r w:rsidRPr="0014421F">
        <w:t xml:space="preserve"> </w:t>
      </w:r>
    </w:p>
    <w:p w14:paraId="5A78C912" w14:textId="2A0ED9F2" w:rsidR="00A62E8C" w:rsidRDefault="00A62E8C" w:rsidP="000828D8">
      <w:pPr>
        <w:pStyle w:val="listbullets1"/>
      </w:pPr>
      <w:r>
        <w:t>D</w:t>
      </w:r>
      <w:r w:rsidRPr="0014421F">
        <w:t>ocumented</w:t>
      </w:r>
      <w:r>
        <w:t xml:space="preserve"> and reported in accessible form to participants</w:t>
      </w:r>
      <w:r w:rsidR="002E4432">
        <w:t>,</w:t>
      </w:r>
      <w:r w:rsidRPr="0014421F">
        <w:t xml:space="preserve"> in particular the measures taken to avoid or minimize risks to and adverse impacts on the </w:t>
      </w:r>
      <w:r w:rsidR="00E60CC0">
        <w:t>project</w:t>
      </w:r>
      <w:r w:rsidRPr="0014421F">
        <w:t xml:space="preserve"> stakeholders</w:t>
      </w:r>
      <w:r w:rsidR="00336887">
        <w:t>.</w:t>
      </w:r>
      <w:r>
        <w:t xml:space="preserve"> </w:t>
      </w:r>
    </w:p>
    <w:p w14:paraId="66C69B31" w14:textId="77777777" w:rsidR="00A62E8C" w:rsidRDefault="00A62E8C" w:rsidP="000828D8">
      <w:pPr>
        <w:pStyle w:val="listbullets1"/>
      </w:pPr>
      <w:r>
        <w:t>C</w:t>
      </w:r>
      <w:r w:rsidRPr="00F77896">
        <w:t xml:space="preserve">onsistent with the </w:t>
      </w:r>
      <w:r w:rsidR="002E4432">
        <w:t>States’</w:t>
      </w:r>
      <w:r w:rsidRPr="00F77896">
        <w:t xml:space="preserve"> duties and obligations under international law</w:t>
      </w:r>
      <w:r>
        <w:t>.</w:t>
      </w:r>
    </w:p>
    <w:p w14:paraId="6C3C96F7" w14:textId="64747D0A" w:rsidR="00A62E8C" w:rsidRDefault="00A62E8C" w:rsidP="00AC7F5D">
      <w:pPr>
        <w:pStyle w:val="SEQSbodynumbered"/>
      </w:pPr>
      <w:r>
        <w:t xml:space="preserve">Stakeholder engagement plans </w:t>
      </w:r>
      <w:r w:rsidR="008A2064">
        <w:t>are</w:t>
      </w:r>
      <w:r>
        <w:t xml:space="preserve"> developed for all </w:t>
      </w:r>
      <w:proofErr w:type="spellStart"/>
      <w:r w:rsidR="00E60CC0">
        <w:t>programme</w:t>
      </w:r>
      <w:r>
        <w:t>s</w:t>
      </w:r>
      <w:proofErr w:type="spellEnd"/>
      <w:r>
        <w:t xml:space="preserve"> and </w:t>
      </w:r>
      <w:r w:rsidR="00E60CC0">
        <w:t>project</w:t>
      </w:r>
      <w:r>
        <w:t>s, scaled</w:t>
      </w:r>
      <w:r w:rsidRPr="0014421F">
        <w:t xml:space="preserve"> </w:t>
      </w:r>
      <w:r>
        <w:t>to reflect</w:t>
      </w:r>
      <w:r w:rsidRPr="0014421F">
        <w:t xml:space="preserve"> the </w:t>
      </w:r>
      <w:r>
        <w:t xml:space="preserve">nature of the activity and its potential impacts (e.g. from relatively simple measures for </w:t>
      </w:r>
      <w:proofErr w:type="spellStart"/>
      <w:r w:rsidR="00E60CC0">
        <w:lastRenderedPageBreak/>
        <w:t>programme</w:t>
      </w:r>
      <w:r>
        <w:t>s</w:t>
      </w:r>
      <w:proofErr w:type="spellEnd"/>
      <w:r>
        <w:t xml:space="preserve">/or </w:t>
      </w:r>
      <w:r w:rsidR="00E60CC0">
        <w:t>project</w:t>
      </w:r>
      <w:r>
        <w:t xml:space="preserve">s with few if any social and environmental risks to comprehensive plans for </w:t>
      </w:r>
      <w:r w:rsidR="004256E6">
        <w:t xml:space="preserve">High Risk </w:t>
      </w:r>
      <w:r>
        <w:t>activities with potentially significant adverse risks and impacts</w:t>
      </w:r>
      <w:r w:rsidR="007A5A1B">
        <w:t>).</w:t>
      </w:r>
    </w:p>
    <w:p w14:paraId="6B787EB5" w14:textId="36276CA7" w:rsidR="00A62E8C" w:rsidRDefault="00A62E8C" w:rsidP="00AC7F5D">
      <w:pPr>
        <w:pStyle w:val="SEQSbodynumbered"/>
      </w:pPr>
      <w:r>
        <w:t xml:space="preserve">For </w:t>
      </w:r>
      <w:r w:rsidR="00E60CC0">
        <w:t>project</w:t>
      </w:r>
      <w:r>
        <w:t>s that may affect the rights and interests, lands, resources, territories and</w:t>
      </w:r>
      <w:r w:rsidR="00DD44C8">
        <w:t>/or</w:t>
      </w:r>
      <w:r>
        <w:t xml:space="preserve"> traditional livelihoods of </w:t>
      </w:r>
      <w:r w:rsidR="004256E6">
        <w:t>i</w:t>
      </w:r>
      <w:r>
        <w:t xml:space="preserve">ndigenous </w:t>
      </w:r>
      <w:r w:rsidR="004256E6">
        <w:t>p</w:t>
      </w:r>
      <w:r>
        <w:t xml:space="preserve">eoples, free, prior </w:t>
      </w:r>
      <w:r w:rsidR="007A00E6">
        <w:t xml:space="preserve">and </w:t>
      </w:r>
      <w:r>
        <w:t xml:space="preserve">informed consent </w:t>
      </w:r>
      <w:r w:rsidR="007A00E6">
        <w:t xml:space="preserve">(FPIC) </w:t>
      </w:r>
      <w:r>
        <w:t xml:space="preserve">will be ensured (see </w:t>
      </w:r>
      <w:r w:rsidR="007A00E6">
        <w:t xml:space="preserve">also </w:t>
      </w:r>
      <w:r>
        <w:t>Standard 6: Indigenous Peoples).</w:t>
      </w:r>
    </w:p>
    <w:p w14:paraId="08A1E510" w14:textId="0064802C" w:rsidR="00A62E8C" w:rsidRDefault="008A2064" w:rsidP="00AC7F5D">
      <w:pPr>
        <w:pStyle w:val="SEQSbodynumbered"/>
      </w:pPr>
      <w:r>
        <w:t>S</w:t>
      </w:r>
      <w:r w:rsidR="00A62E8C" w:rsidRPr="00B517C3">
        <w:t>takeholders who may be adversely affected</w:t>
      </w:r>
      <w:r w:rsidR="00A62E8C">
        <w:t xml:space="preserve"> by a UNDP </w:t>
      </w:r>
      <w:r w:rsidR="00E60CC0">
        <w:t>project</w:t>
      </w:r>
      <w:r w:rsidR="00A62E8C" w:rsidRPr="00B517C3">
        <w:t xml:space="preserve"> can communicate their concerns about the social and environment</w:t>
      </w:r>
      <w:r w:rsidR="00A62E8C">
        <w:t xml:space="preserve">al performance of the </w:t>
      </w:r>
      <w:r w:rsidR="00E60CC0">
        <w:t>project</w:t>
      </w:r>
      <w:r w:rsidR="00A62E8C" w:rsidRPr="00B517C3">
        <w:t xml:space="preserve"> </w:t>
      </w:r>
      <w:r w:rsidR="00A62E8C">
        <w:t xml:space="preserve">through various entry points, </w:t>
      </w:r>
      <w:r w:rsidR="00A62E8C" w:rsidRPr="00B517C3">
        <w:t>scaled appropriately to the nature of the activity and its potential risks and impacts</w:t>
      </w:r>
      <w:r w:rsidR="00A62E8C">
        <w:t xml:space="preserve">. </w:t>
      </w:r>
      <w:r w:rsidR="00A62E8C" w:rsidRPr="00B517C3">
        <w:t>Potentially affected stakeholders</w:t>
      </w:r>
      <w:r w:rsidR="00A62E8C">
        <w:t xml:space="preserve"> </w:t>
      </w:r>
      <w:r>
        <w:t>are</w:t>
      </w:r>
      <w:r w:rsidR="00A62E8C">
        <w:t xml:space="preserve"> informed about available entry points for submitting their concerns </w:t>
      </w:r>
      <w:r w:rsidR="00A62E8C" w:rsidRPr="00B517C3">
        <w:t>as part of the stakeholder engagement process.</w:t>
      </w:r>
    </w:p>
    <w:p w14:paraId="45DD3B4D" w14:textId="738FD25A" w:rsidR="00A62E8C" w:rsidRPr="00EF01AA" w:rsidRDefault="00A62E8C" w:rsidP="007834FA">
      <w:pPr>
        <w:pStyle w:val="SEQSbodynumbered"/>
      </w:pPr>
      <w:r w:rsidRPr="005E2329">
        <w:t xml:space="preserve">When necessary, an effective </w:t>
      </w:r>
      <w:r w:rsidR="00E60CC0">
        <w:t>project</w:t>
      </w:r>
      <w:r w:rsidRPr="005E2329">
        <w:t xml:space="preserve">-level grievance </w:t>
      </w:r>
      <w:r w:rsidR="00DD44C8">
        <w:t xml:space="preserve">redress </w:t>
      </w:r>
      <w:r w:rsidRPr="005E2329">
        <w:t xml:space="preserve">mechanism is </w:t>
      </w:r>
      <w:r w:rsidR="008A2064">
        <w:t xml:space="preserve">made </w:t>
      </w:r>
      <w:r w:rsidRPr="005E2329">
        <w:t xml:space="preserve">available. The mandate and functions of a project-level grievance </w:t>
      </w:r>
      <w:r w:rsidR="007F32DE">
        <w:t xml:space="preserve">redress </w:t>
      </w:r>
      <w:r w:rsidRPr="005E2329">
        <w:t xml:space="preserve">mechanism could be executed by the </w:t>
      </w:r>
      <w:r w:rsidR="00CF6527">
        <w:t>P</w:t>
      </w:r>
      <w:r w:rsidR="00E60CC0">
        <w:t>roject</w:t>
      </w:r>
      <w:r w:rsidRPr="005E2329">
        <w:t xml:space="preserve"> Board</w:t>
      </w:r>
      <w:r w:rsidRPr="00EF01AA">
        <w:rPr>
          <w:rStyle w:val="FootnoteReference"/>
        </w:rPr>
        <w:footnoteReference w:id="154"/>
      </w:r>
      <w:r w:rsidRPr="00EF01AA">
        <w:t xml:space="preserve"> or through an </w:t>
      </w:r>
      <w:r w:rsidR="00F712FA">
        <w:t>i</w:t>
      </w:r>
      <w:r w:rsidRPr="00EF01AA">
        <w:t xml:space="preserve">mplementing </w:t>
      </w:r>
      <w:r w:rsidR="00F712FA">
        <w:t>p</w:t>
      </w:r>
      <w:r w:rsidRPr="00EF01AA">
        <w:t xml:space="preserve">artner’s existing grievance </w:t>
      </w:r>
      <w:r w:rsidR="007F32DE">
        <w:t xml:space="preserve">redress </w:t>
      </w:r>
      <w:r w:rsidRPr="00EF01AA">
        <w:t>mechanism</w:t>
      </w:r>
      <w:r w:rsidR="004B73BF">
        <w:t>s</w:t>
      </w:r>
      <w:r w:rsidRPr="00EF01AA">
        <w:t xml:space="preserve"> or procedures</w:t>
      </w:r>
      <w:r w:rsidR="004B73BF">
        <w:t xml:space="preserve"> for addressing stakeholder concerns</w:t>
      </w:r>
      <w:r w:rsidRPr="00EF01AA">
        <w:t xml:space="preserve">. Where needed, UNDP and </w:t>
      </w:r>
      <w:r w:rsidR="00F712FA">
        <w:t>i</w:t>
      </w:r>
      <w:r w:rsidRPr="00EF01AA">
        <w:t xml:space="preserve">mplementing </w:t>
      </w:r>
      <w:r w:rsidR="00F712FA">
        <w:t>p</w:t>
      </w:r>
      <w:r w:rsidRPr="00EF01AA">
        <w:t xml:space="preserve">artners will strengthen the </w:t>
      </w:r>
      <w:r w:rsidR="00F712FA">
        <w:t>i</w:t>
      </w:r>
      <w:r w:rsidRPr="00EF01AA">
        <w:t xml:space="preserve">mplementing </w:t>
      </w:r>
      <w:r w:rsidR="00F712FA">
        <w:t>p</w:t>
      </w:r>
      <w:r w:rsidRPr="00EF01AA">
        <w:t xml:space="preserve">artners’ capacities to address </w:t>
      </w:r>
      <w:r w:rsidR="00E60CC0">
        <w:t>project</w:t>
      </w:r>
      <w:r w:rsidRPr="00EF01AA">
        <w:t xml:space="preserve">-related grievances. </w:t>
      </w:r>
    </w:p>
    <w:p w14:paraId="5338E46B" w14:textId="6EFAF143" w:rsidR="00A62E8C" w:rsidRDefault="00A62E8C">
      <w:pPr>
        <w:pStyle w:val="SEQSbodynumbered"/>
      </w:pPr>
      <w:r w:rsidRPr="00B517C3">
        <w:t xml:space="preserve">In addition, UNDP’s </w:t>
      </w:r>
      <w:r>
        <w:t>Stakeholder Response Mechanism</w:t>
      </w:r>
      <w:r w:rsidRPr="00B517C3">
        <w:t xml:space="preserve"> </w:t>
      </w:r>
      <w:r w:rsidR="008A2064">
        <w:t>is</w:t>
      </w:r>
      <w:r w:rsidRPr="00B517C3">
        <w:t xml:space="preserve"> available </w:t>
      </w:r>
      <w:r>
        <w:t xml:space="preserve">to </w:t>
      </w:r>
      <w:r w:rsidR="00E60CC0">
        <w:t>project</w:t>
      </w:r>
      <w:r>
        <w:t xml:space="preserve"> stakeholders as a supplemental means of redress</w:t>
      </w:r>
      <w:r w:rsidRPr="00B517C3">
        <w:t xml:space="preserve"> </w:t>
      </w:r>
      <w:r>
        <w:t xml:space="preserve">for concerns that have not been resolved through standard </w:t>
      </w:r>
      <w:r w:rsidR="00E60CC0">
        <w:t>project</w:t>
      </w:r>
      <w:r>
        <w:t xml:space="preserve"> management procedures</w:t>
      </w:r>
      <w:r w:rsidRPr="00B517C3">
        <w:t>.</w:t>
      </w:r>
      <w:r w:rsidRPr="00B517C3">
        <w:rPr>
          <w:rStyle w:val="FootnoteReference"/>
        </w:rPr>
        <w:footnoteReference w:id="155"/>
      </w:r>
      <w:r w:rsidRPr="00B517C3">
        <w:t xml:space="preserve"> </w:t>
      </w:r>
    </w:p>
    <w:p w14:paraId="489FC8D8" w14:textId="1ED3F24B" w:rsidR="00A62E8C" w:rsidRDefault="005C7E99">
      <w:pPr>
        <w:pStyle w:val="SEQSbodynumbered"/>
      </w:pPr>
      <w:r>
        <w:t>P</w:t>
      </w:r>
      <w:r w:rsidR="00E60CC0">
        <w:t>roject</w:t>
      </w:r>
      <w:r w:rsidR="00A62E8C">
        <w:t xml:space="preserve">-level </w:t>
      </w:r>
      <w:r w:rsidR="00A62E8C" w:rsidRPr="00EF01AA">
        <w:t xml:space="preserve">grievance </w:t>
      </w:r>
      <w:r w:rsidR="00DD44C8">
        <w:t xml:space="preserve">redress </w:t>
      </w:r>
      <w:r w:rsidR="00A62E8C" w:rsidRPr="00EF01AA">
        <w:t>mechanisms</w:t>
      </w:r>
      <w:r w:rsidR="00A62E8C" w:rsidRPr="00B517C3">
        <w:t xml:space="preserve"> </w:t>
      </w:r>
      <w:r w:rsidR="00A62E8C">
        <w:t xml:space="preserve">and </w:t>
      </w:r>
      <w:r w:rsidR="00EF01AA">
        <w:t xml:space="preserve">UNDP’s </w:t>
      </w:r>
      <w:r w:rsidR="00A62E8C">
        <w:t xml:space="preserve">Stakeholder Response Mechanism </w:t>
      </w:r>
      <w:r w:rsidR="00A62E8C" w:rsidRPr="00B517C3">
        <w:t>address concerns promptly</w:t>
      </w:r>
      <w:r w:rsidR="00A62E8C">
        <w:t xml:space="preserve"> through dialogue and engagement</w:t>
      </w:r>
      <w:r w:rsidR="00A62E8C" w:rsidRPr="00B517C3">
        <w:t>, using an understandable and transparent process that is culturally appropriate</w:t>
      </w:r>
      <w:r w:rsidR="00A62E8C">
        <w:t>, rights-compatible,</w:t>
      </w:r>
      <w:r w:rsidR="00A62E8C" w:rsidRPr="00B517C3">
        <w:t xml:space="preserve"> and readily accessible to all stakeholders at no cost and without retribution. </w:t>
      </w:r>
      <w:r w:rsidR="00A62E8C">
        <w:t xml:space="preserve">They </w:t>
      </w:r>
      <w:r w:rsidR="008A2064">
        <w:t>are</w:t>
      </w:r>
      <w:r w:rsidR="00A62E8C" w:rsidRPr="00B517C3">
        <w:t xml:space="preserve"> </w:t>
      </w:r>
      <w:r w:rsidR="00A62E8C">
        <w:t>gender- and age-inclusive and responsive</w:t>
      </w:r>
      <w:r w:rsidR="00A62E8C" w:rsidRPr="00B517C3">
        <w:t xml:space="preserve"> and address potential access barriers to women</w:t>
      </w:r>
      <w:r w:rsidR="00A62E8C" w:rsidRPr="00366100">
        <w:t xml:space="preserve">, the elderly, </w:t>
      </w:r>
      <w:r w:rsidR="00553EE7">
        <w:t xml:space="preserve">persons with </w:t>
      </w:r>
      <w:r w:rsidR="00A62E8C" w:rsidRPr="00366100">
        <w:t>disab</w:t>
      </w:r>
      <w:r w:rsidR="00553EE7">
        <w:t>ilities</w:t>
      </w:r>
      <w:r w:rsidR="00A62E8C">
        <w:t xml:space="preserve">, </w:t>
      </w:r>
      <w:r w:rsidR="00A62E8C" w:rsidRPr="00366100">
        <w:t>youth</w:t>
      </w:r>
      <w:r w:rsidR="00A62E8C">
        <w:t xml:space="preserve"> and other potentially marginalized groups as appropriate to the </w:t>
      </w:r>
      <w:r w:rsidR="00E60CC0">
        <w:t>project</w:t>
      </w:r>
      <w:r w:rsidR="00A62E8C" w:rsidRPr="00B517C3">
        <w:t xml:space="preserve">. </w:t>
      </w:r>
      <w:r w:rsidR="00A62E8C">
        <w:t xml:space="preserve">These grievance </w:t>
      </w:r>
      <w:r w:rsidR="00C743EF">
        <w:t xml:space="preserve">mechanisms </w:t>
      </w:r>
      <w:r w:rsidR="00A62E8C">
        <w:t>and</w:t>
      </w:r>
      <w:r w:rsidR="00BC229E">
        <w:t xml:space="preserve"> S</w:t>
      </w:r>
      <w:r w:rsidR="00EF01AA">
        <w:t>takeholder</w:t>
      </w:r>
      <w:r w:rsidR="00A62E8C">
        <w:t xml:space="preserve"> </w:t>
      </w:r>
      <w:r w:rsidR="00BC229E">
        <w:t>R</w:t>
      </w:r>
      <w:r w:rsidR="00A62E8C">
        <w:t xml:space="preserve">esponse </w:t>
      </w:r>
      <w:r w:rsidR="00BC229E">
        <w:t>M</w:t>
      </w:r>
      <w:r w:rsidR="00A62E8C">
        <w:t>echanism</w:t>
      </w:r>
      <w:r w:rsidR="00A62E8C" w:rsidRPr="00B517C3">
        <w:t xml:space="preserve"> </w:t>
      </w:r>
      <w:r w:rsidR="008A2064">
        <w:t>do</w:t>
      </w:r>
      <w:r w:rsidR="008A2064" w:rsidRPr="00B517C3">
        <w:t xml:space="preserve"> </w:t>
      </w:r>
      <w:r w:rsidR="00A62E8C" w:rsidRPr="00B517C3">
        <w:t>not impede access to judicial or administrative remedies</w:t>
      </w:r>
      <w:r w:rsidR="00EF01AA">
        <w:t xml:space="preserve"> as may be relevant or applicable</w:t>
      </w:r>
      <w:r w:rsidR="00A62E8C">
        <w:t>.</w:t>
      </w:r>
    </w:p>
    <w:p w14:paraId="34E8D67E" w14:textId="3C2C0147" w:rsidR="00FA7C89" w:rsidRPr="001B4AD5" w:rsidRDefault="00FA7C89">
      <w:pPr>
        <w:pStyle w:val="SEQSbodynumbered"/>
      </w:pPr>
      <w:r>
        <w:t xml:space="preserve">UNDP </w:t>
      </w:r>
      <w:r w:rsidR="008A2064">
        <w:t>seeks</w:t>
      </w:r>
      <w:r>
        <w:t xml:space="preserve"> to identify, reduce</w:t>
      </w:r>
      <w:r w:rsidR="00DA1747">
        <w:t xml:space="preserve"> and address</w:t>
      </w:r>
      <w:r>
        <w:t xml:space="preserve"> the risk of retaliation </w:t>
      </w:r>
      <w:r w:rsidR="00DA1747">
        <w:t xml:space="preserve">and reprisals </w:t>
      </w:r>
      <w:r w:rsidR="00DA1747" w:rsidRPr="00DA1747">
        <w:t xml:space="preserve">against people who may seek information on and participation in </w:t>
      </w:r>
      <w:r w:rsidR="00E60CC0">
        <w:t>project</w:t>
      </w:r>
      <w:r w:rsidR="00DA1747" w:rsidRPr="00DA1747">
        <w:t xml:space="preserve"> activities, express concerns and/or access </w:t>
      </w:r>
      <w:r w:rsidR="00E60CC0">
        <w:t>project</w:t>
      </w:r>
      <w:r w:rsidR="00DA1747">
        <w:t xml:space="preserve">-level </w:t>
      </w:r>
      <w:r w:rsidR="00DA1747" w:rsidRPr="00DA1747">
        <w:t xml:space="preserve">grievance </w:t>
      </w:r>
      <w:r w:rsidR="007F32DE">
        <w:t xml:space="preserve">redress </w:t>
      </w:r>
      <w:r w:rsidR="00DA1747" w:rsidRPr="00DA1747">
        <w:t>processes</w:t>
      </w:r>
      <w:r w:rsidR="007F32DE">
        <w:t>/mechanisms</w:t>
      </w:r>
      <w:r w:rsidR="00DA1747">
        <w:t xml:space="preserve"> or UNDPs Stakeholder Response Mechanism or Social and Environmental Compliance Unit</w:t>
      </w:r>
      <w:r>
        <w:t xml:space="preserve">. </w:t>
      </w:r>
    </w:p>
    <w:p w14:paraId="63797950" w14:textId="77777777" w:rsidR="00A62E8C" w:rsidRPr="00D46919" w:rsidRDefault="00A62E8C" w:rsidP="00A62E8C">
      <w:pPr>
        <w:pStyle w:val="Heading2"/>
      </w:pPr>
      <w:bookmarkStart w:id="28" w:name="_Toc14683711"/>
      <w:r w:rsidRPr="00D46919">
        <w:lastRenderedPageBreak/>
        <w:t>Access to Information</w:t>
      </w:r>
      <w:bookmarkEnd w:id="28"/>
    </w:p>
    <w:p w14:paraId="462FCE39" w14:textId="07BD6402" w:rsidR="00A62E8C" w:rsidRPr="001E5316" w:rsidRDefault="00A62E8C" w:rsidP="00AC7F5D">
      <w:pPr>
        <w:pStyle w:val="SEQSbodynumbered"/>
      </w:pPr>
      <w:r w:rsidRPr="00D46919">
        <w:t>Consistent with UNDP’s Information Disclosure Policy,</w:t>
      </w:r>
      <w:r>
        <w:rPr>
          <w:rStyle w:val="FootnoteReference"/>
          <w:szCs w:val="20"/>
        </w:rPr>
        <w:footnoteReference w:id="156"/>
      </w:r>
      <w:r w:rsidRPr="00D46919">
        <w:t xml:space="preserve"> UNDP is committed to ensuring that relevant information about UNDP </w:t>
      </w:r>
      <w:proofErr w:type="spellStart"/>
      <w:r w:rsidR="00E60CC0">
        <w:t>programme</w:t>
      </w:r>
      <w:r w:rsidRPr="00D46919">
        <w:t>s</w:t>
      </w:r>
      <w:proofErr w:type="spellEnd"/>
      <w:r w:rsidRPr="00D46919">
        <w:t xml:space="preserve"> and </w:t>
      </w:r>
      <w:r w:rsidR="00E60CC0">
        <w:t>project</w:t>
      </w:r>
      <w:r w:rsidRPr="00D46919">
        <w:t xml:space="preserve">s </w:t>
      </w:r>
      <w:r w:rsidR="008A2064">
        <w:t>is</w:t>
      </w:r>
      <w:r w:rsidRPr="00D46919">
        <w:t xml:space="preserve"> disclosed to help affected communities and other stakeholders understand the </w:t>
      </w:r>
      <w:r>
        <w:t>opportunities, risks and</w:t>
      </w:r>
      <w:r w:rsidRPr="00D46919">
        <w:t xml:space="preserve"> impacts of the proposed activities. UNDP </w:t>
      </w:r>
      <w:r w:rsidR="008A2064">
        <w:t>ensures</w:t>
      </w:r>
      <w:r w:rsidRPr="00D46919">
        <w:t xml:space="preserve"> that information on a </w:t>
      </w:r>
      <w:proofErr w:type="spellStart"/>
      <w:r w:rsidR="00E60CC0">
        <w:t>programme</w:t>
      </w:r>
      <w:r>
        <w:t>s</w:t>
      </w:r>
      <w:proofErr w:type="spellEnd"/>
      <w:r>
        <w:t xml:space="preserve"> and/or </w:t>
      </w:r>
      <w:r w:rsidR="00E60CC0">
        <w:t>project</w:t>
      </w:r>
      <w:r w:rsidRPr="00D46919">
        <w:t xml:space="preserve">’s purpose, nature and scale, </w:t>
      </w:r>
      <w:r w:rsidR="007A00E6">
        <w:t xml:space="preserve">and </w:t>
      </w:r>
      <w:r w:rsidRPr="00D46919">
        <w:t xml:space="preserve">duration, and </w:t>
      </w:r>
      <w:r w:rsidR="007A00E6">
        <w:t>its</w:t>
      </w:r>
      <w:r w:rsidR="007A00E6" w:rsidRPr="00D46919">
        <w:t xml:space="preserve"> </w:t>
      </w:r>
      <w:r w:rsidRPr="00D46919">
        <w:t>risks and potential impacts, is made available in a timely manner, in an accessible place, and in a form and language</w:t>
      </w:r>
      <w:r>
        <w:t xml:space="preserve"> </w:t>
      </w:r>
      <w:r w:rsidRPr="00D46919">
        <w:t xml:space="preserve">understandable to affected </w:t>
      </w:r>
      <w:r w:rsidR="007A00E6">
        <w:t>persons</w:t>
      </w:r>
      <w:r w:rsidR="007A00E6" w:rsidRPr="00D46919">
        <w:t xml:space="preserve"> </w:t>
      </w:r>
      <w:r w:rsidRPr="00D46919">
        <w:t xml:space="preserve">and other stakeholders, including the general public, so they can provide meaningful input into </w:t>
      </w:r>
      <w:proofErr w:type="spellStart"/>
      <w:r w:rsidR="00E60CC0">
        <w:t>programme</w:t>
      </w:r>
      <w:proofErr w:type="spellEnd"/>
      <w:r w:rsidRPr="00D46919">
        <w:t xml:space="preserve"> and/or </w:t>
      </w:r>
      <w:r w:rsidR="00E60CC0">
        <w:t>project</w:t>
      </w:r>
      <w:r w:rsidRPr="00D46919">
        <w:t xml:space="preserve"> design and implementation. </w:t>
      </w:r>
      <w:r w:rsidR="005448FB">
        <w:t>Such disclosure consider</w:t>
      </w:r>
      <w:r w:rsidR="008A2064">
        <w:t>s</w:t>
      </w:r>
      <w:r w:rsidR="005448FB" w:rsidRPr="005448FB">
        <w:t xml:space="preserve"> any special needs of groups that may be disproportionately affected, disadvantaged or groups with specific information needs, such as due to disability, literacy, gender, mobility, language, and accessibility.</w:t>
      </w:r>
      <w:r w:rsidR="005448FB">
        <w:t xml:space="preserve"> </w:t>
      </w:r>
      <w:r w:rsidRPr="00D46919">
        <w:t>Such disclosure occur</w:t>
      </w:r>
      <w:r w:rsidR="008A2064">
        <w:t>s</w:t>
      </w:r>
      <w:r w:rsidRPr="00D46919">
        <w:t xml:space="preserve"> early in the </w:t>
      </w:r>
      <w:proofErr w:type="spellStart"/>
      <w:r w:rsidR="00E60CC0">
        <w:t>programme</w:t>
      </w:r>
      <w:proofErr w:type="spellEnd"/>
      <w:r>
        <w:t xml:space="preserve"> and/or </w:t>
      </w:r>
      <w:r w:rsidR="00E60CC0">
        <w:t>project</w:t>
      </w:r>
      <w:r>
        <w:t xml:space="preserve"> development</w:t>
      </w:r>
      <w:r w:rsidRPr="00D46919">
        <w:t xml:space="preserve"> process </w:t>
      </w:r>
      <w:r w:rsidR="00C52318" w:rsidRPr="00C52318">
        <w:t xml:space="preserve">in a timeframe that allows for meaningful effective consultation </w:t>
      </w:r>
      <w:r w:rsidRPr="00D46919">
        <w:t xml:space="preserve">and on an ongoing basis. </w:t>
      </w:r>
      <w:r>
        <w:t xml:space="preserve">Among other disclosures specified by UNDP’s policies and procedures, </w:t>
      </w:r>
      <w:r w:rsidRPr="00D46919">
        <w:t>UNDP ensure</w:t>
      </w:r>
      <w:r w:rsidR="008A2064">
        <w:t>s</w:t>
      </w:r>
      <w:r w:rsidRPr="00D46919">
        <w:t xml:space="preserve"> that:</w:t>
      </w:r>
      <w:r>
        <w:t xml:space="preserve"> </w:t>
      </w:r>
    </w:p>
    <w:p w14:paraId="33074A95" w14:textId="77777777" w:rsidR="00336887" w:rsidRDefault="00336887" w:rsidP="000828D8">
      <w:pPr>
        <w:pStyle w:val="listbullets1"/>
      </w:pPr>
      <w:r>
        <w:t xml:space="preserve">A public record of stakeholder engagement throughout the project cycle is maintained and disclosed. In cases where it may be necessary to safeguard the identities of stakeholders, </w:t>
      </w:r>
      <w:r w:rsidR="00BE5323">
        <w:t>statistical</w:t>
      </w:r>
      <w:r>
        <w:t xml:space="preserve"> information is recorded and disclosed.</w:t>
      </w:r>
    </w:p>
    <w:p w14:paraId="39C502DB" w14:textId="5CF0DC1C" w:rsidR="00A62E8C" w:rsidRDefault="00FD7725" w:rsidP="000828D8">
      <w:pPr>
        <w:pStyle w:val="listbullets1"/>
      </w:pPr>
      <w:r>
        <w:t>S</w:t>
      </w:r>
      <w:r w:rsidR="00A62E8C">
        <w:t xml:space="preserve">takeholder engagement plans are disclosed early in </w:t>
      </w:r>
      <w:r w:rsidR="00E60CC0">
        <w:t>project</w:t>
      </w:r>
      <w:r w:rsidR="00A62E8C">
        <w:t xml:space="preserve"> development and summary reports of stakeholder consultations </w:t>
      </w:r>
      <w:r w:rsidR="00521605">
        <w:t>are</w:t>
      </w:r>
      <w:r w:rsidR="00A62E8C">
        <w:t xml:space="preserve"> disclosed in an access</w:t>
      </w:r>
      <w:r w:rsidR="00521605">
        <w:t>ible</w:t>
      </w:r>
      <w:r w:rsidR="00A62E8C">
        <w:t xml:space="preserve"> manner.</w:t>
      </w:r>
    </w:p>
    <w:p w14:paraId="560B6566" w14:textId="258C6E13" w:rsidR="00A62E8C" w:rsidRDefault="00FD7725" w:rsidP="000828D8">
      <w:pPr>
        <w:pStyle w:val="listbullets1"/>
      </w:pPr>
      <w:r>
        <w:t>S</w:t>
      </w:r>
      <w:r w:rsidR="00A62E8C">
        <w:t xml:space="preserve">ocial and environmental screening reports </w:t>
      </w:r>
      <w:r w:rsidR="00521605">
        <w:t>are</w:t>
      </w:r>
      <w:r w:rsidR="00A62E8C">
        <w:t xml:space="preserve"> disclosed with </w:t>
      </w:r>
      <w:proofErr w:type="spellStart"/>
      <w:r w:rsidR="00E60CC0">
        <w:t>programme</w:t>
      </w:r>
      <w:proofErr w:type="spellEnd"/>
      <w:r w:rsidR="00A62E8C">
        <w:t xml:space="preserve"> and </w:t>
      </w:r>
      <w:r w:rsidR="00E60CC0">
        <w:t>project</w:t>
      </w:r>
      <w:r w:rsidR="00A62E8C">
        <w:t xml:space="preserve"> documentation.</w:t>
      </w:r>
    </w:p>
    <w:p w14:paraId="0E3DCBBB" w14:textId="7D82410C" w:rsidR="00A62E8C" w:rsidRDefault="00FD7725" w:rsidP="000828D8">
      <w:pPr>
        <w:pStyle w:val="listbullets1"/>
      </w:pPr>
      <w:r>
        <w:t>D</w:t>
      </w:r>
      <w:r w:rsidR="00A62E8C" w:rsidRPr="003843EA">
        <w:t xml:space="preserve">raft </w:t>
      </w:r>
      <w:r w:rsidR="00A62E8C">
        <w:t xml:space="preserve">social and environmental </w:t>
      </w:r>
      <w:r w:rsidR="00A62E8C" w:rsidRPr="003843EA">
        <w:t>assessments, including any draft management plans,</w:t>
      </w:r>
      <w:r w:rsidR="00A62E8C">
        <w:rPr>
          <w:rStyle w:val="FootnoteReference"/>
        </w:rPr>
        <w:footnoteReference w:id="157"/>
      </w:r>
      <w:r w:rsidR="00A62E8C" w:rsidRPr="003843EA">
        <w:t xml:space="preserve"> are disclosed </w:t>
      </w:r>
      <w:r w:rsidR="00396148">
        <w:t>whenever</w:t>
      </w:r>
      <w:r w:rsidR="0001592C">
        <w:t xml:space="preserve"> possible </w:t>
      </w:r>
      <w:r w:rsidR="00A62E8C" w:rsidRPr="00EA0F0B">
        <w:t xml:space="preserve">before </w:t>
      </w:r>
      <w:r w:rsidR="00E60CC0">
        <w:t>project</w:t>
      </w:r>
      <w:r w:rsidR="00A62E8C" w:rsidRPr="00EA0F0B">
        <w:t xml:space="preserve"> appraisal formally begins</w:t>
      </w:r>
      <w:r w:rsidR="0001592C">
        <w:t xml:space="preserve"> and in all cases before any activities are undertaken that may cause adverse social and environmental impacts</w:t>
      </w:r>
      <w:r w:rsidR="00A62E8C">
        <w:t>.</w:t>
      </w:r>
    </w:p>
    <w:p w14:paraId="73BD77F5" w14:textId="77777777" w:rsidR="00A62E8C" w:rsidRDefault="00600A63" w:rsidP="000828D8">
      <w:pPr>
        <w:pStyle w:val="listbullets1"/>
      </w:pPr>
      <w:r>
        <w:t>F</w:t>
      </w:r>
      <w:r w:rsidR="00A62E8C" w:rsidRPr="003843EA">
        <w:t xml:space="preserve">inal </w:t>
      </w:r>
      <w:r w:rsidR="00A62E8C">
        <w:t xml:space="preserve">social and </w:t>
      </w:r>
      <w:r w:rsidR="00A62E8C" w:rsidRPr="003843EA">
        <w:t>environmental assessments and associated management plans are disclosed upon completion.</w:t>
      </w:r>
    </w:p>
    <w:p w14:paraId="46AFE698" w14:textId="77777777" w:rsidR="00A62E8C" w:rsidRDefault="00600A63" w:rsidP="000828D8">
      <w:pPr>
        <w:pStyle w:val="listbullets1"/>
      </w:pPr>
      <w:r>
        <w:t>A</w:t>
      </w:r>
      <w:r w:rsidR="00A62E8C">
        <w:t>ny required social and e</w:t>
      </w:r>
      <w:r w:rsidR="00A62E8C" w:rsidRPr="00813A19">
        <w:t>nvironmental</w:t>
      </w:r>
      <w:r w:rsidR="00A62E8C">
        <w:t xml:space="preserve"> </w:t>
      </w:r>
      <w:r w:rsidR="00A62E8C" w:rsidRPr="00813A19">
        <w:t>monitoring reports are disclosed upon completion</w:t>
      </w:r>
      <w:r w:rsidR="00A62E8C">
        <w:t>.</w:t>
      </w:r>
    </w:p>
    <w:p w14:paraId="652E20F8" w14:textId="77777777" w:rsidR="00A62E8C" w:rsidRDefault="00A62E8C" w:rsidP="00A62E8C">
      <w:pPr>
        <w:pStyle w:val="Heading2"/>
      </w:pPr>
      <w:bookmarkStart w:id="29" w:name="_Toc14683712"/>
      <w:r>
        <w:t>M</w:t>
      </w:r>
      <w:r w:rsidRPr="00D46919">
        <w:t>onitoring</w:t>
      </w:r>
      <w:r>
        <w:t xml:space="preserve">, </w:t>
      </w:r>
      <w:r w:rsidRPr="00D46919">
        <w:t xml:space="preserve">Reporting </w:t>
      </w:r>
      <w:r>
        <w:t>and Compliance</w:t>
      </w:r>
      <w:bookmarkEnd w:id="29"/>
    </w:p>
    <w:p w14:paraId="35B3BC6F" w14:textId="77777777" w:rsidR="00A62E8C" w:rsidRPr="00D46919" w:rsidRDefault="00A62E8C" w:rsidP="00AC7F5D">
      <w:pPr>
        <w:pStyle w:val="SEQSbodynumbered"/>
      </w:pPr>
      <w:r w:rsidRPr="00D66AF3">
        <w:t>UNDP monitor</w:t>
      </w:r>
      <w:r w:rsidR="008A2064">
        <w:t>s</w:t>
      </w:r>
      <w:r w:rsidRPr="00D66AF3">
        <w:t xml:space="preserve"> and evaluate</w:t>
      </w:r>
      <w:r w:rsidR="008A2064">
        <w:t>s</w:t>
      </w:r>
      <w:r w:rsidRPr="00D66AF3">
        <w:t xml:space="preserve"> its overall performance against the objectives and </w:t>
      </w:r>
      <w:r>
        <w:t>requirements</w:t>
      </w:r>
      <w:r w:rsidRPr="00D66AF3">
        <w:t xml:space="preserve"> of the Social and Environmental Standards</w:t>
      </w:r>
      <w:r>
        <w:t xml:space="preserve">. Monitoring </w:t>
      </w:r>
      <w:r w:rsidR="008A2064">
        <w:t>is</w:t>
      </w:r>
      <w:r>
        <w:t xml:space="preserve"> integrated with UNDP’s Quality Assurance reporting system</w:t>
      </w:r>
      <w:r w:rsidR="00210EBE">
        <w:t xml:space="preserve"> and Risk Register</w:t>
      </w:r>
      <w:r>
        <w:t xml:space="preserve">. </w:t>
      </w:r>
    </w:p>
    <w:p w14:paraId="4B50CF35" w14:textId="0F988613" w:rsidR="00A62E8C" w:rsidRDefault="00A62E8C" w:rsidP="00AC7F5D">
      <w:pPr>
        <w:pStyle w:val="SEQSbodynumbered"/>
      </w:pPr>
      <w:r>
        <w:t>The</w:t>
      </w:r>
      <w:r w:rsidRPr="00D66AF3">
        <w:t xml:space="preserve"> extent of monitoring activities </w:t>
      </w:r>
      <w:r w:rsidR="008A2064">
        <w:t>is</w:t>
      </w:r>
      <w:r>
        <w:t xml:space="preserve"> commensurate with the </w:t>
      </w:r>
      <w:proofErr w:type="spellStart"/>
      <w:r w:rsidR="00E60CC0">
        <w:t>programme</w:t>
      </w:r>
      <w:r>
        <w:t>’s</w:t>
      </w:r>
      <w:proofErr w:type="spellEnd"/>
      <w:r>
        <w:t xml:space="preserve"> or </w:t>
      </w:r>
      <w:r w:rsidR="00E60CC0">
        <w:t>project</w:t>
      </w:r>
      <w:r>
        <w:t>’s risks and impacts.</w:t>
      </w:r>
      <w:r w:rsidRPr="00D66AF3">
        <w:t xml:space="preserve"> UNDP requires </w:t>
      </w:r>
      <w:r>
        <w:t xml:space="preserve">that (i) </w:t>
      </w:r>
      <w:r w:rsidRPr="00237898">
        <w:t xml:space="preserve">the progress of implementation of </w:t>
      </w:r>
      <w:r>
        <w:t>mitigation/</w:t>
      </w:r>
      <w:r w:rsidRPr="00237898">
        <w:t xml:space="preserve">management plans required by the </w:t>
      </w:r>
      <w:r>
        <w:t>SES is monitored</w:t>
      </w:r>
      <w:r w:rsidR="008A2FA1">
        <w:t>,</w:t>
      </w:r>
      <w:r>
        <w:t xml:space="preserve"> (ii) complaints/grievances are tracked and monitored; (iii) follow-</w:t>
      </w:r>
      <w:r>
        <w:lastRenderedPageBreak/>
        <w:t xml:space="preserve">up on any identified corrective actions </w:t>
      </w:r>
      <w:r w:rsidR="008A2FA1">
        <w:t xml:space="preserve">is </w:t>
      </w:r>
      <w:r>
        <w:t xml:space="preserve">tracked; and (iv) any required </w:t>
      </w:r>
      <w:r w:rsidRPr="00D66AF3">
        <w:t xml:space="preserve">monitoring </w:t>
      </w:r>
      <w:r>
        <w:t>reports on SES implementation are finalized and disclosed.</w:t>
      </w:r>
    </w:p>
    <w:p w14:paraId="7629F8C5" w14:textId="77777777" w:rsidR="00A62E8C" w:rsidRDefault="00A62E8C" w:rsidP="007834FA">
      <w:pPr>
        <w:pStyle w:val="SEQSbodynumbered"/>
      </w:pPr>
      <w:r>
        <w:t>Monitoring and reporting should include data disaggregated by categories of potential beneficiary and/or affected groups, and include specific gender indicators.</w:t>
      </w:r>
    </w:p>
    <w:p w14:paraId="43399993" w14:textId="77777777" w:rsidR="000931E6" w:rsidRPr="00A37A8B" w:rsidRDefault="000931E6">
      <w:pPr>
        <w:pStyle w:val="SEQSbodynumbered"/>
      </w:pPr>
      <w:r>
        <w:t xml:space="preserve">Where appropriate, monitoring shall engage and/or involve stakeholders and third parties, such as affected communities, independent experts, or NGOs, to complement or verify monitoring activities. </w:t>
      </w:r>
      <w:r w:rsidRPr="009D07A0">
        <w:rPr>
          <w:lang w:val="en-GB"/>
        </w:rPr>
        <w:t>The role of local governments should also be considered in monitoring activities</w:t>
      </w:r>
      <w:r>
        <w:rPr>
          <w:u w:val="single"/>
          <w:lang w:val="en-GB"/>
        </w:rPr>
        <w:t>.</w:t>
      </w:r>
    </w:p>
    <w:p w14:paraId="13C5678F" w14:textId="10F95B45" w:rsidR="000931E6" w:rsidRPr="00B85FC9" w:rsidRDefault="000931E6">
      <w:pPr>
        <w:pStyle w:val="SEQSbodynumbered"/>
      </w:pPr>
      <w:r>
        <w:t xml:space="preserve">Based on the monitoring results, any necessary corrective actions </w:t>
      </w:r>
      <w:r w:rsidR="00DE1028">
        <w:t>are</w:t>
      </w:r>
      <w:r>
        <w:t xml:space="preserve"> undertaken. </w:t>
      </w:r>
      <w:r w:rsidR="00785C72">
        <w:t>UNDP and s</w:t>
      </w:r>
      <w:r>
        <w:t xml:space="preserve">takeholders </w:t>
      </w:r>
      <w:r w:rsidR="00DE1028">
        <w:t>are</w:t>
      </w:r>
      <w:r>
        <w:t xml:space="preserve"> </w:t>
      </w:r>
      <w:r w:rsidR="00552502">
        <w:t xml:space="preserve">to be </w:t>
      </w:r>
      <w:r>
        <w:t xml:space="preserve">promptly notified of any incident or accident related to the </w:t>
      </w:r>
      <w:r w:rsidR="00E60CC0">
        <w:t>project</w:t>
      </w:r>
      <w:r>
        <w:t xml:space="preserve"> activities that has</w:t>
      </w:r>
      <w:r w:rsidR="00DD44C8">
        <w:t xml:space="preserve"> had</w:t>
      </w:r>
      <w:r>
        <w:t xml:space="preserve"> </w:t>
      </w:r>
      <w:r w:rsidR="00111176">
        <w:t>(</w:t>
      </w:r>
      <w:r>
        <w:t>or is likely to have</w:t>
      </w:r>
      <w:r w:rsidR="00111176">
        <w:t>)</w:t>
      </w:r>
      <w:r>
        <w:t xml:space="preserve"> significant adverse impacts on people or the environment. Immediate measures </w:t>
      </w:r>
      <w:r w:rsidR="00DE1028">
        <w:t>are</w:t>
      </w:r>
      <w:r>
        <w:t xml:space="preserve"> undertaken to address</w:t>
      </w:r>
      <w:r w:rsidR="00111176">
        <w:t xml:space="preserve"> and remedy</w:t>
      </w:r>
      <w:r>
        <w:t xml:space="preserve"> the incident or accident</w:t>
      </w:r>
      <w:r w:rsidR="00111176">
        <w:t>,</w:t>
      </w:r>
      <w:r>
        <w:t xml:space="preserve"> and to prevent any recurrence.</w:t>
      </w:r>
    </w:p>
    <w:p w14:paraId="1722938C" w14:textId="0D343A32" w:rsidR="00A62E8C" w:rsidRDefault="00A62E8C">
      <w:pPr>
        <w:pStyle w:val="SEQSbodynumbered"/>
      </w:pPr>
      <w:r w:rsidRPr="009D07A0">
        <w:rPr>
          <w:b/>
        </w:rPr>
        <w:t xml:space="preserve">Ongoing </w:t>
      </w:r>
      <w:r w:rsidR="008A2FA1" w:rsidRPr="009D07A0">
        <w:rPr>
          <w:b/>
        </w:rPr>
        <w:t>r</w:t>
      </w:r>
      <w:r w:rsidRPr="009D07A0">
        <w:rPr>
          <w:b/>
        </w:rPr>
        <w:t xml:space="preserve">eporting to </w:t>
      </w:r>
      <w:r w:rsidR="008A2FA1" w:rsidRPr="009D07A0">
        <w:rPr>
          <w:b/>
        </w:rPr>
        <w:t>a</w:t>
      </w:r>
      <w:r w:rsidRPr="009D07A0">
        <w:rPr>
          <w:b/>
        </w:rPr>
        <w:t xml:space="preserve">ffected </w:t>
      </w:r>
      <w:r w:rsidR="008A2FA1" w:rsidRPr="009D07A0">
        <w:rPr>
          <w:b/>
        </w:rPr>
        <w:t>c</w:t>
      </w:r>
      <w:r w:rsidRPr="009D07A0">
        <w:rPr>
          <w:b/>
        </w:rPr>
        <w:t xml:space="preserve">ommunities and </w:t>
      </w:r>
      <w:r w:rsidR="008A2FA1" w:rsidRPr="009D07A0">
        <w:rPr>
          <w:b/>
        </w:rPr>
        <w:t>i</w:t>
      </w:r>
      <w:r w:rsidRPr="009D07A0">
        <w:rPr>
          <w:b/>
        </w:rPr>
        <w:t>ndividuals:</w:t>
      </w:r>
      <w:r w:rsidRPr="00D66AF3">
        <w:t xml:space="preserve"> </w:t>
      </w:r>
      <w:r>
        <w:t xml:space="preserve">For </w:t>
      </w:r>
      <w:r w:rsidR="00E60CC0">
        <w:t>project</w:t>
      </w:r>
      <w:r>
        <w:t>s with potentially significant risks and impacts, p</w:t>
      </w:r>
      <w:r w:rsidRPr="00D66AF3">
        <w:t xml:space="preserve">eriodic reports </w:t>
      </w:r>
      <w:r>
        <w:t xml:space="preserve">are provided </w:t>
      </w:r>
      <w:r w:rsidRPr="00D66AF3">
        <w:t xml:space="preserve">to the affected communities that describe progress with implementation of </w:t>
      </w:r>
      <w:r w:rsidR="00E60CC0">
        <w:t>project</w:t>
      </w:r>
      <w:r w:rsidRPr="00D66AF3">
        <w:t xml:space="preserve"> management and action plans and on issues that the consultation process or grievance mechanism </w:t>
      </w:r>
      <w:r>
        <w:t>has</w:t>
      </w:r>
      <w:r w:rsidRPr="00D66AF3">
        <w:t xml:space="preserve"> identified as a concern. Any material changes or additions to the mitigation measures or actions plans </w:t>
      </w:r>
      <w:r w:rsidR="00DE1028">
        <w:t>are</w:t>
      </w:r>
      <w:r w:rsidRPr="00D66AF3">
        <w:t xml:space="preserve"> communicated to affected communities. </w:t>
      </w:r>
      <w:r w:rsidR="008A2FA1">
        <w:t xml:space="preserve">Reports </w:t>
      </w:r>
      <w:r w:rsidR="00DE1028">
        <w:t>are</w:t>
      </w:r>
      <w:r w:rsidR="008A2FA1">
        <w:t xml:space="preserve"> provided at a </w:t>
      </w:r>
      <w:r w:rsidRPr="00D66AF3">
        <w:t>frequency proportionate to the concerns of affected communities but not less than a</w:t>
      </w:r>
      <w:r>
        <w:t>nnually.</w:t>
      </w:r>
      <w:r>
        <w:rPr>
          <w:rStyle w:val="FootnoteReference"/>
        </w:rPr>
        <w:footnoteReference w:id="158"/>
      </w:r>
      <w:r>
        <w:t xml:space="preserve"> </w:t>
      </w:r>
    </w:p>
    <w:p w14:paraId="248316FC" w14:textId="223BCBC5" w:rsidR="00A62E8C" w:rsidRDefault="00A62E8C">
      <w:pPr>
        <w:pStyle w:val="SEQSbodynumbered"/>
      </w:pPr>
      <w:r>
        <w:t xml:space="preserve">Monitoring activities involve direct participation of affected stakeholders, where possible, and in particular for </w:t>
      </w:r>
      <w:r w:rsidR="00E60CC0">
        <w:t>project</w:t>
      </w:r>
      <w:r>
        <w:t>s with potentially significant adverse risks and impacts.</w:t>
      </w:r>
    </w:p>
    <w:p w14:paraId="54159311" w14:textId="77777777" w:rsidR="00A62E8C" w:rsidRDefault="00A62E8C">
      <w:pPr>
        <w:pStyle w:val="SEQSbodynumbered"/>
      </w:pPr>
      <w:r>
        <w:t>Monitoring activities should:</w:t>
      </w:r>
    </w:p>
    <w:p w14:paraId="5AB7E4FE" w14:textId="77777777" w:rsidR="00A62E8C" w:rsidRDefault="00A62E8C" w:rsidP="000828D8">
      <w:pPr>
        <w:pStyle w:val="listbullets1"/>
      </w:pPr>
      <w:r>
        <w:t>Serve the purpose of learning for future improvement and be flexible and adaptable.</w:t>
      </w:r>
    </w:p>
    <w:p w14:paraId="5BD8BABD" w14:textId="77777777" w:rsidR="00A62E8C" w:rsidRPr="006D4F3A" w:rsidRDefault="00A62E8C" w:rsidP="000828D8">
      <w:pPr>
        <w:pStyle w:val="listbullets1"/>
      </w:pPr>
      <w:r w:rsidRPr="006D4F3A">
        <w:t>Balance quantitative and qualitative assessment.</w:t>
      </w:r>
    </w:p>
    <w:p w14:paraId="2480D607" w14:textId="77777777" w:rsidR="00A62E8C" w:rsidRDefault="00A62E8C" w:rsidP="000828D8">
      <w:pPr>
        <w:pStyle w:val="listbullets1"/>
      </w:pPr>
      <w:r>
        <w:t>Use participatory tools that include target group narratives, especially women’s narratives</w:t>
      </w:r>
      <w:r w:rsidR="004F374C">
        <w:t>,</w:t>
      </w:r>
      <w:r>
        <w:t xml:space="preserve"> which are crucial. </w:t>
      </w:r>
    </w:p>
    <w:p w14:paraId="7D9F9D8F" w14:textId="3DBA1579" w:rsidR="00A62E8C" w:rsidRDefault="00A62E8C" w:rsidP="000828D8">
      <w:pPr>
        <w:pStyle w:val="listbullets1"/>
      </w:pPr>
      <w:r>
        <w:t xml:space="preserve">Track and assess reversals and capture negative impacts of a </w:t>
      </w:r>
      <w:r w:rsidR="00E60CC0">
        <w:t>project</w:t>
      </w:r>
      <w:r>
        <w:t>.</w:t>
      </w:r>
    </w:p>
    <w:p w14:paraId="6F6C810A" w14:textId="77777777" w:rsidR="00A62E8C" w:rsidRDefault="00A62E8C" w:rsidP="000828D8">
      <w:pPr>
        <w:pStyle w:val="listbullets1"/>
      </w:pPr>
      <w:r>
        <w:t>Assess contribution to change instead of attribution-based frameworks.</w:t>
      </w:r>
    </w:p>
    <w:p w14:paraId="309F53D8" w14:textId="77777777" w:rsidR="00A62E8C" w:rsidRDefault="00A62E8C" w:rsidP="000828D8">
      <w:pPr>
        <w:pStyle w:val="listbullets1"/>
      </w:pPr>
      <w:r>
        <w:t>Be tailored to timeframes to ensure realistic measurement and reporting.</w:t>
      </w:r>
    </w:p>
    <w:p w14:paraId="6B605F01" w14:textId="77777777" w:rsidR="00A62E8C" w:rsidRDefault="00A62E8C" w:rsidP="000828D8">
      <w:pPr>
        <w:pStyle w:val="listbullets1"/>
      </w:pPr>
      <w:r>
        <w:t>Be supplemented by a review by an independent third party whenever possible.</w:t>
      </w:r>
    </w:p>
    <w:p w14:paraId="6B29ABE3" w14:textId="0EE867FC" w:rsidR="00A62E8C" w:rsidRPr="00B115CD" w:rsidRDefault="00A62E8C" w:rsidP="00AC7F5D">
      <w:pPr>
        <w:pStyle w:val="SEQSbodynumbered"/>
      </w:pPr>
      <w:r w:rsidRPr="009D07A0">
        <w:rPr>
          <w:b/>
        </w:rPr>
        <w:t xml:space="preserve">Compliance </w:t>
      </w:r>
      <w:r w:rsidR="00B83C87" w:rsidRPr="009D07A0">
        <w:rPr>
          <w:b/>
        </w:rPr>
        <w:t>r</w:t>
      </w:r>
      <w:r w:rsidRPr="009D07A0">
        <w:rPr>
          <w:b/>
        </w:rPr>
        <w:t>eview:</w:t>
      </w:r>
      <w:r w:rsidRPr="00B115CD" w:rsidDel="00A42514">
        <w:t xml:space="preserve"> </w:t>
      </w:r>
      <w:r w:rsidRPr="00B115CD">
        <w:t>UNDP’s compliance review process is intended to investigate alleged or potential violations of UNDP’s social and environmental commitments, including the SES, in the context of specific UNDP</w:t>
      </w:r>
      <w:r>
        <w:t xml:space="preserve"> </w:t>
      </w:r>
      <w:proofErr w:type="spellStart"/>
      <w:r w:rsidR="00E60CC0">
        <w:t>programme</w:t>
      </w:r>
      <w:r>
        <w:t>s</w:t>
      </w:r>
      <w:proofErr w:type="spellEnd"/>
      <w:r>
        <w:t xml:space="preserve"> or</w:t>
      </w:r>
      <w:r w:rsidRPr="00B115CD">
        <w:t xml:space="preserve"> </w:t>
      </w:r>
      <w:r w:rsidR="00E60CC0">
        <w:t>project</w:t>
      </w:r>
      <w:r w:rsidRPr="00B115CD">
        <w:t xml:space="preserve">s. Individuals or communities potentially affected by UNDP </w:t>
      </w:r>
      <w:proofErr w:type="spellStart"/>
      <w:r w:rsidR="00E60CC0">
        <w:t>programme</w:t>
      </w:r>
      <w:r w:rsidRPr="00B115CD">
        <w:t>s</w:t>
      </w:r>
      <w:proofErr w:type="spellEnd"/>
      <w:r w:rsidRPr="00B115CD">
        <w:t xml:space="preserve"> or </w:t>
      </w:r>
      <w:r w:rsidR="00E60CC0">
        <w:t>project</w:t>
      </w:r>
      <w:r w:rsidRPr="00B115CD">
        <w:t xml:space="preserve">s may submit complaints to </w:t>
      </w:r>
      <w:r w:rsidR="00715C07">
        <w:t xml:space="preserve">the </w:t>
      </w:r>
      <w:r w:rsidRPr="00B115CD">
        <w:t xml:space="preserve">Social and Environmental Compliance </w:t>
      </w:r>
      <w:r w:rsidRPr="00B115CD">
        <w:lastRenderedPageBreak/>
        <w:t>Unit (SECU), an independent review body located in UNDP’s Office of Audit and Investigation</w:t>
      </w:r>
      <w:r>
        <w:t>s</w:t>
      </w:r>
      <w:r w:rsidRPr="00B115CD">
        <w:t xml:space="preserve"> (OAI). SECU evaluates whether UNDP has complied with its obligations</w:t>
      </w:r>
      <w:r>
        <w:t>,</w:t>
      </w:r>
      <w:r w:rsidRPr="00B115CD">
        <w:t xml:space="preserve"> whether any non-compliance has caused harm to the complainant</w:t>
      </w:r>
      <w:r>
        <w:t>,</w:t>
      </w:r>
      <w:r w:rsidRPr="00B115CD">
        <w:t xml:space="preserve"> and how UNDP can correct the non-compliance. UNDP’s Administrator make</w:t>
      </w:r>
      <w:r w:rsidR="00DE1028">
        <w:t>s</w:t>
      </w:r>
      <w:r w:rsidRPr="00B115CD">
        <w:t xml:space="preserve"> the final determination of measures necessary to correct non-compliance.</w:t>
      </w:r>
      <w:r w:rsidR="005F3CB3">
        <w:rPr>
          <w:rStyle w:val="FootnoteReference"/>
        </w:rPr>
        <w:footnoteReference w:id="159"/>
      </w:r>
    </w:p>
    <w:p w14:paraId="38B40D7D" w14:textId="77777777" w:rsidR="00A62E8C" w:rsidRDefault="00A62E8C" w:rsidP="00A62E8C">
      <w:pPr>
        <w:spacing w:after="120" w:line="264" w:lineRule="auto"/>
        <w:rPr>
          <w:szCs w:val="20"/>
        </w:rPr>
      </w:pPr>
    </w:p>
    <w:p w14:paraId="6E764F25" w14:textId="77777777" w:rsidR="00A62E8C" w:rsidRPr="002945BB" w:rsidRDefault="00A62E8C" w:rsidP="00AC7F5D">
      <w:pPr>
        <w:pStyle w:val="SEQSbodynumbered"/>
        <w:numPr>
          <w:ilvl w:val="0"/>
          <w:numId w:val="0"/>
        </w:numPr>
        <w:ind w:left="432"/>
      </w:pPr>
    </w:p>
    <w:sectPr w:rsidR="00A62E8C" w:rsidRPr="002945BB" w:rsidSect="00722C8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384E" w14:textId="77777777" w:rsidR="005617AA" w:rsidRDefault="005617AA" w:rsidP="00AF0F78">
      <w:r>
        <w:separator/>
      </w:r>
    </w:p>
  </w:endnote>
  <w:endnote w:type="continuationSeparator" w:id="0">
    <w:p w14:paraId="77AD3D58" w14:textId="77777777" w:rsidR="005617AA" w:rsidRDefault="005617AA" w:rsidP="00AF0F78">
      <w:r>
        <w:continuationSeparator/>
      </w:r>
    </w:p>
  </w:endnote>
  <w:endnote w:type="continuationNotice" w:id="1">
    <w:p w14:paraId="36C79E87" w14:textId="77777777" w:rsidR="005617AA" w:rsidRDefault="00561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Fira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9411" w14:textId="77777777" w:rsidR="002053A1" w:rsidRDefault="002053A1">
    <w:pPr>
      <w:pStyle w:val="Footer"/>
      <w:jc w:val="center"/>
    </w:pPr>
    <w:r>
      <w:fldChar w:fldCharType="begin"/>
    </w:r>
    <w:r>
      <w:instrText xml:space="preserve"> PAGE   \* MERGEFORMAT </w:instrText>
    </w:r>
    <w:r>
      <w:fldChar w:fldCharType="separate"/>
    </w:r>
    <w:r>
      <w:rPr>
        <w:noProof/>
      </w:rPr>
      <w:t>21</w:t>
    </w:r>
    <w:r>
      <w:rPr>
        <w:noProof/>
      </w:rPr>
      <w:fldChar w:fldCharType="end"/>
    </w:r>
  </w:p>
  <w:p w14:paraId="04990EBF" w14:textId="77777777" w:rsidR="002053A1" w:rsidRPr="00927E9F" w:rsidRDefault="002053A1" w:rsidP="0092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9631" w14:textId="77777777" w:rsidR="005617AA" w:rsidRDefault="005617AA" w:rsidP="00AF0F78">
      <w:r>
        <w:separator/>
      </w:r>
    </w:p>
  </w:footnote>
  <w:footnote w:type="continuationSeparator" w:id="0">
    <w:p w14:paraId="734D430A" w14:textId="77777777" w:rsidR="005617AA" w:rsidRDefault="005617AA" w:rsidP="00AF0F78">
      <w:r>
        <w:continuationSeparator/>
      </w:r>
    </w:p>
  </w:footnote>
  <w:footnote w:type="continuationNotice" w:id="1">
    <w:p w14:paraId="24EA4763" w14:textId="77777777" w:rsidR="005617AA" w:rsidRDefault="005617AA"/>
  </w:footnote>
  <w:footnote w:id="2">
    <w:p w14:paraId="299A12A8" w14:textId="77777777" w:rsidR="002053A1" w:rsidRDefault="002053A1">
      <w:pPr>
        <w:pStyle w:val="FootnoteText"/>
      </w:pPr>
      <w:r>
        <w:rPr>
          <w:rStyle w:val="FootnoteReference"/>
        </w:rPr>
        <w:footnoteRef/>
      </w:r>
      <w:r>
        <w:t xml:space="preserve"> UNDP Strategic Plan, 2018-2021</w:t>
      </w:r>
      <w:r w:rsidRPr="002353E2">
        <w:t>, available at http://strategicplan.undp.org/</w:t>
      </w:r>
      <w:r>
        <w:t xml:space="preserve">. </w:t>
      </w:r>
    </w:p>
  </w:footnote>
  <w:footnote w:id="3">
    <w:p w14:paraId="16CA7A9F" w14:textId="5E84A967" w:rsidR="002053A1" w:rsidRDefault="002053A1">
      <w:pPr>
        <w:pStyle w:val="FootnoteText"/>
      </w:pPr>
      <w:r>
        <w:rPr>
          <w:rStyle w:val="FootnoteReference"/>
        </w:rPr>
        <w:footnoteRef/>
      </w:r>
      <w:r>
        <w:t xml:space="preserve"> See </w:t>
      </w:r>
      <w:hyperlink r:id="rId1" w:history="1">
        <w:r w:rsidRPr="009655A7">
          <w:rPr>
            <w:rStyle w:val="Hyperlink"/>
          </w:rPr>
          <w:t xml:space="preserve">Transforming </w:t>
        </w:r>
        <w:r>
          <w:rPr>
            <w:rStyle w:val="Hyperlink"/>
          </w:rPr>
          <w:t>O</w:t>
        </w:r>
        <w:r w:rsidRPr="009655A7">
          <w:rPr>
            <w:rStyle w:val="Hyperlink"/>
          </w:rPr>
          <w:t xml:space="preserve">ur </w:t>
        </w:r>
        <w:r>
          <w:rPr>
            <w:rStyle w:val="Hyperlink"/>
          </w:rPr>
          <w:t>W</w:t>
        </w:r>
        <w:r w:rsidRPr="009655A7">
          <w:rPr>
            <w:rStyle w:val="Hyperlink"/>
          </w:rPr>
          <w:t>orld: the 2030 Agenda for Sustainable Development</w:t>
        </w:r>
      </w:hyperlink>
      <w:r>
        <w:t xml:space="preserve">, </w:t>
      </w:r>
      <w:r w:rsidRPr="00842EA4">
        <w:t>UN Doc. A/RES/70/1</w:t>
      </w:r>
      <w:r>
        <w:t>.</w:t>
      </w:r>
    </w:p>
  </w:footnote>
  <w:footnote w:id="4">
    <w:p w14:paraId="70CED317" w14:textId="2263B3BB" w:rsidR="002053A1" w:rsidRDefault="002053A1" w:rsidP="00467732">
      <w:pPr>
        <w:pStyle w:val="FootnoteText"/>
      </w:pPr>
      <w:r>
        <w:rPr>
          <w:rStyle w:val="FootnoteReference"/>
        </w:rPr>
        <w:footnoteRef/>
      </w:r>
      <w:r>
        <w:t xml:space="preserve"> </w:t>
      </w:r>
      <w:r w:rsidRPr="0034008A">
        <w:t xml:space="preserve">The term ‘social and environmental’ should be understood to include the breadth of issues in the </w:t>
      </w:r>
      <w:r>
        <w:t>Programming Principles and project-level S</w:t>
      </w:r>
      <w:r w:rsidRPr="0034008A">
        <w:t>tandards</w:t>
      </w:r>
      <w:r>
        <w:t>.</w:t>
      </w:r>
    </w:p>
  </w:footnote>
  <w:footnote w:id="5">
    <w:p w14:paraId="49851570" w14:textId="4BEF8A84" w:rsidR="002053A1" w:rsidRDefault="002053A1" w:rsidP="00AC7F5D">
      <w:pPr>
        <w:pStyle w:val="FootnoteText"/>
      </w:pPr>
      <w:r>
        <w:rPr>
          <w:rStyle w:val="FootnoteReference"/>
        </w:rPr>
        <w:footnoteRef/>
      </w:r>
      <w:r>
        <w:t xml:space="preserve"> </w:t>
      </w:r>
      <w:r w:rsidRPr="00E5628E">
        <w:t>UNDP </w:t>
      </w:r>
      <w:r>
        <w:t>“</w:t>
      </w:r>
      <w:r w:rsidRPr="00E04128">
        <w:rPr>
          <w:bCs/>
        </w:rPr>
        <w:t>programming</w:t>
      </w:r>
      <w:r>
        <w:rPr>
          <w:bCs/>
        </w:rPr>
        <w:t>”</w:t>
      </w:r>
      <w:r w:rsidRPr="001E51CA">
        <w:t> </w:t>
      </w:r>
      <w:r w:rsidRPr="00E5628E">
        <w:t>comprises the planning, implementation, reporting and evaluation of development results achieved with partners through UNDP support. A UNDP </w:t>
      </w:r>
      <w:r w:rsidRPr="001E51CA">
        <w:t>“</w:t>
      </w:r>
      <w:r>
        <w:rPr>
          <w:bCs/>
        </w:rPr>
        <w:t>programme</w:t>
      </w:r>
      <w:r>
        <w:t>”</w:t>
      </w:r>
      <w:r w:rsidRPr="00E5628E">
        <w:t> is a plan for effectively contributing to outcome</w:t>
      </w:r>
      <w:r>
        <w:t>-</w:t>
      </w:r>
      <w:r w:rsidRPr="00E5628E">
        <w:t>level development results through UNDP’s </w:t>
      </w:r>
      <w:r>
        <w:t>“</w:t>
      </w:r>
      <w:r>
        <w:rPr>
          <w:bCs/>
        </w:rPr>
        <w:t>project</w:t>
      </w:r>
      <w:r w:rsidRPr="00E04128">
        <w:rPr>
          <w:bCs/>
        </w:rPr>
        <w:t xml:space="preserve"> modalities</w:t>
      </w:r>
      <w:r w:rsidRPr="00E5628E">
        <w:t>:</w:t>
      </w:r>
      <w:r>
        <w:t>”</w:t>
      </w:r>
      <w:r w:rsidRPr="00E5628E">
        <w:t xml:space="preserve"> development projects, the engagement facility and development services.</w:t>
      </w:r>
      <w:r>
        <w:t xml:space="preserve"> </w:t>
      </w:r>
    </w:p>
    <w:p w14:paraId="11943BBD" w14:textId="77777777" w:rsidR="002053A1" w:rsidRDefault="002053A1">
      <w:pPr>
        <w:pStyle w:val="FootnoteText"/>
      </w:pPr>
    </w:p>
  </w:footnote>
  <w:footnote w:id="6">
    <w:p w14:paraId="7EC47129" w14:textId="77777777" w:rsidR="002053A1" w:rsidRDefault="002053A1">
      <w:pPr>
        <w:pStyle w:val="FootnoteText"/>
      </w:pPr>
      <w:r>
        <w:rPr>
          <w:rStyle w:val="FootnoteReference"/>
        </w:rPr>
        <w:footnoteRef/>
      </w:r>
      <w:r>
        <w:t xml:space="preserve"> Excluding pass-through funds where UNDP serves only as the Administrative Agent.</w:t>
      </w:r>
    </w:p>
  </w:footnote>
  <w:footnote w:id="7">
    <w:p w14:paraId="5136383E" w14:textId="789389A7" w:rsidR="002053A1" w:rsidRDefault="002053A1" w:rsidP="0023629B">
      <w:pPr>
        <w:pStyle w:val="FootnoteText"/>
      </w:pPr>
      <w:r>
        <w:rPr>
          <w:rStyle w:val="FootnoteReference"/>
        </w:rPr>
        <w:footnoteRef/>
      </w:r>
      <w:r>
        <w:t xml:space="preserve"> </w:t>
      </w:r>
      <w:r w:rsidRPr="00354398">
        <w:t xml:space="preserve">The </w:t>
      </w:r>
      <w:r>
        <w:t>“i</w:t>
      </w:r>
      <w:r w:rsidRPr="00354398">
        <w:t xml:space="preserve">mplementing </w:t>
      </w:r>
      <w:r>
        <w:t>p</w:t>
      </w:r>
      <w:r w:rsidRPr="00354398">
        <w:t>artner</w:t>
      </w:r>
      <w:r>
        <w:t>”</w:t>
      </w:r>
      <w:r w:rsidRPr="00354398">
        <w:t xml:space="preserve"> is the entity responsible and accountable for the overall management of a UNDP-supported </w:t>
      </w:r>
      <w:r>
        <w:t>project</w:t>
      </w:r>
      <w:r w:rsidRPr="00354398">
        <w:t xml:space="preserve">. It is the entity to which the Administrator has entrusted the implementation of UNDP assistance specified in a signed </w:t>
      </w:r>
      <w:r>
        <w:t>project d</w:t>
      </w:r>
      <w:r w:rsidRPr="00354398">
        <w:t xml:space="preserve">ocument along with the assumption of full responsibility and accountability to UNDP for the effective use of UNDP resources and the delivery of expected outputs. </w:t>
      </w:r>
      <w:r>
        <w:t>The</w:t>
      </w:r>
      <w:r w:rsidRPr="00354398">
        <w:t xml:space="preserve"> </w:t>
      </w:r>
      <w:r>
        <w:t>I</w:t>
      </w:r>
      <w:r w:rsidRPr="00354398">
        <w:t xml:space="preserve">mplementing </w:t>
      </w:r>
      <w:r>
        <w:t>P</w:t>
      </w:r>
      <w:r w:rsidRPr="00354398">
        <w:t xml:space="preserve">artner enters into an agreement with UNDP to manage the </w:t>
      </w:r>
      <w:r>
        <w:t>project</w:t>
      </w:r>
      <w:r w:rsidRPr="00354398">
        <w:t xml:space="preserve"> and achieve the results defined in the signed </w:t>
      </w:r>
      <w:r>
        <w:t>project d</w:t>
      </w:r>
      <w:r w:rsidRPr="00354398">
        <w:t xml:space="preserve">ocuments. The accountability of an Implementing Partner is: to report, fairly and accurately, on </w:t>
      </w:r>
      <w:r>
        <w:t>project</w:t>
      </w:r>
      <w:r w:rsidRPr="00354398">
        <w:t xml:space="preserve"> progress against agreed work plans in accordance with the reporting schedule and required formats; and to maintain documentation and evidence that describes the proper and prudent use of </w:t>
      </w:r>
      <w:r>
        <w:t>project</w:t>
      </w:r>
      <w:r w:rsidRPr="00354398">
        <w:t xml:space="preserve"> resources in conformity to the signed </w:t>
      </w:r>
      <w:r>
        <w:t>project d</w:t>
      </w:r>
      <w:r w:rsidRPr="00354398">
        <w:t>ocument and in accordance with applicable regulations and procedures (e.g. SES). Possible Implementing Partners include government institutions (National Implementation Modality), eligible UN agencies, inter-governmental organizations (IGOs), eligible civil society organizations (CSOs), and UNDP (Direct Implementation Modality).</w:t>
      </w:r>
      <w:r>
        <w:t xml:space="preserve"> </w:t>
      </w:r>
    </w:p>
  </w:footnote>
  <w:footnote w:id="8">
    <w:p w14:paraId="2818703A" w14:textId="77777777" w:rsidR="002053A1" w:rsidRDefault="002053A1" w:rsidP="00445176">
      <w:pPr>
        <w:pStyle w:val="FootnoteText"/>
      </w:pPr>
      <w:r>
        <w:rPr>
          <w:rStyle w:val="FootnoteReference"/>
        </w:rPr>
        <w:footnoteRef/>
      </w:r>
      <w:r>
        <w:t xml:space="preserve"> See </w:t>
      </w:r>
      <w:hyperlink r:id="rId2" w:history="1">
        <w:r w:rsidRPr="00301C8E">
          <w:rPr>
            <w:rStyle w:val="Hyperlink"/>
          </w:rPr>
          <w:t>UNDP Sustainable Procurement Policy</w:t>
        </w:r>
      </w:hyperlink>
      <w:r>
        <w:t xml:space="preserve">. </w:t>
      </w:r>
    </w:p>
  </w:footnote>
  <w:footnote w:id="9">
    <w:p w14:paraId="4C962268" w14:textId="77777777" w:rsidR="002053A1" w:rsidRDefault="002053A1" w:rsidP="00445176">
      <w:pPr>
        <w:pStyle w:val="FootnoteText"/>
      </w:pPr>
      <w:r>
        <w:rPr>
          <w:rStyle w:val="FootnoteReference"/>
        </w:rPr>
        <w:footnoteRef/>
      </w:r>
      <w:r>
        <w:t xml:space="preserve"> See </w:t>
      </w:r>
      <w:hyperlink r:id="rId3" w:history="1">
        <w:r w:rsidRPr="004D7EFB">
          <w:rPr>
            <w:rStyle w:val="Hyperlink"/>
          </w:rPr>
          <w:t>UNDP General Terms and Conditions for Contracts</w:t>
        </w:r>
      </w:hyperlink>
      <w:r>
        <w:t xml:space="preserve"> (September 2017), para. 31. </w:t>
      </w:r>
    </w:p>
  </w:footnote>
  <w:footnote w:id="10">
    <w:p w14:paraId="36B2D89B" w14:textId="77777777" w:rsidR="002053A1" w:rsidRDefault="002053A1">
      <w:pPr>
        <w:pStyle w:val="FootnoteText"/>
      </w:pPr>
      <w:r>
        <w:rPr>
          <w:rStyle w:val="FootnoteReference"/>
        </w:rPr>
        <w:footnoteRef/>
      </w:r>
      <w:r>
        <w:t xml:space="preserve"> </w:t>
      </w:r>
      <w:r w:rsidRPr="00C83C0B">
        <w:t>An implementing partner may enter into a written agreement with other organizations, known as responsible parties, to provide goods and/or services to the project, carry out project activities and/or produce outputs using the project budget.</w:t>
      </w:r>
      <w:r>
        <w:t xml:space="preserve"> </w:t>
      </w:r>
      <w:r w:rsidRPr="00C83C0B">
        <w:t>Responsible parties are directly accountable to the implementing partner in accordance with the terms of their agreement or contract with the implementing partner.</w:t>
      </w:r>
    </w:p>
  </w:footnote>
  <w:footnote w:id="11">
    <w:p w14:paraId="062C9092" w14:textId="61834E0D" w:rsidR="002053A1" w:rsidRPr="00AD2D71" w:rsidRDefault="002053A1" w:rsidP="001D2CD0">
      <w:pPr>
        <w:pStyle w:val="FootnoteText"/>
      </w:pPr>
      <w:r>
        <w:rPr>
          <w:rStyle w:val="FootnoteReference"/>
        </w:rPr>
        <w:footnoteRef/>
      </w:r>
      <w:r>
        <w:t xml:space="preserve"> UNSDG, </w:t>
      </w:r>
      <w:hyperlink r:id="rId4" w:history="1">
        <w:r w:rsidRPr="001D761E">
          <w:rPr>
            <w:rStyle w:val="Hyperlink"/>
          </w:rPr>
          <w:t xml:space="preserve">UN </w:t>
        </w:r>
        <w:r w:rsidRPr="001D761E">
          <w:rPr>
            <w:rStyle w:val="Hyperlink"/>
            <w:lang w:val="en-GB"/>
          </w:rPr>
          <w:t>Sustainable Development Cooperation Framework</w:t>
        </w:r>
      </w:hyperlink>
      <w:r>
        <w:rPr>
          <w:lang w:val="en-GB"/>
        </w:rPr>
        <w:t>, June 2019</w:t>
      </w:r>
      <w:r>
        <w:t>.</w:t>
      </w:r>
    </w:p>
  </w:footnote>
  <w:footnote w:id="12">
    <w:p w14:paraId="76B2F7D8" w14:textId="77777777" w:rsidR="002053A1" w:rsidRDefault="002053A1">
      <w:pPr>
        <w:pStyle w:val="FootnoteText"/>
      </w:pPr>
      <w:r>
        <w:rPr>
          <w:rStyle w:val="FootnoteReference"/>
        </w:rPr>
        <w:footnoteRef/>
      </w:r>
      <w:r>
        <w:t xml:space="preserve"> “Principled” is one of UNDP’s 7 </w:t>
      </w:r>
      <w:hyperlink r:id="rId5" w:history="1">
        <w:r w:rsidRPr="001C4565">
          <w:rPr>
            <w:rStyle w:val="Hyperlink"/>
          </w:rPr>
          <w:t>quality standards for all programming</w:t>
        </w:r>
      </w:hyperlink>
      <w:r>
        <w:t xml:space="preserve">. </w:t>
      </w:r>
    </w:p>
  </w:footnote>
  <w:footnote w:id="13">
    <w:p w14:paraId="4ADB0C42" w14:textId="05563872" w:rsidR="002053A1" w:rsidRDefault="002053A1" w:rsidP="00233D28">
      <w:pPr>
        <w:pStyle w:val="FootnoteText"/>
      </w:pPr>
      <w:r>
        <w:rPr>
          <w:rStyle w:val="FootnoteReference"/>
        </w:rPr>
        <w:footnoteRef/>
      </w:r>
      <w:r>
        <w:t xml:space="preserve"> See </w:t>
      </w:r>
      <w:hyperlink r:id="rId6" w:history="1">
        <w:r w:rsidRPr="00726C34">
          <w:rPr>
            <w:rStyle w:val="Hyperlink"/>
          </w:rPr>
          <w:t>UNSDG, Leaving no one behind – A UNSDG operational guide for UN Country Teams</w:t>
        </w:r>
      </w:hyperlink>
      <w:r>
        <w:t xml:space="preserve"> (interim draft April 2019).</w:t>
      </w:r>
    </w:p>
  </w:footnote>
  <w:footnote w:id="14">
    <w:p w14:paraId="5072244E" w14:textId="77777777" w:rsidR="002053A1" w:rsidRDefault="002053A1">
      <w:pPr>
        <w:pStyle w:val="FootnoteText"/>
      </w:pPr>
      <w:r>
        <w:rPr>
          <w:rStyle w:val="FootnoteReference"/>
        </w:rPr>
        <w:footnoteRef/>
      </w:r>
      <w:r>
        <w:t xml:space="preserve"> Ibid, page 35ff.</w:t>
      </w:r>
    </w:p>
  </w:footnote>
  <w:footnote w:id="15">
    <w:p w14:paraId="45E7A67E" w14:textId="77777777" w:rsidR="002053A1" w:rsidRDefault="002053A1">
      <w:pPr>
        <w:pStyle w:val="FootnoteText"/>
      </w:pPr>
      <w:r>
        <w:rPr>
          <w:rStyle w:val="FootnoteReference"/>
        </w:rPr>
        <w:footnoteRef/>
      </w:r>
      <w:r>
        <w:t xml:space="preserve"> Charter of the United Nations, Article 1, para. 3.</w:t>
      </w:r>
    </w:p>
  </w:footnote>
  <w:footnote w:id="16">
    <w:p w14:paraId="62EB07AA" w14:textId="77777777" w:rsidR="002053A1" w:rsidRDefault="002053A1">
      <w:pPr>
        <w:pStyle w:val="FootnoteText"/>
      </w:pPr>
      <w:r>
        <w:rPr>
          <w:rStyle w:val="FootnoteReference"/>
        </w:rPr>
        <w:footnoteRef/>
      </w:r>
      <w:r>
        <w:t xml:space="preserve"> More information on the UN Common Understanding is available at </w:t>
      </w:r>
      <w:hyperlink r:id="rId7" w:history="1">
        <w:r w:rsidRPr="00CA182A">
          <w:rPr>
            <w:rStyle w:val="Hyperlink"/>
          </w:rPr>
          <w:t>http://www.undg.org/content/programming_reference_guide_(undaf)/un_country_programming_principles/human_rights-based_approach_to_development_programming_(hrba</w:t>
        </w:r>
      </w:hyperlink>
      <w:r w:rsidRPr="002156E8">
        <w:rPr>
          <w:rStyle w:val="Hyperlink"/>
        </w:rPr>
        <w:t>).</w:t>
      </w:r>
      <w:r>
        <w:rPr>
          <w:rStyle w:val="Hyperlink"/>
        </w:rPr>
        <w:t xml:space="preserve"> </w:t>
      </w:r>
    </w:p>
  </w:footnote>
  <w:footnote w:id="17">
    <w:p w14:paraId="6D91E111" w14:textId="77777777" w:rsidR="002053A1" w:rsidRDefault="002053A1" w:rsidP="00831BB8">
      <w:pPr>
        <w:pStyle w:val="FootnoteText"/>
      </w:pPr>
      <w:r>
        <w:rPr>
          <w:rStyle w:val="FootnoteReference"/>
        </w:rPr>
        <w:footnoteRef/>
      </w:r>
      <w:r>
        <w:t xml:space="preserve"> </w:t>
      </w:r>
      <w:r w:rsidRPr="00B743DE">
        <w:t>UNDP Strategic Plan 201</w:t>
      </w:r>
      <w:r>
        <w:t>8</w:t>
      </w:r>
      <w:r w:rsidRPr="00B743DE">
        <w:t>-20</w:t>
      </w:r>
      <w:r>
        <w:t>21, para. 22ff.</w:t>
      </w:r>
    </w:p>
  </w:footnote>
  <w:footnote w:id="18">
    <w:p w14:paraId="107440FD" w14:textId="77777777" w:rsidR="002053A1" w:rsidRDefault="002053A1" w:rsidP="00E9241A">
      <w:pPr>
        <w:pStyle w:val="FootnoteText"/>
      </w:pPr>
      <w:r>
        <w:rPr>
          <w:rStyle w:val="FootnoteReference"/>
        </w:rPr>
        <w:footnoteRef/>
      </w:r>
      <w:r>
        <w:t xml:space="preserve">These include </w:t>
      </w:r>
      <w:r w:rsidRPr="00740372">
        <w:t>the following:</w:t>
      </w:r>
      <w:r>
        <w:t xml:space="preserve"> </w:t>
      </w:r>
      <w:r w:rsidRPr="0021311A">
        <w:t>International Convention on the Elimination of All Forms of Racial Discrimination (1969), International Covenant on Civil and Political Rights (1976), International Covenant on Economic, Social and Cultural Rights (1976), Convention on the Elimination of All Forms of Discrimination against Women (1981), Convention against Torture and Other Cruel, Inhuman or Degrading Treatment or Punishment (1987), Convention on the Rights of the Child (1990), International Convention on the Protection of the Rights of All Migrant Workers and Members of Their Families (2003), International Convention for the Protection of All Persons from Enforced Disappearance (2010), Convention on the Rights of Persons with Disabilities (2008)</w:t>
      </w:r>
      <w:r>
        <w:t>.</w:t>
      </w:r>
    </w:p>
  </w:footnote>
  <w:footnote w:id="19">
    <w:p w14:paraId="56EDEE78" w14:textId="77777777" w:rsidR="002053A1" w:rsidRDefault="002053A1">
      <w:pPr>
        <w:pStyle w:val="FootnoteText"/>
      </w:pPr>
      <w:r>
        <w:rPr>
          <w:rStyle w:val="FootnoteReference"/>
        </w:rPr>
        <w:footnoteRef/>
      </w:r>
      <w:r>
        <w:t xml:space="preserve"> Article 2 of the </w:t>
      </w:r>
      <w:r w:rsidRPr="0021311A">
        <w:t>Convention on the Rights of Persons with Disabilities</w:t>
      </w:r>
      <w:r>
        <w:t xml:space="preserve"> defines reasonable accommodations as “[n]</w:t>
      </w:r>
      <w:r w:rsidRPr="00AA765A">
        <w:t>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t xml:space="preserve">” </w:t>
      </w:r>
    </w:p>
  </w:footnote>
  <w:footnote w:id="20">
    <w:p w14:paraId="00E25328" w14:textId="77777777" w:rsidR="002053A1" w:rsidRDefault="002053A1" w:rsidP="008B3B9F">
      <w:pPr>
        <w:pStyle w:val="FootnoteText"/>
      </w:pPr>
      <w:r>
        <w:rPr>
          <w:rStyle w:val="FootnoteReference"/>
        </w:rPr>
        <w:footnoteRef/>
      </w:r>
      <w:r>
        <w:t xml:space="preserve"> See </w:t>
      </w:r>
      <w:r w:rsidRPr="00F11E7A">
        <w:t xml:space="preserve">UNDP Gender Equality Strategy </w:t>
      </w:r>
      <w:r w:rsidRPr="005218BF">
        <w:t>20</w:t>
      </w:r>
      <w:r w:rsidRPr="00CD6081">
        <w:t>18-2021</w:t>
      </w:r>
      <w:r>
        <w:t xml:space="preserve">, available at </w:t>
      </w:r>
      <w:r w:rsidRPr="008677E1">
        <w:t>https://undocs.org/DP/2018/21</w:t>
      </w:r>
      <w:r>
        <w:t xml:space="preserve">, and UNDP Strategic Plan (including signature solution 6 on </w:t>
      </w:r>
      <w:r w:rsidRPr="00A37A8B">
        <w:rPr>
          <w:bCs/>
        </w:rPr>
        <w:t>strengthening gender equality and the empowerment of women and girls</w:t>
      </w:r>
      <w:r>
        <w:rPr>
          <w:bCs/>
        </w:rPr>
        <w:t>)</w:t>
      </w:r>
      <w:r w:rsidRPr="00A37A8B">
        <w:rPr>
          <w:bCs/>
        </w:rPr>
        <w:t xml:space="preserve">. </w:t>
      </w:r>
    </w:p>
  </w:footnote>
  <w:footnote w:id="21">
    <w:p w14:paraId="059CC5AE" w14:textId="77777777" w:rsidR="002053A1" w:rsidRDefault="002053A1">
      <w:pPr>
        <w:pStyle w:val="FootnoteText"/>
      </w:pPr>
      <w:r>
        <w:rPr>
          <w:rStyle w:val="FootnoteReference"/>
        </w:rPr>
        <w:footnoteRef/>
      </w:r>
      <w:r>
        <w:t xml:space="preserve"> References in SES to “women and men” or similar is understood to include “girls and boys” and other groups discriminated against based on their gender identities, such as transgender or transsexual people.</w:t>
      </w:r>
    </w:p>
  </w:footnote>
  <w:footnote w:id="22">
    <w:p w14:paraId="6A5854C3" w14:textId="77777777" w:rsidR="002053A1" w:rsidRDefault="002053A1">
      <w:pPr>
        <w:pStyle w:val="FootnoteText"/>
      </w:pPr>
      <w:r>
        <w:rPr>
          <w:rStyle w:val="FootnoteReference"/>
        </w:rPr>
        <w:footnoteRef/>
      </w:r>
      <w:r>
        <w:t xml:space="preserve"> See</w:t>
      </w:r>
      <w:r w:rsidRPr="00312F1B">
        <w:t xml:space="preserve"> Principle 15 of the </w:t>
      </w:r>
      <w:hyperlink r:id="rId8" w:history="1">
        <w:r w:rsidRPr="0001513B">
          <w:rPr>
            <w:rStyle w:val="Hyperlink"/>
          </w:rPr>
          <w:t>Rio Declaration on Environment and Development</w:t>
        </w:r>
      </w:hyperlink>
      <w:r>
        <w:t xml:space="preserve">,(1992) noting that the </w:t>
      </w:r>
      <w:r w:rsidRPr="00312F1B">
        <w:t xml:space="preserve">lack of full scientific certainty shall not be used as a reason for postponing cost-effective measures to prevent </w:t>
      </w:r>
      <w:r>
        <w:t xml:space="preserve">serious threats of </w:t>
      </w:r>
      <w:r w:rsidRPr="00312F1B">
        <w:t>environmental degradation.</w:t>
      </w:r>
    </w:p>
  </w:footnote>
  <w:footnote w:id="23">
    <w:p w14:paraId="59B8BD26" w14:textId="548CB0C3" w:rsidR="002053A1" w:rsidRDefault="002053A1" w:rsidP="00D10063">
      <w:pPr>
        <w:pStyle w:val="FootnoteText"/>
      </w:pPr>
      <w:r>
        <w:rPr>
          <w:rStyle w:val="FootnoteReference"/>
        </w:rPr>
        <w:footnoteRef/>
      </w:r>
      <w:r>
        <w:t xml:space="preserve"> For further information, visit </w:t>
      </w:r>
      <w:hyperlink r:id="rId9" w:history="1">
        <w:r w:rsidRPr="007D523B">
          <w:rPr>
            <w:rStyle w:val="Hyperlink"/>
          </w:rPr>
          <w:t>www.undp.org/secu-srm</w:t>
        </w:r>
      </w:hyperlink>
      <w:r>
        <w:t>.</w:t>
      </w:r>
      <w:r w:rsidR="00723DFD">
        <w:t xml:space="preserve"> </w:t>
      </w:r>
    </w:p>
  </w:footnote>
  <w:footnote w:id="24">
    <w:p w14:paraId="1F3D4282" w14:textId="77777777" w:rsidR="002053A1" w:rsidRDefault="002053A1" w:rsidP="002843C3">
      <w:pPr>
        <w:pStyle w:val="FootnoteText"/>
      </w:pPr>
      <w:r>
        <w:rPr>
          <w:rStyle w:val="FootnoteReference"/>
        </w:rPr>
        <w:footnoteRef/>
      </w:r>
      <w:r>
        <w:t xml:space="preserve"> The Convention on Biological Diversity (CBD) defines biological diversity (i.e. biodiversity) as “the variability among living organisms from all sources including, </w:t>
      </w:r>
      <w:r w:rsidRPr="00E26A12">
        <w:rPr>
          <w:i/>
        </w:rPr>
        <w:t>inter alia</w:t>
      </w:r>
      <w:r>
        <w:t xml:space="preserve">, terrestrial, marine and other aquatic ecosystems and the ecological complexes of which they are part: this includes diversity within species, between species, and of ecosystems.” CBD, Article 2, available at </w:t>
      </w:r>
      <w:hyperlink r:id="rId10" w:history="1">
        <w:r w:rsidRPr="007C1674">
          <w:rPr>
            <w:rStyle w:val="Hyperlink"/>
          </w:rPr>
          <w:t>http://www.cbd.int/</w:t>
        </w:r>
      </w:hyperlink>
      <w:r>
        <w:t xml:space="preserve">. </w:t>
      </w:r>
    </w:p>
  </w:footnote>
  <w:footnote w:id="25">
    <w:p w14:paraId="0C2D37B1" w14:textId="77777777" w:rsidR="002053A1" w:rsidRDefault="002053A1" w:rsidP="002843C3">
      <w:pPr>
        <w:pStyle w:val="FootnoteText"/>
      </w:pPr>
      <w:r>
        <w:rPr>
          <w:rStyle w:val="FootnoteReference"/>
        </w:rPr>
        <w:footnoteRef/>
      </w:r>
      <w:r>
        <w:t xml:space="preserve"> Ecosystem services are the benefits that people derive from ecosystems. Ecosystem services are organized into four types: (i) provisioning services, which are the goods people obtain from ecosystems (i.e., food, freshwater, timber, fibers, medicinal plants); (ii) regulating services, which are the benefits people obtain from the regulation of ecosystem processes (e.g. surface water purification, carbon storage and sequestration, climate regulation protection from natural hazards); (iii) cultural services, which are the nonmaterial benefits people obtain from ecosystems (e.g. sacred sites, areas of importance for recreation and aesthetic enjoyment); and (iv) supporting services, which are the natural processes that maintain the other services (e.g. soil formation, nutrient cycling, primary production).</w:t>
      </w:r>
    </w:p>
  </w:footnote>
  <w:footnote w:id="26">
    <w:p w14:paraId="3DBE3933" w14:textId="77777777" w:rsidR="002053A1" w:rsidRDefault="002053A1">
      <w:pPr>
        <w:pStyle w:val="FootnoteText"/>
      </w:pPr>
      <w:r>
        <w:rPr>
          <w:rStyle w:val="FootnoteReference"/>
        </w:rPr>
        <w:footnoteRef/>
      </w:r>
      <w:r>
        <w:t xml:space="preserve"> Women often face </w:t>
      </w:r>
      <w:r w:rsidRPr="00E15B8D">
        <w:t xml:space="preserve">socio-cultural barriers </w:t>
      </w:r>
      <w:r>
        <w:t>to</w:t>
      </w:r>
      <w:r w:rsidRPr="00E15B8D">
        <w:t xml:space="preserve"> </w:t>
      </w:r>
      <w:r>
        <w:t>equitable access to resources and decision-making</w:t>
      </w:r>
      <w:r w:rsidRPr="00E15B8D">
        <w:t xml:space="preserve"> </w:t>
      </w:r>
      <w:r>
        <w:t>processes on resource use. With strong reliance on natural resource livelihoods</w:t>
      </w:r>
      <w:r w:rsidRPr="00E15B8D">
        <w:t xml:space="preserve">, women are </w:t>
      </w:r>
      <w:r>
        <w:t xml:space="preserve">often </w:t>
      </w:r>
      <w:r w:rsidRPr="00E15B8D">
        <w:t xml:space="preserve">on the front lines of </w:t>
      </w:r>
      <w:r>
        <w:t xml:space="preserve">risks posed by degradation of, and restricted access to, ecosystems and ecosystem services. </w:t>
      </w:r>
    </w:p>
  </w:footnote>
  <w:footnote w:id="27">
    <w:p w14:paraId="45A52056" w14:textId="77777777" w:rsidR="002053A1" w:rsidRDefault="002053A1" w:rsidP="00944374">
      <w:pPr>
        <w:pStyle w:val="FootnoteText"/>
      </w:pPr>
      <w:r w:rsidRPr="0097384C">
        <w:rPr>
          <w:rStyle w:val="FootnoteReference"/>
        </w:rPr>
        <w:footnoteRef/>
      </w:r>
      <w:r w:rsidRPr="0097384C">
        <w:t xml:space="preserve"> UNDP </w:t>
      </w:r>
      <w:r>
        <w:t xml:space="preserve">supports implementation of national commitments under the CBD, including CBD’s Strategic Plan for Biodiversity </w:t>
      </w:r>
      <w:r w:rsidRPr="008D7477">
        <w:t>2011-2020 and the “Aichi Targets”</w:t>
      </w:r>
      <w:r>
        <w:t xml:space="preserve"> at </w:t>
      </w:r>
      <w:hyperlink r:id="rId11" w:history="1">
        <w:r w:rsidRPr="007C1674">
          <w:rPr>
            <w:rStyle w:val="Hyperlink"/>
          </w:rPr>
          <w:t>http://www.cbd.int/sp/</w:t>
        </w:r>
      </w:hyperlink>
      <w:r>
        <w:t xml:space="preserve">. UNDP’s </w:t>
      </w:r>
      <w:r w:rsidRPr="008D7477">
        <w:t>Biodiversity and Ecosystems Global Framework 2012-2020</w:t>
      </w:r>
      <w:r>
        <w:t xml:space="preserve"> outlines UNDP’s priorities and programs to conserve biodiversity and maintain ecosystem services, available at </w:t>
      </w:r>
      <w:hyperlink r:id="rId12" w:history="1">
        <w:r w:rsidRPr="007C1674">
          <w:rPr>
            <w:rStyle w:val="Hyperlink"/>
          </w:rPr>
          <w:t>http://www.undp.org/content/undp/en/home/librarypage/environment-energy/ecosystems_and_biodiversity/biodiversity-and-ecosystems-global-framework-2012-to-2020.html</w:t>
        </w:r>
      </w:hyperlink>
      <w:r>
        <w:t xml:space="preserve">. </w:t>
      </w:r>
    </w:p>
  </w:footnote>
  <w:footnote w:id="28">
    <w:p w14:paraId="6AD64FAB" w14:textId="77777777" w:rsidR="002053A1" w:rsidRDefault="002053A1" w:rsidP="00944374">
      <w:pPr>
        <w:pStyle w:val="FootnoteText"/>
      </w:pPr>
      <w:r>
        <w:rPr>
          <w:rStyle w:val="FootnoteReference"/>
        </w:rPr>
        <w:footnoteRef/>
      </w:r>
      <w:r>
        <w:t xml:space="preserve"> Including the</w:t>
      </w:r>
      <w:r w:rsidRPr="00392166">
        <w:t xml:space="preserve"> </w:t>
      </w:r>
      <w:hyperlink r:id="rId13" w:history="1">
        <w:r w:rsidRPr="00392166">
          <w:rPr>
            <w:rStyle w:val="Hyperlink"/>
          </w:rPr>
          <w:t>Convention on Conservation of Migratory Species</w:t>
        </w:r>
      </w:hyperlink>
      <w:r>
        <w:t>,</w:t>
      </w:r>
      <w:r w:rsidRPr="00392166">
        <w:t xml:space="preserve"> </w:t>
      </w:r>
      <w:hyperlink r:id="rId14" w:history="1">
        <w:r w:rsidRPr="00392166">
          <w:rPr>
            <w:rStyle w:val="Hyperlink"/>
          </w:rPr>
          <w:t>Convention on International Trade in Endangered Species of Wild Fauna and Flora (CITES)</w:t>
        </w:r>
      </w:hyperlink>
      <w:r w:rsidRPr="00392166">
        <w:t xml:space="preserve">, </w:t>
      </w:r>
      <w:hyperlink r:id="rId15" w:history="1">
        <w:r w:rsidRPr="00392166">
          <w:rPr>
            <w:rStyle w:val="Hyperlink"/>
          </w:rPr>
          <w:t>International Treaty on Plant Genetic Resources for Food and Agriculture</w:t>
        </w:r>
      </w:hyperlink>
      <w:r>
        <w:t>,</w:t>
      </w:r>
      <w:r w:rsidRPr="00392166">
        <w:t xml:space="preserve"> </w:t>
      </w:r>
      <w:hyperlink r:id="rId16" w:history="1">
        <w:r w:rsidRPr="00392166">
          <w:rPr>
            <w:rStyle w:val="Hyperlink"/>
          </w:rPr>
          <w:t>Convention on Wetlands (Ramsar Convention)</w:t>
        </w:r>
      </w:hyperlink>
      <w:r>
        <w:t>,</w:t>
      </w:r>
      <w:r w:rsidRPr="00392166">
        <w:t xml:space="preserve"> </w:t>
      </w:r>
      <w:hyperlink r:id="rId17" w:history="1">
        <w:r w:rsidRPr="00392166">
          <w:rPr>
            <w:rStyle w:val="Hyperlink"/>
          </w:rPr>
          <w:t>World Heritage Convention</w:t>
        </w:r>
      </w:hyperlink>
      <w:r>
        <w:t>,</w:t>
      </w:r>
      <w:r w:rsidRPr="00392166">
        <w:t xml:space="preserve"> </w:t>
      </w:r>
      <w:hyperlink r:id="rId18" w:history="1">
        <w:r w:rsidRPr="00392166">
          <w:rPr>
            <w:rStyle w:val="Hyperlink"/>
          </w:rPr>
          <w:t>International Plant Protection Convention</w:t>
        </w:r>
      </w:hyperlink>
      <w:r w:rsidRPr="00392166">
        <w:t xml:space="preserve">, </w:t>
      </w:r>
      <w:r>
        <w:t xml:space="preserve">and </w:t>
      </w:r>
      <w:r w:rsidRPr="00392166">
        <w:t xml:space="preserve">the </w:t>
      </w:r>
      <w:hyperlink r:id="rId19" w:history="1">
        <w:r w:rsidRPr="00392166">
          <w:rPr>
            <w:rStyle w:val="Hyperlink"/>
          </w:rPr>
          <w:t>International Whaling Commission</w:t>
        </w:r>
      </w:hyperlink>
      <w:r>
        <w:t>.</w:t>
      </w:r>
    </w:p>
  </w:footnote>
  <w:footnote w:id="29">
    <w:p w14:paraId="3ABB3773" w14:textId="77777777" w:rsidR="002053A1" w:rsidRDefault="002053A1">
      <w:pPr>
        <w:pStyle w:val="FootnoteText"/>
      </w:pPr>
      <w:r>
        <w:rPr>
          <w:rStyle w:val="FootnoteReference"/>
        </w:rPr>
        <w:footnoteRef/>
      </w:r>
      <w:r>
        <w:t xml:space="preserve"> T</w:t>
      </w:r>
      <w:r w:rsidRPr="00446790">
        <w:t xml:space="preserve">he ecosystem approach is a strategy for the integrated management of land, water and living resources that promotes conservation and sustainable use in an equitable way. </w:t>
      </w:r>
      <w:r>
        <w:t>See Ecosystem Approach, Convention of Biological Diversity, available at</w:t>
      </w:r>
      <w:r w:rsidRPr="00446790">
        <w:t xml:space="preserve"> </w:t>
      </w:r>
      <w:hyperlink r:id="rId20" w:history="1">
        <w:r w:rsidRPr="00E34222">
          <w:rPr>
            <w:rStyle w:val="Hyperlink"/>
          </w:rPr>
          <w:t>https://www.cbd.int/ecosystem/</w:t>
        </w:r>
      </w:hyperlink>
      <w:r>
        <w:t xml:space="preserve">. </w:t>
      </w:r>
    </w:p>
  </w:footnote>
  <w:footnote w:id="30">
    <w:p w14:paraId="3B4B1902" w14:textId="34661DF4" w:rsidR="002053A1" w:rsidRDefault="002053A1">
      <w:pPr>
        <w:pStyle w:val="FootnoteText"/>
      </w:pPr>
      <w:r>
        <w:rPr>
          <w:rStyle w:val="FootnoteReference"/>
        </w:rPr>
        <w:footnoteRef/>
      </w:r>
      <w:r>
        <w:t xml:space="preserve"> See the section on assessment and management</w:t>
      </w:r>
      <w:r w:rsidR="00723DFD">
        <w:t xml:space="preserve"> </w:t>
      </w:r>
      <w:r>
        <w:t>for a definition of a project’s area of influence.</w:t>
      </w:r>
    </w:p>
  </w:footnote>
  <w:footnote w:id="31">
    <w:p w14:paraId="4B0B4096" w14:textId="77777777" w:rsidR="002053A1" w:rsidRPr="005B003F" w:rsidRDefault="002053A1" w:rsidP="002843C3">
      <w:pPr>
        <w:pStyle w:val="FootnoteText"/>
        <w:rPr>
          <w:rStyle w:val="FootnoteReference"/>
        </w:rPr>
      </w:pPr>
      <w:r w:rsidRPr="005B003F">
        <w:rPr>
          <w:rStyle w:val="FootnoteReference"/>
        </w:rPr>
        <w:footnoteRef/>
      </w:r>
      <w:r>
        <w:rPr>
          <w:rStyle w:val="FootnoteReference"/>
        </w:rPr>
        <w:t xml:space="preserve"> </w:t>
      </w:r>
      <w:r>
        <w:t>Modified h</w:t>
      </w:r>
      <w:r w:rsidRPr="00476BF5">
        <w:t>abitats are areas that may contain a large proportion of plant and/or animal species of non-native origin, and/or</w:t>
      </w:r>
      <w:r>
        <w:t xml:space="preserve"> areas</w:t>
      </w:r>
      <w:r w:rsidRPr="00476BF5">
        <w:t xml:space="preserve"> where human activity has substantially modified an area's primary ecological functions and species composition. Modified habitats may include areas managed for agriculture, forest plantations, reclaimed costal zones, reclaimed wetlands</w:t>
      </w:r>
      <w:r>
        <w:t>, and regenerated forests and grasslands.</w:t>
      </w:r>
    </w:p>
  </w:footnote>
  <w:footnote w:id="32">
    <w:p w14:paraId="09B992B0" w14:textId="77777777" w:rsidR="002053A1" w:rsidRDefault="002053A1" w:rsidP="000C7FA5">
      <w:pPr>
        <w:pStyle w:val="FootnoteText"/>
      </w:pPr>
      <w:r>
        <w:rPr>
          <w:rStyle w:val="FootnoteReference"/>
        </w:rPr>
        <w:footnoteRef/>
      </w:r>
      <w:r>
        <w:t xml:space="preserve"> </w:t>
      </w:r>
      <w:r w:rsidRPr="00BA056A">
        <w:t>Natural habitats are land and water areas where the biological communities are formed largely by native plant and animal species, and where human activity has not essentially modified the area’s primary ecological functions and species composition.</w:t>
      </w:r>
    </w:p>
  </w:footnote>
  <w:footnote w:id="33">
    <w:p w14:paraId="2F3D1566" w14:textId="77777777" w:rsidR="002053A1" w:rsidRDefault="002053A1">
      <w:pPr>
        <w:pStyle w:val="FootnoteText"/>
      </w:pPr>
      <w:r>
        <w:rPr>
          <w:rStyle w:val="FootnoteReference"/>
        </w:rPr>
        <w:footnoteRef/>
      </w:r>
      <w:r>
        <w:t xml:space="preserve"> I</w:t>
      </w:r>
      <w:r w:rsidRPr="006B577F">
        <w:t xml:space="preserve">ncluding </w:t>
      </w:r>
      <w:r>
        <w:t>measures</w:t>
      </w:r>
      <w:r w:rsidRPr="006B577F">
        <w:t xml:space="preserve"> required to maintain affected ecological services</w:t>
      </w:r>
      <w:r>
        <w:t>.</w:t>
      </w:r>
    </w:p>
  </w:footnote>
  <w:footnote w:id="34">
    <w:p w14:paraId="556AAB04" w14:textId="77777777" w:rsidR="002053A1" w:rsidRDefault="002053A1">
      <w:pPr>
        <w:pStyle w:val="FootnoteText"/>
      </w:pPr>
      <w:r>
        <w:rPr>
          <w:rStyle w:val="FootnoteReference"/>
        </w:rPr>
        <w:footnoteRef/>
      </w:r>
      <w:r>
        <w:t xml:space="preserve"> UNDP recognizes that compensation and offsets may eventually be incorporated as elements of a mitigation strategy; however, avoidance and minimization measures must first be fully considered.</w:t>
      </w:r>
    </w:p>
  </w:footnote>
  <w:footnote w:id="35">
    <w:p w14:paraId="782FA4CC" w14:textId="7BD7ADB0" w:rsidR="002053A1" w:rsidRDefault="002053A1" w:rsidP="002B0394">
      <w:pPr>
        <w:pStyle w:val="FootnoteText"/>
      </w:pPr>
      <w:r>
        <w:rPr>
          <w:rStyle w:val="FootnoteReference"/>
        </w:rPr>
        <w:footnoteRef/>
      </w:r>
      <w:r>
        <w:t xml:space="preserve"> “No net loss” is defined as the point at which project-related impacts on biodiversity are balanced by measures taken to avoid and minimize the project’s impacts, to undertake on-site restoration and finally to offset significant residual impacts, if any, on an appropriate geographic scale. </w:t>
      </w:r>
    </w:p>
  </w:footnote>
  <w:footnote w:id="36">
    <w:p w14:paraId="0854787F" w14:textId="24E95E8B" w:rsidR="0013639B" w:rsidRDefault="0013639B">
      <w:pPr>
        <w:pStyle w:val="FootnoteText"/>
      </w:pPr>
      <w:r>
        <w:rPr>
          <w:rStyle w:val="FootnoteReference"/>
        </w:rPr>
        <w:footnoteRef/>
      </w:r>
      <w:r>
        <w:t xml:space="preserve"> Mitigation measures </w:t>
      </w:r>
      <w:r w:rsidRPr="00372779">
        <w:t xml:space="preserve">may include a combination of actions, such as </w:t>
      </w:r>
      <w:r>
        <w:t xml:space="preserve">project redesign, use of financial guarantees, </w:t>
      </w:r>
      <w:r w:rsidRPr="00372779">
        <w:t>post-</w:t>
      </w:r>
      <w:r>
        <w:t>project</w:t>
      </w:r>
      <w:r w:rsidRPr="00372779">
        <w:t xml:space="preserve"> restoration, set-asides, and, as a last resort, offsets.</w:t>
      </w:r>
      <w:r>
        <w:t xml:space="preserve"> </w:t>
      </w:r>
      <w:r w:rsidRPr="00372779">
        <w:t xml:space="preserve">Set-asides are land areas within the </w:t>
      </w:r>
      <w:r>
        <w:t>project</w:t>
      </w:r>
      <w:r w:rsidRPr="00372779">
        <w:t xml:space="preserve"> area excluded from development and are targeted for </w:t>
      </w:r>
      <w:r>
        <w:t xml:space="preserve">the </w:t>
      </w:r>
      <w:r w:rsidRPr="00372779">
        <w:t xml:space="preserve">implementation of conservation enhancement measures. </w:t>
      </w:r>
      <w:r>
        <w:t>Set-asides</w:t>
      </w:r>
      <w:r w:rsidRPr="00372779">
        <w:t xml:space="preserve"> will likely contain significant biodiversity values and/or provide ecosystem services of significance.</w:t>
      </w:r>
    </w:p>
  </w:footnote>
  <w:footnote w:id="37">
    <w:p w14:paraId="5514F3D4" w14:textId="1C2F42CF" w:rsidR="002053A1" w:rsidRDefault="002053A1" w:rsidP="002843C3">
      <w:pPr>
        <w:pStyle w:val="FootnoteText"/>
      </w:pPr>
      <w:r>
        <w:rPr>
          <w:rStyle w:val="FootnoteReference"/>
        </w:rPr>
        <w:footnoteRef/>
      </w:r>
      <w:r>
        <w:t xml:space="preserve"> Biodiversity offsets are measureable conservation outcomes resulting from actions designed to compensate for significant residual adverse biodiversity impacts arising from project development and persisting after appropriate avoidance, minimization and restoration measures have been taken.</w:t>
      </w:r>
    </w:p>
  </w:footnote>
  <w:footnote w:id="38">
    <w:p w14:paraId="1FDAF105" w14:textId="77777777" w:rsidR="002053A1" w:rsidRDefault="002053A1" w:rsidP="00480AAE">
      <w:pPr>
        <w:pStyle w:val="FootnoteText"/>
      </w:pPr>
      <w:r>
        <w:rPr>
          <w:rStyle w:val="FootnoteReference"/>
        </w:rPr>
        <w:footnoteRef/>
      </w:r>
      <w:r>
        <w:t xml:space="preserve"> Net gains are additional conservation outcomes that can be achieved for the biodiversity values for which the critical habitat was designated.</w:t>
      </w:r>
    </w:p>
  </w:footnote>
  <w:footnote w:id="39">
    <w:p w14:paraId="2D5D20F6" w14:textId="5C22BB11" w:rsidR="002053A1" w:rsidRDefault="002053A1" w:rsidP="002843C3">
      <w:pPr>
        <w:pStyle w:val="FootnoteText"/>
      </w:pPr>
      <w:r>
        <w:rPr>
          <w:rStyle w:val="FootnoteReference"/>
        </w:rPr>
        <w:footnoteRef/>
      </w:r>
      <w:r>
        <w:t xml:space="preserve"> The principle of “like-for-like or better” indicates that biodiversity offsets must be designed to conserve the same biodiversity values that are being impacted by the project. </w:t>
      </w:r>
    </w:p>
  </w:footnote>
  <w:footnote w:id="40">
    <w:p w14:paraId="68C65688" w14:textId="3B6F5A09" w:rsidR="002053A1" w:rsidRDefault="002053A1">
      <w:pPr>
        <w:pStyle w:val="FootnoteText"/>
      </w:pPr>
      <w:r>
        <w:rPr>
          <w:rStyle w:val="FootnoteReference"/>
        </w:rPr>
        <w:footnoteRef/>
      </w:r>
      <w:r>
        <w:t xml:space="preserve"> For additional guidance on biodiversity offsets, see the Business and Biodiversity Offset </w:t>
      </w:r>
      <w:r>
        <w:t xml:space="preserve">programme Standard on Biodiversity Offsets (2012), available at </w:t>
      </w:r>
      <w:hyperlink r:id="rId21" w:history="1">
        <w:r w:rsidRPr="007263A9">
          <w:rPr>
            <w:rStyle w:val="Hyperlink"/>
          </w:rPr>
          <w:t>http://bbop.forest-trends.org/pages/guidelines</w:t>
        </w:r>
      </w:hyperlink>
      <w:r>
        <w:t xml:space="preserve">. </w:t>
      </w:r>
    </w:p>
  </w:footnote>
  <w:footnote w:id="41">
    <w:p w14:paraId="1BF27F18" w14:textId="77777777" w:rsidR="002053A1" w:rsidRDefault="002053A1" w:rsidP="00F94089">
      <w:pPr>
        <w:pStyle w:val="FootnoteText"/>
      </w:pPr>
      <w:r>
        <w:rPr>
          <w:rStyle w:val="FootnoteReference"/>
        </w:rPr>
        <w:footnoteRef/>
      </w:r>
      <w:r>
        <w:t xml:space="preserve"> </w:t>
      </w:r>
      <w:r w:rsidRPr="00BA056A">
        <w:t xml:space="preserve">Critical habitats are </w:t>
      </w:r>
      <w:r>
        <w:t xml:space="preserve">a subset of both modified and natural habitats that require special attention. Critical habitats are </w:t>
      </w:r>
      <w:r w:rsidRPr="00BA056A">
        <w:t>areas with high biodiversity value, including</w:t>
      </w:r>
      <w:r>
        <w:t xml:space="preserve"> any of the following features:</w:t>
      </w:r>
      <w:r w:rsidRPr="00BA056A">
        <w:t xml:space="preserve"> (i) habitat of significant importance to Critically Endangered and/or Endangered species; (ii) habitat of significant importance to endemic and/or restricted-range species; (iii) habitat supporting globally significant concentrations of migratory species and/or congregatory species; (iv) highly threatened and/or unique ecosystems; and/or (v) areas associated with key evolutionary processes. Critical habitats</w:t>
      </w:r>
      <w:r>
        <w:t xml:space="preserve"> include those areas that are (i) legally protected, (ii</w:t>
      </w:r>
      <w:r w:rsidRPr="00BA056A">
        <w:t>) offici</w:t>
      </w:r>
      <w:r>
        <w:t>ally proposed for protection, (ii</w:t>
      </w:r>
      <w:r w:rsidRPr="00BA056A">
        <w:t>) identified by authoritative sources for their high conservation value (such as areas that meet criteria of the World Conservation Union classification, the Ramsar List of Wetlands of International Importance, and the United Nations Scientific and Cultural Organizatio</w:t>
      </w:r>
      <w:r>
        <w:t>n’s world heritage sites), or (iv</w:t>
      </w:r>
      <w:r w:rsidRPr="00BA056A">
        <w:t>) recognized as protected by traditional local communities.</w:t>
      </w:r>
    </w:p>
  </w:footnote>
  <w:footnote w:id="42">
    <w:p w14:paraId="41026D79" w14:textId="77777777" w:rsidR="002053A1" w:rsidRDefault="002053A1" w:rsidP="002843C3">
      <w:pPr>
        <w:pStyle w:val="FootnoteText"/>
      </w:pPr>
      <w:r>
        <w:rPr>
          <w:rStyle w:val="FootnoteReference"/>
        </w:rPr>
        <w:footnoteRef/>
      </w:r>
      <w:r>
        <w:t xml:space="preserve"> As listed on the International Union for the Conservation of Nature (IUCN) Red List of Threatened Species or equivalent national or regional listings. </w:t>
      </w:r>
    </w:p>
  </w:footnote>
  <w:footnote w:id="43">
    <w:p w14:paraId="152E85D0" w14:textId="77777777" w:rsidR="002053A1" w:rsidRDefault="002053A1" w:rsidP="00FB2FDA">
      <w:pPr>
        <w:pStyle w:val="FootnoteText"/>
      </w:pPr>
      <w:r>
        <w:rPr>
          <w:rStyle w:val="FootnoteReference"/>
        </w:rPr>
        <w:footnoteRef/>
      </w:r>
      <w:r>
        <w:t xml:space="preserve"> In accordance with the </w:t>
      </w:r>
      <w:hyperlink r:id="rId22" w:history="1">
        <w:r w:rsidRPr="00A23D5A">
          <w:rPr>
            <w:rStyle w:val="Hyperlink"/>
          </w:rPr>
          <w:t>Convention on International Trade in Endangered Species in Wild Fauna and Flora (CITES)</w:t>
        </w:r>
      </w:hyperlink>
      <w:r>
        <w:t xml:space="preserve">. See the </w:t>
      </w:r>
      <w:hyperlink r:id="rId23" w:history="1">
        <w:r w:rsidRPr="009C6495">
          <w:rPr>
            <w:rStyle w:val="Hyperlink"/>
          </w:rPr>
          <w:t>CITES Appendices</w:t>
        </w:r>
      </w:hyperlink>
      <w:r>
        <w:t xml:space="preserve"> of species threatened by international trade.</w:t>
      </w:r>
    </w:p>
  </w:footnote>
  <w:footnote w:id="44">
    <w:p w14:paraId="34D041A6" w14:textId="77777777" w:rsidR="002053A1" w:rsidRDefault="002053A1" w:rsidP="002843C3">
      <w:pPr>
        <w:pStyle w:val="FootnoteText"/>
      </w:pPr>
      <w:r>
        <w:rPr>
          <w:rStyle w:val="FootnoteReference"/>
        </w:rPr>
        <w:footnoteRef/>
      </w:r>
      <w:r>
        <w:t xml:space="preserve"> This Standard recognizes legally protected areas that meet the IUCN definition: “A clearly defined geographical space, recognized, dedicated and managed, through legal or other effective means, to achieve the long-term conservation of nature with associated ecosystem services and cultural values.” Areas proposed by governments for such designation are included. UNDP may also consider ‘legitimate protected areas’ that are not legally established but are recognized as protected by local communities.</w:t>
      </w:r>
    </w:p>
  </w:footnote>
  <w:footnote w:id="45">
    <w:p w14:paraId="347342EA" w14:textId="77777777" w:rsidR="002053A1" w:rsidRDefault="002053A1" w:rsidP="002843C3">
      <w:pPr>
        <w:pStyle w:val="FootnoteText"/>
      </w:pPr>
      <w:r>
        <w:rPr>
          <w:rStyle w:val="FootnoteReference"/>
        </w:rPr>
        <w:footnoteRef/>
      </w:r>
      <w:r>
        <w:t xml:space="preserve"> Including UNESCO Natural World Heritage Sites and UNESCO Man and Biosphere Reserves, wetlands designated under the Convention on Wetlands of International Importance (the Ramsar Convention), indigenous protected areas (IPAs) or indigenous and community conserved areas (ICCAs).</w:t>
      </w:r>
    </w:p>
  </w:footnote>
  <w:footnote w:id="46">
    <w:p w14:paraId="44DADB08" w14:textId="77777777" w:rsidR="002053A1" w:rsidRDefault="002053A1">
      <w:pPr>
        <w:pStyle w:val="FootnoteText"/>
      </w:pPr>
      <w:r>
        <w:rPr>
          <w:rStyle w:val="FootnoteReference"/>
        </w:rPr>
        <w:footnoteRef/>
      </w:r>
      <w:r>
        <w:t xml:space="preserve"> Potential adverse impacts on natural and critical habitats and ecosystem services will be addressed per the requirements of this Standard.</w:t>
      </w:r>
    </w:p>
  </w:footnote>
  <w:footnote w:id="47">
    <w:p w14:paraId="1B119B73" w14:textId="297EC066" w:rsidR="002053A1" w:rsidRDefault="002053A1">
      <w:pPr>
        <w:pStyle w:val="FootnoteText"/>
      </w:pPr>
      <w:r w:rsidRPr="00725D82">
        <w:rPr>
          <w:rStyle w:val="FootnoteReference"/>
        </w:rPr>
        <w:footnoteRef/>
      </w:r>
      <w:r w:rsidRPr="00725D82">
        <w:t xml:space="preserve"> </w:t>
      </w:r>
      <w:r w:rsidRPr="00AA5527">
        <w:t>Notification to Riparians on International Waterways</w:t>
      </w:r>
      <w:r>
        <w:t xml:space="preserve">: </w:t>
      </w:r>
      <w:r w:rsidRPr="00AA5527">
        <w:t xml:space="preserve">When a UNDP </w:t>
      </w:r>
      <w:r>
        <w:t>project</w:t>
      </w:r>
      <w:r w:rsidRPr="00AA5527">
        <w:t xml:space="preserve"> could negatively affect the quality or quantity of water in an international waterway, UNDP or its partner will notify all riparian states in writing, at least 90 days prior to a decision on whether or not to proceed with the </w:t>
      </w:r>
      <w:r>
        <w:t>project</w:t>
      </w:r>
      <w:r w:rsidRPr="00AA5527">
        <w:t xml:space="preserve">, so that the riparians have the opportunity to raise objections or concerns or to request additional information. In situations where there is an international body that coordinates management of the waterway, such as a river basin commission, formal presentation of the proposed </w:t>
      </w:r>
      <w:r>
        <w:t>project</w:t>
      </w:r>
      <w:r w:rsidRPr="00AA5527">
        <w:t xml:space="preserve"> at a meeting of that body will meet this notification requirement. Otherwise, notification should be directly to the appropriate ministry or agency of each riparian state. Documentation of the riparian notifications and any responses received should be included when the </w:t>
      </w:r>
      <w:r>
        <w:t>project</w:t>
      </w:r>
      <w:r w:rsidRPr="00AA5527">
        <w:t xml:space="preserve"> is presented to management for approval.</w:t>
      </w:r>
      <w:r>
        <w:t xml:space="preserve"> </w:t>
      </w:r>
    </w:p>
  </w:footnote>
  <w:footnote w:id="48">
    <w:p w14:paraId="0D854094" w14:textId="77777777" w:rsidR="002053A1" w:rsidRDefault="002053A1">
      <w:pPr>
        <w:pStyle w:val="FootnoteText"/>
      </w:pPr>
      <w:r>
        <w:rPr>
          <w:rStyle w:val="FootnoteReference"/>
        </w:rPr>
        <w:footnoteRef/>
      </w:r>
      <w:r>
        <w:t xml:space="preserve"> </w:t>
      </w:r>
      <w:r w:rsidRPr="00502869">
        <w:t>“Living natural resources” are defined as being the plants and animals cultivated for human or animal consumption and use, whether in the wild or in a cultivated situation. It includes all types of forestry, biofuels, agriculture, including both annual and perennial crops and animal husbandry, including livestock; and both wild and capture fisheries including all types of marine and freshwater organisms, both vertebrate and invertebrate</w:t>
      </w:r>
      <w:r>
        <w:t>.</w:t>
      </w:r>
    </w:p>
  </w:footnote>
  <w:footnote w:id="49">
    <w:p w14:paraId="4C0B3147" w14:textId="77777777" w:rsidR="002053A1" w:rsidRDefault="002053A1" w:rsidP="002843C3">
      <w:pPr>
        <w:pStyle w:val="FootnoteText"/>
      </w:pPr>
      <w:r>
        <w:rPr>
          <w:rStyle w:val="FootnoteReference"/>
        </w:rPr>
        <w:footnoteRef/>
      </w:r>
      <w:r>
        <w:t xml:space="preserve"> </w:t>
      </w:r>
      <w:r w:rsidRPr="00F37D49">
        <w:t>A credible certification system would be on</w:t>
      </w:r>
      <w:r>
        <w:t>e</w:t>
      </w:r>
      <w:r w:rsidRPr="00F37D49">
        <w:t xml:space="preserve"> which is independent, cost-effective, based on objective and measurable performance standards and developed through consultation with relevant stakeholders such as local people and communities, </w:t>
      </w:r>
      <w:r>
        <w:t>i</w:t>
      </w:r>
      <w:r w:rsidRPr="00F37D49">
        <w:t xml:space="preserve">ndigenous </w:t>
      </w:r>
      <w:r>
        <w:t>p</w:t>
      </w:r>
      <w:r w:rsidRPr="00F37D49">
        <w:t>eoples, and civil society organizations representing consumer, producer and conservation interests. Such a system has fair, transparent, and independent decision-making procedures that avoid conflict of interest.</w:t>
      </w:r>
    </w:p>
  </w:footnote>
  <w:footnote w:id="50">
    <w:p w14:paraId="646E3D85" w14:textId="77777777" w:rsidR="002053A1" w:rsidRDefault="002053A1" w:rsidP="002843C3">
      <w:pPr>
        <w:pStyle w:val="FootnoteText"/>
      </w:pPr>
      <w:r w:rsidRPr="0070442E">
        <w:rPr>
          <w:rStyle w:val="FootnoteReference"/>
        </w:rPr>
        <w:footnoteRef/>
      </w:r>
      <w:r w:rsidRPr="00CA3551">
        <w:t xml:space="preserve"> Convention on Biological Diversity </w:t>
      </w:r>
      <w:r>
        <w:t>can be found at</w:t>
      </w:r>
      <w:r w:rsidRPr="00CA3551">
        <w:t xml:space="preserve"> </w:t>
      </w:r>
      <w:hyperlink r:id="rId24" w:history="1">
        <w:r w:rsidRPr="00CA3551">
          <w:rPr>
            <w:rStyle w:val="Hyperlink"/>
          </w:rPr>
          <w:t>http://www.cbd.int/</w:t>
        </w:r>
      </w:hyperlink>
      <w:r w:rsidRPr="00CA3551">
        <w:t xml:space="preserve">. The </w:t>
      </w:r>
      <w:r w:rsidRPr="00CA3551">
        <w:rPr>
          <w:iCs/>
        </w:rPr>
        <w:t>Nagoya Protocol on Access to Genetic Resources and the Fair and Equitable Sharing of Benefits Arising from their Utilization to the Convention on Biological Diversity</w:t>
      </w:r>
      <w:r w:rsidRPr="0070442E">
        <w:rPr>
          <w:iCs/>
        </w:rPr>
        <w:t xml:space="preserve"> can be found at </w:t>
      </w:r>
      <w:hyperlink r:id="rId25" w:history="1">
        <w:r w:rsidRPr="00CA3551">
          <w:rPr>
            <w:rStyle w:val="Hyperlink"/>
            <w:iCs/>
          </w:rPr>
          <w:t>http://www.cbd.int/abs/</w:t>
        </w:r>
      </w:hyperlink>
      <w:r w:rsidRPr="00CA3551">
        <w:rPr>
          <w:iCs/>
        </w:rPr>
        <w:t>.</w:t>
      </w:r>
      <w:r>
        <w:rPr>
          <w:iCs/>
        </w:rPr>
        <w:t xml:space="preserve"> </w:t>
      </w:r>
    </w:p>
  </w:footnote>
  <w:footnote w:id="51">
    <w:p w14:paraId="743AF127" w14:textId="77777777" w:rsidR="002053A1" w:rsidRDefault="002053A1" w:rsidP="005F73DF">
      <w:pPr>
        <w:pStyle w:val="FootnoteText"/>
      </w:pPr>
      <w:r>
        <w:rPr>
          <w:rStyle w:val="FootnoteReference"/>
        </w:rPr>
        <w:footnoteRef/>
      </w:r>
      <w:r>
        <w:t xml:space="preserve"> </w:t>
      </w:r>
      <w:r w:rsidRPr="00A55CCD">
        <w:t>An Environmental Product Declaration (EPD) is an independently verified and registered document that communicates transparent and comparable information about the life-cycle environmental impact of products.</w:t>
      </w:r>
      <w:r>
        <w:t xml:space="preserve"> The relevant standard for </w:t>
      </w:r>
      <w:r w:rsidRPr="00A55CCD">
        <w:t>Environmental Product Declarations is ISO 14025, where they are referred to as "type III environmental declarations</w:t>
      </w:r>
      <w:r>
        <w:t>."</w:t>
      </w:r>
    </w:p>
  </w:footnote>
  <w:footnote w:id="52">
    <w:p w14:paraId="14425D35" w14:textId="77777777" w:rsidR="002053A1" w:rsidRDefault="002053A1" w:rsidP="00736351">
      <w:pPr>
        <w:pStyle w:val="FootnoteText"/>
      </w:pPr>
      <w:r>
        <w:rPr>
          <w:rStyle w:val="FootnoteReference"/>
        </w:rPr>
        <w:footnoteRef/>
      </w:r>
      <w:r>
        <w:t xml:space="preserve"> Adaptation is an adjustment in natural or human systems in response to actual or expected climatic stimuli or their effects, which moderates harm or exploits beneficial opportunities.</w:t>
      </w:r>
    </w:p>
  </w:footnote>
  <w:footnote w:id="53">
    <w:p w14:paraId="50FE6D6E" w14:textId="77777777" w:rsidR="002053A1" w:rsidRDefault="002053A1" w:rsidP="00736351">
      <w:pPr>
        <w:pStyle w:val="FootnoteText"/>
      </w:pPr>
      <w:r>
        <w:rPr>
          <w:rStyle w:val="FootnoteReference"/>
        </w:rPr>
        <w:footnoteRef/>
      </w:r>
      <w:r>
        <w:t xml:space="preserve"> At times referred to as maladaptation, defined as “business-as-usual development which, by overlooking climate change impacts, inadvertently increases exposure and/or vulnerability to climate change. Maladaptation could also include actions undertaken to adapt to climate impacts that do not succeed in reducing vulnerability but increase it instead.” OECD, Integrating Climate Change Adaptation into Development Co-operation: Policy Guidance 2009</w:t>
      </w:r>
      <w:r w:rsidRPr="00DC681F">
        <w:t xml:space="preserve">, available at </w:t>
      </w:r>
      <w:hyperlink r:id="rId26" w:history="1">
        <w:r w:rsidRPr="00DC681F">
          <w:rPr>
            <w:rStyle w:val="Hyperlink"/>
          </w:rPr>
          <w:t>http://www.oecd.org/dac/43652123.pdf</w:t>
        </w:r>
      </w:hyperlink>
      <w:r>
        <w:t>.</w:t>
      </w:r>
    </w:p>
  </w:footnote>
  <w:footnote w:id="54">
    <w:p w14:paraId="4BB8F11F" w14:textId="77777777" w:rsidR="002053A1" w:rsidRDefault="002053A1" w:rsidP="001B2226">
      <w:pPr>
        <w:pStyle w:val="FootnoteText"/>
      </w:pPr>
      <w:r>
        <w:rPr>
          <w:rStyle w:val="FootnoteReference"/>
        </w:rPr>
        <w:footnoteRef/>
      </w:r>
      <w:r>
        <w:t xml:space="preserve"> “Greenhouse Gases“</w:t>
      </w:r>
      <w:r w:rsidRPr="00A33BC2">
        <w:t>(GHGs)</w:t>
      </w:r>
      <w:r w:rsidRPr="009E7E74">
        <w:rPr>
          <w:b/>
        </w:rPr>
        <w:t xml:space="preserve"> </w:t>
      </w:r>
      <w:r>
        <w:t>are</w:t>
      </w:r>
      <w:r w:rsidRPr="009E7E74">
        <w:t xml:space="preserve"> those gaseous constituents of the atmosphere, both natural and anthropogenic, that absorb and re-emit infrared radiation</w:t>
      </w:r>
      <w:r>
        <w:t xml:space="preserve">. The </w:t>
      </w:r>
      <w:hyperlink r:id="rId27" w:history="1">
        <w:r w:rsidRPr="00BC36E2">
          <w:rPr>
            <w:rStyle w:val="Hyperlink"/>
          </w:rPr>
          <w:t xml:space="preserve">UNFCCC requires countries to report on the following </w:t>
        </w:r>
        <w:r>
          <w:rPr>
            <w:rStyle w:val="Hyperlink"/>
          </w:rPr>
          <w:t xml:space="preserve">direct </w:t>
        </w:r>
        <w:r w:rsidRPr="00BC36E2">
          <w:rPr>
            <w:rStyle w:val="Hyperlink"/>
          </w:rPr>
          <w:t>GHGs</w:t>
        </w:r>
      </w:hyperlink>
      <w:r w:rsidRPr="00BC36E2">
        <w:t>: carbon dioxide (CO2); methane (CH4); nitrous oxide (N2O); hydrofluorocarbons (HFCs); perfluorocarbons (PFCs); sulfur hexafluoride (SF6); nitrogen trifluoride (NF3) from five sectors (energy; industrial processes and product use; agriculture; land use, land-use change and forestry; and waste).</w:t>
      </w:r>
      <w:r w:rsidRPr="002D3F1B">
        <w:t xml:space="preserve"> </w:t>
      </w:r>
      <w:r w:rsidRPr="00693E46">
        <w:t xml:space="preserve">The </w:t>
      </w:r>
      <w:hyperlink r:id="rId28" w:history="1">
        <w:r w:rsidRPr="00693E46">
          <w:rPr>
            <w:rStyle w:val="Hyperlink"/>
          </w:rPr>
          <w:t>Montreal Protocol</w:t>
        </w:r>
      </w:hyperlink>
      <w:r w:rsidRPr="00693E46">
        <w:t xml:space="preserve"> calls for the phase out of </w:t>
      </w:r>
      <w:r>
        <w:t xml:space="preserve">the powerful GHG </w:t>
      </w:r>
      <w:r w:rsidRPr="00693E46">
        <w:t>hydrochlorofluorocarbons (HCFCs)</w:t>
      </w:r>
      <w:r>
        <w:t xml:space="preserve"> </w:t>
      </w:r>
      <w:r w:rsidRPr="00AF28E7">
        <w:rPr>
          <w:lang w:bidi="en-US"/>
        </w:rPr>
        <w:t>and the phasedown of controlled hydrofluorocarbons (HFCs)</w:t>
      </w:r>
      <w:r w:rsidRPr="002D3F1B">
        <w:t>.</w:t>
      </w:r>
    </w:p>
  </w:footnote>
  <w:footnote w:id="55">
    <w:p w14:paraId="11071C23" w14:textId="77777777" w:rsidR="002053A1" w:rsidRDefault="002053A1">
      <w:pPr>
        <w:pStyle w:val="FootnoteText"/>
      </w:pPr>
      <w:r>
        <w:rPr>
          <w:rStyle w:val="FootnoteReference"/>
        </w:rPr>
        <w:footnoteRef/>
      </w:r>
      <w:r>
        <w:t xml:space="preserve"> Available at </w:t>
      </w:r>
      <w:hyperlink r:id="rId29" w:history="1">
        <w:r w:rsidRPr="00F03225">
          <w:rPr>
            <w:rStyle w:val="Hyperlink"/>
          </w:rPr>
          <w:t>https://www.unisdr.org/we/coordinate/sendai-framework</w:t>
        </w:r>
      </w:hyperlink>
      <w:r>
        <w:t xml:space="preserve">. </w:t>
      </w:r>
    </w:p>
  </w:footnote>
  <w:footnote w:id="56">
    <w:p w14:paraId="58CF3771" w14:textId="77777777" w:rsidR="002053A1" w:rsidRDefault="002053A1" w:rsidP="0002774A">
      <w:pPr>
        <w:pStyle w:val="FootnoteText"/>
      </w:pPr>
      <w:r>
        <w:rPr>
          <w:rStyle w:val="FootnoteReference"/>
        </w:rPr>
        <w:footnoteRef/>
      </w:r>
      <w:r>
        <w:t xml:space="preserve"> See for example the SES </w:t>
      </w:r>
      <w:r>
        <w:rPr>
          <w:bCs/>
        </w:rPr>
        <w:t xml:space="preserve">sections on </w:t>
      </w:r>
      <w:r w:rsidRPr="00F200FC">
        <w:rPr>
          <w:bCs/>
        </w:rPr>
        <w:t>Biodiversity</w:t>
      </w:r>
      <w:r>
        <w:rPr>
          <w:bCs/>
        </w:rPr>
        <w:t xml:space="preserve"> Conservation </w:t>
      </w:r>
      <w:r w:rsidRPr="00F200FC">
        <w:rPr>
          <w:bCs/>
        </w:rPr>
        <w:t>and Sustainable Natural Resource</w:t>
      </w:r>
      <w:r>
        <w:rPr>
          <w:bCs/>
        </w:rPr>
        <w:t xml:space="preserve"> Management;</w:t>
      </w:r>
      <w:r w:rsidRPr="00F200FC">
        <w:rPr>
          <w:bCs/>
        </w:rPr>
        <w:t xml:space="preserve"> Community Health, Safety and </w:t>
      </w:r>
      <w:r>
        <w:rPr>
          <w:bCs/>
        </w:rPr>
        <w:t>Working Conditions</w:t>
      </w:r>
      <w:r w:rsidRPr="00F200FC">
        <w:rPr>
          <w:bCs/>
        </w:rPr>
        <w:t>;</w:t>
      </w:r>
      <w:r>
        <w:rPr>
          <w:bCs/>
        </w:rPr>
        <w:t xml:space="preserve"> </w:t>
      </w:r>
      <w:r w:rsidRPr="00F200FC">
        <w:rPr>
          <w:bCs/>
        </w:rPr>
        <w:t>and Pollution Prevention and Resource Efficiency.</w:t>
      </w:r>
    </w:p>
  </w:footnote>
  <w:footnote w:id="57">
    <w:p w14:paraId="208EC3E4" w14:textId="77777777" w:rsidR="002053A1" w:rsidRDefault="002053A1" w:rsidP="0066037F">
      <w:pPr>
        <w:pStyle w:val="FootnoteText"/>
      </w:pPr>
      <w:r>
        <w:rPr>
          <w:rStyle w:val="FootnoteReference"/>
        </w:rPr>
        <w:footnoteRef/>
      </w:r>
      <w:r>
        <w:t xml:space="preserve"> See UNISDR, </w:t>
      </w:r>
      <w:hyperlink r:id="rId30" w:history="1">
        <w:r w:rsidRPr="00AA7EE8">
          <w:rPr>
            <w:rStyle w:val="Hyperlink"/>
          </w:rPr>
          <w:t>Words into Action Guidelines: 9. Natech Hazards and Risk Assessment (2017)</w:t>
        </w:r>
      </w:hyperlink>
      <w:r>
        <w:t xml:space="preserve">. </w:t>
      </w:r>
    </w:p>
  </w:footnote>
  <w:footnote w:id="58">
    <w:p w14:paraId="1FFDD381" w14:textId="77777777" w:rsidR="002053A1" w:rsidRDefault="002053A1">
      <w:pPr>
        <w:pStyle w:val="FootnoteText"/>
      </w:pPr>
      <w:r>
        <w:rPr>
          <w:rStyle w:val="FootnoteReference"/>
        </w:rPr>
        <w:footnoteRef/>
      </w:r>
      <w:r>
        <w:t xml:space="preserve"> </w:t>
      </w:r>
      <w:r w:rsidRPr="005E0392">
        <w:t>Black carbon (BC) is a primary aerosol emitted directly at the source from incomplete combustion processes such as fossil fuel and biomass burning</w:t>
      </w:r>
      <w:r>
        <w:t>.</w:t>
      </w:r>
    </w:p>
  </w:footnote>
  <w:footnote w:id="59">
    <w:p w14:paraId="67A7AEE3" w14:textId="77777777" w:rsidR="002053A1" w:rsidRDefault="002053A1" w:rsidP="00EB2C2E">
      <w:pPr>
        <w:pStyle w:val="FootnoteText"/>
      </w:pPr>
      <w:r>
        <w:rPr>
          <w:rStyle w:val="FootnoteReference"/>
        </w:rPr>
        <w:footnoteRef/>
      </w:r>
      <w:r>
        <w:t xml:space="preserve"> </w:t>
      </w:r>
      <w:r w:rsidRPr="00CF7A47">
        <w:t>Among other measures, conserving biodiversity and promoting healthy ecosystems strengthens resilience to potential adverse climate change impacts and disaster risks</w:t>
      </w:r>
      <w:r>
        <w:t xml:space="preserve"> and may facilitate effective adaptation strategies. See CBD/SBSTTA, </w:t>
      </w:r>
      <w:hyperlink r:id="rId31" w:history="1">
        <w:r w:rsidRPr="00281F11">
          <w:rPr>
            <w:rStyle w:val="Hyperlink"/>
          </w:rPr>
          <w:t>Guidelines for</w:t>
        </w:r>
        <w:r>
          <w:rPr>
            <w:rStyle w:val="Hyperlink"/>
          </w:rPr>
          <w:t xml:space="preserve"> </w:t>
        </w:r>
        <w:r w:rsidRPr="00281F11">
          <w:rPr>
            <w:rStyle w:val="Hyperlink"/>
          </w:rPr>
          <w:t>Ecosystem-Based Approaches to Climate Change Adaptation and Disaster Risk Reduction</w:t>
        </w:r>
      </w:hyperlink>
      <w:r>
        <w:t xml:space="preserve">, January 2018 (draft); and </w:t>
      </w:r>
      <w:r w:rsidRPr="004550E1">
        <w:t>E Cohen-Shacham, G Walters, C Janzen, S Maginnis</w:t>
      </w:r>
      <w:r>
        <w:t xml:space="preserve"> (eds.) </w:t>
      </w:r>
      <w:hyperlink r:id="rId32" w:history="1">
        <w:r w:rsidRPr="00010313">
          <w:rPr>
            <w:rStyle w:val="Hyperlink"/>
          </w:rPr>
          <w:t>Nature-based Solutions to Address Global Societal Challenges</w:t>
        </w:r>
      </w:hyperlink>
      <w:r>
        <w:t>, IUCN 2016.</w:t>
      </w:r>
    </w:p>
  </w:footnote>
  <w:footnote w:id="60">
    <w:p w14:paraId="26ED2F0E" w14:textId="77777777" w:rsidR="002053A1" w:rsidRDefault="002053A1">
      <w:pPr>
        <w:pStyle w:val="FootnoteText"/>
      </w:pPr>
      <w:r>
        <w:rPr>
          <w:rStyle w:val="FootnoteReference"/>
        </w:rPr>
        <w:footnoteRef/>
      </w:r>
      <w:r>
        <w:t xml:space="preserve"> </w:t>
      </w:r>
      <w:r w:rsidRPr="00DC5BFD">
        <w:t>Technical feasibility</w:t>
      </w:r>
      <w:r>
        <w:t xml:space="preserve"> means</w:t>
      </w:r>
      <w:r w:rsidRPr="00DC5BFD">
        <w:t xml:space="preserve"> the proposed measures and actions can be implemented with commercially viable skills, equipment and materials, taking into consideration prevailing local factors such as climate, geography, demography, infrastructure, security, governance, capacity and operational reliability. Financial feasibility</w:t>
      </w:r>
      <w:r>
        <w:t xml:space="preserve"> means </w:t>
      </w:r>
      <w:r w:rsidRPr="00DC5BFD">
        <w:t>the ability to apply sufficient financial resources to install the measures and maintain them in operation in the long term. Cost- effectiveness</w:t>
      </w:r>
      <w:r>
        <w:t xml:space="preserve"> is</w:t>
      </w:r>
      <w:r w:rsidRPr="00DC5BFD">
        <w:t xml:space="preserve"> determined according to the capital and operational cost</w:t>
      </w:r>
      <w:r>
        <w:t>s</w:t>
      </w:r>
      <w:r w:rsidRPr="00DC5BFD">
        <w:t xml:space="preserve"> and also </w:t>
      </w:r>
      <w:r>
        <w:t xml:space="preserve">the </w:t>
      </w:r>
      <w:r w:rsidRPr="00DC5BFD">
        <w:t>financial benefits of the measure, considere</w:t>
      </w:r>
      <w:r>
        <w:t>d over its lifespan.</w:t>
      </w:r>
    </w:p>
  </w:footnote>
  <w:footnote w:id="61">
    <w:p w14:paraId="7432F7D6" w14:textId="77777777" w:rsidR="002053A1" w:rsidRPr="000D4A92" w:rsidRDefault="002053A1" w:rsidP="00E72A99">
      <w:pPr>
        <w:pStyle w:val="FootnoteText"/>
        <w:rPr>
          <w:szCs w:val="18"/>
        </w:rPr>
      </w:pPr>
      <w:r w:rsidRPr="000D4A92">
        <w:rPr>
          <w:rStyle w:val="FootnoteReference"/>
          <w:szCs w:val="18"/>
        </w:rPr>
        <w:footnoteRef/>
      </w:r>
      <w:r w:rsidRPr="000D4A92">
        <w:rPr>
          <w:szCs w:val="18"/>
        </w:rPr>
        <w:t xml:space="preserve"> Estimation methodologies are provided by the Intergovernmental Panel on Climate Change, various international organizations, and relevant </w:t>
      </w:r>
      <w:r w:rsidRPr="00CA3551">
        <w:rPr>
          <w:szCs w:val="18"/>
        </w:rPr>
        <w:t>national</w:t>
      </w:r>
      <w:r>
        <w:rPr>
          <w:szCs w:val="18"/>
        </w:rPr>
        <w:t xml:space="preserve"> </w:t>
      </w:r>
      <w:r w:rsidRPr="000D4A92">
        <w:rPr>
          <w:szCs w:val="18"/>
        </w:rPr>
        <w:t>agencies.</w:t>
      </w:r>
      <w:r>
        <w:rPr>
          <w:szCs w:val="18"/>
        </w:rPr>
        <w:t xml:space="preserve"> </w:t>
      </w:r>
      <w:r w:rsidRPr="009F6C2E">
        <w:t>Sectors most likely to emit significant quantities of GHGs include energy, transport, cement production, iron and steel manufacturing, aluminum smelting, petrochemical industries, petroleum refining, fertilizer manufacturing, agriculture, forestry and waste management.</w:t>
      </w:r>
    </w:p>
  </w:footnote>
  <w:footnote w:id="62">
    <w:p w14:paraId="625ABF15" w14:textId="77777777" w:rsidR="002053A1" w:rsidRPr="00764B11" w:rsidRDefault="002053A1" w:rsidP="000A78E0">
      <w:pPr>
        <w:pStyle w:val="FootnoteText"/>
      </w:pPr>
      <w:r w:rsidRPr="00764B11">
        <w:rPr>
          <w:rStyle w:val="FootnoteReference"/>
          <w:sz w:val="20"/>
          <w:szCs w:val="20"/>
        </w:rPr>
        <w:footnoteRef/>
      </w:r>
      <w:r w:rsidRPr="00764B11">
        <w:t xml:space="preserve"> </w:t>
      </w:r>
      <w:r>
        <w:t>P</w:t>
      </w:r>
      <w:r w:rsidRPr="00764B11">
        <w:t xml:space="preserve">reventive and control measures </w:t>
      </w:r>
      <w:r>
        <w:t xml:space="preserve">shall be </w:t>
      </w:r>
      <w:r w:rsidRPr="00764B11">
        <w:t xml:space="preserve">consistent with good international </w:t>
      </w:r>
      <w:r>
        <w:t xml:space="preserve">practice, such as the World Bank Group </w:t>
      </w:r>
      <w:r w:rsidRPr="00764B11">
        <w:t>Environmental, Health and Safety Guidelines (EHS Guidelines)</w:t>
      </w:r>
      <w:r>
        <w:t xml:space="preserve">, available at </w:t>
      </w:r>
      <w:hyperlink r:id="rId33" w:tooltip="Please bookmark us at: www.ifc.org/ehsguidelines" w:history="1">
        <w:r>
          <w:rPr>
            <w:rStyle w:val="Hyperlink"/>
            <w:rFonts w:eastAsia="Times New Roman"/>
          </w:rPr>
          <w:t>http://www.ifc.org/ehsguidelines</w:t>
        </w:r>
      </w:hyperlink>
      <w:r>
        <w:rPr>
          <w:rFonts w:eastAsia="Times New Roman"/>
        </w:rPr>
        <w:t xml:space="preserve">. </w:t>
      </w:r>
    </w:p>
  </w:footnote>
  <w:footnote w:id="63">
    <w:p w14:paraId="4E6169A9" w14:textId="77777777" w:rsidR="002053A1" w:rsidRDefault="002053A1" w:rsidP="00AD3636">
      <w:pPr>
        <w:pStyle w:val="FootnoteText"/>
      </w:pPr>
      <w:r>
        <w:rPr>
          <w:rStyle w:val="FootnoteReference"/>
        </w:rPr>
        <w:footnoteRef/>
      </w:r>
      <w:r>
        <w:t xml:space="preserve"> For example, a hazard assessment, health risk assessment (including where relevant an environmental health risk assessment or a chemical health risk assessment), health impact assessment, or a health needs assessment.</w:t>
      </w:r>
    </w:p>
  </w:footnote>
  <w:footnote w:id="64">
    <w:p w14:paraId="0A1F5ADB" w14:textId="77777777" w:rsidR="002053A1" w:rsidRDefault="002053A1" w:rsidP="00E33D5F">
      <w:pPr>
        <w:pStyle w:val="FootnoteText"/>
      </w:pPr>
      <w:r>
        <w:rPr>
          <w:rStyle w:val="FootnoteReference"/>
        </w:rPr>
        <w:footnoteRef/>
      </w:r>
      <w:r>
        <w:t xml:space="preserve"> See for example the UNECE/WHO </w:t>
      </w:r>
      <w:hyperlink r:id="rId34" w:history="1">
        <w:r w:rsidRPr="00056343">
          <w:rPr>
            <w:rStyle w:val="Hyperlink"/>
          </w:rPr>
          <w:t>Protocol on Water and Health</w:t>
        </w:r>
      </w:hyperlink>
      <w:r>
        <w:t xml:space="preserve">. </w:t>
      </w:r>
    </w:p>
  </w:footnote>
  <w:footnote w:id="65">
    <w:p w14:paraId="6FED2A98" w14:textId="77777777" w:rsidR="002053A1" w:rsidRDefault="002053A1" w:rsidP="00560469">
      <w:pPr>
        <w:pStyle w:val="FootnoteText"/>
      </w:pPr>
      <w:r>
        <w:rPr>
          <w:rStyle w:val="FootnoteReference"/>
        </w:rPr>
        <w:footnoteRef/>
      </w:r>
      <w:r>
        <w:t xml:space="preserve"> Antimicrobial stewardship is a coordinated program that promotes the appropriate use of antimicrobials (including antibiotics) that improves patient outcomes, reduces microbial resistance, and decreases the spread of infections caused by multidrug resistant organisms. </w:t>
      </w:r>
    </w:p>
  </w:footnote>
  <w:footnote w:id="66">
    <w:p w14:paraId="7887FB68" w14:textId="1C259C32" w:rsidR="002053A1" w:rsidRDefault="002053A1" w:rsidP="000A78E0">
      <w:pPr>
        <w:pStyle w:val="FootnoteText"/>
      </w:pPr>
      <w:r>
        <w:rPr>
          <w:rStyle w:val="FootnoteReference"/>
        </w:rPr>
        <w:footnoteRef/>
      </w:r>
      <w:r>
        <w:t xml:space="preserve"> Note on dams: UNDP will not propose or implement any project or program supported by the Global Environment Facility (GEF) that would involve the construction or rehabilitation of large or complex dams. In the unlikely event that UNDP provides support for such dams in other programming, UNDP will ensure that best practice policies and/or guidelines are followed, such as those of the World Commission on Dams report “Dams and Development: A New Framework for Decision-Making,” and the World Bank ESS4 Annex 1 Safety of Dams. </w:t>
      </w:r>
      <w:r w:rsidRPr="00126F53">
        <w:t>Large dams are defined as those of 15 meters or more in height.</w:t>
      </w:r>
      <w:r>
        <w:t xml:space="preserve"> </w:t>
      </w:r>
      <w:r>
        <w:rPr>
          <w:szCs w:val="18"/>
        </w:rPr>
        <w:t>Dams that are between 5 and 15 meters high and have a reservoir of more than 3 million cubic meters are also classified as large dams.</w:t>
      </w:r>
      <w:r w:rsidRPr="00126F53">
        <w:t xml:space="preserve"> Complex dams are those of a height between 10 and 15 meters that present special design complexities, including an unusually large flood-handling requirement, location in a zone of high seismicity, foundations that are complex and difficult to prepare, o</w:t>
      </w:r>
      <w:r>
        <w:t xml:space="preserve">r retention of toxic materials. </w:t>
      </w:r>
      <w:r w:rsidRPr="00E657BC">
        <w:t xml:space="preserve">For large dams and dams that may pose significant safety risks, an independent panel of experts </w:t>
      </w:r>
      <w:r>
        <w:t xml:space="preserve">will be appointed </w:t>
      </w:r>
      <w:r w:rsidRPr="00E657BC">
        <w:t>to review the assessment, design, construction and start of dam operations.</w:t>
      </w:r>
      <w:r>
        <w:t xml:space="preserve"> </w:t>
      </w:r>
      <w:r w:rsidRPr="00E657BC">
        <w:t xml:space="preserve">For small dams without significant safety risks (e.g. farm ponds, local silt retention dams, low embankment tanks), </w:t>
      </w:r>
      <w:r>
        <w:t xml:space="preserve">UNDP will ensure </w:t>
      </w:r>
      <w:r w:rsidRPr="00E657BC">
        <w:t>confirm</w:t>
      </w:r>
      <w:r>
        <w:t>ation</w:t>
      </w:r>
      <w:r w:rsidRPr="00E657BC">
        <w:t xml:space="preserve"> that there are no or negligible risks of significant adverse impacts and ensure that dam construction and safety measures are designed by qualified engineers in accordance with good international practice</w:t>
      </w:r>
      <w:r>
        <w:t xml:space="preserve"> (e.g. FAO’s “Manual on Small Earth Dams,” available at </w:t>
      </w:r>
      <w:hyperlink r:id="rId35" w:history="1">
        <w:r w:rsidRPr="007263A9">
          <w:rPr>
            <w:rStyle w:val="Hyperlink"/>
          </w:rPr>
          <w:t>http://www.fao.org/docrep/012/i1531e/i1531e00.pdf</w:t>
        </w:r>
      </w:hyperlink>
      <w:r>
        <w:rPr>
          <w:rStyle w:val="Hyperlink"/>
        </w:rPr>
        <w:t>)</w:t>
      </w:r>
      <w:r>
        <w:t xml:space="preserve">. </w:t>
      </w:r>
      <w:r w:rsidRPr="00E657BC">
        <w:t xml:space="preserve">If the </w:t>
      </w:r>
      <w:r>
        <w:t>project</w:t>
      </w:r>
      <w:r w:rsidRPr="00E657BC">
        <w:t xml:space="preserve"> relies on an existing dam or a dam under construction, an independent dam specialist </w:t>
      </w:r>
      <w:r>
        <w:t xml:space="preserve">will be engaged </w:t>
      </w:r>
      <w:r w:rsidRPr="00E657BC">
        <w:t>(a) to inspect and evaluate the dam’s safety status and performance history, (b) review and evaluate the dam’s operation and maintenance procedures, and (c) provide a written report and recommendation for any remedial work or safety measures needed.</w:t>
      </w:r>
      <w:r>
        <w:t xml:space="preserve"> </w:t>
      </w:r>
    </w:p>
  </w:footnote>
  <w:footnote w:id="67">
    <w:p w14:paraId="13C4BE18" w14:textId="77777777" w:rsidR="002053A1" w:rsidRDefault="002053A1" w:rsidP="00D06248">
      <w:pPr>
        <w:pStyle w:val="FootnoteText"/>
      </w:pPr>
      <w:r>
        <w:rPr>
          <w:rStyle w:val="FootnoteReference"/>
        </w:rPr>
        <w:footnoteRef/>
      </w:r>
      <w:r>
        <w:t xml:space="preserve"> </w:t>
      </w:r>
      <w:r w:rsidRPr="00950A54">
        <w:t>Universal access means unimpeded access for people of all ages and abilities in different situations and under various circumstances</w:t>
      </w:r>
      <w:r>
        <w:t>. The Convention on the Rights of Persons with Disabilities requires adoption of “</w:t>
      </w:r>
      <w:r w:rsidRPr="00950A54">
        <w:t xml:space="preserve">appropriate measures </w:t>
      </w:r>
      <w:r>
        <w:t>to</w:t>
      </w:r>
      <w:r w:rsidRPr="00950A54">
        <w:t xml:space="preserve">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t>” (Article 9).</w:t>
      </w:r>
    </w:p>
  </w:footnote>
  <w:footnote w:id="68">
    <w:p w14:paraId="7DBD5530" w14:textId="34F5B169" w:rsidR="002053A1" w:rsidRDefault="002053A1">
      <w:pPr>
        <w:pStyle w:val="FootnoteText"/>
      </w:pPr>
      <w:r>
        <w:rPr>
          <w:rStyle w:val="FootnoteReference"/>
        </w:rPr>
        <w:footnoteRef/>
      </w:r>
      <w:r>
        <w:t xml:space="preserve"> </w:t>
      </w:r>
      <w:r w:rsidRPr="003F4E82">
        <w:t xml:space="preserve">UNDP requires that appropriate prevention and response measures be adopted to prevent and to respond effectively to </w:t>
      </w:r>
      <w:r>
        <w:t>gender-based violence (</w:t>
      </w:r>
      <w:r w:rsidRPr="003F4E82">
        <w:t>GBV</w:t>
      </w:r>
      <w:r>
        <w:t>)</w:t>
      </w:r>
      <w:r w:rsidRPr="003F4E82">
        <w:t xml:space="preserve">, including designing activities to prevent and address potential exposure of </w:t>
      </w:r>
      <w:r>
        <w:t>project</w:t>
      </w:r>
      <w:r w:rsidRPr="003F4E82">
        <w:t xml:space="preserve">-affected people to GBV risks; screening of personnel; provision of training on prevention and response to GBV; effective reporting and response protocols; referrals for safe and confidential survivor assistance; and prompt investigation of allegations of GBV related to </w:t>
      </w:r>
      <w:r>
        <w:t>project</w:t>
      </w:r>
      <w:r w:rsidRPr="003F4E82">
        <w:t xml:space="preserve"> activities.</w:t>
      </w:r>
    </w:p>
  </w:footnote>
  <w:footnote w:id="69">
    <w:p w14:paraId="637A14A9" w14:textId="77777777" w:rsidR="002053A1" w:rsidRDefault="002053A1" w:rsidP="007760F5">
      <w:pPr>
        <w:pStyle w:val="FootnoteText"/>
      </w:pPr>
      <w:r>
        <w:rPr>
          <w:rStyle w:val="FootnoteReference"/>
        </w:rPr>
        <w:footnoteRef/>
      </w:r>
      <w:r>
        <w:t xml:space="preserve"> International human rights standards and principles include the UN Basic Principles on the Use of Force and Firearms by Law Enforcement officials, the UN Code of Conduct for Law Enforcement Officials, the Voluntary Principles on Security and Human Rights, and the International Code of Conduct on Private Security Providers. </w:t>
      </w:r>
    </w:p>
  </w:footnote>
  <w:footnote w:id="70">
    <w:p w14:paraId="5D778BE8" w14:textId="77777777" w:rsidR="002053A1" w:rsidRDefault="002053A1" w:rsidP="0064147F">
      <w:pPr>
        <w:pStyle w:val="FootnoteText"/>
      </w:pPr>
      <w:r>
        <w:rPr>
          <w:rStyle w:val="FootnoteReference"/>
        </w:rPr>
        <w:footnoteRef/>
      </w:r>
      <w:r>
        <w:t xml:space="preserve"> UNDP applies the “</w:t>
      </w:r>
      <w:r w:rsidRPr="00A5638E">
        <w:rPr>
          <w:bCs/>
        </w:rPr>
        <w:t>Human rights due diligence policy on United Nations support to non-United Nations security forces</w:t>
      </w:r>
      <w:r>
        <w:rPr>
          <w:bCs/>
        </w:rPr>
        <w:t>” by which UN agencies</w:t>
      </w:r>
      <w:r w:rsidRPr="0064147F">
        <w:t xml:space="preserve"> </w:t>
      </w:r>
      <w:r>
        <w:rPr>
          <w:rFonts w:eastAsia="Times New Roman"/>
        </w:rPr>
        <w:t xml:space="preserve">ensure that any support that they may provide to non-United Nations forces is consistent with the purposes and principles of the Charter of the United Nations and with their responsibilities to respect, promote and encourage respect for international humanitarian, human rights and refugee law. See </w:t>
      </w:r>
      <w:hyperlink r:id="rId36" w:history="1">
        <w:r w:rsidRPr="008A62DF">
          <w:rPr>
            <w:rStyle w:val="Hyperlink"/>
            <w:rFonts w:eastAsia="Times New Roman"/>
          </w:rPr>
          <w:t>http://www.ohchr.org/EN/NewYork/Pages/Resources.aspx</w:t>
        </w:r>
      </w:hyperlink>
      <w:r>
        <w:rPr>
          <w:rFonts w:eastAsia="Times New Roman"/>
        </w:rPr>
        <w:t xml:space="preserve">. For additional guidance, see also the </w:t>
      </w:r>
      <w:r w:rsidRPr="0064147F">
        <w:rPr>
          <w:rFonts w:eastAsia="Times New Roman"/>
        </w:rPr>
        <w:t>Voluntary Principles on Security and Human Rights</w:t>
      </w:r>
      <w:r>
        <w:rPr>
          <w:rFonts w:eastAsia="Times New Roman"/>
        </w:rPr>
        <w:t xml:space="preserve">, available at </w:t>
      </w:r>
      <w:hyperlink r:id="rId37" w:history="1">
        <w:r w:rsidRPr="008A62DF">
          <w:rPr>
            <w:rStyle w:val="Hyperlink"/>
            <w:rFonts w:eastAsia="Times New Roman"/>
          </w:rPr>
          <w:t>http://www.voluntaryprinciples.org/</w:t>
        </w:r>
      </w:hyperlink>
      <w:r>
        <w:rPr>
          <w:rFonts w:eastAsia="Times New Roman"/>
        </w:rPr>
        <w:t xml:space="preserve">. </w:t>
      </w:r>
    </w:p>
  </w:footnote>
  <w:footnote w:id="71">
    <w:p w14:paraId="4E3F2E6E" w14:textId="77777777" w:rsidR="002053A1" w:rsidRDefault="002053A1" w:rsidP="002F5F2A">
      <w:pPr>
        <w:pStyle w:val="FootnoteText"/>
      </w:pPr>
      <w:r>
        <w:rPr>
          <w:rStyle w:val="FootnoteReference"/>
        </w:rPr>
        <w:footnoteRef/>
      </w:r>
      <w:r>
        <w:t xml:space="preserve"> </w:t>
      </w:r>
      <w:r w:rsidRPr="00EB0C8A">
        <w:rPr>
          <w:lang w:val="en-GB"/>
        </w:rPr>
        <w:t xml:space="preserve">These conventions include </w:t>
      </w:r>
      <w:hyperlink r:id="rId38" w:history="1">
        <w:r w:rsidRPr="00EB0C8A">
          <w:rPr>
            <w:rStyle w:val="Hyperlink"/>
            <w:lang w:val="en-GB"/>
          </w:rPr>
          <w:t>The Hague Convention (for Protection of Cultural Property in the Event of Armed Conflict) (1954)</w:t>
        </w:r>
      </w:hyperlink>
      <w:r w:rsidRPr="00EB0C8A">
        <w:rPr>
          <w:lang w:val="en-GB"/>
        </w:rPr>
        <w:t xml:space="preserve">, </w:t>
      </w:r>
      <w:hyperlink r:id="rId39" w:history="1">
        <w:hyperlink r:id="rId40" w:history="1">
          <w:r w:rsidRPr="00EB0C8A">
            <w:rPr>
              <w:rStyle w:val="Hyperlink"/>
              <w:lang w:val="en-GB"/>
            </w:rPr>
            <w:t>The Convention on the Means of Prohibiting and Preventing the Illicit Import, Export and Transfer of Ownership of Cultural Property (1970)</w:t>
          </w:r>
        </w:hyperlink>
        <w:r w:rsidRPr="00EB0C8A">
          <w:rPr>
            <w:rStyle w:val="Hyperlink"/>
            <w:lang w:val="en-GB"/>
          </w:rPr>
          <w:t>,</w:t>
        </w:r>
      </w:hyperlink>
      <w:r w:rsidRPr="00EB0C8A">
        <w:rPr>
          <w:lang w:val="en-GB"/>
        </w:rPr>
        <w:t xml:space="preserve"> </w:t>
      </w:r>
      <w:hyperlink r:id="rId41" w:history="1">
        <w:r w:rsidRPr="00EB0C8A">
          <w:rPr>
            <w:rStyle w:val="Hyperlink"/>
            <w:lang w:val="en-GB"/>
          </w:rPr>
          <w:t>The Convention on the Protection of the World Cultural and Natural Heritage (1972)</w:t>
        </w:r>
      </w:hyperlink>
      <w:r w:rsidRPr="00EB0C8A">
        <w:rPr>
          <w:lang w:val="en-GB"/>
        </w:rPr>
        <w:t xml:space="preserve">, </w:t>
      </w:r>
      <w:hyperlink r:id="rId42" w:history="1">
        <w:r w:rsidRPr="00EB0C8A">
          <w:rPr>
            <w:rStyle w:val="Hyperlink"/>
            <w:lang w:val="en-GB"/>
          </w:rPr>
          <w:t>The Convention for the Protection of the Underwater Cultural Heritage (2001)</w:t>
        </w:r>
      </w:hyperlink>
      <w:r w:rsidRPr="00EB0C8A">
        <w:rPr>
          <w:lang w:val="en-GB"/>
        </w:rPr>
        <w:t xml:space="preserve">, </w:t>
      </w:r>
      <w:r w:rsidRPr="00EB0C8A">
        <w:rPr>
          <w:u w:val="single"/>
          <w:lang w:val="en-GB"/>
        </w:rPr>
        <w:t>The Convention on the Safeguarding of the Intangible Cultural Heritage (2003)</w:t>
      </w:r>
      <w:r w:rsidRPr="00EB0C8A">
        <w:rPr>
          <w:lang w:val="en-GB"/>
        </w:rPr>
        <w:t xml:space="preserve"> and </w:t>
      </w:r>
      <w:hyperlink r:id="rId43" w:history="1">
        <w:r w:rsidRPr="00EB0C8A">
          <w:rPr>
            <w:rStyle w:val="Hyperlink"/>
            <w:lang w:val="en-GB"/>
          </w:rPr>
          <w:t>the Convention for the Protection and Promotion of the Diversity of Cultural Expressions (2005)</w:t>
        </w:r>
      </w:hyperlink>
      <w:r w:rsidRPr="00EB0C8A">
        <w:rPr>
          <w:u w:val="single"/>
          <w:lang w:val="en-GB"/>
        </w:rPr>
        <w:t>.</w:t>
      </w:r>
      <w:r>
        <w:rPr>
          <w:u w:val="single"/>
          <w:lang w:val="en-GB"/>
        </w:rPr>
        <w:t xml:space="preserve">See also </w:t>
      </w:r>
      <w:r w:rsidRPr="002F5F2A">
        <w:rPr>
          <w:rFonts w:eastAsia="Times New Roman" w:cs="Calibri"/>
        </w:rPr>
        <w:t xml:space="preserve">the work of the </w:t>
      </w:r>
      <w:hyperlink r:id="rId44" w:history="1">
        <w:r w:rsidRPr="00044890">
          <w:rPr>
            <w:rStyle w:val="Hyperlink"/>
          </w:rPr>
          <w:t>WIPO Intergovernmental Committee on Intellectual Property and Genetic Resources, Traditional Knowledge and Folklore (IGC)</w:t>
        </w:r>
      </w:hyperlink>
      <w:r>
        <w:t xml:space="preserve"> relating to intellectual property and the protection of traditional knowledge and traditional cultural expressions.</w:t>
      </w:r>
    </w:p>
  </w:footnote>
  <w:footnote w:id="72">
    <w:p w14:paraId="68E5020F" w14:textId="77777777" w:rsidR="002053A1" w:rsidRDefault="002053A1">
      <w:pPr>
        <w:pStyle w:val="FootnoteText"/>
      </w:pPr>
      <w:r>
        <w:rPr>
          <w:rStyle w:val="FootnoteReference"/>
        </w:rPr>
        <w:footnoteRef/>
      </w:r>
      <w:r>
        <w:t xml:space="preserve"> Examples may include UNESCO World Heritage Sites, legally protected areas, including areas proposed for such designation, and areas recognized by </w:t>
      </w:r>
      <w:r w:rsidRPr="0070442E">
        <w:t>national governments</w:t>
      </w:r>
      <w:r w:rsidRPr="00CA3551">
        <w:t>.</w:t>
      </w:r>
      <w:r>
        <w:t xml:space="preserve"> However Cultural Heritage sites may be unknown and not visible.</w:t>
      </w:r>
    </w:p>
  </w:footnote>
  <w:footnote w:id="73">
    <w:p w14:paraId="348CD9F5" w14:textId="50A3E442" w:rsidR="002053A1" w:rsidRDefault="002053A1" w:rsidP="00B64539">
      <w:pPr>
        <w:pStyle w:val="FootnoteText"/>
      </w:pPr>
      <w:r>
        <w:rPr>
          <w:rStyle w:val="FootnoteReference"/>
        </w:rPr>
        <w:footnoteRef/>
      </w:r>
      <w:r>
        <w:t xml:space="preserve"> The listed elements and features do not need to be ancient in order to be considered Cultural Heritage and the minimum requirements do not apply an age limitation.</w:t>
      </w:r>
    </w:p>
  </w:footnote>
  <w:footnote w:id="74">
    <w:p w14:paraId="1A92640C" w14:textId="77777777" w:rsidR="002053A1" w:rsidRDefault="002053A1" w:rsidP="007F21B3">
      <w:pPr>
        <w:pStyle w:val="FootnoteText"/>
      </w:pPr>
      <w:r>
        <w:rPr>
          <w:rStyle w:val="FootnoteReference"/>
        </w:rPr>
        <w:footnoteRef/>
      </w:r>
      <w:r>
        <w:t xml:space="preserve"> For example, see the</w:t>
      </w:r>
      <w:hyperlink r:id="rId45" w:history="1">
        <w:r w:rsidRPr="00E3691E">
          <w:rPr>
            <w:rStyle w:val="Hyperlink"/>
          </w:rPr>
          <w:t xml:space="preserve"> ICOMOS Guidance on Heritage Impact Assessments for Cultural World Heritage Properties</w:t>
        </w:r>
      </w:hyperlink>
      <w:r>
        <w:t xml:space="preserve">. Where supported activities may affect natural World Heritage sites, see </w:t>
      </w:r>
      <w:hyperlink r:id="rId46" w:history="1">
        <w:r w:rsidRPr="007B5742">
          <w:rPr>
            <w:rStyle w:val="Hyperlink"/>
          </w:rPr>
          <w:t>IUCN World Heritage Advice Note on Environmental Assessment</w:t>
        </w:r>
      </w:hyperlink>
      <w:r>
        <w:t>.</w:t>
      </w:r>
    </w:p>
  </w:footnote>
  <w:footnote w:id="75">
    <w:p w14:paraId="7D14E43E" w14:textId="77777777" w:rsidR="002053A1" w:rsidRDefault="002053A1">
      <w:pPr>
        <w:pStyle w:val="FootnoteText"/>
      </w:pPr>
      <w:r>
        <w:rPr>
          <w:rStyle w:val="FootnoteReference"/>
        </w:rPr>
        <w:footnoteRef/>
      </w:r>
      <w:r>
        <w:t xml:space="preserve"> See earlier footnote listing relevant conventions.</w:t>
      </w:r>
    </w:p>
  </w:footnote>
  <w:footnote w:id="76">
    <w:p w14:paraId="25850E18" w14:textId="3A788D05" w:rsidR="002053A1" w:rsidRDefault="002053A1">
      <w:pPr>
        <w:pStyle w:val="FootnoteText"/>
      </w:pPr>
      <w:r>
        <w:rPr>
          <w:rStyle w:val="FootnoteReference"/>
        </w:rPr>
        <w:footnoteRef/>
      </w:r>
      <w:r>
        <w:t xml:space="preserve"> For projects that also propose utilization of genetic resources, see Standard 1 requirements regarding upholding provisions of the Convention on Biological Diversity and its Nagoya Protocol.</w:t>
      </w:r>
    </w:p>
  </w:footnote>
  <w:footnote w:id="77">
    <w:p w14:paraId="7C7A7406" w14:textId="3DC6D8E0" w:rsidR="002053A1" w:rsidRDefault="002053A1">
      <w:pPr>
        <w:pStyle w:val="FootnoteText"/>
      </w:pPr>
      <w:r>
        <w:rPr>
          <w:rStyle w:val="FootnoteReference"/>
        </w:rPr>
        <w:footnoteRef/>
      </w:r>
      <w:r>
        <w:t xml:space="preserve"> As part of UNDP’s commitment to ensure that potential cumulative impacts of multiple projects in a given area or landscape are identified and addressed, UNDP may require that impacts of displacement activities being planned or carried out contemporaneously with the project are also addressed.</w:t>
      </w:r>
    </w:p>
  </w:footnote>
  <w:footnote w:id="78">
    <w:p w14:paraId="00C20B0F" w14:textId="107ADDF9" w:rsidR="002053A1" w:rsidRDefault="002053A1" w:rsidP="00610477">
      <w:pPr>
        <w:pStyle w:val="FootnoteText"/>
      </w:pPr>
      <w:r>
        <w:rPr>
          <w:rStyle w:val="FootnoteReference"/>
        </w:rPr>
        <w:footnoteRef/>
      </w:r>
      <w:r>
        <w:t xml:space="preserve"> Due diligence is required to ensure that the seller truly has the right to retain the land and is not compelled to sell it and that the accepted price is in line with the existing replacement cost. This may involve reviewing relevant agreements and meeting relevant parties.</w:t>
      </w:r>
    </w:p>
  </w:footnote>
  <w:footnote w:id="79">
    <w:p w14:paraId="2F2F021C" w14:textId="77777777" w:rsidR="002053A1" w:rsidRDefault="002053A1" w:rsidP="00EB0480">
      <w:pPr>
        <w:pStyle w:val="FootnoteText"/>
      </w:pPr>
      <w:r>
        <w:rPr>
          <w:rStyle w:val="FootnoteReference"/>
        </w:rPr>
        <w:footnoteRef/>
      </w:r>
      <w:r>
        <w:t xml:space="preserve"> See UN Committee on Economic, Social and Cultural Rights, </w:t>
      </w:r>
      <w:hyperlink r:id="rId47" w:history="1">
        <w:r w:rsidRPr="001B179F">
          <w:rPr>
            <w:rStyle w:val="Hyperlink"/>
          </w:rPr>
          <w:t>General Comment No. 7: The right to adequate housing (Art. 11(1): Forced evictions (1997)</w:t>
        </w:r>
      </w:hyperlink>
      <w:r>
        <w:t xml:space="preserve">. Forced evictions are also prohibited by the </w:t>
      </w:r>
      <w:hyperlink r:id="rId48" w:history="1">
        <w:r w:rsidRPr="003E45D1">
          <w:rPr>
            <w:rStyle w:val="Hyperlink"/>
          </w:rPr>
          <w:t>UN Basic Principles and Guidelines on Development-based Evictions and Displacement</w:t>
        </w:r>
      </w:hyperlink>
      <w:r>
        <w:t xml:space="preserve"> (2007). See also UN Habitat/OHCHR, </w:t>
      </w:r>
      <w:hyperlink r:id="rId49" w:history="1">
        <w:r w:rsidRPr="00B0212E">
          <w:rPr>
            <w:rStyle w:val="Hyperlink"/>
          </w:rPr>
          <w:t>Forced Evictions, Fact Sheet No. 25/Rev.1</w:t>
        </w:r>
      </w:hyperlink>
      <w:r>
        <w:t xml:space="preserve"> (2014). </w:t>
      </w:r>
    </w:p>
  </w:footnote>
  <w:footnote w:id="80">
    <w:p w14:paraId="3970C6D6" w14:textId="54A24FB4" w:rsidR="002053A1" w:rsidRDefault="002053A1">
      <w:pPr>
        <w:pStyle w:val="FootnoteText"/>
      </w:pPr>
      <w:r>
        <w:rPr>
          <w:rStyle w:val="FootnoteReference"/>
        </w:rPr>
        <w:footnoteRef/>
      </w:r>
      <w:r>
        <w:t xml:space="preserve"> Including activities undertaken by third parties (e.g. contractors) engaged by UNDP-supported projects that may lead to physical or economic displacement.</w:t>
      </w:r>
    </w:p>
  </w:footnote>
  <w:footnote w:id="81">
    <w:p w14:paraId="3688DCD7" w14:textId="77777777" w:rsidR="002053A1" w:rsidRDefault="002053A1">
      <w:pPr>
        <w:pStyle w:val="FootnoteText"/>
      </w:pPr>
      <w:r>
        <w:rPr>
          <w:rStyle w:val="FootnoteReference"/>
        </w:rPr>
        <w:footnoteRef/>
      </w:r>
      <w:r>
        <w:t xml:space="preserve"> The UN </w:t>
      </w:r>
      <w:r w:rsidRPr="002D44DF">
        <w:t>Basic Principles and Guidelines on Development-Based Evictions and Displacement</w:t>
      </w:r>
      <w:r>
        <w:t xml:space="preserve"> calls for at least 90 days’ notice prior to the date of displacement.</w:t>
      </w:r>
    </w:p>
  </w:footnote>
  <w:footnote w:id="82">
    <w:p w14:paraId="3B8D0537" w14:textId="1D8DB57C" w:rsidR="002053A1" w:rsidRDefault="002053A1" w:rsidP="000828D8">
      <w:pPr>
        <w:pStyle w:val="FootnoteText"/>
      </w:pPr>
      <w:r>
        <w:rPr>
          <w:rStyle w:val="FootnoteReference"/>
        </w:rPr>
        <w:footnoteRef/>
      </w:r>
      <w:r>
        <w:t xml:space="preserve"> Security of tenure means that resettled individuals or communities are resettled to a site that the can legally occupy, where they are protected from the risk of eviction and where the tenure rights provided to them are socially and culturally appropriate. Activities that involve physical displacement should </w:t>
      </w:r>
      <w:r w:rsidRPr="006B29F2">
        <w:t xml:space="preserve">adhere to the </w:t>
      </w:r>
      <w:hyperlink r:id="rId50" w:history="1">
        <w:r w:rsidR="00723DFD" w:rsidRPr="00247D06">
          <w:rPr>
            <w:rStyle w:val="Hyperlink"/>
          </w:rPr>
          <w:t>Voluntary Guidelines on the Responsible Governance of Tenure of Land, Fisheries and Forests (VGGT)</w:t>
        </w:r>
      </w:hyperlink>
      <w:r w:rsidR="00723DFD">
        <w:t xml:space="preserve">. </w:t>
      </w:r>
    </w:p>
  </w:footnote>
  <w:footnote w:id="83">
    <w:p w14:paraId="2C0DD20B" w14:textId="60780BEB" w:rsidR="002053A1" w:rsidRDefault="002053A1" w:rsidP="000828D8">
      <w:pPr>
        <w:pStyle w:val="FootnoteText"/>
      </w:pPr>
      <w:r>
        <w:rPr>
          <w:rStyle w:val="FootnoteReference"/>
        </w:rPr>
        <w:footnoteRef/>
      </w:r>
      <w:r>
        <w:t xml:space="preserve"> Replacement property must at a minimum be of equal value of lost assets, with additional investment provided by supported activities to improve its value and characteristics</w:t>
      </w:r>
      <w:r w:rsidR="00723DFD">
        <w:t xml:space="preserve">. </w:t>
      </w:r>
    </w:p>
  </w:footnote>
  <w:footnote w:id="84">
    <w:p w14:paraId="293FB947" w14:textId="77777777" w:rsidR="002053A1" w:rsidRDefault="002053A1" w:rsidP="000828D8">
      <w:pPr>
        <w:pStyle w:val="FootnoteText"/>
      </w:pPr>
      <w:r>
        <w:rPr>
          <w:rStyle w:val="FootnoteReference"/>
        </w:rPr>
        <w:footnoteRef/>
      </w:r>
      <w:r>
        <w:t xml:space="preserve"> It may be appropriate to</w:t>
      </w:r>
      <w:r w:rsidRPr="00B41105">
        <w:t xml:space="preserve"> </w:t>
      </w:r>
      <w:r>
        <w:t xml:space="preserve">negotiate </w:t>
      </w:r>
      <w:r w:rsidRPr="00B41105">
        <w:t>in situ land development arr</w:t>
      </w:r>
      <w:r>
        <w:t>a</w:t>
      </w:r>
      <w:r w:rsidRPr="00B41105">
        <w:t>ng</w:t>
      </w:r>
      <w:r>
        <w:t>e</w:t>
      </w:r>
      <w:r w:rsidRPr="00B41105">
        <w:t xml:space="preserve">ments whereby displaced </w:t>
      </w:r>
      <w:r>
        <w:t xml:space="preserve">persons or communities </w:t>
      </w:r>
      <w:r w:rsidRPr="00B41105">
        <w:t xml:space="preserve">accept partial loss of land for </w:t>
      </w:r>
      <w:r>
        <w:t>improvements that increase property value.</w:t>
      </w:r>
    </w:p>
  </w:footnote>
  <w:footnote w:id="85">
    <w:p w14:paraId="0CB3A500" w14:textId="77777777" w:rsidR="002053A1" w:rsidRDefault="002053A1" w:rsidP="000828D8">
      <w:pPr>
        <w:pStyle w:val="FootnoteText"/>
      </w:pPr>
      <w:r>
        <w:rPr>
          <w:rStyle w:val="FootnoteReference"/>
        </w:rPr>
        <w:footnoteRef/>
      </w:r>
      <w:r>
        <w:t xml:space="preserve"> Cash compensation for replacement property and assets is discouraged. </w:t>
      </w:r>
      <w:r w:rsidRPr="00B01CF9">
        <w:t>Payment of cash compensation for lost land and other assets may be appropriate where livelihoods are not land-based</w:t>
      </w:r>
      <w:r>
        <w:t xml:space="preserve"> or </w:t>
      </w:r>
      <w:r w:rsidRPr="00B01CF9">
        <w:t>livelihoods are land-based but the land taken is a small fraction of the affected asset and the residual land is economically viable</w:t>
      </w:r>
      <w:r>
        <w:t>.</w:t>
      </w:r>
    </w:p>
  </w:footnote>
  <w:footnote w:id="86">
    <w:p w14:paraId="62CD9A0F" w14:textId="77777777" w:rsidR="002053A1" w:rsidRDefault="002053A1" w:rsidP="000828D8">
      <w:pPr>
        <w:pStyle w:val="FootnoteText"/>
      </w:pPr>
      <w:r>
        <w:rPr>
          <w:rStyle w:val="FootnoteReference"/>
        </w:rPr>
        <w:footnoteRef/>
      </w:r>
      <w:r>
        <w:t xml:space="preserve"> See OHCHR/UN Habitat, </w:t>
      </w:r>
      <w:hyperlink r:id="rId51" w:history="1">
        <w:r w:rsidRPr="00102587">
          <w:rPr>
            <w:rStyle w:val="Hyperlink"/>
          </w:rPr>
          <w:t>The Right to Adequate Housing, Fact Sheet 21/Rev. 1</w:t>
        </w:r>
      </w:hyperlink>
      <w:r>
        <w:t>.</w:t>
      </w:r>
    </w:p>
    <w:p w14:paraId="049C1FF9" w14:textId="77777777" w:rsidR="002053A1" w:rsidRDefault="002053A1" w:rsidP="000828D8">
      <w:pPr>
        <w:pStyle w:val="FootnoteText"/>
      </w:pPr>
    </w:p>
  </w:footnote>
  <w:footnote w:id="87">
    <w:p w14:paraId="748343DC" w14:textId="77777777" w:rsidR="002053A1" w:rsidRDefault="002053A1">
      <w:pPr>
        <w:pStyle w:val="FootnoteText"/>
      </w:pPr>
      <w:r>
        <w:rPr>
          <w:rStyle w:val="FootnoteReference"/>
        </w:rPr>
        <w:footnoteRef/>
      </w:r>
      <w:r>
        <w:t xml:space="preserve"> </w:t>
      </w:r>
      <w:r w:rsidRPr="00133D92">
        <w:t xml:space="preserve">This requirement is consistent with UNDP's obligations as per Article 42 of UNDRIP, </w:t>
      </w:r>
      <w:r>
        <w:t>which provides</w:t>
      </w:r>
      <w:r w:rsidRPr="00133D92">
        <w:t xml:space="preserve"> that the "United Nations, its bodies, including the Permanent Forum on Indigenous Issues, and specialized agencies, including at the country level, and States shall promote respect for and full application of the provisions of this Declaration and follow up the effectiveness of this Declaration."</w:t>
      </w:r>
      <w:r>
        <w:t xml:space="preserve"> See UN Declaration on the Rights of Indigenous Peoples, available at </w:t>
      </w:r>
      <w:hyperlink r:id="rId52" w:history="1">
        <w:r w:rsidRPr="008A62DF">
          <w:rPr>
            <w:rStyle w:val="Hyperlink"/>
          </w:rPr>
          <w:t>http://undesadspd.org/IndigenousPeoples/DeclarationontheRightsofIndigenousPeoples.aspx</w:t>
        </w:r>
      </w:hyperlink>
      <w:r>
        <w:t xml:space="preserve">. </w:t>
      </w:r>
    </w:p>
  </w:footnote>
  <w:footnote w:id="88">
    <w:p w14:paraId="6ACF35CC" w14:textId="77777777" w:rsidR="002053A1" w:rsidRDefault="002053A1" w:rsidP="008F2758">
      <w:pPr>
        <w:pStyle w:val="FootnoteText"/>
      </w:pPr>
      <w:r>
        <w:rPr>
          <w:rStyle w:val="FootnoteReference"/>
        </w:rPr>
        <w:footnoteRef/>
      </w:r>
      <w:r>
        <w:t xml:space="preserve"> For example,</w:t>
      </w:r>
      <w:r w:rsidRPr="00CE4E08">
        <w:t xml:space="preserve"> "tribal people", "first peoples", "scheduled tribes", "pastoralist", "hill people</w:t>
      </w:r>
      <w:r>
        <w:t>."</w:t>
      </w:r>
    </w:p>
  </w:footnote>
  <w:footnote w:id="89">
    <w:p w14:paraId="2A4FBC16" w14:textId="77777777" w:rsidR="002053A1" w:rsidRDefault="002053A1">
      <w:pPr>
        <w:pStyle w:val="FootnoteText"/>
      </w:pPr>
      <w:r>
        <w:rPr>
          <w:rStyle w:val="FootnoteReference"/>
        </w:rPr>
        <w:footnoteRef/>
      </w:r>
      <w:r>
        <w:t xml:space="preserve"> I</w:t>
      </w:r>
      <w:r w:rsidRPr="000868FB">
        <w:t xml:space="preserve">ncluding but not limited to </w:t>
      </w:r>
      <w:r>
        <w:t>those</w:t>
      </w:r>
      <w:r w:rsidRPr="000868FB">
        <w:t xml:space="preserve"> provided for in the Convention concerning Indigenous and Tribal Peoples in Independent Countries (ILO </w:t>
      </w:r>
      <w:r>
        <w:t xml:space="preserve">Convention </w:t>
      </w:r>
      <w:r w:rsidRPr="000868FB">
        <w:t>No. 169), the Study on the Problem of Discrimination against Indigenous Populations (the “Martínez Cobo Study”), and the Working Paper on the Concept of “Indigenous People” prepared by the Working Group on Indigenous Populations.</w:t>
      </w:r>
      <w:r>
        <w:t xml:space="preserve"> </w:t>
      </w:r>
    </w:p>
  </w:footnote>
  <w:footnote w:id="90">
    <w:p w14:paraId="4FEF5DE6" w14:textId="34E33196" w:rsidR="002053A1" w:rsidRDefault="002053A1">
      <w:pPr>
        <w:pStyle w:val="FootnoteText"/>
      </w:pPr>
      <w:r>
        <w:rPr>
          <w:rStyle w:val="FootnoteReference"/>
        </w:rPr>
        <w:footnoteRef/>
      </w:r>
      <w:r>
        <w:t xml:space="preserve"> </w:t>
      </w:r>
      <w:r>
        <w:rPr>
          <w:szCs w:val="18"/>
        </w:rPr>
        <w:t>Legal recognition as</w:t>
      </w:r>
      <w:r w:rsidRPr="00D50D37">
        <w:rPr>
          <w:szCs w:val="18"/>
        </w:rPr>
        <w:t xml:space="preserve"> discussed in </w:t>
      </w:r>
      <w:r>
        <w:rPr>
          <w:szCs w:val="18"/>
        </w:rPr>
        <w:t>paragraphs</w:t>
      </w:r>
      <w:r w:rsidRPr="00D50D37">
        <w:rPr>
          <w:szCs w:val="18"/>
        </w:rPr>
        <w:t xml:space="preserve"> 6 and 7 </w:t>
      </w:r>
      <w:r>
        <w:rPr>
          <w:szCs w:val="18"/>
        </w:rPr>
        <w:t>is</w:t>
      </w:r>
      <w:r w:rsidRPr="00D50D37">
        <w:rPr>
          <w:szCs w:val="18"/>
        </w:rPr>
        <w:t xml:space="preserve"> not </w:t>
      </w:r>
      <w:r>
        <w:rPr>
          <w:szCs w:val="18"/>
        </w:rPr>
        <w:t xml:space="preserve">a </w:t>
      </w:r>
      <w:r w:rsidRPr="00D50D37">
        <w:rPr>
          <w:szCs w:val="18"/>
        </w:rPr>
        <w:t>pre</w:t>
      </w:r>
      <w:r>
        <w:rPr>
          <w:szCs w:val="18"/>
        </w:rPr>
        <w:t>-</w:t>
      </w:r>
      <w:r w:rsidRPr="00D50D37">
        <w:rPr>
          <w:szCs w:val="18"/>
        </w:rPr>
        <w:t xml:space="preserve">requisite to the approval or implementation of all </w:t>
      </w:r>
      <w:r>
        <w:rPr>
          <w:szCs w:val="18"/>
        </w:rPr>
        <w:t xml:space="preserve">project activities. </w:t>
      </w:r>
      <w:r w:rsidRPr="00D50D37">
        <w:rPr>
          <w:szCs w:val="18"/>
        </w:rPr>
        <w:t xml:space="preserve">However, </w:t>
      </w:r>
      <w:r>
        <w:rPr>
          <w:szCs w:val="18"/>
        </w:rPr>
        <w:t>the term “c</w:t>
      </w:r>
      <w:r w:rsidRPr="00D50D37">
        <w:rPr>
          <w:szCs w:val="18"/>
        </w:rPr>
        <w:t xml:space="preserve">ontingent" </w:t>
      </w:r>
      <w:r>
        <w:rPr>
          <w:szCs w:val="18"/>
        </w:rPr>
        <w:t>in</w:t>
      </w:r>
      <w:r w:rsidRPr="00D50D37">
        <w:rPr>
          <w:szCs w:val="18"/>
        </w:rPr>
        <w:t xml:space="preserve"> these two </w:t>
      </w:r>
      <w:r>
        <w:rPr>
          <w:szCs w:val="18"/>
        </w:rPr>
        <w:t>paragraphs</w:t>
      </w:r>
      <w:r w:rsidRPr="00D50D37">
        <w:rPr>
          <w:szCs w:val="18"/>
        </w:rPr>
        <w:t xml:space="preserve"> </w:t>
      </w:r>
      <w:r>
        <w:rPr>
          <w:szCs w:val="18"/>
        </w:rPr>
        <w:t>is to</w:t>
      </w:r>
      <w:r w:rsidRPr="00D50D37">
        <w:rPr>
          <w:szCs w:val="18"/>
        </w:rPr>
        <w:t xml:space="preserve"> </w:t>
      </w:r>
      <w:r>
        <w:rPr>
          <w:szCs w:val="18"/>
        </w:rPr>
        <w:t xml:space="preserve">be understood to </w:t>
      </w:r>
      <w:r w:rsidRPr="00D50D37">
        <w:rPr>
          <w:szCs w:val="18"/>
        </w:rPr>
        <w:t xml:space="preserve">mean where in </w:t>
      </w:r>
      <w:r>
        <w:rPr>
          <w:szCs w:val="18"/>
        </w:rPr>
        <w:t>the absence of such recognition</w:t>
      </w:r>
      <w:r w:rsidRPr="00D50D37">
        <w:rPr>
          <w:szCs w:val="18"/>
        </w:rPr>
        <w:t xml:space="preserve"> and as a result of implementation of </w:t>
      </w:r>
      <w:r>
        <w:rPr>
          <w:szCs w:val="18"/>
        </w:rPr>
        <w:t>project activities</w:t>
      </w:r>
      <w:r w:rsidRPr="00D50D37">
        <w:rPr>
          <w:szCs w:val="18"/>
        </w:rPr>
        <w:t xml:space="preserve"> there is a likelihood of adverse impacts to the rights, lands, resources and territories of </w:t>
      </w:r>
      <w:r>
        <w:rPr>
          <w:szCs w:val="18"/>
        </w:rPr>
        <w:t>i</w:t>
      </w:r>
      <w:r w:rsidRPr="00D50D37">
        <w:rPr>
          <w:szCs w:val="18"/>
        </w:rPr>
        <w:t xml:space="preserve">ndigenous </w:t>
      </w:r>
      <w:r>
        <w:rPr>
          <w:szCs w:val="18"/>
        </w:rPr>
        <w:t>p</w:t>
      </w:r>
      <w:r w:rsidRPr="00D50D37">
        <w:rPr>
          <w:szCs w:val="18"/>
        </w:rPr>
        <w:t>eoples.</w:t>
      </w:r>
    </w:p>
  </w:footnote>
  <w:footnote w:id="91">
    <w:p w14:paraId="2CF22C74" w14:textId="77777777" w:rsidR="002053A1" w:rsidRDefault="002053A1">
      <w:pPr>
        <w:pStyle w:val="FootnoteText"/>
      </w:pPr>
      <w:r>
        <w:rPr>
          <w:rStyle w:val="FootnoteReference"/>
        </w:rPr>
        <w:footnoteRef/>
      </w:r>
      <w:r>
        <w:t xml:space="preserve"> See the </w:t>
      </w:r>
      <w:hyperlink r:id="rId53" w:history="1">
        <w:r w:rsidRPr="000B7CB9">
          <w:rPr>
            <w:rStyle w:val="Hyperlink"/>
          </w:rPr>
          <w:t>Voluntary Guidelines on the Responsible Governance of Tenure of Land, Fisheries and Forests (VGGT)</w:t>
        </w:r>
      </w:hyperlink>
      <w:r>
        <w:rPr>
          <w:rStyle w:val="Hyperlink"/>
        </w:rPr>
        <w:t>.</w:t>
      </w:r>
    </w:p>
  </w:footnote>
  <w:footnote w:id="92">
    <w:p w14:paraId="61A02732" w14:textId="77777777" w:rsidR="002053A1" w:rsidRDefault="002053A1">
      <w:pPr>
        <w:pStyle w:val="FootnoteText"/>
      </w:pPr>
      <w:r>
        <w:rPr>
          <w:rStyle w:val="FootnoteReference"/>
        </w:rPr>
        <w:footnoteRef/>
      </w:r>
      <w:r>
        <w:t xml:space="preserve"> </w:t>
      </w:r>
      <w:r>
        <w:rPr>
          <w:szCs w:val="18"/>
        </w:rPr>
        <w:t>Legal personality</w:t>
      </w:r>
      <w:r w:rsidRPr="00C90A39">
        <w:rPr>
          <w:szCs w:val="18"/>
        </w:rPr>
        <w:t xml:space="preserve"> of an </w:t>
      </w:r>
      <w:r>
        <w:rPr>
          <w:szCs w:val="18"/>
        </w:rPr>
        <w:t>i</w:t>
      </w:r>
      <w:r w:rsidRPr="00C90A39">
        <w:rPr>
          <w:szCs w:val="18"/>
        </w:rPr>
        <w:t xml:space="preserve">ndigenous </w:t>
      </w:r>
      <w:r>
        <w:rPr>
          <w:szCs w:val="18"/>
        </w:rPr>
        <w:t>p</w:t>
      </w:r>
      <w:r w:rsidRPr="00C90A39">
        <w:rPr>
          <w:szCs w:val="18"/>
        </w:rPr>
        <w:t xml:space="preserve">eople </w:t>
      </w:r>
      <w:r>
        <w:rPr>
          <w:szCs w:val="18"/>
        </w:rPr>
        <w:t>is</w:t>
      </w:r>
      <w:r w:rsidRPr="00C90A39">
        <w:rPr>
          <w:szCs w:val="18"/>
        </w:rPr>
        <w:t xml:space="preserve"> not to be confused with the identification of </w:t>
      </w:r>
      <w:r>
        <w:rPr>
          <w:szCs w:val="18"/>
        </w:rPr>
        <w:t>i</w:t>
      </w:r>
      <w:r w:rsidRPr="00C90A39">
        <w:rPr>
          <w:szCs w:val="18"/>
        </w:rPr>
        <w:t>ndige</w:t>
      </w:r>
      <w:r>
        <w:rPr>
          <w:szCs w:val="18"/>
        </w:rPr>
        <w:t xml:space="preserve">nous peoples in paragraph 5. Legal personality refers to whether </w:t>
      </w:r>
      <w:r>
        <w:t xml:space="preserve">an individual or an entity that is legally formed and recognized under Applicable Law has the rights to sue, be sued and to contract. </w:t>
      </w:r>
      <w:r>
        <w:rPr>
          <w:szCs w:val="18"/>
        </w:rPr>
        <w:t>The lack of legal personality</w:t>
      </w:r>
      <w:r w:rsidRPr="00C90A39">
        <w:rPr>
          <w:szCs w:val="18"/>
        </w:rPr>
        <w:t xml:space="preserve"> </w:t>
      </w:r>
      <w:r>
        <w:rPr>
          <w:szCs w:val="18"/>
        </w:rPr>
        <w:t xml:space="preserve">of indigenous peoples may prevent them from entering </w:t>
      </w:r>
      <w:r w:rsidRPr="00C90A39">
        <w:rPr>
          <w:szCs w:val="18"/>
        </w:rPr>
        <w:t>into binding agreements</w:t>
      </w:r>
      <w:r>
        <w:rPr>
          <w:szCs w:val="18"/>
        </w:rPr>
        <w:t xml:space="preserve"> or holding title to lands</w:t>
      </w:r>
      <w:r w:rsidRPr="00C90A39">
        <w:rPr>
          <w:szCs w:val="18"/>
        </w:rPr>
        <w:t xml:space="preserve">. A group may be recognized by a State as an </w:t>
      </w:r>
      <w:r>
        <w:rPr>
          <w:szCs w:val="18"/>
        </w:rPr>
        <w:t>i</w:t>
      </w:r>
      <w:r w:rsidRPr="00C90A39">
        <w:rPr>
          <w:szCs w:val="18"/>
        </w:rPr>
        <w:t xml:space="preserve">ndigenous </w:t>
      </w:r>
      <w:r>
        <w:rPr>
          <w:szCs w:val="18"/>
        </w:rPr>
        <w:t>p</w:t>
      </w:r>
      <w:r w:rsidRPr="00C90A39">
        <w:rPr>
          <w:szCs w:val="18"/>
        </w:rPr>
        <w:t>eople, but still lack formal recognition of its 'legal personality' under the laws of that State.</w:t>
      </w:r>
    </w:p>
  </w:footnote>
  <w:footnote w:id="93">
    <w:p w14:paraId="580C86D3" w14:textId="77777777" w:rsidR="002053A1" w:rsidRDefault="002053A1">
      <w:pPr>
        <w:pStyle w:val="FootnoteText"/>
      </w:pPr>
      <w:r>
        <w:rPr>
          <w:rStyle w:val="FootnoteReference"/>
        </w:rPr>
        <w:footnoteRef/>
      </w:r>
      <w:r>
        <w:t xml:space="preserve"> </w:t>
      </w:r>
      <w:r w:rsidRPr="00F45992">
        <w:t>UNDP seek</w:t>
      </w:r>
      <w:r>
        <w:t>s</w:t>
      </w:r>
      <w:r w:rsidRPr="00F45992">
        <w:t xml:space="preserve"> to provide technical and financial support to the </w:t>
      </w:r>
      <w:r>
        <w:t>in</w:t>
      </w:r>
      <w:r w:rsidRPr="00F45992">
        <w:t xml:space="preserve">digenous </w:t>
      </w:r>
      <w:r>
        <w:t>p</w:t>
      </w:r>
      <w:r w:rsidRPr="00F45992">
        <w:t xml:space="preserve">eoples concerned in order to </w:t>
      </w:r>
      <w:r>
        <w:rPr>
          <w:spacing w:val="-1"/>
        </w:rPr>
        <w:t>increase the awareness of their rights and</w:t>
      </w:r>
      <w:r w:rsidRPr="00F45992">
        <w:t xml:space="preserve"> strengthen their participation in accordance with their own norms, values and customs and through representatives designated by them</w:t>
      </w:r>
      <w:r>
        <w:t>.</w:t>
      </w:r>
    </w:p>
  </w:footnote>
  <w:footnote w:id="94">
    <w:p w14:paraId="739D2870" w14:textId="77777777" w:rsidR="002053A1" w:rsidRDefault="002053A1">
      <w:pPr>
        <w:pStyle w:val="FootnoteText"/>
      </w:pPr>
      <w:r>
        <w:rPr>
          <w:rStyle w:val="FootnoteReference"/>
        </w:rPr>
        <w:footnoteRef/>
      </w:r>
      <w:r>
        <w:t xml:space="preserve"> T</w:t>
      </w:r>
      <w:r w:rsidRPr="00AC55D7">
        <w:t xml:space="preserve">o guide in the implementation of this </w:t>
      </w:r>
      <w:r w:rsidRPr="00DB29DB">
        <w:t xml:space="preserve">requirement, UNDP will encourage </w:t>
      </w:r>
      <w:r w:rsidRPr="00CA3551">
        <w:t xml:space="preserve">Implementing Partners and </w:t>
      </w:r>
      <w:r>
        <w:t xml:space="preserve">relevant authorities </w:t>
      </w:r>
      <w:r w:rsidRPr="00AC55D7">
        <w:t>to refer to the</w:t>
      </w:r>
      <w:r>
        <w:t xml:space="preserve"> SES Guidance Note Standard 6 Indigenous Peoples in the </w:t>
      </w:r>
      <w:hyperlink r:id="rId54" w:history="1">
        <w:r w:rsidRPr="00543AEF">
          <w:rPr>
            <w:rStyle w:val="Hyperlink"/>
          </w:rPr>
          <w:t>SES Toolkit</w:t>
        </w:r>
      </w:hyperlink>
      <w:r>
        <w:t>.</w:t>
      </w:r>
    </w:p>
  </w:footnote>
  <w:footnote w:id="95">
    <w:p w14:paraId="6F253E15" w14:textId="3FCB2B7A" w:rsidR="002053A1" w:rsidRDefault="002053A1">
      <w:pPr>
        <w:pStyle w:val="FootnoteText"/>
      </w:pPr>
      <w:r>
        <w:rPr>
          <w:rStyle w:val="FootnoteReference"/>
        </w:rPr>
        <w:footnoteRef/>
      </w:r>
      <w:r>
        <w:t xml:space="preserve"> </w:t>
      </w:r>
      <w:r w:rsidRPr="00DB2C9F">
        <w:t xml:space="preserve">For </w:t>
      </w:r>
      <w:r>
        <w:t>project</w:t>
      </w:r>
      <w:r w:rsidRPr="00DB2C9F">
        <w:t xml:space="preserve">s without adverse impacts on rights, lands, resources and territories of </w:t>
      </w:r>
      <w:r>
        <w:t>i</w:t>
      </w:r>
      <w:r w:rsidRPr="00DB2C9F">
        <w:t xml:space="preserve">ndigenous </w:t>
      </w:r>
      <w:r>
        <w:t>p</w:t>
      </w:r>
      <w:r w:rsidRPr="00DB2C9F">
        <w:t>eoples</w:t>
      </w:r>
      <w:r>
        <w:t xml:space="preserve"> but which still affect indigenous peoples,</w:t>
      </w:r>
      <w:r w:rsidRPr="00DB2C9F">
        <w:t xml:space="preserve"> UNDP ensure</w:t>
      </w:r>
      <w:r>
        <w:t>s</w:t>
      </w:r>
      <w:r w:rsidRPr="00DB2C9F">
        <w:t xml:space="preserve"> that such </w:t>
      </w:r>
      <w:r>
        <w:t>project</w:t>
      </w:r>
      <w:r w:rsidRPr="00DB2C9F">
        <w:t>s are reviewed to identify any potential other impacts. Reviews may take the form of a limited social and environmental impact assessment, social assessment, or mitigation and management plan.</w:t>
      </w:r>
    </w:p>
  </w:footnote>
  <w:footnote w:id="96">
    <w:p w14:paraId="02CB8CF7" w14:textId="77777777" w:rsidR="002053A1" w:rsidRDefault="002053A1" w:rsidP="009F2534">
      <w:pPr>
        <w:pStyle w:val="FootnoteText"/>
      </w:pPr>
      <w:r>
        <w:rPr>
          <w:rStyle w:val="FootnoteReference"/>
        </w:rPr>
        <w:footnoteRef/>
      </w:r>
      <w:r>
        <w:t xml:space="preserve"> </w:t>
      </w:r>
      <w:r w:rsidRPr="00954B70">
        <w:t>Where the American Convention on Human Rights is applicable, such study will be conducted by an independent and capable entity as per the Inter-American Court of Human Rights</w:t>
      </w:r>
      <w:r>
        <w:t>.</w:t>
      </w:r>
      <w:r w:rsidRPr="00954B70">
        <w:t xml:space="preserve"> </w:t>
      </w:r>
      <w:r>
        <w:t xml:space="preserve">This requirement is consistent with the decision of the Inter-American Court of Human Rights interpreting the American Convention. See </w:t>
      </w:r>
      <w:r w:rsidRPr="005B1E00">
        <w:rPr>
          <w:i/>
        </w:rPr>
        <w:t>Saramaka People v. Suriname</w:t>
      </w:r>
      <w:r>
        <w:t xml:space="preserve">. Preliminary Objections, Merits, Reparations and Costs. Judgment of 28 November 2007, Series C No. 172, at para. 129, available at: </w:t>
      </w:r>
      <w:hyperlink r:id="rId55" w:history="1">
        <w:r w:rsidRPr="00ED59CA">
          <w:rPr>
            <w:rStyle w:val="Hyperlink"/>
          </w:rPr>
          <w:t>http://www.corteidh.or.cr/docs/casos/articulos/seriec_172_ing.pdf</w:t>
        </w:r>
      </w:hyperlink>
      <w:r>
        <w:t>.</w:t>
      </w:r>
    </w:p>
  </w:footnote>
  <w:footnote w:id="97">
    <w:p w14:paraId="55EB9168" w14:textId="77777777" w:rsidR="002053A1" w:rsidRDefault="002053A1" w:rsidP="009F2534">
      <w:pPr>
        <w:pStyle w:val="FootnoteText"/>
      </w:pPr>
      <w:r>
        <w:rPr>
          <w:rStyle w:val="FootnoteReference"/>
        </w:rPr>
        <w:footnoteRef/>
      </w:r>
      <w:r>
        <w:t xml:space="preserve"> See Convention on Biological Diversity: </w:t>
      </w:r>
      <w:r w:rsidRPr="0014108E">
        <w:t xml:space="preserve">The </w:t>
      </w:r>
      <w:hyperlink r:id="rId56" w:history="1">
        <w:r w:rsidRPr="0014108E">
          <w:rPr>
            <w:rStyle w:val="Hyperlink"/>
          </w:rPr>
          <w:t>Akwé: Kon Voluntary Guidelines</w:t>
        </w:r>
      </w:hyperlink>
      <w:r w:rsidRPr="0014108E">
        <w:t xml:space="preserve"> for the Conduct of Cultural, Environmental and Social Impact Assessments Regarding Developments Proposed to Take Place on, or which are Likely to Impact on, Sacred Sites and on Lands and Waters Traditionally Occupied or Used by Indigenous and Local Communities</w:t>
      </w:r>
      <w:r>
        <w:t xml:space="preserve"> (CBD Decision VII/16). </w:t>
      </w:r>
      <w:r w:rsidRPr="00683EC3">
        <w:t xml:space="preserve">The </w:t>
      </w:r>
      <w:r>
        <w:t>G</w:t>
      </w:r>
      <w:r w:rsidRPr="00683EC3">
        <w:t>uidelines provide advice on how to incorporate cultural, environmental (including biodiversity-related), and social considerations of indigenous and local communities into new or existing impact-assessment procedures, to ensure appropriate development. They support the full and effective participation of indigenous and local communities in screening, scoping and development planning exercises, taking into account their traditional knowledge, innovations and practices.</w:t>
      </w:r>
    </w:p>
  </w:footnote>
  <w:footnote w:id="98">
    <w:p w14:paraId="49362D08" w14:textId="77777777" w:rsidR="002053A1" w:rsidRDefault="002053A1" w:rsidP="00F30C80">
      <w:pPr>
        <w:pStyle w:val="FootnoteText"/>
      </w:pPr>
      <w:r>
        <w:rPr>
          <w:rStyle w:val="FootnoteReference"/>
        </w:rPr>
        <w:footnoteRef/>
      </w:r>
      <w:r>
        <w:t xml:space="preserve"> See Convention on Biological Diversity: T</w:t>
      </w:r>
      <w:r w:rsidRPr="00B8572A">
        <w:t xml:space="preserve">he </w:t>
      </w:r>
      <w:hyperlink r:id="rId57" w:history="1">
        <w:r w:rsidRPr="00C04D48">
          <w:rPr>
            <w:rStyle w:val="Hyperlink"/>
          </w:rPr>
          <w:t>Tkarihwaié:ri Code of Ethical Conduct</w:t>
        </w:r>
      </w:hyperlink>
      <w:r w:rsidRPr="00B8572A">
        <w:t xml:space="preserve"> to Ensure Respect for the Cultural and Intellectual Heritage of Indigenous and Local Communities</w:t>
      </w:r>
      <w:r>
        <w:t xml:space="preserve"> (CBD Decision X/42).</w:t>
      </w:r>
    </w:p>
  </w:footnote>
  <w:footnote w:id="99">
    <w:p w14:paraId="3E6A6C1D" w14:textId="77777777" w:rsidR="002053A1" w:rsidRDefault="002053A1">
      <w:pPr>
        <w:pStyle w:val="FootnoteText"/>
      </w:pPr>
      <w:r>
        <w:rPr>
          <w:rStyle w:val="FootnoteReference"/>
        </w:rPr>
        <w:footnoteRef/>
      </w:r>
      <w:r>
        <w:t xml:space="preserve"> An Indigenous Peoples Planning Framework may be required in cases where specific activities and locations have not yet been determined.</w:t>
      </w:r>
    </w:p>
  </w:footnote>
  <w:footnote w:id="100">
    <w:p w14:paraId="13C27712" w14:textId="77777777" w:rsidR="002053A1" w:rsidRDefault="002053A1">
      <w:pPr>
        <w:pStyle w:val="FootnoteText"/>
      </w:pPr>
      <w:r>
        <w:rPr>
          <w:rStyle w:val="FootnoteReference"/>
        </w:rPr>
        <w:footnoteRef/>
      </w:r>
      <w:r>
        <w:t xml:space="preserve"> See the UNDP SES Guidance Note Standard 6 Indigenous Peoples in the </w:t>
      </w:r>
      <w:hyperlink r:id="rId58" w:history="1">
        <w:r w:rsidRPr="00F30C80">
          <w:rPr>
            <w:rStyle w:val="Hyperlink"/>
          </w:rPr>
          <w:t>SES Toolkit</w:t>
        </w:r>
      </w:hyperlink>
      <w:r>
        <w:t xml:space="preserve">. </w:t>
      </w:r>
    </w:p>
  </w:footnote>
  <w:footnote w:id="101">
    <w:p w14:paraId="265E9B8C" w14:textId="77777777" w:rsidR="002053A1" w:rsidRPr="00AA01D3" w:rsidRDefault="002053A1" w:rsidP="008B3759">
      <w:pPr>
        <w:pStyle w:val="FootnoteText"/>
        <w:spacing w:before="60" w:after="60"/>
        <w:rPr>
          <w:i/>
        </w:rPr>
      </w:pPr>
      <w:r>
        <w:rPr>
          <w:rStyle w:val="FootnoteReference"/>
        </w:rPr>
        <w:footnoteRef/>
      </w:r>
      <w:r>
        <w:t xml:space="preserve"> These conventions (see </w:t>
      </w:r>
      <w:hyperlink r:id="rId59" w:history="1">
        <w:r w:rsidRPr="00782E2F">
          <w:rPr>
            <w:rStyle w:val="Hyperlink"/>
          </w:rPr>
          <w:t>link</w:t>
        </w:r>
      </w:hyperlink>
      <w:r>
        <w:t>) include among others:</w:t>
      </w:r>
      <w:r>
        <w:rPr>
          <w:i/>
        </w:rPr>
        <w:t xml:space="preserve"> </w:t>
      </w:r>
      <w:r w:rsidRPr="00AA01D3">
        <w:rPr>
          <w:i/>
        </w:rPr>
        <w:t>ILO Convention 87 on Freedom of Association and Protection of the Right to Organize</w:t>
      </w:r>
      <w:r>
        <w:rPr>
          <w:i/>
        </w:rPr>
        <w:t xml:space="preserve">; </w:t>
      </w:r>
      <w:r w:rsidRPr="00AA01D3">
        <w:rPr>
          <w:i/>
        </w:rPr>
        <w:t>ILO Convention 98 on the Right to Organize and Collective Bargaining</w:t>
      </w:r>
      <w:r>
        <w:rPr>
          <w:i/>
        </w:rPr>
        <w:t xml:space="preserve">; </w:t>
      </w:r>
      <w:r w:rsidRPr="00AA01D3">
        <w:rPr>
          <w:i/>
        </w:rPr>
        <w:t>ILO Convention 29 on Forced Labour and Protocol of 2014</w:t>
      </w:r>
      <w:r>
        <w:rPr>
          <w:i/>
        </w:rPr>
        <w:t xml:space="preserve">; </w:t>
      </w:r>
      <w:r w:rsidRPr="00AA01D3">
        <w:rPr>
          <w:i/>
        </w:rPr>
        <w:t>ILO Convention 105 on the Abolition of Forced Labour</w:t>
      </w:r>
      <w:r>
        <w:rPr>
          <w:i/>
        </w:rPr>
        <w:t xml:space="preserve">; </w:t>
      </w:r>
      <w:r w:rsidRPr="00AA01D3">
        <w:rPr>
          <w:i/>
        </w:rPr>
        <w:t>ILO Convention 138 on Minimum Age (of Employment)</w:t>
      </w:r>
      <w:r>
        <w:rPr>
          <w:i/>
        </w:rPr>
        <w:t xml:space="preserve">; </w:t>
      </w:r>
      <w:r w:rsidRPr="00AA01D3">
        <w:rPr>
          <w:i/>
        </w:rPr>
        <w:t>ILO Convention 182 on the Worst Forms of Child Labour</w:t>
      </w:r>
      <w:r>
        <w:rPr>
          <w:i/>
        </w:rPr>
        <w:t xml:space="preserve">; </w:t>
      </w:r>
      <w:r w:rsidRPr="00AA01D3">
        <w:rPr>
          <w:i/>
        </w:rPr>
        <w:t>ILO Convention 100 on Equal Remuneration</w:t>
      </w:r>
      <w:r>
        <w:rPr>
          <w:i/>
        </w:rPr>
        <w:t xml:space="preserve">; </w:t>
      </w:r>
      <w:r w:rsidRPr="00AA01D3">
        <w:rPr>
          <w:i/>
        </w:rPr>
        <w:t>ILO Convention 111 on Discrimination (Employment and Occupation)</w:t>
      </w:r>
      <w:r>
        <w:rPr>
          <w:i/>
        </w:rPr>
        <w:t xml:space="preserve">; </w:t>
      </w:r>
      <w:r w:rsidRPr="00AA01D3">
        <w:rPr>
          <w:i/>
        </w:rPr>
        <w:t>ILO Convention 155 on Occupational Safety and Health</w:t>
      </w:r>
      <w:r>
        <w:rPr>
          <w:i/>
        </w:rPr>
        <w:t xml:space="preserve">; </w:t>
      </w:r>
      <w:r w:rsidRPr="00AA01D3">
        <w:rPr>
          <w:i/>
        </w:rPr>
        <w:t>ILO Convention 161 on Occupational Health Services</w:t>
      </w:r>
      <w:r>
        <w:rPr>
          <w:i/>
        </w:rPr>
        <w:t xml:space="preserve">; </w:t>
      </w:r>
      <w:r w:rsidRPr="00AA01D3">
        <w:rPr>
          <w:i/>
        </w:rPr>
        <w:t>UN Convention on the Rights of the Child, Article 32.1UN Convention on the Protection of the Rights of all Migrant Workers and Members of their Families</w:t>
      </w:r>
      <w:r>
        <w:rPr>
          <w:i/>
        </w:rPr>
        <w:t>.</w:t>
      </w:r>
    </w:p>
  </w:footnote>
  <w:footnote w:id="102">
    <w:p w14:paraId="16E8BB00" w14:textId="01F431EC" w:rsidR="002053A1" w:rsidRPr="0011096D" w:rsidRDefault="002053A1" w:rsidP="009077FC">
      <w:pPr>
        <w:pStyle w:val="FootnoteText"/>
      </w:pPr>
      <w:r>
        <w:rPr>
          <w:rStyle w:val="FootnoteReference"/>
        </w:rPr>
        <w:footnoteRef/>
      </w:r>
      <w:r>
        <w:t xml:space="preserve"> “Core functions” of a project constitute those production and/or service processes essential for a specific activity without which the project cannot continue. </w:t>
      </w:r>
    </w:p>
  </w:footnote>
  <w:footnote w:id="103">
    <w:p w14:paraId="795AA1E0" w14:textId="77777777" w:rsidR="002053A1" w:rsidRPr="007B2E1D" w:rsidRDefault="002053A1" w:rsidP="00FB5B93">
      <w:pPr>
        <w:pStyle w:val="FootnoteText"/>
      </w:pPr>
      <w:r>
        <w:rPr>
          <w:rStyle w:val="FootnoteReference"/>
        </w:rPr>
        <w:footnoteRef/>
      </w:r>
      <w:r>
        <w:t xml:space="preserve"> “</w:t>
      </w:r>
      <w:r w:rsidRPr="0011096D">
        <w:rPr>
          <w:iCs/>
        </w:rPr>
        <w:t>Third parties</w:t>
      </w:r>
      <w:r>
        <w:t>”</w:t>
      </w:r>
      <w:r w:rsidRPr="005C2852">
        <w:t xml:space="preserve"> may</w:t>
      </w:r>
      <w:r>
        <w:t xml:space="preserve"> include contractors, subcontractors, brokers, agents or intermediaries. </w:t>
      </w:r>
    </w:p>
  </w:footnote>
  <w:footnote w:id="104">
    <w:p w14:paraId="2500F507" w14:textId="269B83FD" w:rsidR="002053A1" w:rsidRPr="00CB4BAF" w:rsidRDefault="002053A1" w:rsidP="009077FC">
      <w:pPr>
        <w:pStyle w:val="FootnoteText"/>
      </w:pPr>
      <w:r>
        <w:rPr>
          <w:rStyle w:val="FootnoteReference"/>
        </w:rPr>
        <w:footnoteRef/>
      </w:r>
      <w:r>
        <w:t xml:space="preserve"> “Primary suppliers” are those suppliers who, on an ongoing basis, provide directly to the Project goods or materials essential for the core functions of the Project.</w:t>
      </w:r>
    </w:p>
  </w:footnote>
  <w:footnote w:id="105">
    <w:p w14:paraId="20B772F4" w14:textId="77777777" w:rsidR="00723DFD" w:rsidRPr="00D372AF" w:rsidRDefault="00723DFD" w:rsidP="009077FC">
      <w:pPr>
        <w:pStyle w:val="FootnoteText"/>
        <w:rPr>
          <w:szCs w:val="18"/>
        </w:rPr>
      </w:pPr>
      <w:r w:rsidRPr="005201B7">
        <w:rPr>
          <w:rStyle w:val="FootnoteReference"/>
          <w:szCs w:val="18"/>
        </w:rPr>
        <w:footnoteRef/>
      </w:r>
      <w:r>
        <w:rPr>
          <w:szCs w:val="18"/>
        </w:rPr>
        <w:t xml:space="preserve"> </w:t>
      </w:r>
      <w:hyperlink r:id="rId60" w:history="1">
        <w:r w:rsidRPr="002E68B4">
          <w:rPr>
            <w:rStyle w:val="Hyperlink"/>
            <w:color w:val="4558B3"/>
            <w:szCs w:val="18"/>
            <w:shd w:val="clear" w:color="auto" w:fill="FFFFFF"/>
          </w:rPr>
          <w:t>ILO Declaration on Fundamental Principles and Rights at Work</w:t>
        </w:r>
      </w:hyperlink>
      <w:r w:rsidRPr="005201B7">
        <w:rPr>
          <w:szCs w:val="18"/>
        </w:rPr>
        <w:t xml:space="preserve"> (1998)</w:t>
      </w:r>
      <w:r>
        <w:rPr>
          <w:szCs w:val="18"/>
        </w:rPr>
        <w:t>.</w:t>
      </w:r>
    </w:p>
  </w:footnote>
  <w:footnote w:id="106">
    <w:p w14:paraId="0C12F61B" w14:textId="77777777" w:rsidR="002053A1" w:rsidRDefault="002053A1">
      <w:pPr>
        <w:pStyle w:val="FootnoteText"/>
      </w:pPr>
      <w:r>
        <w:rPr>
          <w:rStyle w:val="FootnoteReference"/>
        </w:rPr>
        <w:footnoteRef/>
      </w:r>
      <w:r>
        <w:t xml:space="preserve"> Labour management procedures include relevant human resources policies and policies and procedures for the engagement of contractors.</w:t>
      </w:r>
    </w:p>
  </w:footnote>
  <w:footnote w:id="107">
    <w:p w14:paraId="4E782321" w14:textId="77777777" w:rsidR="002053A1" w:rsidRDefault="002053A1" w:rsidP="009077FC">
      <w:pPr>
        <w:pStyle w:val="FootnoteText"/>
      </w:pPr>
      <w:r>
        <w:rPr>
          <w:rStyle w:val="FootnoteReference"/>
        </w:rPr>
        <w:footnoteRef/>
      </w:r>
      <w:r>
        <w:t xml:space="preserve"> </w:t>
      </w:r>
      <w:r w:rsidRPr="005A277E">
        <w:t xml:space="preserve">The requirements, whether herein or in national law, that are the most protective of workers </w:t>
      </w:r>
      <w:r>
        <w:t>shall</w:t>
      </w:r>
      <w:r w:rsidRPr="005A277E">
        <w:t xml:space="preserve"> apply</w:t>
      </w:r>
      <w:r>
        <w:t xml:space="preserve"> unless the application of requirements herein would violate national law.</w:t>
      </w:r>
    </w:p>
  </w:footnote>
  <w:footnote w:id="108">
    <w:p w14:paraId="71E8811A" w14:textId="08F2F09A" w:rsidR="002053A1" w:rsidRPr="00D61E73" w:rsidRDefault="002053A1" w:rsidP="009077FC">
      <w:pPr>
        <w:pStyle w:val="FootnoteText"/>
      </w:pPr>
      <w:r w:rsidRPr="006D020A">
        <w:rPr>
          <w:rStyle w:val="FootnoteReference"/>
        </w:rPr>
        <w:footnoteRef/>
      </w:r>
      <w:r w:rsidRPr="006D020A">
        <w:t xml:space="preserve"> For </w:t>
      </w:r>
      <w:r>
        <w:t>p</w:t>
      </w:r>
      <w:r w:rsidRPr="006D020A">
        <w:t>roject workers who are employed or engaged by the United Nations and its specialized agencies, conditions of employment are governed by the respective entity’s internal rules, in accordance with the relevant provisions of the Convention on the Privileges and Immunities of the United Nations, 1946.</w:t>
      </w:r>
      <w:r>
        <w:t xml:space="preserve"> </w:t>
      </w:r>
    </w:p>
  </w:footnote>
  <w:footnote w:id="109">
    <w:p w14:paraId="7FADB3A9" w14:textId="77777777" w:rsidR="002053A1" w:rsidRPr="00D0532D" w:rsidRDefault="002053A1" w:rsidP="009077FC">
      <w:pPr>
        <w:pStyle w:val="FootnoteText"/>
      </w:pPr>
      <w:r w:rsidRPr="00D0532D">
        <w:rPr>
          <w:rStyle w:val="FootnoteReference"/>
        </w:rPr>
        <w:footnoteRef/>
      </w:r>
      <w:r w:rsidRPr="00D0532D">
        <w:t xml:space="preserve"> </w:t>
      </w:r>
      <w:r>
        <w:t>Ibid.</w:t>
      </w:r>
    </w:p>
  </w:footnote>
  <w:footnote w:id="110">
    <w:p w14:paraId="45D245EB" w14:textId="77777777" w:rsidR="002053A1" w:rsidRPr="00A00679" w:rsidRDefault="002053A1" w:rsidP="009077FC">
      <w:pPr>
        <w:pStyle w:val="FootnoteText"/>
      </w:pPr>
      <w:r w:rsidRPr="00D0532D">
        <w:rPr>
          <w:rStyle w:val="FootnoteReference"/>
        </w:rPr>
        <w:footnoteRef/>
      </w:r>
      <w:r w:rsidRPr="00D0532D">
        <w:t xml:space="preserve"> </w:t>
      </w:r>
      <w:r>
        <w:t>Ibid.</w:t>
      </w:r>
    </w:p>
  </w:footnote>
  <w:footnote w:id="111">
    <w:p w14:paraId="2ED11506" w14:textId="77777777" w:rsidR="002053A1" w:rsidRPr="00FD4FD0" w:rsidRDefault="002053A1" w:rsidP="009077FC">
      <w:pPr>
        <w:pStyle w:val="FootnoteText"/>
      </w:pPr>
      <w:r>
        <w:rPr>
          <w:rStyle w:val="FootnoteReference"/>
        </w:rPr>
        <w:footnoteRef/>
      </w:r>
      <w:r>
        <w:t xml:space="preserve"> S</w:t>
      </w:r>
      <w:r w:rsidRPr="008256D0">
        <w:t xml:space="preserve">uch as gender, </w:t>
      </w:r>
      <w:r>
        <w:t xml:space="preserve">sex, </w:t>
      </w:r>
      <w:r w:rsidRPr="008256D0">
        <w:t xml:space="preserve">race, </w:t>
      </w:r>
      <w:r>
        <w:t xml:space="preserve">colour, </w:t>
      </w:r>
      <w:r w:rsidRPr="008256D0">
        <w:t xml:space="preserve">nationality, </w:t>
      </w:r>
      <w:r>
        <w:t xml:space="preserve">national extraction, </w:t>
      </w:r>
      <w:r w:rsidRPr="008256D0">
        <w:t xml:space="preserve">political opinion, affiliation </w:t>
      </w:r>
      <w:r>
        <w:t xml:space="preserve">or non-affiliation </w:t>
      </w:r>
      <w:r w:rsidRPr="008256D0">
        <w:t>to a union, ethnic, social or indigenous origin, religion of belief, marital o</w:t>
      </w:r>
      <w:r>
        <w:t>r</w:t>
      </w:r>
      <w:r w:rsidRPr="008256D0">
        <w:t xml:space="preserve"> family status, disability, age, sexual orientation or gender identity</w:t>
      </w:r>
      <w:r>
        <w:t>.</w:t>
      </w:r>
    </w:p>
  </w:footnote>
  <w:footnote w:id="112">
    <w:p w14:paraId="26205A0D" w14:textId="77777777" w:rsidR="002053A1" w:rsidRPr="00416755" w:rsidRDefault="002053A1" w:rsidP="009077FC">
      <w:pPr>
        <w:pStyle w:val="FootnoteText"/>
      </w:pPr>
      <w:r>
        <w:rPr>
          <w:rStyle w:val="FootnoteReference"/>
        </w:rPr>
        <w:footnoteRef/>
      </w:r>
      <w:r>
        <w:t xml:space="preserve"> Work is on a voluntary basis when it is done with the free and informed consent of a worker. Such consent must exist throughout the employment relationship and the worker must have the possibility to revoke freely given consent. In particular, there can be no “voluntary offer” under threat or other circumstances of restriction or deceit. To assess the authenticity of a free and informed consent, it is necessary to ensure that no external constraint or indirect coercion has been carried out, either by an act of the authorities or by an employer’s practice. </w:t>
      </w:r>
    </w:p>
  </w:footnote>
  <w:footnote w:id="113">
    <w:p w14:paraId="422B7A84" w14:textId="77777777" w:rsidR="002053A1" w:rsidRDefault="002053A1" w:rsidP="009077FC">
      <w:pPr>
        <w:pStyle w:val="FootnoteText"/>
      </w:pPr>
      <w:r>
        <w:rPr>
          <w:rStyle w:val="FootnoteReference"/>
        </w:rPr>
        <w:footnoteRef/>
      </w:r>
      <w:r>
        <w:t xml:space="preserve"> </w:t>
      </w:r>
      <w:r w:rsidRPr="00A67087">
        <w:t>See the Forced Labour Convention, 1930 (No.29), as well as the Protocol of 2014 to the Forced Labour Convention</w:t>
      </w:r>
      <w:r>
        <w:t>.</w:t>
      </w:r>
    </w:p>
  </w:footnote>
  <w:footnote w:id="114">
    <w:p w14:paraId="1907F2F8" w14:textId="77777777" w:rsidR="002053A1" w:rsidRPr="00416755" w:rsidRDefault="002053A1" w:rsidP="009077FC">
      <w:pPr>
        <w:pStyle w:val="FootnoteText"/>
      </w:pPr>
      <w:r>
        <w:rPr>
          <w:rStyle w:val="FootnoteReference"/>
        </w:rPr>
        <w:footnoteRef/>
      </w:r>
      <w:r>
        <w:t xml:space="preserve">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Women and children are particularly vulnerable to trafficking practices. </w:t>
      </w:r>
    </w:p>
  </w:footnote>
  <w:footnote w:id="115">
    <w:p w14:paraId="6100E5D7" w14:textId="77777777" w:rsidR="002053A1" w:rsidRPr="00416755" w:rsidRDefault="002053A1" w:rsidP="009077FC">
      <w:pPr>
        <w:pStyle w:val="FootnoteText"/>
        <w:rPr>
          <w:sz w:val="20"/>
          <w:szCs w:val="20"/>
        </w:rPr>
      </w:pPr>
      <w:r w:rsidRPr="00746743">
        <w:rPr>
          <w:sz w:val="20"/>
          <w:szCs w:val="20"/>
          <w:vertAlign w:val="superscript"/>
        </w:rPr>
        <w:footnoteRef/>
      </w:r>
      <w:r w:rsidRPr="005E36DF">
        <w:t xml:space="preserve">To be consistent with the ILO Minimum Age Convention, 1973 (No. 138), the applicable minimum age </w:t>
      </w:r>
      <w:r>
        <w:t>will</w:t>
      </w:r>
      <w:r w:rsidRPr="005E36DF">
        <w:t xml:space="preserve"> not be less than the age of completion of compulsory schooling and, in principle, not less than 15 years.</w:t>
      </w:r>
    </w:p>
  </w:footnote>
  <w:footnote w:id="116">
    <w:p w14:paraId="7A7E4976" w14:textId="77777777" w:rsidR="002053A1" w:rsidRDefault="002053A1" w:rsidP="009077FC">
      <w:pPr>
        <w:pStyle w:val="FootnoteText"/>
      </w:pPr>
      <w:r>
        <w:rPr>
          <w:rStyle w:val="FootnoteReference"/>
        </w:rPr>
        <w:footnoteRef/>
      </w:r>
      <w:r>
        <w:t xml:space="preserve"> See ILO Worst Forms of Child Labour Convention, 1999 (No. 182) and ILO Worst Forms of Child Labour Recommendation, 1999 (No. 190). Examples of hazardous work activities prohibited for children include work: (a) with exposure to physical, psychological or sexual abuse; (b) underground, underwater, working at heights or in confined spaces; (c) with dangerous machinery, equipment or tools, or involving handling or transport of heavy loads; (d) in unhealthy environments exposing children to hazardous substances, agents, or processes, or to temperatures, noise or vibration damaging to health; or (e) under particularly difficult conditions such as work for long hours, during the night or in unreasonable confinement on the premises of the employer. </w:t>
      </w:r>
    </w:p>
  </w:footnote>
  <w:footnote w:id="117">
    <w:p w14:paraId="59D52455" w14:textId="77777777" w:rsidR="002053A1" w:rsidRPr="004A0BA3" w:rsidRDefault="002053A1" w:rsidP="009077FC">
      <w:pPr>
        <w:pStyle w:val="FootnoteText"/>
      </w:pPr>
      <w:r>
        <w:rPr>
          <w:rStyle w:val="FootnoteReference"/>
        </w:rPr>
        <w:footnoteRef/>
      </w:r>
      <w:r>
        <w:t xml:space="preserve"> </w:t>
      </w:r>
      <w:hyperlink r:id="rId61" w:history="1">
        <w:r>
          <w:rPr>
            <w:rStyle w:val="Hyperlink"/>
          </w:rPr>
          <w:t>ILO Guidelines on Occupational Safety and Health Management systems, 2001</w:t>
        </w:r>
      </w:hyperlink>
      <w:r>
        <w:rPr>
          <w:color w:val="212121"/>
        </w:rPr>
        <w:t xml:space="preserve">. See also </w:t>
      </w:r>
      <w:r w:rsidRPr="00E87DB1">
        <w:rPr>
          <w:rStyle w:val="Hyperlink"/>
        </w:rPr>
        <w:t>United Nations Common System Occupational Safety and Health Framework</w:t>
      </w:r>
      <w:r>
        <w:rPr>
          <w:color w:val="1F497D"/>
        </w:rPr>
        <w:t>, Chief Executives Board, 31 March 2015</w:t>
      </w:r>
    </w:p>
  </w:footnote>
  <w:footnote w:id="118">
    <w:p w14:paraId="60DFC371" w14:textId="77777777" w:rsidR="002053A1" w:rsidRPr="00EB3E03" w:rsidRDefault="002053A1" w:rsidP="009077FC">
      <w:pPr>
        <w:pStyle w:val="FootnoteText"/>
      </w:pPr>
      <w:r>
        <w:rPr>
          <w:rStyle w:val="FootnoteReference"/>
        </w:rPr>
        <w:footnoteRef/>
      </w:r>
      <w:r>
        <w:t xml:space="preserve"> </w:t>
      </w:r>
      <w:r w:rsidRPr="00EB3E03">
        <w:t>These would include for example necessary insurance arrangements that ensure access to health benefits and replacement of loss of earnings in case of a work-related injury, namely in case of death or an illness due to work</w:t>
      </w:r>
      <w:r>
        <w:t>.</w:t>
      </w:r>
    </w:p>
  </w:footnote>
  <w:footnote w:id="119">
    <w:p w14:paraId="0359BBD8" w14:textId="77777777" w:rsidR="002053A1" w:rsidRPr="00AA01D3" w:rsidRDefault="002053A1" w:rsidP="009077FC">
      <w:pPr>
        <w:pStyle w:val="FootnoteText"/>
        <w:rPr>
          <w:i/>
        </w:rPr>
      </w:pPr>
      <w:r>
        <w:rPr>
          <w:rStyle w:val="FootnoteReference"/>
        </w:rPr>
        <w:footnoteRef/>
      </w:r>
      <w:r>
        <w:t xml:space="preserve"> See also </w:t>
      </w:r>
      <w:r w:rsidRPr="00AA01D3">
        <w:rPr>
          <w:i/>
        </w:rPr>
        <w:t>ILO Conventions 167, 184, and 176 on OSH in Construction, Agriculture and Mining</w:t>
      </w:r>
    </w:p>
    <w:p w14:paraId="2487EF43" w14:textId="77777777" w:rsidR="002053A1" w:rsidRPr="004B6681" w:rsidRDefault="002053A1" w:rsidP="009077FC">
      <w:pPr>
        <w:pStyle w:val="FootnoteText"/>
      </w:pPr>
    </w:p>
  </w:footnote>
  <w:footnote w:id="120">
    <w:p w14:paraId="0DF2B41C" w14:textId="77777777" w:rsidR="002053A1" w:rsidRPr="00C63B3D" w:rsidRDefault="002053A1" w:rsidP="009077FC">
      <w:pPr>
        <w:pStyle w:val="FootnoteText"/>
      </w:pPr>
      <w:r>
        <w:rPr>
          <w:rStyle w:val="FootnoteReference"/>
        </w:rPr>
        <w:footnoteRef/>
      </w:r>
      <w:r>
        <w:t xml:space="preserve"> Freedom of association and the right to collective bargaining; the abolition of child and forced labour and non-discrimination and equal opportunity. </w:t>
      </w:r>
    </w:p>
  </w:footnote>
  <w:footnote w:id="121">
    <w:p w14:paraId="32F456B0" w14:textId="77777777" w:rsidR="002053A1" w:rsidRPr="00CA1D81" w:rsidRDefault="002053A1" w:rsidP="00FF0BE0">
      <w:pPr>
        <w:pStyle w:val="FootnoteText"/>
        <w:rPr>
          <w:szCs w:val="18"/>
        </w:rPr>
      </w:pPr>
      <w:r w:rsidRPr="00CA1D81">
        <w:rPr>
          <w:rStyle w:val="FootnoteReference"/>
          <w:szCs w:val="18"/>
        </w:rPr>
        <w:footnoteRef/>
      </w:r>
      <w:r w:rsidRPr="00CA1D81">
        <w:rPr>
          <w:szCs w:val="18"/>
        </w:rPr>
        <w:t xml:space="preserve"> </w:t>
      </w:r>
      <w:r>
        <w:rPr>
          <w:szCs w:val="18"/>
        </w:rPr>
        <w:t>For the purposes of this Standard, the term “p</w:t>
      </w:r>
      <w:r w:rsidRPr="00CA1D81">
        <w:rPr>
          <w:szCs w:val="18"/>
        </w:rPr>
        <w:t xml:space="preserve">ollution” refers to both hazardous and nonhazardous pollutants in the solid, liquid, or gaseous </w:t>
      </w:r>
      <w:r>
        <w:rPr>
          <w:szCs w:val="18"/>
        </w:rPr>
        <w:t xml:space="preserve">phases, and includes other components such as pests, pathogens, thermal discharge to water, GHG emissions, </w:t>
      </w:r>
      <w:r w:rsidRPr="00CA1D81">
        <w:rPr>
          <w:szCs w:val="18"/>
        </w:rPr>
        <w:t>nuisance odors, noise, vibration, radiation, electromagnetic energy, and the creation of potential v</w:t>
      </w:r>
      <w:r>
        <w:rPr>
          <w:szCs w:val="18"/>
        </w:rPr>
        <w:t>isual impacts including light.</w:t>
      </w:r>
    </w:p>
  </w:footnote>
  <w:footnote w:id="122">
    <w:p w14:paraId="62AE6079" w14:textId="77777777" w:rsidR="002053A1" w:rsidRDefault="002053A1" w:rsidP="009A1C35">
      <w:pPr>
        <w:pStyle w:val="FootnoteText"/>
      </w:pPr>
      <w:r>
        <w:rPr>
          <w:rStyle w:val="FootnoteReference"/>
        </w:rPr>
        <w:footnoteRef/>
      </w:r>
      <w:r>
        <w:t xml:space="preserve"> This includes GHGs (see Standard 2 </w:t>
      </w:r>
      <w:r>
        <w:rPr>
          <w:rFonts w:eastAsia="Times New Roman"/>
          <w:color w:val="000000"/>
        </w:rPr>
        <w:t>Climate Change and Disaster Risks and black carbon.</w:t>
      </w:r>
    </w:p>
  </w:footnote>
  <w:footnote w:id="123">
    <w:p w14:paraId="56B7E72F" w14:textId="77777777" w:rsidR="002053A1" w:rsidRDefault="002053A1" w:rsidP="009A1C35">
      <w:pPr>
        <w:pStyle w:val="FootnoteText"/>
      </w:pPr>
      <w:r>
        <w:rPr>
          <w:rStyle w:val="FootnoteReference"/>
        </w:rPr>
        <w:footnoteRef/>
      </w:r>
      <w:r>
        <w:t xml:space="preserve"> </w:t>
      </w:r>
      <w:r w:rsidRPr="00437E90">
        <w:rPr>
          <w:lang w:bidi="en-US"/>
        </w:rPr>
        <w:t xml:space="preserve">According to the Scientific Assessment Panel of the </w:t>
      </w:r>
      <w:r w:rsidRPr="00927C82">
        <w:rPr>
          <w:lang w:bidi="en-US"/>
        </w:rPr>
        <w:t>Montreal Protocol</w:t>
      </w:r>
      <w:r w:rsidRPr="00437E90">
        <w:rPr>
          <w:lang w:bidi="en-US"/>
        </w:rPr>
        <w:t>, an</w:t>
      </w:r>
      <w:r>
        <w:rPr>
          <w:lang w:bidi="en-US"/>
        </w:rPr>
        <w:t xml:space="preserve"> ozone depleting substance (</w:t>
      </w:r>
      <w:r w:rsidRPr="00437E90">
        <w:rPr>
          <w:lang w:bidi="en-US"/>
        </w:rPr>
        <w:t>ODS</w:t>
      </w:r>
      <w:r>
        <w:rPr>
          <w:lang w:bidi="en-US"/>
        </w:rPr>
        <w:t>)</w:t>
      </w:r>
      <w:r w:rsidRPr="00437E90">
        <w:rPr>
          <w:lang w:bidi="en-US"/>
        </w:rPr>
        <w:t xml:space="preserve"> is a substance that leads to stratospheric ozone depletion. Under the Montreal Protocol, most of the widely used ODSs are controlled. These include, among others, chlorofluorocarbons (CFCs), carbon tetrachloride (CCl4), methyl chloroform (CH3CCl3), halons, methyl bromide (CH3Br) and hydrochlorofluorocarbons (HCFCs).</w:t>
      </w:r>
      <w:r>
        <w:t xml:space="preserve"> </w:t>
      </w:r>
    </w:p>
  </w:footnote>
  <w:footnote w:id="124">
    <w:p w14:paraId="682CDF1F" w14:textId="77777777" w:rsidR="002053A1" w:rsidRDefault="002053A1" w:rsidP="006E4FE1">
      <w:pPr>
        <w:pStyle w:val="FootnoteText"/>
      </w:pPr>
      <w:r>
        <w:rPr>
          <w:rStyle w:val="FootnoteReference"/>
        </w:rPr>
        <w:footnoteRef/>
      </w:r>
      <w:r>
        <w:t xml:space="preserve"> In this regard, due consideration should be given to the </w:t>
      </w:r>
      <w:hyperlink r:id="rId62" w:history="1">
        <w:r w:rsidRPr="002E68B4">
          <w:rPr>
            <w:rStyle w:val="Hyperlink"/>
          </w:rPr>
          <w:t>Guidelines for good practices in relation to the human rights obligations related to the environmentally sound management and disposal of hazardous substances and wastes</w:t>
        </w:r>
      </w:hyperlink>
      <w:r>
        <w:t xml:space="preserve"> </w:t>
      </w:r>
      <w:r w:rsidRPr="002E68B4">
        <w:rPr>
          <w:i/>
          <w:iCs/>
        </w:rPr>
        <w:t>(</w:t>
      </w:r>
      <w:r w:rsidRPr="002E68B4">
        <w:t>2017)</w:t>
      </w:r>
      <w:r>
        <w:t>, prepared by the Special Rapporteur on the implications for human rights of the environmentally sound management and disposal of hazardous substances and wastes.</w:t>
      </w:r>
    </w:p>
  </w:footnote>
  <w:footnote w:id="125">
    <w:p w14:paraId="1C789B6E" w14:textId="77777777" w:rsidR="002053A1" w:rsidRPr="00395A9C" w:rsidRDefault="002053A1" w:rsidP="00FF0BE0">
      <w:pPr>
        <w:pStyle w:val="FootnoteText"/>
        <w:rPr>
          <w:sz w:val="20"/>
          <w:szCs w:val="20"/>
        </w:rPr>
      </w:pPr>
      <w:r w:rsidRPr="00395A9C">
        <w:rPr>
          <w:rStyle w:val="FootnoteReference"/>
          <w:szCs w:val="18"/>
        </w:rPr>
        <w:footnoteRef/>
      </w:r>
      <w:r w:rsidRPr="00395A9C">
        <w:rPr>
          <w:sz w:val="20"/>
          <w:szCs w:val="20"/>
        </w:rPr>
        <w:t xml:space="preserve"> </w:t>
      </w:r>
      <w:r w:rsidRPr="00395A9C">
        <w:rPr>
          <w:szCs w:val="18"/>
        </w:rPr>
        <w:t>Including those covered under the Convention on Long-range Transboundary Air Pollution</w:t>
      </w:r>
      <w:r>
        <w:rPr>
          <w:szCs w:val="18"/>
        </w:rPr>
        <w:t>, available</w:t>
      </w:r>
      <w:r w:rsidRPr="00395A9C">
        <w:rPr>
          <w:szCs w:val="18"/>
        </w:rPr>
        <w:t xml:space="preserve"> at </w:t>
      </w:r>
      <w:hyperlink r:id="rId63" w:history="1">
        <w:r w:rsidRPr="007263A9">
          <w:rPr>
            <w:rStyle w:val="Hyperlink"/>
            <w:szCs w:val="18"/>
          </w:rPr>
          <w:t>http://www.unece.org/env/lrtap/lrtap_h1.html</w:t>
        </w:r>
      </w:hyperlink>
      <w:r>
        <w:rPr>
          <w:szCs w:val="18"/>
        </w:rPr>
        <w:t>.</w:t>
      </w:r>
    </w:p>
  </w:footnote>
  <w:footnote w:id="126">
    <w:p w14:paraId="59EF8567" w14:textId="054DBBCF" w:rsidR="002053A1" w:rsidRPr="00D442E7" w:rsidRDefault="002053A1" w:rsidP="00FF0BE0">
      <w:pPr>
        <w:pStyle w:val="FootnoteText"/>
        <w:rPr>
          <w:szCs w:val="18"/>
        </w:rPr>
      </w:pPr>
      <w:r w:rsidRPr="006D2B6A">
        <w:rPr>
          <w:rStyle w:val="FootnoteReference"/>
          <w:szCs w:val="18"/>
        </w:rPr>
        <w:footnoteRef/>
      </w:r>
      <w:r w:rsidRPr="006D2B6A">
        <w:rPr>
          <w:szCs w:val="18"/>
        </w:rPr>
        <w:t xml:space="preserve"> </w:t>
      </w:r>
      <w:r>
        <w:rPr>
          <w:szCs w:val="18"/>
        </w:rPr>
        <w:t>A</w:t>
      </w:r>
      <w:r w:rsidRPr="00D442E7">
        <w:rPr>
          <w:szCs w:val="18"/>
        </w:rPr>
        <w:t xml:space="preserve">s reflected in internationally recognized standards such as the World Bank Group’s </w:t>
      </w:r>
      <w:r w:rsidRPr="00D442E7">
        <w:rPr>
          <w:i/>
          <w:iCs/>
          <w:szCs w:val="18"/>
        </w:rPr>
        <w:t>Environment</w:t>
      </w:r>
      <w:r>
        <w:rPr>
          <w:i/>
          <w:iCs/>
          <w:szCs w:val="18"/>
        </w:rPr>
        <w:t>al</w:t>
      </w:r>
      <w:r w:rsidRPr="00D442E7">
        <w:rPr>
          <w:i/>
          <w:iCs/>
          <w:szCs w:val="18"/>
        </w:rPr>
        <w:t>, Health and Safety Guidelines</w:t>
      </w:r>
      <w:r>
        <w:rPr>
          <w:i/>
          <w:iCs/>
          <w:szCs w:val="18"/>
        </w:rPr>
        <w:t xml:space="preserve">, </w:t>
      </w:r>
      <w:r>
        <w:t xml:space="preserve">available at </w:t>
      </w:r>
      <w:hyperlink r:id="rId64" w:history="1">
        <w:r w:rsidRPr="0081488A">
          <w:rPr>
            <w:rStyle w:val="Hyperlink"/>
          </w:rPr>
          <w:t>http://www.ifc.org/ehsguidelines</w:t>
        </w:r>
      </w:hyperlink>
      <w:r>
        <w:rPr>
          <w:i/>
          <w:iCs/>
          <w:szCs w:val="18"/>
        </w:rPr>
        <w:t>.</w:t>
      </w:r>
      <w:r>
        <w:rPr>
          <w:iCs/>
          <w:szCs w:val="18"/>
        </w:rPr>
        <w:t xml:space="preserve"> </w:t>
      </w:r>
      <w:r w:rsidRPr="00D442E7">
        <w:rPr>
          <w:iCs/>
          <w:szCs w:val="18"/>
        </w:rPr>
        <w:t xml:space="preserve">These standards contain performance levels and measures that </w:t>
      </w:r>
      <w:r>
        <w:rPr>
          <w:iCs/>
          <w:szCs w:val="18"/>
        </w:rPr>
        <w:t>will</w:t>
      </w:r>
      <w:r w:rsidRPr="00D442E7">
        <w:rPr>
          <w:iCs/>
          <w:szCs w:val="18"/>
        </w:rPr>
        <w:t xml:space="preserve"> normally </w:t>
      </w:r>
      <w:r>
        <w:rPr>
          <w:iCs/>
          <w:szCs w:val="18"/>
        </w:rPr>
        <w:t xml:space="preserve">be </w:t>
      </w:r>
      <w:r w:rsidRPr="00D442E7">
        <w:rPr>
          <w:iCs/>
          <w:szCs w:val="18"/>
        </w:rPr>
        <w:t xml:space="preserve">acceptable and applicable to </w:t>
      </w:r>
      <w:r>
        <w:rPr>
          <w:iCs/>
          <w:szCs w:val="18"/>
        </w:rPr>
        <w:t>project</w:t>
      </w:r>
      <w:r w:rsidRPr="00D442E7">
        <w:rPr>
          <w:iCs/>
          <w:szCs w:val="18"/>
        </w:rPr>
        <w:t>s</w:t>
      </w:r>
      <w:r>
        <w:rPr>
          <w:iCs/>
          <w:szCs w:val="18"/>
        </w:rPr>
        <w:t xml:space="preserve">. </w:t>
      </w:r>
      <w:r w:rsidRPr="000C1342">
        <w:rPr>
          <w:szCs w:val="18"/>
        </w:rPr>
        <w:t xml:space="preserve">When </w:t>
      </w:r>
      <w:r>
        <w:rPr>
          <w:szCs w:val="18"/>
        </w:rPr>
        <w:t xml:space="preserve">national </w:t>
      </w:r>
      <w:r w:rsidRPr="000C1342">
        <w:rPr>
          <w:szCs w:val="18"/>
        </w:rPr>
        <w:t xml:space="preserve">regulations differ from these levels and measures, the </w:t>
      </w:r>
      <w:r w:rsidRPr="00DB29DB">
        <w:rPr>
          <w:szCs w:val="18"/>
        </w:rPr>
        <w:t xml:space="preserve">Implementing Partner will achieve whichever </w:t>
      </w:r>
      <w:r>
        <w:rPr>
          <w:szCs w:val="18"/>
        </w:rPr>
        <w:t>are</w:t>
      </w:r>
      <w:r w:rsidRPr="00DB29DB">
        <w:rPr>
          <w:szCs w:val="18"/>
        </w:rPr>
        <w:t xml:space="preserve"> more stringent. If less stringent levels or measures are appropriate in view of specific </w:t>
      </w:r>
      <w:r>
        <w:rPr>
          <w:szCs w:val="18"/>
        </w:rPr>
        <w:t>project</w:t>
      </w:r>
      <w:r w:rsidRPr="00DB29DB">
        <w:rPr>
          <w:szCs w:val="18"/>
        </w:rPr>
        <w:t xml:space="preserve"> circumstances, the </w:t>
      </w:r>
      <w:r w:rsidRPr="00CA3551">
        <w:rPr>
          <w:szCs w:val="18"/>
        </w:rPr>
        <w:t>Implementing Partner</w:t>
      </w:r>
      <w:r>
        <w:rPr>
          <w:szCs w:val="18"/>
        </w:rPr>
        <w:t xml:space="preserve"> </w:t>
      </w:r>
      <w:r w:rsidRPr="000C1342">
        <w:rPr>
          <w:szCs w:val="18"/>
        </w:rPr>
        <w:t>will provide full and detailed justification for any proposed alternatives</w:t>
      </w:r>
      <w:r>
        <w:rPr>
          <w:szCs w:val="18"/>
        </w:rPr>
        <w:t>, provided that such alternatives</w:t>
      </w:r>
      <w:r w:rsidRPr="000C1342">
        <w:rPr>
          <w:szCs w:val="18"/>
        </w:rPr>
        <w:t xml:space="preserve"> are consistent with the requirements </w:t>
      </w:r>
      <w:r>
        <w:rPr>
          <w:szCs w:val="18"/>
        </w:rPr>
        <w:t>of UNDPs SES.</w:t>
      </w:r>
    </w:p>
  </w:footnote>
  <w:footnote w:id="127">
    <w:p w14:paraId="54DDB455" w14:textId="77777777" w:rsidR="002053A1" w:rsidRDefault="002053A1">
      <w:pPr>
        <w:pStyle w:val="FootnoteText"/>
      </w:pPr>
      <w:r>
        <w:rPr>
          <w:rStyle w:val="FootnoteReference"/>
        </w:rPr>
        <w:footnoteRef/>
      </w:r>
      <w:r>
        <w:t xml:space="preserve"> For example, assistance with applying the UNDP’s </w:t>
      </w:r>
      <w:r w:rsidRPr="00B82704">
        <w:rPr>
          <w:iCs/>
        </w:rPr>
        <w:t>Guide for Integrating the Sound Management of Chemicals into Development Planning</w:t>
      </w:r>
      <w:r>
        <w:rPr>
          <w:iCs/>
        </w:rPr>
        <w:t xml:space="preserve">, available at </w:t>
      </w:r>
      <w:hyperlink r:id="rId65" w:history="1">
        <w:r w:rsidRPr="0025240F">
          <w:rPr>
            <w:rStyle w:val="Hyperlink"/>
            <w:iCs/>
          </w:rPr>
          <w:t>http://www.undp.org/content/undp/en/home/librarypage/environment-energy/chemicals_management/Guide_for_integrating_SMC_into_development_planning/</w:t>
        </w:r>
      </w:hyperlink>
      <w:r>
        <w:rPr>
          <w:iCs/>
        </w:rPr>
        <w:t xml:space="preserve">. </w:t>
      </w:r>
    </w:p>
  </w:footnote>
  <w:footnote w:id="128">
    <w:p w14:paraId="585BFAA4" w14:textId="77777777" w:rsidR="002053A1" w:rsidRDefault="002053A1">
      <w:pPr>
        <w:pStyle w:val="FootnoteText"/>
      </w:pPr>
      <w:r>
        <w:rPr>
          <w:rStyle w:val="FootnoteReference"/>
        </w:rPr>
        <w:footnoteRef/>
      </w:r>
      <w:r>
        <w:t xml:space="preserve"> Assimilative capacity of the environment refers to the </w:t>
      </w:r>
      <w:r w:rsidRPr="00E37417">
        <w:t>capacity of the environment for absorbing an incremental load of pollutants while remaining below a threshold of unacceptable risk to human health and the environment</w:t>
      </w:r>
      <w:r>
        <w:t>.</w:t>
      </w:r>
    </w:p>
  </w:footnote>
  <w:footnote w:id="129">
    <w:p w14:paraId="5BAB56A5" w14:textId="77777777" w:rsidR="002053A1" w:rsidRDefault="002053A1">
      <w:pPr>
        <w:pStyle w:val="FootnoteText"/>
      </w:pPr>
      <w:r>
        <w:rPr>
          <w:rStyle w:val="FootnoteReference"/>
        </w:rPr>
        <w:footnoteRef/>
      </w:r>
      <w:r>
        <w:t xml:space="preserve"> A</w:t>
      </w:r>
      <w:r w:rsidRPr="00DB20CD">
        <w:t>s defined by international conventions or local legislation</w:t>
      </w:r>
      <w:r>
        <w:t>. Where local legislation and international conventions may diverge, the higher standard will apply.</w:t>
      </w:r>
    </w:p>
  </w:footnote>
  <w:footnote w:id="130">
    <w:p w14:paraId="5727D573" w14:textId="77777777" w:rsidR="002053A1" w:rsidRPr="00737EB6" w:rsidRDefault="002053A1" w:rsidP="00FF0BE0">
      <w:pPr>
        <w:pStyle w:val="FootnoteText"/>
        <w:rPr>
          <w:szCs w:val="18"/>
        </w:rPr>
      </w:pPr>
      <w:r w:rsidRPr="00737EB6">
        <w:rPr>
          <w:rStyle w:val="FootnoteReference"/>
          <w:szCs w:val="18"/>
        </w:rPr>
        <w:footnoteRef/>
      </w:r>
      <w:r w:rsidRPr="00737EB6">
        <w:rPr>
          <w:szCs w:val="18"/>
        </w:rPr>
        <w:t xml:space="preserve"> </w:t>
      </w:r>
      <w:r>
        <w:rPr>
          <w:szCs w:val="18"/>
        </w:rPr>
        <w:t xml:space="preserve">Transboundary movement of hazardous materials should be consistent with national, regional and international law, including the </w:t>
      </w:r>
      <w:r w:rsidRPr="00737EB6">
        <w:rPr>
          <w:szCs w:val="18"/>
        </w:rPr>
        <w:t>Basel Convention on the Control of Transboundar</w:t>
      </w:r>
      <w:r>
        <w:rPr>
          <w:szCs w:val="18"/>
        </w:rPr>
        <w:t xml:space="preserve">y Movements of Hazardous Wastes and their Disposal, available at </w:t>
      </w:r>
      <w:hyperlink r:id="rId66" w:history="1">
        <w:r w:rsidRPr="008B5622">
          <w:rPr>
            <w:rStyle w:val="Hyperlink"/>
            <w:szCs w:val="18"/>
          </w:rPr>
          <w:t>www.basel.int</w:t>
        </w:r>
      </w:hyperlink>
      <w:r w:rsidRPr="008B5622">
        <w:rPr>
          <w:szCs w:val="18"/>
        </w:rPr>
        <w:t xml:space="preserve">, </w:t>
      </w:r>
      <w:r>
        <w:rPr>
          <w:szCs w:val="18"/>
        </w:rPr>
        <w:t>and the London Convention on the Prevention of Marine Pollution by Dumping of Wastes and Other Matter, available at www.imo.org. For further guidance, t</w:t>
      </w:r>
      <w:r w:rsidRPr="007E397E">
        <w:rPr>
          <w:szCs w:val="18"/>
        </w:rPr>
        <w:t xml:space="preserve">he </w:t>
      </w:r>
      <w:r w:rsidRPr="007E397E">
        <w:rPr>
          <w:bCs/>
          <w:szCs w:val="18"/>
        </w:rPr>
        <w:t>S</w:t>
      </w:r>
      <w:r w:rsidRPr="007E397E">
        <w:rPr>
          <w:szCs w:val="18"/>
        </w:rPr>
        <w:t xml:space="preserve">trategic </w:t>
      </w:r>
      <w:r w:rsidRPr="007E397E">
        <w:rPr>
          <w:bCs/>
          <w:szCs w:val="18"/>
        </w:rPr>
        <w:t>A</w:t>
      </w:r>
      <w:r w:rsidRPr="007E397E">
        <w:rPr>
          <w:szCs w:val="18"/>
        </w:rPr>
        <w:t xml:space="preserve">pproach to </w:t>
      </w:r>
      <w:r w:rsidRPr="007E397E">
        <w:rPr>
          <w:bCs/>
          <w:szCs w:val="18"/>
        </w:rPr>
        <w:t>I</w:t>
      </w:r>
      <w:r w:rsidRPr="007E397E">
        <w:rPr>
          <w:szCs w:val="18"/>
        </w:rPr>
        <w:t xml:space="preserve">nternational </w:t>
      </w:r>
      <w:r w:rsidRPr="007E397E">
        <w:rPr>
          <w:bCs/>
          <w:szCs w:val="18"/>
        </w:rPr>
        <w:t>C</w:t>
      </w:r>
      <w:r w:rsidRPr="007E397E">
        <w:rPr>
          <w:szCs w:val="18"/>
        </w:rPr>
        <w:t xml:space="preserve">hemicals </w:t>
      </w:r>
      <w:r w:rsidRPr="007E397E">
        <w:rPr>
          <w:bCs/>
          <w:szCs w:val="18"/>
        </w:rPr>
        <w:t>M</w:t>
      </w:r>
      <w:r w:rsidRPr="007E397E">
        <w:rPr>
          <w:szCs w:val="18"/>
        </w:rPr>
        <w:t>anagement (</w:t>
      </w:r>
      <w:r w:rsidRPr="007E397E">
        <w:rPr>
          <w:bCs/>
          <w:szCs w:val="18"/>
        </w:rPr>
        <w:t>SAICM</w:t>
      </w:r>
      <w:r w:rsidRPr="007E397E">
        <w:rPr>
          <w:szCs w:val="18"/>
        </w:rPr>
        <w:t>) is a policy framework to foster the sound management of chemicals</w:t>
      </w:r>
      <w:r>
        <w:rPr>
          <w:szCs w:val="18"/>
        </w:rPr>
        <w:t xml:space="preserve">, available at </w:t>
      </w:r>
      <w:hyperlink r:id="rId67" w:history="1">
        <w:r w:rsidRPr="0025240F">
          <w:rPr>
            <w:rStyle w:val="Hyperlink"/>
            <w:szCs w:val="18"/>
          </w:rPr>
          <w:t>http://www.saicm.org/</w:t>
        </w:r>
      </w:hyperlink>
      <w:r>
        <w:rPr>
          <w:szCs w:val="18"/>
        </w:rPr>
        <w:t xml:space="preserve">. </w:t>
      </w:r>
    </w:p>
  </w:footnote>
  <w:footnote w:id="131">
    <w:p w14:paraId="2E3490FE" w14:textId="77777777" w:rsidR="002053A1" w:rsidRDefault="002053A1" w:rsidP="00CC4831">
      <w:pPr>
        <w:pStyle w:val="FootnoteText"/>
      </w:pPr>
      <w:r>
        <w:rPr>
          <w:rStyle w:val="FootnoteReference"/>
        </w:rPr>
        <w:footnoteRef/>
      </w:r>
      <w:r>
        <w:t xml:space="preserve"> These include the principles of inherently safer design, life-cycle approach, and global approach. See </w:t>
      </w:r>
      <w:hyperlink r:id="rId68" w:history="1">
        <w:r w:rsidRPr="003242EE">
          <w:rPr>
            <w:rStyle w:val="Hyperlink"/>
          </w:rPr>
          <w:t>Guidelines for good practices in relation to the human rights obligations related to the environmentally sound management and disposal of hazardous substances and wastes</w:t>
        </w:r>
      </w:hyperlink>
      <w:r>
        <w:t xml:space="preserve"> </w:t>
      </w:r>
      <w:r w:rsidRPr="003242EE">
        <w:rPr>
          <w:i/>
          <w:iCs/>
        </w:rPr>
        <w:t>(</w:t>
      </w:r>
      <w:r w:rsidRPr="003242EE">
        <w:t>2017)</w:t>
      </w:r>
      <w:r>
        <w:t>, paras. 45-55.</w:t>
      </w:r>
    </w:p>
  </w:footnote>
  <w:footnote w:id="132">
    <w:p w14:paraId="31AB2F8C" w14:textId="77777777" w:rsidR="002053A1" w:rsidRDefault="002053A1" w:rsidP="00FF0BE0">
      <w:pPr>
        <w:pStyle w:val="FootnoteText"/>
      </w:pPr>
      <w:r w:rsidRPr="00B24040">
        <w:rPr>
          <w:rStyle w:val="FootnoteReference"/>
          <w:szCs w:val="18"/>
        </w:rPr>
        <w:footnoteRef/>
      </w:r>
      <w:r w:rsidRPr="00B24040">
        <w:rPr>
          <w:szCs w:val="18"/>
        </w:rPr>
        <w:t xml:space="preserve"> </w:t>
      </w:r>
      <w:r>
        <w:rPr>
          <w:szCs w:val="18"/>
        </w:rPr>
        <w:t xml:space="preserve">Similar considerations will apply to certain World Health Organization (WHO) classes of pesticides. </w:t>
      </w:r>
    </w:p>
  </w:footnote>
  <w:footnote w:id="133">
    <w:p w14:paraId="0F4BEE72" w14:textId="77777777" w:rsidR="002053A1" w:rsidRPr="002F4E50" w:rsidRDefault="002053A1" w:rsidP="0008102D">
      <w:pPr>
        <w:pStyle w:val="FootnoteText"/>
      </w:pPr>
      <w:r>
        <w:rPr>
          <w:rStyle w:val="FootnoteReference"/>
        </w:rPr>
        <w:footnoteRef/>
      </w:r>
      <w:r>
        <w:t xml:space="preserve"> FAO/WHO, </w:t>
      </w:r>
      <w:hyperlink r:id="rId69" w:history="1">
        <w:r w:rsidRPr="00CF718E">
          <w:rPr>
            <w:rStyle w:val="Hyperlink"/>
          </w:rPr>
          <w:t>The International Code of Conduct on Pesticide Management</w:t>
        </w:r>
      </w:hyperlink>
      <w:r>
        <w:t xml:space="preserve"> (2014). </w:t>
      </w:r>
    </w:p>
  </w:footnote>
  <w:footnote w:id="134">
    <w:p w14:paraId="6F07440F" w14:textId="77777777" w:rsidR="002053A1" w:rsidRDefault="002053A1" w:rsidP="0013699E">
      <w:pPr>
        <w:pStyle w:val="FootnoteText"/>
      </w:pPr>
      <w:r>
        <w:rPr>
          <w:rStyle w:val="FootnoteReference"/>
        </w:rPr>
        <w:footnoteRef/>
      </w:r>
      <w:r>
        <w:t xml:space="preserve"> Including those that meet the </w:t>
      </w:r>
      <w:r w:rsidRPr="00295999">
        <w:t>criteria for H</w:t>
      </w:r>
      <w:r>
        <w:t>ighly Hazardous Pesticides</w:t>
      </w:r>
      <w:r w:rsidRPr="00295999">
        <w:t xml:space="preserve"> </w:t>
      </w:r>
      <w:r>
        <w:t>identified</w:t>
      </w:r>
      <w:r w:rsidRPr="00295999">
        <w:t xml:space="preserve"> by WHO and FAO: (1) pesticide formulations that meet the criteria of classes Ia or Ib of the </w:t>
      </w:r>
      <w:hyperlink r:id="rId70" w:history="1">
        <w:r w:rsidRPr="00CF718E">
          <w:rPr>
            <w:rStyle w:val="Hyperlink"/>
          </w:rPr>
          <w:t xml:space="preserve">WHO Recommended Classification of </w:t>
        </w:r>
        <w:r w:rsidRPr="00CF718E">
          <w:rPr>
            <w:rStyle w:val="Hyperlink"/>
            <w:rFonts w:ascii="MS Gothic" w:eastAsia="MS Gothic" w:hAnsi="MS Gothic" w:cs="MS Gothic" w:hint="eastAsia"/>
          </w:rPr>
          <w:t> </w:t>
        </w:r>
        <w:r w:rsidRPr="00CF718E">
          <w:rPr>
            <w:rStyle w:val="Hyperlink"/>
          </w:rPr>
          <w:t>Pesticides by Hazard</w:t>
        </w:r>
      </w:hyperlink>
      <w:r w:rsidRPr="00295999">
        <w:t xml:space="preserve">; (2) pesticide active ingredients and their formulations that meet the criteria of carcinogenicity, mutagenicity, and reproductive toxicity Categories 1A and  1B of the Globally Harmonized System on Classification and Labelling of Chemicals (GHS); (3) pesticide active ingredients listed by the </w:t>
      </w:r>
      <w:hyperlink r:id="rId71" w:history="1">
        <w:r w:rsidRPr="00CF718E">
          <w:rPr>
            <w:rStyle w:val="Hyperlink"/>
          </w:rPr>
          <w:t>Stockholm Convention</w:t>
        </w:r>
      </w:hyperlink>
      <w:r w:rsidRPr="00295999">
        <w:t xml:space="preserve"> in its Annexes A and B, and those meeting all the criteria in paragraph 1 of annex D of the Convention; (4) pesticide active ingredients and formulations listed by the </w:t>
      </w:r>
      <w:hyperlink r:id="rId72" w:history="1">
        <w:r w:rsidRPr="00CF718E">
          <w:rPr>
            <w:rStyle w:val="Hyperlink"/>
          </w:rPr>
          <w:t>Rotterdam Convention</w:t>
        </w:r>
      </w:hyperlink>
      <w:r w:rsidRPr="00295999">
        <w:t xml:space="preserve"> in its Annex III; (5) pesticides listed under the </w:t>
      </w:r>
      <w:hyperlink r:id="rId73" w:history="1">
        <w:r w:rsidRPr="00CF718E">
          <w:rPr>
            <w:rStyle w:val="Hyperlink"/>
          </w:rPr>
          <w:t>Montreal Protocol</w:t>
        </w:r>
      </w:hyperlink>
      <w:r>
        <w:t>;</w:t>
      </w:r>
      <w:r w:rsidRPr="00295999">
        <w:t xml:space="preserve"> and (6) pesticide active ingredients and formulations that have shown a high incidence of severe or irreversible adverse effects on human health or the environment.</w:t>
      </w:r>
    </w:p>
  </w:footnote>
  <w:footnote w:id="135">
    <w:p w14:paraId="0E20F099" w14:textId="4C06BF29" w:rsidR="00723DFD" w:rsidRDefault="00723DFD" w:rsidP="00C66418">
      <w:pPr>
        <w:pStyle w:val="FootnoteText"/>
      </w:pPr>
      <w:r>
        <w:rPr>
          <w:rStyle w:val="FootnoteReference"/>
        </w:rPr>
        <w:footnoteRef/>
      </w:r>
      <w:r>
        <w:t xml:space="preserve"> </w:t>
      </w:r>
      <w:r w:rsidDel="00E60CC0">
        <w:t>Project</w:t>
      </w:r>
      <w:r w:rsidR="00613A09">
        <w:t>s</w:t>
      </w:r>
      <w:r>
        <w:t xml:space="preserve"> that may generate significant GHG emissions will also address the requirements of Standard 2: Climate Change and Disaster Risks.</w:t>
      </w:r>
    </w:p>
  </w:footnote>
  <w:footnote w:id="136">
    <w:p w14:paraId="7509CC6B" w14:textId="77777777" w:rsidR="002053A1" w:rsidRDefault="002053A1">
      <w:pPr>
        <w:pStyle w:val="FootnoteText"/>
      </w:pPr>
      <w:r>
        <w:rPr>
          <w:rStyle w:val="FootnoteReference"/>
        </w:rPr>
        <w:footnoteRef/>
      </w:r>
      <w:r>
        <w:t xml:space="preserve"> </w:t>
      </w:r>
      <w:r w:rsidRPr="00032221">
        <w:t>Technical feasibility means the proposed measures and actions can be implemented with commercially viable skills, equipment and materials, taking into consideration prevailing local factors such as climate, geography, demography, infrastructure, security, governance, capacity and operational reliability. Financial feasibility means the ability to apply sufficient financial resources to install the measures and maintain them in operation in the long term. Cost- effectiveness is determined according to the capital and operational costs and also the financial benefits of the measure, considered over its lifespan.</w:t>
      </w:r>
    </w:p>
  </w:footnote>
  <w:footnote w:id="137">
    <w:p w14:paraId="13F413EB" w14:textId="0B079729" w:rsidR="002053A1" w:rsidRDefault="002053A1" w:rsidP="00273C15">
      <w:pPr>
        <w:pStyle w:val="FootnoteText"/>
      </w:pPr>
      <w:r>
        <w:rPr>
          <w:rStyle w:val="FootnoteReference"/>
        </w:rPr>
        <w:footnoteRef/>
      </w:r>
      <w:r>
        <w:t xml:space="preserve"> </w:t>
      </w:r>
      <w:r w:rsidRPr="00E5628E">
        <w:t>UNDP </w:t>
      </w:r>
      <w:r>
        <w:t>“</w:t>
      </w:r>
      <w:r w:rsidRPr="00E04128">
        <w:rPr>
          <w:bCs/>
        </w:rPr>
        <w:t>programming</w:t>
      </w:r>
      <w:r>
        <w:rPr>
          <w:bCs/>
        </w:rPr>
        <w:t>”</w:t>
      </w:r>
      <w:r w:rsidRPr="001E51CA">
        <w:t> </w:t>
      </w:r>
      <w:r w:rsidRPr="00E5628E">
        <w:t>comprises the planning, implementation, reporting and evaluation of development results achieved with partners through UNDP support. A UNDP </w:t>
      </w:r>
      <w:r w:rsidRPr="001E51CA">
        <w:t>“</w:t>
      </w:r>
      <w:r>
        <w:rPr>
          <w:bCs/>
        </w:rPr>
        <w:t>P</w:t>
      </w:r>
      <w:r w:rsidRPr="00E04128">
        <w:rPr>
          <w:bCs/>
        </w:rPr>
        <w:t>rogramme</w:t>
      </w:r>
      <w:r>
        <w:t>”</w:t>
      </w:r>
      <w:r w:rsidRPr="00E5628E">
        <w:t> is a plan for effectively contributing to outcome level development results through UNDP’s </w:t>
      </w:r>
      <w:r>
        <w:t>“</w:t>
      </w:r>
      <w:r>
        <w:rPr>
          <w:bCs/>
        </w:rPr>
        <w:t>P</w:t>
      </w:r>
      <w:r w:rsidRPr="00E04128">
        <w:rPr>
          <w:bCs/>
        </w:rPr>
        <w:t>roject modalities</w:t>
      </w:r>
      <w:r w:rsidRPr="00E5628E">
        <w:t>:</w:t>
      </w:r>
      <w:r>
        <w:t>”</w:t>
      </w:r>
      <w:r w:rsidRPr="00E5628E">
        <w:t xml:space="preserve"> development projects, the engagement facility and development services.</w:t>
      </w:r>
      <w:r>
        <w:t xml:space="preserve"> </w:t>
      </w:r>
    </w:p>
  </w:footnote>
  <w:footnote w:id="138">
    <w:p w14:paraId="15ACD958" w14:textId="77777777" w:rsidR="002053A1" w:rsidRDefault="002053A1" w:rsidP="00FE549A">
      <w:pPr>
        <w:pStyle w:val="FootnoteText"/>
      </w:pPr>
      <w:r>
        <w:rPr>
          <w:rStyle w:val="FootnoteReference"/>
        </w:rPr>
        <w:footnoteRef/>
      </w:r>
      <w:r>
        <w:t xml:space="preserve"> SESA or Strategic Environmental Assessment (SEA) refers to a range of </w:t>
      </w:r>
      <w:r w:rsidRPr="00347A78">
        <w:t>analytical and participatory approaches that aim to integrate</w:t>
      </w:r>
      <w:r>
        <w:t xml:space="preserve"> social and </w:t>
      </w:r>
      <w:r w:rsidRPr="00347A78">
        <w:t>environmental considerations into policies, plans and programmes and evaluate the interlinkages with econo</w:t>
      </w:r>
      <w:r>
        <w:t>mic and social considerations. For guidance see the OECD DAC guidelines “Applying Strategic Environmental Assessment” (2006), available at</w:t>
      </w:r>
      <w:r w:rsidRPr="00C62DDA">
        <w:t xml:space="preserve"> </w:t>
      </w:r>
      <w:hyperlink r:id="rId74" w:history="1">
        <w:r w:rsidRPr="00C62DDA">
          <w:rPr>
            <w:rStyle w:val="Hyperlink"/>
          </w:rPr>
          <w:t>http://www.oecd.org/environment/environment-development/37353858.pdf</w:t>
        </w:r>
      </w:hyperlink>
      <w:r>
        <w:t xml:space="preserve">. </w:t>
      </w:r>
    </w:p>
  </w:footnote>
  <w:footnote w:id="139">
    <w:p w14:paraId="231AB693" w14:textId="77777777" w:rsidR="002053A1" w:rsidRDefault="002053A1">
      <w:pPr>
        <w:pStyle w:val="FootnoteText"/>
      </w:pPr>
      <w:r>
        <w:rPr>
          <w:rStyle w:val="FootnoteReference"/>
        </w:rPr>
        <w:footnoteRef/>
      </w:r>
      <w:r>
        <w:t xml:space="preserve"> See UNDP Social and Environmental Screening Procedure, including guidance in applying the SESP, in the SES Toolkit, at </w:t>
      </w:r>
      <w:hyperlink r:id="rId75" w:history="1">
        <w:r w:rsidRPr="007462B2">
          <w:rPr>
            <w:rStyle w:val="Hyperlink"/>
          </w:rPr>
          <w:t>https://info.undp.org/sites/bpps/ses_toolkit/default.aspx</w:t>
        </w:r>
      </w:hyperlink>
      <w:r>
        <w:t xml:space="preserve">. </w:t>
      </w:r>
    </w:p>
  </w:footnote>
  <w:footnote w:id="140">
    <w:p w14:paraId="52DAE251" w14:textId="27ED26C6" w:rsidR="002053A1" w:rsidRDefault="002053A1">
      <w:pPr>
        <w:pStyle w:val="FootnoteText"/>
      </w:pPr>
      <w:r>
        <w:rPr>
          <w:rStyle w:val="FootnoteReference"/>
        </w:rPr>
        <w:footnoteRef/>
      </w:r>
      <w:r>
        <w:t xml:space="preserve"> A limited range of project types are exempt from screening as listed in the UNDP Social and Environmental Screening Procedure (SESP), namely project</w:t>
      </w:r>
      <w:r w:rsidRPr="00200425">
        <w:t xml:space="preserve">s that consist </w:t>
      </w:r>
      <w:r w:rsidRPr="00E04128">
        <w:rPr>
          <w:u w:val="single"/>
        </w:rPr>
        <w:t>solely</w:t>
      </w:r>
      <w:r w:rsidRPr="000E1F87">
        <w:t xml:space="preserve"> </w:t>
      </w:r>
      <w:r w:rsidRPr="00200425">
        <w:t>of any of the following functions or activities: (a) UNDP serves as Administrative Agent; (b) Preparation and dissemination of reports, documents and communication materials; (c) Organization of an event, workshop, training</w:t>
      </w:r>
      <w:r>
        <w:t xml:space="preserve">; </w:t>
      </w:r>
      <w:r w:rsidRPr="00200425">
        <w:t>(d) Strengthening capacities of partners to participate in international negotiations and conferences; (e) Partnership coordination (including UN coordination) and management of networks; (f) Global/regional projects with no country level activities (e.g. knowledge management, inter-governmental processes).</w:t>
      </w:r>
      <w:r>
        <w:t xml:space="preserve"> These projects are assumed to be Low Risk.</w:t>
      </w:r>
    </w:p>
  </w:footnote>
  <w:footnote w:id="141">
    <w:p w14:paraId="714E10C1" w14:textId="4FF54455" w:rsidR="002053A1" w:rsidRDefault="002053A1" w:rsidP="00497460">
      <w:pPr>
        <w:pStyle w:val="FootnoteText"/>
      </w:pPr>
      <w:r>
        <w:rPr>
          <w:rStyle w:val="FootnoteReference"/>
        </w:rPr>
        <w:footnoteRef/>
      </w:r>
      <w:r>
        <w:t xml:space="preserve"> UNDP’s Social and Environmental Screening Procedure contains an indicative list of potential “High Risk” projects.</w:t>
      </w:r>
    </w:p>
  </w:footnote>
  <w:footnote w:id="142">
    <w:p w14:paraId="3A0BE609" w14:textId="1A04A785" w:rsidR="002053A1" w:rsidRDefault="002053A1" w:rsidP="00A62E8C">
      <w:pPr>
        <w:pStyle w:val="FootnoteText"/>
      </w:pPr>
      <w:r>
        <w:rPr>
          <w:rStyle w:val="FootnoteReference"/>
        </w:rPr>
        <w:footnoteRef/>
      </w:r>
      <w:r>
        <w:t xml:space="preserve"> For example, an </w:t>
      </w:r>
      <w:r w:rsidRPr="00F94DBF">
        <w:t xml:space="preserve">Environmental and Social Management Plan (ESMP) </w:t>
      </w:r>
      <w:r>
        <w:t xml:space="preserve">or an </w:t>
      </w:r>
      <w:r w:rsidRPr="00D409AF">
        <w:t>Environmental and Social Management Framework (ESMF)</w:t>
      </w:r>
      <w:r>
        <w:t xml:space="preserve">. An ESMF is a document that establishes a mechanism to determine and assess future potential social and environmental impacts of a project or </w:t>
      </w:r>
      <w:r>
        <w:t>programme when uncertainty remains on the project’s forthcoming components or exact locations.</w:t>
      </w:r>
    </w:p>
  </w:footnote>
  <w:footnote w:id="143">
    <w:p w14:paraId="7584A741" w14:textId="457EA6AA" w:rsidR="002053A1" w:rsidRDefault="002053A1" w:rsidP="00A62E8C">
      <w:pPr>
        <w:pStyle w:val="FootnoteText"/>
      </w:pPr>
      <w:r>
        <w:rPr>
          <w:rStyle w:val="FootnoteReference"/>
        </w:rPr>
        <w:footnoteRef/>
      </w:r>
      <w:r>
        <w:t xml:space="preserve"> </w:t>
      </w:r>
      <w:r w:rsidRPr="004E2ED0">
        <w:t xml:space="preserve">Significant displacement and/or resettlement refers here to its potential scale. UNDP typically requires a full ESIA for all </w:t>
      </w:r>
      <w:r>
        <w:t>project</w:t>
      </w:r>
      <w:r w:rsidRPr="004E2ED0">
        <w:t>s involving displacement or/resettlement; however where potential displacement and/or resettlement may be minimal, UNDP may determine that its requirements could be met without a full ESIA.</w:t>
      </w:r>
      <w:r>
        <w:t xml:space="preserve"> </w:t>
      </w:r>
    </w:p>
  </w:footnote>
  <w:footnote w:id="144">
    <w:p w14:paraId="7D116D75" w14:textId="15BEC0F8" w:rsidR="002053A1" w:rsidRDefault="002053A1" w:rsidP="00A62E8C">
      <w:pPr>
        <w:pStyle w:val="FootnoteText"/>
      </w:pPr>
      <w:r>
        <w:rPr>
          <w:rStyle w:val="FootnoteReference"/>
        </w:rPr>
        <w:footnoteRef/>
      </w:r>
      <w:r>
        <w:t xml:space="preserve"> </w:t>
      </w:r>
      <w:r w:rsidRPr="004E2ED0">
        <w:t xml:space="preserve">For </w:t>
      </w:r>
      <w:r>
        <w:t>High Risk</w:t>
      </w:r>
      <w:r w:rsidRPr="004E2ED0">
        <w:t xml:space="preserve"> </w:t>
      </w:r>
      <w:r>
        <w:t>project</w:t>
      </w:r>
      <w:r w:rsidRPr="004E2ED0">
        <w:t xml:space="preserve">s for which assessments have been commissioned or completed prior to UNDP’s support, UNDP reviews the assessment (and/or its terms of reference) and works with </w:t>
      </w:r>
      <w:r>
        <w:t>Implementing</w:t>
      </w:r>
      <w:r w:rsidRPr="004E2ED0">
        <w:t xml:space="preserve"> </w:t>
      </w:r>
      <w:r>
        <w:t>P</w:t>
      </w:r>
      <w:r w:rsidRPr="004E2ED0">
        <w:t>artners to ensure that it fulfills UNDP’s requirements.</w:t>
      </w:r>
    </w:p>
  </w:footnote>
  <w:footnote w:id="145">
    <w:p w14:paraId="20A123A8" w14:textId="77777777" w:rsidR="002053A1" w:rsidRDefault="002053A1" w:rsidP="00A62E8C">
      <w:pPr>
        <w:pStyle w:val="FootnoteText"/>
      </w:pPr>
      <w:r>
        <w:rPr>
          <w:rStyle w:val="FootnoteReference"/>
        </w:rPr>
        <w:footnoteRef/>
      </w:r>
      <w:r>
        <w:t xml:space="preserve"> </w:t>
      </w:r>
      <w:r w:rsidRPr="00A42F72">
        <w:t xml:space="preserve">UNDP applies a range of tools to support social and environmental mainstreaming; these approaches and tools are outlined in </w:t>
      </w:r>
      <w:hyperlink r:id="rId76" w:history="1">
        <w:r w:rsidRPr="00A42F72">
          <w:rPr>
            <w:rStyle w:val="Hyperlink"/>
          </w:rPr>
          <w:t>Toolkit for UNDP’s Social and Environmental Standards</w:t>
        </w:r>
      </w:hyperlink>
      <w:r w:rsidRPr="00A42F72">
        <w:t>.</w:t>
      </w:r>
    </w:p>
  </w:footnote>
  <w:footnote w:id="146">
    <w:p w14:paraId="60E1AB23" w14:textId="77777777" w:rsidR="002053A1" w:rsidRDefault="002053A1">
      <w:pPr>
        <w:pStyle w:val="FootnoteText"/>
      </w:pPr>
      <w:r>
        <w:rPr>
          <w:rStyle w:val="FootnoteReference"/>
        </w:rPr>
        <w:footnoteRef/>
      </w:r>
      <w:r>
        <w:t>The</w:t>
      </w:r>
      <w:r w:rsidRPr="00E60E64">
        <w:t xml:space="preserve"> mitigation hierarchy </w:t>
      </w:r>
      <w:r>
        <w:t xml:space="preserve">is applied </w:t>
      </w:r>
      <w:r w:rsidRPr="00E60E64">
        <w:t>by (a) anticipating and avoiding risks and impacts; (b) where avoidance is not possible, minimizing or reducing risks and impacts; (c) once risks and impacts have been minimized or reduced, mitigating them; and (d) where residual adverse impacts remain, compensating for or offsetting them, where technically and financially feasible.</w:t>
      </w:r>
    </w:p>
  </w:footnote>
  <w:footnote w:id="147">
    <w:p w14:paraId="4C6F4604" w14:textId="77777777" w:rsidR="002053A1" w:rsidRDefault="002053A1" w:rsidP="00A62E8C">
      <w:pPr>
        <w:pStyle w:val="FootnoteText"/>
      </w:pPr>
      <w:r>
        <w:rPr>
          <w:rStyle w:val="FootnoteReference"/>
        </w:rPr>
        <w:footnoteRef/>
      </w:r>
      <w:r>
        <w:t xml:space="preserve"> See UNDP’s SESP and the SES Guidance Note on Social and Environmental Assessment and Management, available at the </w:t>
      </w:r>
      <w:hyperlink r:id="rId77" w:history="1">
        <w:r w:rsidRPr="00FA7C89">
          <w:rPr>
            <w:rStyle w:val="Hyperlink"/>
          </w:rPr>
          <w:t>UNDP SES Toolkit</w:t>
        </w:r>
      </w:hyperlink>
      <w:r>
        <w:t>.</w:t>
      </w:r>
    </w:p>
  </w:footnote>
  <w:footnote w:id="148">
    <w:p w14:paraId="63DDDB4C" w14:textId="2BC10142" w:rsidR="002053A1" w:rsidRDefault="002053A1" w:rsidP="00A62E8C">
      <w:pPr>
        <w:pStyle w:val="FootnoteText"/>
      </w:pPr>
      <w:r>
        <w:rPr>
          <w:rStyle w:val="FootnoteReference"/>
        </w:rPr>
        <w:footnoteRef/>
      </w:r>
      <w:r>
        <w:t xml:space="preserve"> A project’s area of influence encompasses (i) the primary project site(s) and related facilities (e.g., access roads, pipelines, canals, disposal areas), (ii) associated facilities (see footnote 151), (iii) areas and communities potentially affected by cumulative impacts from the project or from other relevant past, present and reasonably foreseeable developments in the geographic area (e.g., </w:t>
      </w:r>
      <w:r w:rsidRPr="004C3C82">
        <w:t>reduction of water flow in a watershed due to multiple withdrawals</w:t>
      </w:r>
      <w:r>
        <w:t>), and (iv) a</w:t>
      </w:r>
      <w:r w:rsidRPr="004C3C82">
        <w:t>rea</w:t>
      </w:r>
      <w:r>
        <w:t>s</w:t>
      </w:r>
      <w:r w:rsidRPr="004C3C82">
        <w:t xml:space="preserve"> and communities potentially affected by induced impacts from unplanned but predictable developments or activities caused by the </w:t>
      </w:r>
      <w:r>
        <w:t>project</w:t>
      </w:r>
      <w:r w:rsidRPr="004C3C82">
        <w:t>, which may occur l</w:t>
      </w:r>
      <w:r>
        <w:t>ater or at a different location (e.g. facilitation of settlements, illegal logging, agricultural activities by new roads in intact forest areas).</w:t>
      </w:r>
    </w:p>
  </w:footnote>
  <w:footnote w:id="149">
    <w:p w14:paraId="5132D643" w14:textId="5AE6CE16" w:rsidR="002053A1" w:rsidRDefault="002053A1">
      <w:pPr>
        <w:pStyle w:val="FootnoteText"/>
      </w:pPr>
      <w:r>
        <w:rPr>
          <w:rStyle w:val="FootnoteReference"/>
        </w:rPr>
        <w:footnoteRef/>
      </w:r>
      <w:r>
        <w:t xml:space="preserve"> Associated facilities means facilities or activities that are not funded as part of the project but are directly related to the project, are carried out or planned to be carried out contemporaneously with the project, and are necessary for the project to be viable and would not have been conducted, constructed or expanded if the project did not exist. (e.g., transmission lines to connect UNDP-supported solar energy facility).</w:t>
      </w:r>
    </w:p>
  </w:footnote>
  <w:footnote w:id="150">
    <w:p w14:paraId="2652B882" w14:textId="67025544" w:rsidR="002053A1" w:rsidRDefault="002053A1" w:rsidP="00A62E8C">
      <w:pPr>
        <w:pStyle w:val="FootnoteText"/>
      </w:pPr>
      <w:r>
        <w:rPr>
          <w:rStyle w:val="FootnoteReference"/>
        </w:rPr>
        <w:footnoteRef/>
      </w:r>
      <w:r>
        <w:t xml:space="preserve"> UNDP’s SES Guidance Note on Social and Environmental Assessment and Management</w:t>
      </w:r>
      <w:r w:rsidDel="00EA64BF">
        <w:t xml:space="preserve"> </w:t>
      </w:r>
      <w:r>
        <w:t xml:space="preserve">contains outlines and guidance for preparing ESMPs and ESMFs (see the </w:t>
      </w:r>
      <w:hyperlink r:id="rId78" w:history="1">
        <w:r w:rsidRPr="00FA7C89">
          <w:rPr>
            <w:rStyle w:val="Hyperlink"/>
          </w:rPr>
          <w:t>SES Toolkit</w:t>
        </w:r>
      </w:hyperlink>
      <w:r>
        <w:t>).</w:t>
      </w:r>
    </w:p>
  </w:footnote>
  <w:footnote w:id="151">
    <w:p w14:paraId="4E7D29D8" w14:textId="651E87CF" w:rsidR="002053A1" w:rsidRDefault="002053A1" w:rsidP="00A62E8C">
      <w:pPr>
        <w:pStyle w:val="FootnoteText"/>
      </w:pPr>
      <w:r>
        <w:rPr>
          <w:rStyle w:val="FootnoteReference"/>
        </w:rPr>
        <w:footnoteRef/>
      </w:r>
      <w:r>
        <w:t xml:space="preserve"> D</w:t>
      </w:r>
      <w:r w:rsidRPr="00171706">
        <w:t xml:space="preserve">raft social and environmental assessments, including any draft management plans, are </w:t>
      </w:r>
      <w:r>
        <w:t xml:space="preserve">to be </w:t>
      </w:r>
      <w:r w:rsidRPr="00171706">
        <w:t xml:space="preserve">disclosed </w:t>
      </w:r>
      <w:r>
        <w:t xml:space="preserve">whenever possible </w:t>
      </w:r>
      <w:r w:rsidRPr="00171706">
        <w:t xml:space="preserve">before </w:t>
      </w:r>
      <w:r>
        <w:t>project</w:t>
      </w:r>
      <w:r w:rsidRPr="00171706">
        <w:t xml:space="preserve"> appraisal formally begins.</w:t>
      </w:r>
      <w:r>
        <w:t xml:space="preserve"> See the SES Guidance Note on Stakeholder Engagement, including access to information guidance, in the </w:t>
      </w:r>
      <w:hyperlink r:id="rId79" w:history="1">
        <w:r w:rsidRPr="000E1F87">
          <w:rPr>
            <w:rStyle w:val="Hyperlink"/>
          </w:rPr>
          <w:t>SES Toolkit</w:t>
        </w:r>
      </w:hyperlink>
      <w:r>
        <w:t>.</w:t>
      </w:r>
    </w:p>
  </w:footnote>
  <w:footnote w:id="152">
    <w:p w14:paraId="32BB1C69" w14:textId="77777777" w:rsidR="002053A1" w:rsidRDefault="002053A1">
      <w:pPr>
        <w:pStyle w:val="FootnoteText"/>
      </w:pPr>
      <w:r>
        <w:rPr>
          <w:rStyle w:val="FootnoteReference"/>
        </w:rPr>
        <w:footnoteRef/>
      </w:r>
      <w:r>
        <w:t xml:space="preserve"> “Stakeholder” refers to individuals or groups </w:t>
      </w:r>
      <w:r w:rsidRPr="003A7A99">
        <w:rPr>
          <w:rFonts w:cstheme="minorHAnsi"/>
        </w:rPr>
        <w:t>or organizations representing them</w:t>
      </w:r>
      <w:r>
        <w:t xml:space="preserve"> who (a) are affected by the project  and (b) may have an interest in the project.</w:t>
      </w:r>
    </w:p>
  </w:footnote>
  <w:footnote w:id="153">
    <w:p w14:paraId="4F3DB2EC" w14:textId="77777777" w:rsidR="002053A1" w:rsidRDefault="002053A1" w:rsidP="00A62E8C">
      <w:pPr>
        <w:pStyle w:val="FootnoteText"/>
      </w:pPr>
      <w:r>
        <w:rPr>
          <w:rStyle w:val="FootnoteReference"/>
        </w:rPr>
        <w:footnoteRef/>
      </w:r>
      <w:r>
        <w:t xml:space="preserve"> </w:t>
      </w:r>
      <w:r w:rsidRPr="00301B50">
        <w:rPr>
          <w:szCs w:val="18"/>
        </w:rPr>
        <w:t xml:space="preserve">Vulnerability may be compounded due to discrimination on </w:t>
      </w:r>
      <w:r>
        <w:rPr>
          <w:szCs w:val="18"/>
        </w:rPr>
        <w:t xml:space="preserve">prohibited </w:t>
      </w:r>
      <w:r w:rsidRPr="00301B50">
        <w:rPr>
          <w:szCs w:val="18"/>
        </w:rPr>
        <w:t xml:space="preserve">grounds including </w:t>
      </w:r>
      <w:r>
        <w:rPr>
          <w:lang w:val="en-CA"/>
        </w:rPr>
        <w:t>race, ethnicity, sex, age, language, disability, sexual orientation, gender identity, religion, political or other opinion, national or social or geographical origin, property, birth or other status including as an indigenous person or as a member of a minority.</w:t>
      </w:r>
      <w:r>
        <w:rPr>
          <w:b/>
          <w:sz w:val="20"/>
          <w:szCs w:val="20"/>
        </w:rPr>
        <w:t xml:space="preserve"> </w:t>
      </w:r>
    </w:p>
  </w:footnote>
  <w:footnote w:id="154">
    <w:p w14:paraId="0D05EC37" w14:textId="5C7580F0" w:rsidR="002053A1" w:rsidRPr="00A62D75" w:rsidRDefault="002053A1" w:rsidP="00A62E8C">
      <w:pPr>
        <w:pStyle w:val="MediumShading1-Accent21"/>
        <w:rPr>
          <w:sz w:val="18"/>
          <w:szCs w:val="18"/>
        </w:rPr>
      </w:pPr>
      <w:r w:rsidRPr="00A62D75">
        <w:rPr>
          <w:rStyle w:val="FootnoteReference"/>
          <w:szCs w:val="18"/>
        </w:rPr>
        <w:footnoteRef/>
      </w:r>
      <w:r w:rsidRPr="00A62D75">
        <w:rPr>
          <w:sz w:val="18"/>
          <w:szCs w:val="18"/>
        </w:rPr>
        <w:t xml:space="preserve"> </w:t>
      </w:r>
      <w:r w:rsidRPr="001B4AD5">
        <w:rPr>
          <w:rStyle w:val="Emphasis"/>
          <w:i w:val="0"/>
          <w:sz w:val="18"/>
          <w:szCs w:val="18"/>
        </w:rPr>
        <w:t>Noting that UNDP’s</w:t>
      </w:r>
      <w:r w:rsidRPr="00A62D75">
        <w:rPr>
          <w:rStyle w:val="st"/>
          <w:i/>
          <w:sz w:val="18"/>
          <w:szCs w:val="18"/>
        </w:rPr>
        <w:t xml:space="preserve"> </w:t>
      </w:r>
      <w:r>
        <w:rPr>
          <w:rStyle w:val="st"/>
          <w:sz w:val="18"/>
          <w:szCs w:val="18"/>
        </w:rPr>
        <w:t>programme</w:t>
      </w:r>
      <w:r w:rsidRPr="00A62D75">
        <w:rPr>
          <w:rStyle w:val="st"/>
          <w:sz w:val="18"/>
          <w:szCs w:val="18"/>
        </w:rPr>
        <w:t xml:space="preserve"> and Operations Policies and Procedures</w:t>
      </w:r>
      <w:r>
        <w:rPr>
          <w:sz w:val="18"/>
          <w:szCs w:val="18"/>
          <w:lang w:eastAsia="ja-JP"/>
        </w:rPr>
        <w:t xml:space="preserve"> (POPP) states that</w:t>
      </w:r>
      <w:r w:rsidRPr="00A62D75">
        <w:rPr>
          <w:sz w:val="18"/>
          <w:szCs w:val="18"/>
          <w:lang w:eastAsia="ja-JP"/>
        </w:rPr>
        <w:t xml:space="preserve"> the </w:t>
      </w:r>
      <w:r>
        <w:rPr>
          <w:sz w:val="18"/>
          <w:szCs w:val="18"/>
          <w:lang w:eastAsia="ja-JP"/>
        </w:rPr>
        <w:t>Project</w:t>
      </w:r>
      <w:r w:rsidRPr="00A62D75">
        <w:rPr>
          <w:sz w:val="18"/>
          <w:szCs w:val="18"/>
          <w:lang w:eastAsia="ja-JP"/>
        </w:rPr>
        <w:t xml:space="preserve"> Board “… arbitrates on any conflicts within the </w:t>
      </w:r>
      <w:r>
        <w:rPr>
          <w:sz w:val="18"/>
          <w:szCs w:val="18"/>
          <w:lang w:eastAsia="ja-JP"/>
        </w:rPr>
        <w:t>[P]</w:t>
      </w:r>
      <w:r w:rsidRPr="00A62D75">
        <w:rPr>
          <w:sz w:val="18"/>
          <w:szCs w:val="18"/>
          <w:lang w:eastAsia="ja-JP"/>
        </w:rPr>
        <w:t xml:space="preserve">roject or negotiates a solution to any problems between the </w:t>
      </w:r>
      <w:r>
        <w:rPr>
          <w:sz w:val="18"/>
          <w:szCs w:val="18"/>
          <w:lang w:eastAsia="ja-JP"/>
        </w:rPr>
        <w:t>[P]</w:t>
      </w:r>
      <w:r w:rsidRPr="00A62D75">
        <w:rPr>
          <w:sz w:val="18"/>
          <w:szCs w:val="18"/>
          <w:lang w:eastAsia="ja-JP"/>
        </w:rPr>
        <w:t>rojects and external bodies.”</w:t>
      </w:r>
      <w:r>
        <w:rPr>
          <w:sz w:val="18"/>
          <w:szCs w:val="18"/>
          <w:lang w:eastAsia="ja-JP"/>
        </w:rPr>
        <w:t xml:space="preserve"> Project Boards can play this role in both National Implementation and Direct Implementation contexts.</w:t>
      </w:r>
    </w:p>
  </w:footnote>
  <w:footnote w:id="155">
    <w:p w14:paraId="3743C3B6" w14:textId="22E06C74" w:rsidR="002053A1" w:rsidRPr="00A62D75" w:rsidRDefault="002053A1" w:rsidP="00A62E8C">
      <w:pPr>
        <w:pStyle w:val="MediumShading1-Accent21"/>
        <w:rPr>
          <w:sz w:val="18"/>
          <w:szCs w:val="18"/>
        </w:rPr>
      </w:pPr>
      <w:r w:rsidRPr="00A62D75">
        <w:rPr>
          <w:rStyle w:val="FootnoteReference"/>
          <w:szCs w:val="18"/>
        </w:rPr>
        <w:footnoteRef/>
      </w:r>
      <w:r w:rsidRPr="00A62D75">
        <w:rPr>
          <w:sz w:val="18"/>
          <w:szCs w:val="18"/>
        </w:rPr>
        <w:t xml:space="preserve"> See </w:t>
      </w:r>
      <w:r>
        <w:rPr>
          <w:sz w:val="18"/>
          <w:szCs w:val="18"/>
        </w:rPr>
        <w:t xml:space="preserve">UNDP’s </w:t>
      </w:r>
      <w:r w:rsidRPr="00A62D75">
        <w:rPr>
          <w:sz w:val="18"/>
          <w:szCs w:val="18"/>
        </w:rPr>
        <w:t>Stakeholder Response Mechanism</w:t>
      </w:r>
      <w:r>
        <w:rPr>
          <w:sz w:val="18"/>
          <w:szCs w:val="18"/>
        </w:rPr>
        <w:t xml:space="preserve">: Overview and Guidance, available at </w:t>
      </w:r>
      <w:r w:rsidRPr="002F3B46">
        <w:rPr>
          <w:bCs/>
          <w:sz w:val="18"/>
          <w:szCs w:val="18"/>
        </w:rPr>
        <w:t>https://info.undp.org/sites/bpps/SES_Toolkit/SitePages/Response%20Mechanisms.aspx</w:t>
      </w:r>
      <w:r w:rsidRPr="00385E6F">
        <w:rPr>
          <w:bCs/>
          <w:sz w:val="18"/>
          <w:szCs w:val="18"/>
        </w:rPr>
        <w:t>.</w:t>
      </w:r>
      <w:r w:rsidRPr="00385E6F">
        <w:rPr>
          <w:sz w:val="18"/>
          <w:szCs w:val="18"/>
        </w:rPr>
        <w:t xml:space="preserve"> The focal point for the Stakeholder Response Mechanism will not bear direct project management responsibilities for the relevant </w:t>
      </w:r>
      <w:r>
        <w:rPr>
          <w:sz w:val="18"/>
          <w:szCs w:val="18"/>
        </w:rPr>
        <w:t>project</w:t>
      </w:r>
      <w:r w:rsidRPr="00385E6F">
        <w:rPr>
          <w:sz w:val="18"/>
          <w:szCs w:val="18"/>
        </w:rPr>
        <w:t>.</w:t>
      </w:r>
    </w:p>
  </w:footnote>
  <w:footnote w:id="156">
    <w:p w14:paraId="3DB7ECC4" w14:textId="77777777" w:rsidR="002053A1" w:rsidRDefault="002053A1" w:rsidP="00A62E8C">
      <w:pPr>
        <w:pStyle w:val="FootnoteText"/>
      </w:pPr>
      <w:r>
        <w:rPr>
          <w:rStyle w:val="FootnoteReference"/>
        </w:rPr>
        <w:footnoteRef/>
      </w:r>
      <w:r>
        <w:t xml:space="preserve"> See </w:t>
      </w:r>
      <w:hyperlink r:id="rId80" w:history="1">
        <w:r w:rsidRPr="005849B7">
          <w:rPr>
            <w:rStyle w:val="Hyperlink"/>
          </w:rPr>
          <w:t>UNDP Information Disclosure Policy</w:t>
        </w:r>
      </w:hyperlink>
      <w:r>
        <w:t>.</w:t>
      </w:r>
    </w:p>
  </w:footnote>
  <w:footnote w:id="157">
    <w:p w14:paraId="5402F843" w14:textId="77777777" w:rsidR="002053A1" w:rsidRDefault="002053A1" w:rsidP="00A62E8C">
      <w:pPr>
        <w:pStyle w:val="FootnoteText"/>
      </w:pPr>
      <w:r>
        <w:rPr>
          <w:rStyle w:val="FootnoteReference"/>
        </w:rPr>
        <w:footnoteRef/>
      </w:r>
      <w:r>
        <w:t xml:space="preserve"> </w:t>
      </w:r>
      <w:r w:rsidRPr="0077680B">
        <w:t xml:space="preserve">Draft </w:t>
      </w:r>
      <w:r>
        <w:t xml:space="preserve">and final </w:t>
      </w:r>
      <w:r w:rsidRPr="0077680B">
        <w:t>management plans may include</w:t>
      </w:r>
      <w:r>
        <w:t xml:space="preserve"> for example</w:t>
      </w:r>
      <w:r w:rsidRPr="0077680B">
        <w:t xml:space="preserve"> Environmental and Social Management Plans, Indigenous Peoples Plans, </w:t>
      </w:r>
      <w:r w:rsidRPr="00931285">
        <w:t>Resettlement</w:t>
      </w:r>
      <w:r w:rsidRPr="0077680B">
        <w:t xml:space="preserve"> Action Plans, Biodiversity Action Plans, Community Health and Safety Plans, </w:t>
      </w:r>
      <w:r>
        <w:t xml:space="preserve">Emergency Response and Preparedness Plans, Hazardous Materials Management Plans, </w:t>
      </w:r>
      <w:r w:rsidRPr="0077680B">
        <w:t xml:space="preserve">Gender Mainstreaming </w:t>
      </w:r>
      <w:r>
        <w:t>Plans, Cultural Heritage Plans.</w:t>
      </w:r>
    </w:p>
  </w:footnote>
  <w:footnote w:id="158">
    <w:p w14:paraId="10FB131C" w14:textId="16AD5BE2" w:rsidR="002053A1" w:rsidRDefault="002053A1" w:rsidP="00A62E8C">
      <w:pPr>
        <w:pStyle w:val="FootnoteText"/>
      </w:pPr>
      <w:r>
        <w:rPr>
          <w:rStyle w:val="FootnoteReference"/>
        </w:rPr>
        <w:footnoteRef/>
      </w:r>
      <w:r>
        <w:t xml:space="preserve"> Without prejudice to any information sharing requirements under the project-level Standards, including the free, prior, and informed consent requirement of Standard 6: Indigenous Peoples.</w:t>
      </w:r>
    </w:p>
  </w:footnote>
  <w:footnote w:id="159">
    <w:p w14:paraId="0B18DAD0" w14:textId="2893561E" w:rsidR="002053A1" w:rsidRDefault="002053A1">
      <w:pPr>
        <w:pStyle w:val="FootnoteText"/>
      </w:pPr>
      <w:r>
        <w:rPr>
          <w:rStyle w:val="FootnoteReference"/>
        </w:rPr>
        <w:footnoteRef/>
      </w:r>
      <w:r>
        <w:t xml:space="preserve"> For more on UNDP’s Social and Environmental Compliance Unit, see </w:t>
      </w:r>
      <w:hyperlink r:id="rId81" w:history="1">
        <w:r w:rsidR="00CF6527" w:rsidRPr="00EB29EF">
          <w:rPr>
            <w:rStyle w:val="Hyperlink"/>
            <w:bCs/>
          </w:rPr>
          <w:t>http://www.undp.org/content/undp/en/home/operations/accountability/secu-srm/social-and-environmental-compliance-unit.html</w:t>
        </w:r>
      </w:hyperlink>
      <w:r>
        <w:rPr>
          <w:bCs/>
        </w:rPr>
        <w:t>.</w:t>
      </w:r>
      <w:r w:rsidR="00CF6527">
        <w:rPr>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14A2" w14:textId="77777777" w:rsidR="002053A1" w:rsidRDefault="002053A1" w:rsidP="00B160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EDD1" w14:textId="213D40C8" w:rsidR="002053A1" w:rsidRPr="00592E1B" w:rsidRDefault="002053A1" w:rsidP="00592E1B">
    <w:pPr>
      <w:pStyle w:val="Header"/>
    </w:pPr>
    <w:r>
      <w:t>DRAFT</w:t>
    </w:r>
    <w:r w:rsidR="00E63638">
      <w:t xml:space="preserve"> FOR OPG</w:t>
    </w:r>
    <w:r>
      <w:t xml:space="preserve"> – </w:t>
    </w:r>
    <w:r w:rsidR="00E63638">
      <w:t>22</w:t>
    </w:r>
    <w:r>
      <w:t xml:space="preserve">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007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80AE8"/>
    <w:multiLevelType w:val="hybridMultilevel"/>
    <w:tmpl w:val="2900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C20F6"/>
    <w:multiLevelType w:val="hybridMultilevel"/>
    <w:tmpl w:val="4CD4F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 w15:restartNumberingAfterBreak="0">
    <w:nsid w:val="0A4470DC"/>
    <w:multiLevelType w:val="multilevel"/>
    <w:tmpl w:val="7556D626"/>
    <w:lvl w:ilvl="0">
      <w:start w:val="1"/>
      <w:numFmt w:val="decimal"/>
      <w:pStyle w:val="SEQSoutli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E0CDA"/>
    <w:multiLevelType w:val="multilevel"/>
    <w:tmpl w:val="F5DEEC6E"/>
    <w:lvl w:ilvl="0">
      <w:start w:val="1"/>
      <w:numFmt w:val="decimal"/>
      <w:lvlText w:val="%1."/>
      <w:lvlJc w:val="left"/>
      <w:pPr>
        <w:ind w:left="432" w:hanging="432"/>
      </w:pPr>
      <w:rPr>
        <w:rFonts w:ascii="Calibri" w:hAnsi="Calibr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22C0"/>
    <w:multiLevelType w:val="hybridMultilevel"/>
    <w:tmpl w:val="8E0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A6343"/>
    <w:multiLevelType w:val="hybridMultilevel"/>
    <w:tmpl w:val="A458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C0B1E"/>
    <w:multiLevelType w:val="hybridMultilevel"/>
    <w:tmpl w:val="7C60ED9A"/>
    <w:lvl w:ilvl="0" w:tplc="4EF0BEF0">
      <w:start w:val="1"/>
      <w:numFmt w:val="decimal"/>
      <w:lvlText w:val="%1."/>
      <w:lvlJc w:val="left"/>
      <w:pPr>
        <w:ind w:left="432" w:hanging="432"/>
      </w:pPr>
      <w:rPr>
        <w:rFonts w:ascii="Calibri" w:hAnsi="Calibri"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F301C"/>
    <w:multiLevelType w:val="hybridMultilevel"/>
    <w:tmpl w:val="F0D019E0"/>
    <w:lvl w:ilvl="0" w:tplc="37D42E2E">
      <w:start w:val="8"/>
      <w:numFmt w:val="bullet"/>
      <w:lvlText w:val="-"/>
      <w:lvlJc w:val="left"/>
      <w:pPr>
        <w:ind w:left="792" w:hanging="360"/>
      </w:pPr>
      <w:rPr>
        <w:rFonts w:ascii="Calibri" w:eastAsia="MS Mincho"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2B24BA5"/>
    <w:multiLevelType w:val="hybridMultilevel"/>
    <w:tmpl w:val="A8DA3C2A"/>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1D81"/>
    <w:multiLevelType w:val="hybridMultilevel"/>
    <w:tmpl w:val="2E0A8C24"/>
    <w:lvl w:ilvl="0" w:tplc="E74A847C">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17792"/>
    <w:multiLevelType w:val="hybridMultilevel"/>
    <w:tmpl w:val="6126691C"/>
    <w:lvl w:ilvl="0" w:tplc="E2B4B7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F2BCF"/>
    <w:multiLevelType w:val="hybridMultilevel"/>
    <w:tmpl w:val="2900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536DC"/>
    <w:multiLevelType w:val="hybridMultilevel"/>
    <w:tmpl w:val="840E7556"/>
    <w:lvl w:ilvl="0" w:tplc="FD3C8468">
      <w:start w:val="1"/>
      <w:numFmt w:val="decimal"/>
      <w:lvlText w:val="%1."/>
      <w:lvlJc w:val="left"/>
      <w:pPr>
        <w:ind w:left="552" w:hanging="432"/>
      </w:pPr>
      <w:rPr>
        <w:rFonts w:ascii="Calibri" w:eastAsia="Calibri" w:hAnsi="Calibri" w:hint="default"/>
        <w:spacing w:val="-1"/>
        <w:w w:val="99"/>
        <w:sz w:val="20"/>
        <w:szCs w:val="20"/>
      </w:rPr>
    </w:lvl>
    <w:lvl w:ilvl="1" w:tplc="03D4251A">
      <w:start w:val="1"/>
      <w:numFmt w:val="bullet"/>
      <w:lvlText w:val=""/>
      <w:lvlJc w:val="left"/>
      <w:pPr>
        <w:ind w:left="1200" w:hanging="360"/>
      </w:pPr>
      <w:rPr>
        <w:rFonts w:ascii="Symbol" w:eastAsia="Symbol" w:hAnsi="Symbol" w:hint="default"/>
        <w:w w:val="99"/>
        <w:sz w:val="20"/>
        <w:szCs w:val="20"/>
      </w:rPr>
    </w:lvl>
    <w:lvl w:ilvl="2" w:tplc="9C3C16DA">
      <w:start w:val="1"/>
      <w:numFmt w:val="bullet"/>
      <w:lvlText w:val="•"/>
      <w:lvlJc w:val="left"/>
      <w:pPr>
        <w:ind w:left="2051" w:hanging="360"/>
      </w:pPr>
      <w:rPr>
        <w:rFonts w:hint="default"/>
      </w:rPr>
    </w:lvl>
    <w:lvl w:ilvl="3" w:tplc="FF5AB4F8">
      <w:start w:val="1"/>
      <w:numFmt w:val="bullet"/>
      <w:lvlText w:val="•"/>
      <w:lvlJc w:val="left"/>
      <w:pPr>
        <w:ind w:left="2902" w:hanging="360"/>
      </w:pPr>
      <w:rPr>
        <w:rFonts w:hint="default"/>
      </w:rPr>
    </w:lvl>
    <w:lvl w:ilvl="4" w:tplc="2AD821AE">
      <w:start w:val="1"/>
      <w:numFmt w:val="bullet"/>
      <w:lvlText w:val="•"/>
      <w:lvlJc w:val="left"/>
      <w:pPr>
        <w:ind w:left="3753" w:hanging="360"/>
      </w:pPr>
      <w:rPr>
        <w:rFonts w:hint="default"/>
      </w:rPr>
    </w:lvl>
    <w:lvl w:ilvl="5" w:tplc="5EEACA58">
      <w:start w:val="1"/>
      <w:numFmt w:val="bullet"/>
      <w:lvlText w:val="•"/>
      <w:lvlJc w:val="left"/>
      <w:pPr>
        <w:ind w:left="4604" w:hanging="360"/>
      </w:pPr>
      <w:rPr>
        <w:rFonts w:hint="default"/>
      </w:rPr>
    </w:lvl>
    <w:lvl w:ilvl="6" w:tplc="301C1AF6">
      <w:start w:val="1"/>
      <w:numFmt w:val="bullet"/>
      <w:lvlText w:val="•"/>
      <w:lvlJc w:val="left"/>
      <w:pPr>
        <w:ind w:left="5455" w:hanging="360"/>
      </w:pPr>
      <w:rPr>
        <w:rFonts w:hint="default"/>
      </w:rPr>
    </w:lvl>
    <w:lvl w:ilvl="7" w:tplc="C1882AB2">
      <w:start w:val="1"/>
      <w:numFmt w:val="bullet"/>
      <w:lvlText w:val="•"/>
      <w:lvlJc w:val="left"/>
      <w:pPr>
        <w:ind w:left="6306" w:hanging="360"/>
      </w:pPr>
      <w:rPr>
        <w:rFonts w:hint="default"/>
      </w:rPr>
    </w:lvl>
    <w:lvl w:ilvl="8" w:tplc="71A42F00">
      <w:start w:val="1"/>
      <w:numFmt w:val="bullet"/>
      <w:lvlText w:val="•"/>
      <w:lvlJc w:val="left"/>
      <w:pPr>
        <w:ind w:left="7157" w:hanging="360"/>
      </w:pPr>
      <w:rPr>
        <w:rFonts w:hint="default"/>
      </w:rPr>
    </w:lvl>
  </w:abstractNum>
  <w:abstractNum w:abstractNumId="16" w15:restartNumberingAfterBreak="0">
    <w:nsid w:val="2F17504F"/>
    <w:multiLevelType w:val="hybridMultilevel"/>
    <w:tmpl w:val="2900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F03CC"/>
    <w:multiLevelType w:val="hybridMultilevel"/>
    <w:tmpl w:val="CD22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B2D88"/>
    <w:multiLevelType w:val="hybridMultilevel"/>
    <w:tmpl w:val="FE4AFE46"/>
    <w:lvl w:ilvl="0" w:tplc="87F8C67A">
      <w:start w:val="1"/>
      <w:numFmt w:val="decimal"/>
      <w:pStyle w:val="SEQSbodynumbered"/>
      <w:lvlText w:val="%1."/>
      <w:lvlJc w:val="left"/>
      <w:pPr>
        <w:ind w:left="432" w:hanging="432"/>
      </w:pPr>
      <w:rPr>
        <w:rFonts w:ascii="Calibri" w:hAnsi="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D0534"/>
    <w:multiLevelType w:val="hybridMultilevel"/>
    <w:tmpl w:val="80026C5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33AA1"/>
    <w:multiLevelType w:val="hybridMultilevel"/>
    <w:tmpl w:val="C340003C"/>
    <w:lvl w:ilvl="0" w:tplc="A97A4708">
      <w:start w:val="1"/>
      <w:numFmt w:val="bullet"/>
      <w:pStyle w:val="listbulletssubbullets"/>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D7497A"/>
    <w:multiLevelType w:val="hybridMultilevel"/>
    <w:tmpl w:val="4236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E7F69"/>
    <w:multiLevelType w:val="hybridMultilevel"/>
    <w:tmpl w:val="50C29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324E9"/>
    <w:multiLevelType w:val="multilevel"/>
    <w:tmpl w:val="97A07306"/>
    <w:lvl w:ilvl="0">
      <w:start w:val="1"/>
      <w:numFmt w:val="lowerLetter"/>
      <w:lvlText w:val="%1."/>
      <w:lvlJc w:val="left"/>
      <w:pPr>
        <w:tabs>
          <w:tab w:val="num" w:pos="1080"/>
        </w:tabs>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C91C4C"/>
    <w:multiLevelType w:val="multilevel"/>
    <w:tmpl w:val="3802252C"/>
    <w:lvl w:ilvl="0">
      <w:start w:val="1"/>
      <w:numFmt w:val="lowerLetter"/>
      <w:lvlText w:val="%1."/>
      <w:lvlJc w:val="left"/>
      <w:pPr>
        <w:tabs>
          <w:tab w:val="num" w:pos="1080"/>
        </w:tabs>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A52775"/>
    <w:multiLevelType w:val="hybridMultilevel"/>
    <w:tmpl w:val="EC2CE2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11C8"/>
    <w:multiLevelType w:val="hybridMultilevel"/>
    <w:tmpl w:val="B90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0097F"/>
    <w:multiLevelType w:val="hybridMultilevel"/>
    <w:tmpl w:val="0B8C773C"/>
    <w:lvl w:ilvl="0" w:tplc="A4BA024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E2DAF"/>
    <w:multiLevelType w:val="hybridMultilevel"/>
    <w:tmpl w:val="3F68F182"/>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2" w15:restartNumberingAfterBreak="0">
    <w:nsid w:val="575640E4"/>
    <w:multiLevelType w:val="hybridMultilevel"/>
    <w:tmpl w:val="78664770"/>
    <w:lvl w:ilvl="0" w:tplc="09EA972C">
      <w:start w:val="1"/>
      <w:numFmt w:val="decimal"/>
      <w:lvlText w:val="%1."/>
      <w:lvlJc w:val="left"/>
      <w:pPr>
        <w:ind w:left="552" w:hanging="432"/>
      </w:pPr>
      <w:rPr>
        <w:rFonts w:ascii="Calibri" w:eastAsia="Calibri" w:hAnsi="Calibri" w:hint="default"/>
        <w:spacing w:val="-1"/>
        <w:w w:val="99"/>
        <w:sz w:val="20"/>
        <w:szCs w:val="20"/>
      </w:rPr>
    </w:lvl>
    <w:lvl w:ilvl="1" w:tplc="00E21478">
      <w:start w:val="1"/>
      <w:numFmt w:val="lowerRoman"/>
      <w:lvlText w:val="(%2)"/>
      <w:lvlJc w:val="left"/>
      <w:pPr>
        <w:ind w:left="532" w:hanging="212"/>
      </w:pPr>
      <w:rPr>
        <w:rFonts w:ascii="Calibri" w:eastAsia="Calibri" w:hAnsi="Calibri" w:hint="default"/>
        <w:spacing w:val="-1"/>
        <w:w w:val="99"/>
        <w:sz w:val="20"/>
        <w:szCs w:val="20"/>
      </w:rPr>
    </w:lvl>
    <w:lvl w:ilvl="2" w:tplc="9230DDEE">
      <w:start w:val="1"/>
      <w:numFmt w:val="bullet"/>
      <w:lvlText w:val="•"/>
      <w:lvlJc w:val="left"/>
      <w:pPr>
        <w:ind w:left="1471" w:hanging="212"/>
      </w:pPr>
      <w:rPr>
        <w:rFonts w:hint="default"/>
      </w:rPr>
    </w:lvl>
    <w:lvl w:ilvl="3" w:tplc="B0ECE744">
      <w:start w:val="1"/>
      <w:numFmt w:val="bullet"/>
      <w:lvlText w:val="•"/>
      <w:lvlJc w:val="left"/>
      <w:pPr>
        <w:ind w:left="2389" w:hanging="212"/>
      </w:pPr>
      <w:rPr>
        <w:rFonts w:hint="default"/>
      </w:rPr>
    </w:lvl>
    <w:lvl w:ilvl="4" w:tplc="BDBA06FE">
      <w:start w:val="1"/>
      <w:numFmt w:val="bullet"/>
      <w:lvlText w:val="•"/>
      <w:lvlJc w:val="left"/>
      <w:pPr>
        <w:ind w:left="3308" w:hanging="212"/>
      </w:pPr>
      <w:rPr>
        <w:rFonts w:hint="default"/>
      </w:rPr>
    </w:lvl>
    <w:lvl w:ilvl="5" w:tplc="84A88D70">
      <w:start w:val="1"/>
      <w:numFmt w:val="bullet"/>
      <w:lvlText w:val="•"/>
      <w:lvlJc w:val="left"/>
      <w:pPr>
        <w:ind w:left="4226" w:hanging="212"/>
      </w:pPr>
      <w:rPr>
        <w:rFonts w:hint="default"/>
      </w:rPr>
    </w:lvl>
    <w:lvl w:ilvl="6" w:tplc="87B82DCE">
      <w:start w:val="1"/>
      <w:numFmt w:val="bullet"/>
      <w:lvlText w:val="•"/>
      <w:lvlJc w:val="left"/>
      <w:pPr>
        <w:ind w:left="5145" w:hanging="212"/>
      </w:pPr>
      <w:rPr>
        <w:rFonts w:hint="default"/>
      </w:rPr>
    </w:lvl>
    <w:lvl w:ilvl="7" w:tplc="85965C52">
      <w:start w:val="1"/>
      <w:numFmt w:val="bullet"/>
      <w:lvlText w:val="•"/>
      <w:lvlJc w:val="left"/>
      <w:pPr>
        <w:ind w:left="6064" w:hanging="212"/>
      </w:pPr>
      <w:rPr>
        <w:rFonts w:hint="default"/>
      </w:rPr>
    </w:lvl>
    <w:lvl w:ilvl="8" w:tplc="40F8EA3E">
      <w:start w:val="1"/>
      <w:numFmt w:val="bullet"/>
      <w:lvlText w:val="•"/>
      <w:lvlJc w:val="left"/>
      <w:pPr>
        <w:ind w:left="6982" w:hanging="212"/>
      </w:pPr>
      <w:rPr>
        <w:rFonts w:hint="default"/>
      </w:rPr>
    </w:lvl>
  </w:abstractNum>
  <w:abstractNum w:abstractNumId="33" w15:restartNumberingAfterBreak="0">
    <w:nsid w:val="5AFF3014"/>
    <w:multiLevelType w:val="multilevel"/>
    <w:tmpl w:val="87F063DE"/>
    <w:lvl w:ilvl="0">
      <w:start w:val="1"/>
      <w:numFmt w:val="decimal"/>
      <w:lvlText w:val="%1."/>
      <w:lvlJc w:val="left"/>
      <w:pPr>
        <w:ind w:left="432" w:hanging="432"/>
      </w:pPr>
      <w:rPr>
        <w:rFonts w:ascii="Calibri" w:hAnsi="Calibr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1D08E5"/>
    <w:multiLevelType w:val="hybridMultilevel"/>
    <w:tmpl w:val="2900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D4506"/>
    <w:multiLevelType w:val="hybridMultilevel"/>
    <w:tmpl w:val="C54A27D4"/>
    <w:lvl w:ilvl="0" w:tplc="3ED8336A">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A2989"/>
    <w:multiLevelType w:val="multilevel"/>
    <w:tmpl w:val="1BB2C170"/>
    <w:lvl w:ilvl="0">
      <w:start w:val="1"/>
      <w:numFmt w:val="lowerLetter"/>
      <w:lvlText w:val="%1."/>
      <w:lvlJc w:val="left"/>
      <w:pPr>
        <w:tabs>
          <w:tab w:val="num" w:pos="1080"/>
        </w:tabs>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3D61DC"/>
    <w:multiLevelType w:val="hybridMultilevel"/>
    <w:tmpl w:val="558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12560"/>
    <w:multiLevelType w:val="multilevel"/>
    <w:tmpl w:val="57B4F572"/>
    <w:lvl w:ilvl="0">
      <w:start w:val="1"/>
      <w:numFmt w:val="lowerLetter"/>
      <w:lvlText w:val="%1."/>
      <w:lvlJc w:val="left"/>
      <w:pPr>
        <w:tabs>
          <w:tab w:val="num" w:pos="1080"/>
        </w:tabs>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2C081F"/>
    <w:multiLevelType w:val="hybridMultilevel"/>
    <w:tmpl w:val="725E0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D2D78"/>
    <w:multiLevelType w:val="hybridMultilevel"/>
    <w:tmpl w:val="353A4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15112"/>
    <w:multiLevelType w:val="multilevel"/>
    <w:tmpl w:val="046018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74471CEB"/>
    <w:multiLevelType w:val="hybridMultilevel"/>
    <w:tmpl w:val="1278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97E69"/>
    <w:multiLevelType w:val="hybridMultilevel"/>
    <w:tmpl w:val="2900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B7851"/>
    <w:multiLevelType w:val="hybridMultilevel"/>
    <w:tmpl w:val="09D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54906"/>
    <w:multiLevelType w:val="hybridMultilevel"/>
    <w:tmpl w:val="73343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A4D9D"/>
    <w:multiLevelType w:val="hybridMultilevel"/>
    <w:tmpl w:val="879619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6"/>
  </w:num>
  <w:num w:numId="4">
    <w:abstractNumId w:val="19"/>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6"/>
  </w:num>
  <w:num w:numId="10">
    <w:abstractNumId w:val="19"/>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19"/>
    <w:lvlOverride w:ilvl="0">
      <w:startOverride w:val="1"/>
    </w:lvlOverride>
  </w:num>
  <w:num w:numId="14">
    <w:abstractNumId w:val="35"/>
  </w:num>
  <w:num w:numId="15">
    <w:abstractNumId w:val="19"/>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36"/>
  </w:num>
  <w:num w:numId="22">
    <w:abstractNumId w:val="33"/>
  </w:num>
  <w:num w:numId="23">
    <w:abstractNumId w:val="19"/>
    <w:lvlOverride w:ilvl="0">
      <w:startOverride w:val="1"/>
    </w:lvlOverride>
  </w:num>
  <w:num w:numId="24">
    <w:abstractNumId w:val="25"/>
  </w:num>
  <w:num w:numId="25">
    <w:abstractNumId w:val="6"/>
    <w:lvlOverride w:ilvl="0">
      <w:startOverride w:val="1"/>
    </w:lvlOverride>
  </w:num>
  <w:num w:numId="26">
    <w:abstractNumId w:val="24"/>
  </w:num>
  <w:num w:numId="27">
    <w:abstractNumId w:val="6"/>
    <w:lvlOverride w:ilvl="0">
      <w:startOverride w:val="1"/>
    </w:lvlOverride>
  </w:num>
  <w:num w:numId="28">
    <w:abstractNumId w:val="7"/>
  </w:num>
  <w:num w:numId="29">
    <w:abstractNumId w:val="9"/>
  </w:num>
  <w:num w:numId="30">
    <w:abstractNumId w:val="18"/>
  </w:num>
  <w:num w:numId="31">
    <w:abstractNumId w:val="6"/>
    <w:lvlOverride w:ilvl="0">
      <w:startOverride w:val="1"/>
    </w:lvlOverride>
  </w:num>
  <w:num w:numId="32">
    <w:abstractNumId w:val="40"/>
  </w:num>
  <w:num w:numId="33">
    <w:abstractNumId w:val="19"/>
  </w:num>
  <w:num w:numId="34">
    <w:abstractNumId w:val="19"/>
  </w:num>
  <w:num w:numId="35">
    <w:abstractNumId w:val="19"/>
  </w:num>
  <w:num w:numId="36">
    <w:abstractNumId w:val="35"/>
  </w:num>
  <w:num w:numId="37">
    <w:abstractNumId w:val="44"/>
  </w:num>
  <w:num w:numId="38">
    <w:abstractNumId w:val="1"/>
  </w:num>
  <w:num w:numId="39">
    <w:abstractNumId w:val="31"/>
  </w:num>
  <w:num w:numId="40">
    <w:abstractNumId w:val="38"/>
  </w:num>
  <w:num w:numId="41">
    <w:abstractNumId w:val="6"/>
    <w:lvlOverride w:ilvl="0">
      <w:startOverride w:val="1"/>
    </w:lvlOverride>
  </w:num>
  <w:num w:numId="42">
    <w:abstractNumId w:val="19"/>
  </w:num>
  <w:num w:numId="43">
    <w:abstractNumId w:val="19"/>
  </w:num>
  <w:num w:numId="44">
    <w:abstractNumId w:val="35"/>
  </w:num>
  <w:num w:numId="45">
    <w:abstractNumId w:val="12"/>
  </w:num>
  <w:num w:numId="46">
    <w:abstractNumId w:val="19"/>
  </w:num>
  <w:num w:numId="47">
    <w:abstractNumId w:val="23"/>
  </w:num>
  <w:num w:numId="48">
    <w:abstractNumId w:val="19"/>
  </w:num>
  <w:num w:numId="49">
    <w:abstractNumId w:val="30"/>
  </w:num>
  <w:num w:numId="50">
    <w:abstractNumId w:val="32"/>
  </w:num>
  <w:num w:numId="51">
    <w:abstractNumId w:val="19"/>
  </w:num>
  <w:num w:numId="52">
    <w:abstractNumId w:val="5"/>
  </w:num>
  <w:num w:numId="53">
    <w:abstractNumId w:val="19"/>
    <w:lvlOverride w:ilvl="0">
      <w:startOverride w:val="1"/>
    </w:lvlOverride>
  </w:num>
  <w:num w:numId="54">
    <w:abstractNumId w:val="15"/>
  </w:num>
  <w:num w:numId="55">
    <w:abstractNumId w:val="19"/>
  </w:num>
  <w:num w:numId="56">
    <w:abstractNumId w:val="19"/>
    <w:lvlOverride w:ilvl="0">
      <w:startOverride w:val="1"/>
    </w:lvlOverride>
  </w:num>
  <w:num w:numId="57">
    <w:abstractNumId w:val="6"/>
  </w:num>
  <w:num w:numId="58">
    <w:abstractNumId w:val="19"/>
  </w:num>
  <w:num w:numId="59">
    <w:abstractNumId w:val="13"/>
  </w:num>
  <w:num w:numId="60">
    <w:abstractNumId w:val="20"/>
  </w:num>
  <w:num w:numId="61">
    <w:abstractNumId w:val="19"/>
  </w:num>
  <w:num w:numId="62">
    <w:abstractNumId w:val="26"/>
  </w:num>
  <w:num w:numId="63">
    <w:abstractNumId w:val="17"/>
  </w:num>
  <w:num w:numId="64">
    <w:abstractNumId w:val="19"/>
  </w:num>
  <w:num w:numId="65">
    <w:abstractNumId w:val="19"/>
  </w:num>
  <w:num w:numId="66">
    <w:abstractNumId w:val="19"/>
  </w:num>
  <w:num w:numId="67">
    <w:abstractNumId w:val="19"/>
  </w:num>
  <w:num w:numId="68">
    <w:abstractNumId w:val="35"/>
  </w:num>
  <w:num w:numId="69">
    <w:abstractNumId w:val="19"/>
  </w:num>
  <w:num w:numId="70">
    <w:abstractNumId w:val="28"/>
  </w:num>
  <w:num w:numId="71">
    <w:abstractNumId w:val="34"/>
  </w:num>
  <w:num w:numId="72">
    <w:abstractNumId w:val="8"/>
  </w:num>
  <w:num w:numId="73">
    <w:abstractNumId w:val="42"/>
  </w:num>
  <w:num w:numId="74">
    <w:abstractNumId w:val="19"/>
    <w:lvlOverride w:ilvl="0">
      <w:startOverride w:val="1"/>
    </w:lvlOverride>
  </w:num>
  <w:num w:numId="75">
    <w:abstractNumId w:val="35"/>
  </w:num>
  <w:num w:numId="76">
    <w:abstractNumId w:val="35"/>
  </w:num>
  <w:num w:numId="77">
    <w:abstractNumId w:val="35"/>
  </w:num>
  <w:num w:numId="78">
    <w:abstractNumId w:val="35"/>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9"/>
  </w:num>
  <w:num w:numId="86">
    <w:abstractNumId w:val="19"/>
  </w:num>
  <w:num w:numId="87">
    <w:abstractNumId w:val="19"/>
  </w:num>
  <w:num w:numId="88">
    <w:abstractNumId w:val="35"/>
  </w:num>
  <w:num w:numId="89">
    <w:abstractNumId w:val="35"/>
  </w:num>
  <w:num w:numId="90">
    <w:abstractNumId w:val="35"/>
  </w:num>
  <w:num w:numId="91">
    <w:abstractNumId w:val="46"/>
  </w:num>
  <w:num w:numId="92">
    <w:abstractNumId w:val="4"/>
  </w:num>
  <w:num w:numId="93">
    <w:abstractNumId w:val="2"/>
  </w:num>
  <w:num w:numId="94">
    <w:abstractNumId w:val="6"/>
  </w:num>
  <w:num w:numId="95">
    <w:abstractNumId w:val="14"/>
  </w:num>
  <w:num w:numId="96">
    <w:abstractNumId w:val="22"/>
  </w:num>
  <w:num w:numId="97">
    <w:abstractNumId w:val="16"/>
  </w:num>
  <w:num w:numId="98">
    <w:abstractNumId w:val="35"/>
  </w:num>
  <w:num w:numId="99">
    <w:abstractNumId w:val="35"/>
  </w:num>
  <w:num w:numId="100">
    <w:abstractNumId w:val="19"/>
  </w:num>
  <w:num w:numId="101">
    <w:abstractNumId w:val="19"/>
  </w:num>
  <w:num w:numId="102">
    <w:abstractNumId w:val="19"/>
  </w:num>
  <w:num w:numId="103">
    <w:abstractNumId w:val="19"/>
  </w:num>
  <w:num w:numId="104">
    <w:abstractNumId w:val="19"/>
  </w:num>
  <w:num w:numId="105">
    <w:abstractNumId w:val="10"/>
  </w:num>
  <w:num w:numId="106">
    <w:abstractNumId w:val="45"/>
  </w:num>
  <w:num w:numId="107">
    <w:abstractNumId w:val="3"/>
  </w:num>
  <w:num w:numId="108">
    <w:abstractNumId w:val="43"/>
  </w:num>
  <w:num w:numId="109">
    <w:abstractNumId w:val="6"/>
  </w:num>
  <w:num w:numId="110">
    <w:abstractNumId w:val="29"/>
  </w:num>
  <w:num w:numId="111">
    <w:abstractNumId w:val="39"/>
  </w:num>
  <w:num w:numId="112">
    <w:abstractNumId w:val="37"/>
  </w:num>
  <w:num w:numId="113">
    <w:abstractNumId w:val="19"/>
    <w:lvlOverride w:ilvl="0">
      <w:startOverride w:val="1"/>
    </w:lvlOverride>
  </w:num>
  <w:num w:numId="114">
    <w:abstractNumId w:val="41"/>
  </w:num>
  <w:num w:numId="115">
    <w:abstractNumId w:val="21"/>
  </w:num>
  <w:num w:numId="116">
    <w:abstractNumId w:val="11"/>
  </w:num>
  <w:num w:numId="117">
    <w:abstractNumId w:val="19"/>
  </w:num>
  <w:num w:numId="118">
    <w:abstractNumId w:val="19"/>
  </w:num>
  <w:num w:numId="119">
    <w:abstractNumId w:val="6"/>
  </w:num>
  <w:num w:numId="120">
    <w:abstractNumId w:val="19"/>
  </w:num>
  <w:num w:numId="121">
    <w:abstractNumId w:val="19"/>
  </w:num>
  <w:num w:numId="122">
    <w:abstractNumId w:val="35"/>
  </w:num>
  <w:num w:numId="123">
    <w:abstractNumId w:val="35"/>
  </w:num>
  <w:num w:numId="124">
    <w:abstractNumId w:val="19"/>
  </w:num>
  <w:num w:numId="125">
    <w:abstractNumId w:val="19"/>
  </w:num>
  <w:num w:numId="126">
    <w:abstractNumId w:val="19"/>
  </w:num>
  <w:num w:numId="127">
    <w:abstractNumId w:val="19"/>
  </w:num>
  <w:num w:numId="128">
    <w:abstractNumId w:val="1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lickAndTypeStyle w:val="NormalWeb"/>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4D"/>
    <w:rsid w:val="00000132"/>
    <w:rsid w:val="0000031D"/>
    <w:rsid w:val="00000AD2"/>
    <w:rsid w:val="00000B31"/>
    <w:rsid w:val="00000BE7"/>
    <w:rsid w:val="0000108E"/>
    <w:rsid w:val="00002771"/>
    <w:rsid w:val="00002A5D"/>
    <w:rsid w:val="00002C62"/>
    <w:rsid w:val="00002EA5"/>
    <w:rsid w:val="00002FC9"/>
    <w:rsid w:val="00003444"/>
    <w:rsid w:val="00003D0D"/>
    <w:rsid w:val="00004F15"/>
    <w:rsid w:val="00004F9D"/>
    <w:rsid w:val="00005734"/>
    <w:rsid w:val="00005831"/>
    <w:rsid w:val="0000638B"/>
    <w:rsid w:val="00006F11"/>
    <w:rsid w:val="00006FAA"/>
    <w:rsid w:val="0000707A"/>
    <w:rsid w:val="0000763E"/>
    <w:rsid w:val="0000783E"/>
    <w:rsid w:val="00007DA0"/>
    <w:rsid w:val="000109D5"/>
    <w:rsid w:val="00010F4B"/>
    <w:rsid w:val="00012140"/>
    <w:rsid w:val="00012715"/>
    <w:rsid w:val="00012873"/>
    <w:rsid w:val="00012EA2"/>
    <w:rsid w:val="000140CF"/>
    <w:rsid w:val="00014142"/>
    <w:rsid w:val="0001472B"/>
    <w:rsid w:val="0001513B"/>
    <w:rsid w:val="00015913"/>
    <w:rsid w:val="0001592C"/>
    <w:rsid w:val="00015F90"/>
    <w:rsid w:val="00016ED4"/>
    <w:rsid w:val="00021233"/>
    <w:rsid w:val="00021EBC"/>
    <w:rsid w:val="00022D65"/>
    <w:rsid w:val="0002341C"/>
    <w:rsid w:val="00023CCC"/>
    <w:rsid w:val="00023D93"/>
    <w:rsid w:val="00024037"/>
    <w:rsid w:val="000241B2"/>
    <w:rsid w:val="0002426F"/>
    <w:rsid w:val="00024CBB"/>
    <w:rsid w:val="00025FBC"/>
    <w:rsid w:val="00025FC1"/>
    <w:rsid w:val="0002673A"/>
    <w:rsid w:val="000274F1"/>
    <w:rsid w:val="00027653"/>
    <w:rsid w:val="0002774A"/>
    <w:rsid w:val="00027988"/>
    <w:rsid w:val="00027BB0"/>
    <w:rsid w:val="00027C47"/>
    <w:rsid w:val="00027DB3"/>
    <w:rsid w:val="00030C51"/>
    <w:rsid w:val="00030CC7"/>
    <w:rsid w:val="00030F70"/>
    <w:rsid w:val="0003128C"/>
    <w:rsid w:val="00031FC4"/>
    <w:rsid w:val="00032221"/>
    <w:rsid w:val="00033919"/>
    <w:rsid w:val="000339D2"/>
    <w:rsid w:val="00033F88"/>
    <w:rsid w:val="00034CD0"/>
    <w:rsid w:val="00035164"/>
    <w:rsid w:val="000353A6"/>
    <w:rsid w:val="00035A84"/>
    <w:rsid w:val="000369DC"/>
    <w:rsid w:val="00036EFF"/>
    <w:rsid w:val="00037066"/>
    <w:rsid w:val="000370F3"/>
    <w:rsid w:val="00037498"/>
    <w:rsid w:val="00037616"/>
    <w:rsid w:val="0004089B"/>
    <w:rsid w:val="00040F78"/>
    <w:rsid w:val="0004143D"/>
    <w:rsid w:val="0004189B"/>
    <w:rsid w:val="0004215C"/>
    <w:rsid w:val="000424F8"/>
    <w:rsid w:val="00042717"/>
    <w:rsid w:val="00042778"/>
    <w:rsid w:val="00042924"/>
    <w:rsid w:val="00043509"/>
    <w:rsid w:val="00043748"/>
    <w:rsid w:val="00043B84"/>
    <w:rsid w:val="000440A2"/>
    <w:rsid w:val="00044463"/>
    <w:rsid w:val="00044D3C"/>
    <w:rsid w:val="00045A27"/>
    <w:rsid w:val="00045CAF"/>
    <w:rsid w:val="0004686D"/>
    <w:rsid w:val="00046CCC"/>
    <w:rsid w:val="000520FB"/>
    <w:rsid w:val="000521C6"/>
    <w:rsid w:val="000524F2"/>
    <w:rsid w:val="00052699"/>
    <w:rsid w:val="00052AD3"/>
    <w:rsid w:val="0005317A"/>
    <w:rsid w:val="00053A10"/>
    <w:rsid w:val="00053A50"/>
    <w:rsid w:val="00053C7F"/>
    <w:rsid w:val="0005655E"/>
    <w:rsid w:val="00056709"/>
    <w:rsid w:val="00056B39"/>
    <w:rsid w:val="00056C4A"/>
    <w:rsid w:val="00057198"/>
    <w:rsid w:val="00057A4B"/>
    <w:rsid w:val="00060288"/>
    <w:rsid w:val="00061DB0"/>
    <w:rsid w:val="00061E13"/>
    <w:rsid w:val="00061F5F"/>
    <w:rsid w:val="00062157"/>
    <w:rsid w:val="000621E5"/>
    <w:rsid w:val="00062257"/>
    <w:rsid w:val="0006333E"/>
    <w:rsid w:val="00063D01"/>
    <w:rsid w:val="000646C7"/>
    <w:rsid w:val="00064ADE"/>
    <w:rsid w:val="00064EF8"/>
    <w:rsid w:val="000651D5"/>
    <w:rsid w:val="00065239"/>
    <w:rsid w:val="00065969"/>
    <w:rsid w:val="00065A59"/>
    <w:rsid w:val="00066115"/>
    <w:rsid w:val="00066389"/>
    <w:rsid w:val="000667B5"/>
    <w:rsid w:val="00066D17"/>
    <w:rsid w:val="00067140"/>
    <w:rsid w:val="0006740A"/>
    <w:rsid w:val="000675F4"/>
    <w:rsid w:val="00067A98"/>
    <w:rsid w:val="00070CF0"/>
    <w:rsid w:val="00070E7A"/>
    <w:rsid w:val="000710D3"/>
    <w:rsid w:val="00071227"/>
    <w:rsid w:val="00071892"/>
    <w:rsid w:val="00071A04"/>
    <w:rsid w:val="000736CD"/>
    <w:rsid w:val="00073997"/>
    <w:rsid w:val="00073AE0"/>
    <w:rsid w:val="00073F91"/>
    <w:rsid w:val="0007423E"/>
    <w:rsid w:val="00074661"/>
    <w:rsid w:val="00075173"/>
    <w:rsid w:val="00075752"/>
    <w:rsid w:val="0007575F"/>
    <w:rsid w:val="00075954"/>
    <w:rsid w:val="00075F75"/>
    <w:rsid w:val="00076E07"/>
    <w:rsid w:val="00077023"/>
    <w:rsid w:val="00077773"/>
    <w:rsid w:val="00077B40"/>
    <w:rsid w:val="00077B9D"/>
    <w:rsid w:val="00080A69"/>
    <w:rsid w:val="00080AE0"/>
    <w:rsid w:val="00080F4D"/>
    <w:rsid w:val="0008102D"/>
    <w:rsid w:val="00081293"/>
    <w:rsid w:val="00081C3B"/>
    <w:rsid w:val="00081CE9"/>
    <w:rsid w:val="000828D8"/>
    <w:rsid w:val="00082FB0"/>
    <w:rsid w:val="00083E95"/>
    <w:rsid w:val="000841A3"/>
    <w:rsid w:val="00084213"/>
    <w:rsid w:val="0008428C"/>
    <w:rsid w:val="0008446B"/>
    <w:rsid w:val="000847AB"/>
    <w:rsid w:val="00085A45"/>
    <w:rsid w:val="000868FB"/>
    <w:rsid w:val="000877FE"/>
    <w:rsid w:val="00090513"/>
    <w:rsid w:val="000905E8"/>
    <w:rsid w:val="00090C8E"/>
    <w:rsid w:val="00092366"/>
    <w:rsid w:val="00092532"/>
    <w:rsid w:val="0009292A"/>
    <w:rsid w:val="00092C3F"/>
    <w:rsid w:val="000931E6"/>
    <w:rsid w:val="00093214"/>
    <w:rsid w:val="00093306"/>
    <w:rsid w:val="00093F1E"/>
    <w:rsid w:val="00093FDE"/>
    <w:rsid w:val="00094182"/>
    <w:rsid w:val="00094DC3"/>
    <w:rsid w:val="000956A4"/>
    <w:rsid w:val="00095DA1"/>
    <w:rsid w:val="00095DED"/>
    <w:rsid w:val="00096E24"/>
    <w:rsid w:val="000A0F0F"/>
    <w:rsid w:val="000A108A"/>
    <w:rsid w:val="000A1204"/>
    <w:rsid w:val="000A13C3"/>
    <w:rsid w:val="000A149C"/>
    <w:rsid w:val="000A19EB"/>
    <w:rsid w:val="000A1D27"/>
    <w:rsid w:val="000A1FA2"/>
    <w:rsid w:val="000A2746"/>
    <w:rsid w:val="000A2E1F"/>
    <w:rsid w:val="000A36DF"/>
    <w:rsid w:val="000A3D7D"/>
    <w:rsid w:val="000A4351"/>
    <w:rsid w:val="000A4984"/>
    <w:rsid w:val="000A4A46"/>
    <w:rsid w:val="000A4C90"/>
    <w:rsid w:val="000A504C"/>
    <w:rsid w:val="000A5212"/>
    <w:rsid w:val="000A573F"/>
    <w:rsid w:val="000A608A"/>
    <w:rsid w:val="000A6216"/>
    <w:rsid w:val="000A6221"/>
    <w:rsid w:val="000A7140"/>
    <w:rsid w:val="000A7380"/>
    <w:rsid w:val="000A78E0"/>
    <w:rsid w:val="000A7C6A"/>
    <w:rsid w:val="000A7D6E"/>
    <w:rsid w:val="000A7DB3"/>
    <w:rsid w:val="000A7E0E"/>
    <w:rsid w:val="000B1DD0"/>
    <w:rsid w:val="000B23DF"/>
    <w:rsid w:val="000B3AEC"/>
    <w:rsid w:val="000B44C5"/>
    <w:rsid w:val="000B4709"/>
    <w:rsid w:val="000B48E0"/>
    <w:rsid w:val="000B48E9"/>
    <w:rsid w:val="000B5442"/>
    <w:rsid w:val="000C00C6"/>
    <w:rsid w:val="000C071E"/>
    <w:rsid w:val="000C0E55"/>
    <w:rsid w:val="000C1B5C"/>
    <w:rsid w:val="000C1C22"/>
    <w:rsid w:val="000C1FE9"/>
    <w:rsid w:val="000C238A"/>
    <w:rsid w:val="000C31F6"/>
    <w:rsid w:val="000C32FE"/>
    <w:rsid w:val="000C347E"/>
    <w:rsid w:val="000C3A9C"/>
    <w:rsid w:val="000C4EE7"/>
    <w:rsid w:val="000C5CCA"/>
    <w:rsid w:val="000C5FFD"/>
    <w:rsid w:val="000C620E"/>
    <w:rsid w:val="000C6CED"/>
    <w:rsid w:val="000C7104"/>
    <w:rsid w:val="000C73F0"/>
    <w:rsid w:val="000C7540"/>
    <w:rsid w:val="000C776F"/>
    <w:rsid w:val="000C7790"/>
    <w:rsid w:val="000C7A70"/>
    <w:rsid w:val="000C7AD2"/>
    <w:rsid w:val="000C7CB5"/>
    <w:rsid w:val="000C7D05"/>
    <w:rsid w:val="000C7FA5"/>
    <w:rsid w:val="000D001F"/>
    <w:rsid w:val="000D030A"/>
    <w:rsid w:val="000D06F7"/>
    <w:rsid w:val="000D108B"/>
    <w:rsid w:val="000D12DF"/>
    <w:rsid w:val="000D14C7"/>
    <w:rsid w:val="000D1AF9"/>
    <w:rsid w:val="000D20DE"/>
    <w:rsid w:val="000D20E2"/>
    <w:rsid w:val="000D21DF"/>
    <w:rsid w:val="000D250E"/>
    <w:rsid w:val="000D28E0"/>
    <w:rsid w:val="000D2D55"/>
    <w:rsid w:val="000D3575"/>
    <w:rsid w:val="000D3C52"/>
    <w:rsid w:val="000D523A"/>
    <w:rsid w:val="000D538C"/>
    <w:rsid w:val="000D5691"/>
    <w:rsid w:val="000D57AC"/>
    <w:rsid w:val="000D5C22"/>
    <w:rsid w:val="000D635C"/>
    <w:rsid w:val="000D668D"/>
    <w:rsid w:val="000D69A7"/>
    <w:rsid w:val="000D711C"/>
    <w:rsid w:val="000D71BD"/>
    <w:rsid w:val="000D7EFD"/>
    <w:rsid w:val="000D7F07"/>
    <w:rsid w:val="000E00C7"/>
    <w:rsid w:val="000E0439"/>
    <w:rsid w:val="000E14ED"/>
    <w:rsid w:val="000E1D5D"/>
    <w:rsid w:val="000E1F87"/>
    <w:rsid w:val="000E206C"/>
    <w:rsid w:val="000E2305"/>
    <w:rsid w:val="000E2805"/>
    <w:rsid w:val="000E3318"/>
    <w:rsid w:val="000E39DB"/>
    <w:rsid w:val="000E404E"/>
    <w:rsid w:val="000E434A"/>
    <w:rsid w:val="000E4E68"/>
    <w:rsid w:val="000E5C88"/>
    <w:rsid w:val="000E5F3B"/>
    <w:rsid w:val="000E6C9D"/>
    <w:rsid w:val="000F0320"/>
    <w:rsid w:val="000F0735"/>
    <w:rsid w:val="000F141A"/>
    <w:rsid w:val="000F22F7"/>
    <w:rsid w:val="000F2A2C"/>
    <w:rsid w:val="000F2CCF"/>
    <w:rsid w:val="000F2D67"/>
    <w:rsid w:val="000F2FF8"/>
    <w:rsid w:val="000F348B"/>
    <w:rsid w:val="000F3D1F"/>
    <w:rsid w:val="000F3D71"/>
    <w:rsid w:val="000F42B6"/>
    <w:rsid w:val="000F4B34"/>
    <w:rsid w:val="000F5CFF"/>
    <w:rsid w:val="000F5E8C"/>
    <w:rsid w:val="000F6737"/>
    <w:rsid w:val="000F68DF"/>
    <w:rsid w:val="000F6AE5"/>
    <w:rsid w:val="000F6D6C"/>
    <w:rsid w:val="000F780D"/>
    <w:rsid w:val="001003C6"/>
    <w:rsid w:val="00101121"/>
    <w:rsid w:val="00101B4A"/>
    <w:rsid w:val="00101F8E"/>
    <w:rsid w:val="001037BD"/>
    <w:rsid w:val="00103A1D"/>
    <w:rsid w:val="00103F77"/>
    <w:rsid w:val="00104187"/>
    <w:rsid w:val="00104608"/>
    <w:rsid w:val="00105139"/>
    <w:rsid w:val="001057D4"/>
    <w:rsid w:val="00105FD6"/>
    <w:rsid w:val="001068FD"/>
    <w:rsid w:val="0010692E"/>
    <w:rsid w:val="00107547"/>
    <w:rsid w:val="00110196"/>
    <w:rsid w:val="001102CA"/>
    <w:rsid w:val="0011058C"/>
    <w:rsid w:val="001105F8"/>
    <w:rsid w:val="00110631"/>
    <w:rsid w:val="00110A23"/>
    <w:rsid w:val="00111176"/>
    <w:rsid w:val="00111447"/>
    <w:rsid w:val="001114F4"/>
    <w:rsid w:val="0011179A"/>
    <w:rsid w:val="00111BC3"/>
    <w:rsid w:val="00111EE4"/>
    <w:rsid w:val="0011245E"/>
    <w:rsid w:val="00112950"/>
    <w:rsid w:val="0011372C"/>
    <w:rsid w:val="00113E3D"/>
    <w:rsid w:val="00114273"/>
    <w:rsid w:val="0011592E"/>
    <w:rsid w:val="00115D9C"/>
    <w:rsid w:val="001165AF"/>
    <w:rsid w:val="00116B24"/>
    <w:rsid w:val="001179E5"/>
    <w:rsid w:val="00117C29"/>
    <w:rsid w:val="00121AE4"/>
    <w:rsid w:val="00121DC8"/>
    <w:rsid w:val="00121EFE"/>
    <w:rsid w:val="00122057"/>
    <w:rsid w:val="00122180"/>
    <w:rsid w:val="00123004"/>
    <w:rsid w:val="00123833"/>
    <w:rsid w:val="00125110"/>
    <w:rsid w:val="00125417"/>
    <w:rsid w:val="00125801"/>
    <w:rsid w:val="00125F38"/>
    <w:rsid w:val="001263FE"/>
    <w:rsid w:val="00127B63"/>
    <w:rsid w:val="00127BF5"/>
    <w:rsid w:val="001305AA"/>
    <w:rsid w:val="00131693"/>
    <w:rsid w:val="0013187C"/>
    <w:rsid w:val="00131A35"/>
    <w:rsid w:val="001322AE"/>
    <w:rsid w:val="00132497"/>
    <w:rsid w:val="00132BF1"/>
    <w:rsid w:val="00132F1A"/>
    <w:rsid w:val="0013349F"/>
    <w:rsid w:val="00133936"/>
    <w:rsid w:val="00133D92"/>
    <w:rsid w:val="001340DD"/>
    <w:rsid w:val="00134102"/>
    <w:rsid w:val="00134C28"/>
    <w:rsid w:val="00134FE7"/>
    <w:rsid w:val="00135134"/>
    <w:rsid w:val="0013639B"/>
    <w:rsid w:val="001365DE"/>
    <w:rsid w:val="0013699E"/>
    <w:rsid w:val="001373AF"/>
    <w:rsid w:val="0013767A"/>
    <w:rsid w:val="00137BF0"/>
    <w:rsid w:val="001404AE"/>
    <w:rsid w:val="00141704"/>
    <w:rsid w:val="001418F2"/>
    <w:rsid w:val="00142445"/>
    <w:rsid w:val="00142C8B"/>
    <w:rsid w:val="00142E43"/>
    <w:rsid w:val="00143141"/>
    <w:rsid w:val="00143545"/>
    <w:rsid w:val="0014394D"/>
    <w:rsid w:val="001441BF"/>
    <w:rsid w:val="0014421F"/>
    <w:rsid w:val="00144723"/>
    <w:rsid w:val="00145AD2"/>
    <w:rsid w:val="00145B37"/>
    <w:rsid w:val="001460AF"/>
    <w:rsid w:val="00146646"/>
    <w:rsid w:val="00146699"/>
    <w:rsid w:val="001479D6"/>
    <w:rsid w:val="00147D20"/>
    <w:rsid w:val="00147EC2"/>
    <w:rsid w:val="00150308"/>
    <w:rsid w:val="00150338"/>
    <w:rsid w:val="0015059B"/>
    <w:rsid w:val="00151338"/>
    <w:rsid w:val="001514AF"/>
    <w:rsid w:val="0015325A"/>
    <w:rsid w:val="0015354D"/>
    <w:rsid w:val="00154383"/>
    <w:rsid w:val="00154494"/>
    <w:rsid w:val="00154778"/>
    <w:rsid w:val="00154DE5"/>
    <w:rsid w:val="0015531F"/>
    <w:rsid w:val="00156BB1"/>
    <w:rsid w:val="00157C96"/>
    <w:rsid w:val="0016076D"/>
    <w:rsid w:val="001622AF"/>
    <w:rsid w:val="001625B2"/>
    <w:rsid w:val="0016267E"/>
    <w:rsid w:val="00162748"/>
    <w:rsid w:val="00162BE8"/>
    <w:rsid w:val="0016403C"/>
    <w:rsid w:val="00164F3D"/>
    <w:rsid w:val="001652B7"/>
    <w:rsid w:val="00165561"/>
    <w:rsid w:val="00167091"/>
    <w:rsid w:val="001670B0"/>
    <w:rsid w:val="0016711E"/>
    <w:rsid w:val="001674B6"/>
    <w:rsid w:val="00167994"/>
    <w:rsid w:val="001679F3"/>
    <w:rsid w:val="00167A43"/>
    <w:rsid w:val="0017080B"/>
    <w:rsid w:val="001714C8"/>
    <w:rsid w:val="001716F7"/>
    <w:rsid w:val="00171706"/>
    <w:rsid w:val="001719EA"/>
    <w:rsid w:val="00171AB1"/>
    <w:rsid w:val="00172CB6"/>
    <w:rsid w:val="00172E78"/>
    <w:rsid w:val="00173206"/>
    <w:rsid w:val="001734F5"/>
    <w:rsid w:val="001735BF"/>
    <w:rsid w:val="0017380F"/>
    <w:rsid w:val="00174936"/>
    <w:rsid w:val="00174BBB"/>
    <w:rsid w:val="00174E55"/>
    <w:rsid w:val="00175C51"/>
    <w:rsid w:val="00176757"/>
    <w:rsid w:val="00176CEC"/>
    <w:rsid w:val="00176D67"/>
    <w:rsid w:val="001770E8"/>
    <w:rsid w:val="001778B6"/>
    <w:rsid w:val="00177BF8"/>
    <w:rsid w:val="00180DF3"/>
    <w:rsid w:val="001811FF"/>
    <w:rsid w:val="00181516"/>
    <w:rsid w:val="00181586"/>
    <w:rsid w:val="001816AB"/>
    <w:rsid w:val="00181BBB"/>
    <w:rsid w:val="00182106"/>
    <w:rsid w:val="001824F2"/>
    <w:rsid w:val="00182A5B"/>
    <w:rsid w:val="00183C42"/>
    <w:rsid w:val="00183E8B"/>
    <w:rsid w:val="00183F74"/>
    <w:rsid w:val="001846DE"/>
    <w:rsid w:val="001847E9"/>
    <w:rsid w:val="00184FBA"/>
    <w:rsid w:val="00185066"/>
    <w:rsid w:val="00186276"/>
    <w:rsid w:val="00186AE4"/>
    <w:rsid w:val="001915DD"/>
    <w:rsid w:val="00191A6E"/>
    <w:rsid w:val="00191B92"/>
    <w:rsid w:val="001920EC"/>
    <w:rsid w:val="00192CAA"/>
    <w:rsid w:val="001936BD"/>
    <w:rsid w:val="00194095"/>
    <w:rsid w:val="001943FF"/>
    <w:rsid w:val="0019479A"/>
    <w:rsid w:val="00194C69"/>
    <w:rsid w:val="00195A5F"/>
    <w:rsid w:val="00195DFC"/>
    <w:rsid w:val="00196C5A"/>
    <w:rsid w:val="0019742B"/>
    <w:rsid w:val="0019763B"/>
    <w:rsid w:val="0019777D"/>
    <w:rsid w:val="00197D87"/>
    <w:rsid w:val="001A023E"/>
    <w:rsid w:val="001A07EC"/>
    <w:rsid w:val="001A084D"/>
    <w:rsid w:val="001A1196"/>
    <w:rsid w:val="001A2677"/>
    <w:rsid w:val="001A268D"/>
    <w:rsid w:val="001A293D"/>
    <w:rsid w:val="001A298D"/>
    <w:rsid w:val="001A2C17"/>
    <w:rsid w:val="001A2D43"/>
    <w:rsid w:val="001A2DC0"/>
    <w:rsid w:val="001A3B89"/>
    <w:rsid w:val="001A4071"/>
    <w:rsid w:val="001A4AFA"/>
    <w:rsid w:val="001A4FD7"/>
    <w:rsid w:val="001A5536"/>
    <w:rsid w:val="001A5C10"/>
    <w:rsid w:val="001A5ED4"/>
    <w:rsid w:val="001A6FE7"/>
    <w:rsid w:val="001A7001"/>
    <w:rsid w:val="001A7306"/>
    <w:rsid w:val="001A79A4"/>
    <w:rsid w:val="001B0271"/>
    <w:rsid w:val="001B094B"/>
    <w:rsid w:val="001B0AF4"/>
    <w:rsid w:val="001B0C38"/>
    <w:rsid w:val="001B101A"/>
    <w:rsid w:val="001B1430"/>
    <w:rsid w:val="001B14D1"/>
    <w:rsid w:val="001B1F49"/>
    <w:rsid w:val="001B2226"/>
    <w:rsid w:val="001B29A4"/>
    <w:rsid w:val="001B2D15"/>
    <w:rsid w:val="001B4010"/>
    <w:rsid w:val="001B462C"/>
    <w:rsid w:val="001B4760"/>
    <w:rsid w:val="001B4AD5"/>
    <w:rsid w:val="001B5302"/>
    <w:rsid w:val="001B5450"/>
    <w:rsid w:val="001B5490"/>
    <w:rsid w:val="001B6002"/>
    <w:rsid w:val="001B6A07"/>
    <w:rsid w:val="001B7C0B"/>
    <w:rsid w:val="001B7CDA"/>
    <w:rsid w:val="001C07DE"/>
    <w:rsid w:val="001C0DD5"/>
    <w:rsid w:val="001C28AF"/>
    <w:rsid w:val="001C2B13"/>
    <w:rsid w:val="001C2F11"/>
    <w:rsid w:val="001C3777"/>
    <w:rsid w:val="001C4565"/>
    <w:rsid w:val="001C48A6"/>
    <w:rsid w:val="001C4982"/>
    <w:rsid w:val="001C4EFC"/>
    <w:rsid w:val="001C4F17"/>
    <w:rsid w:val="001C5473"/>
    <w:rsid w:val="001C54EC"/>
    <w:rsid w:val="001C5A4E"/>
    <w:rsid w:val="001D10A2"/>
    <w:rsid w:val="001D1228"/>
    <w:rsid w:val="001D1292"/>
    <w:rsid w:val="001D253B"/>
    <w:rsid w:val="001D2763"/>
    <w:rsid w:val="001D2CD0"/>
    <w:rsid w:val="001D37A9"/>
    <w:rsid w:val="001D3D02"/>
    <w:rsid w:val="001D3EE8"/>
    <w:rsid w:val="001D43C0"/>
    <w:rsid w:val="001D4500"/>
    <w:rsid w:val="001D4AF1"/>
    <w:rsid w:val="001D51E3"/>
    <w:rsid w:val="001D5288"/>
    <w:rsid w:val="001D5315"/>
    <w:rsid w:val="001D6377"/>
    <w:rsid w:val="001D79C8"/>
    <w:rsid w:val="001D7AB1"/>
    <w:rsid w:val="001E10CD"/>
    <w:rsid w:val="001E205A"/>
    <w:rsid w:val="001E21ED"/>
    <w:rsid w:val="001E2777"/>
    <w:rsid w:val="001E2EA4"/>
    <w:rsid w:val="001E3172"/>
    <w:rsid w:val="001E3A70"/>
    <w:rsid w:val="001E3FFE"/>
    <w:rsid w:val="001E4400"/>
    <w:rsid w:val="001E4AD8"/>
    <w:rsid w:val="001E51CA"/>
    <w:rsid w:val="001E5316"/>
    <w:rsid w:val="001E579E"/>
    <w:rsid w:val="001E5CDB"/>
    <w:rsid w:val="001E5F75"/>
    <w:rsid w:val="001E601A"/>
    <w:rsid w:val="001E61C5"/>
    <w:rsid w:val="001E62A2"/>
    <w:rsid w:val="001E6C2D"/>
    <w:rsid w:val="001E74CA"/>
    <w:rsid w:val="001E7A13"/>
    <w:rsid w:val="001F00AE"/>
    <w:rsid w:val="001F0394"/>
    <w:rsid w:val="001F041C"/>
    <w:rsid w:val="001F0539"/>
    <w:rsid w:val="001F07BB"/>
    <w:rsid w:val="001F0C17"/>
    <w:rsid w:val="001F18A3"/>
    <w:rsid w:val="001F1E8A"/>
    <w:rsid w:val="001F24CF"/>
    <w:rsid w:val="001F2D91"/>
    <w:rsid w:val="001F34A9"/>
    <w:rsid w:val="001F3897"/>
    <w:rsid w:val="001F42A1"/>
    <w:rsid w:val="001F44E0"/>
    <w:rsid w:val="001F51CB"/>
    <w:rsid w:val="001F5500"/>
    <w:rsid w:val="001F5D20"/>
    <w:rsid w:val="001F614C"/>
    <w:rsid w:val="001F64A4"/>
    <w:rsid w:val="001F683B"/>
    <w:rsid w:val="0020018D"/>
    <w:rsid w:val="00200425"/>
    <w:rsid w:val="00200C74"/>
    <w:rsid w:val="00200CC6"/>
    <w:rsid w:val="00200EA4"/>
    <w:rsid w:val="00201817"/>
    <w:rsid w:val="00201BE9"/>
    <w:rsid w:val="0020274F"/>
    <w:rsid w:val="00202BA7"/>
    <w:rsid w:val="002032D2"/>
    <w:rsid w:val="002033E8"/>
    <w:rsid w:val="00203EC5"/>
    <w:rsid w:val="00203F76"/>
    <w:rsid w:val="0020522B"/>
    <w:rsid w:val="00205328"/>
    <w:rsid w:val="002053A1"/>
    <w:rsid w:val="00205492"/>
    <w:rsid w:val="00205B99"/>
    <w:rsid w:val="00205E8A"/>
    <w:rsid w:val="002065C5"/>
    <w:rsid w:val="002066C0"/>
    <w:rsid w:val="00206CF9"/>
    <w:rsid w:val="00207222"/>
    <w:rsid w:val="0020733C"/>
    <w:rsid w:val="002076F9"/>
    <w:rsid w:val="00210604"/>
    <w:rsid w:val="00210EBE"/>
    <w:rsid w:val="002113A9"/>
    <w:rsid w:val="00211C20"/>
    <w:rsid w:val="00211F1D"/>
    <w:rsid w:val="00212032"/>
    <w:rsid w:val="0021216A"/>
    <w:rsid w:val="0021269D"/>
    <w:rsid w:val="00212862"/>
    <w:rsid w:val="0021311A"/>
    <w:rsid w:val="002147C5"/>
    <w:rsid w:val="00214A8A"/>
    <w:rsid w:val="00214D94"/>
    <w:rsid w:val="0021501A"/>
    <w:rsid w:val="00215027"/>
    <w:rsid w:val="002154E1"/>
    <w:rsid w:val="00215687"/>
    <w:rsid w:val="002156E8"/>
    <w:rsid w:val="0021599C"/>
    <w:rsid w:val="00215DB8"/>
    <w:rsid w:val="00216062"/>
    <w:rsid w:val="00216299"/>
    <w:rsid w:val="00217445"/>
    <w:rsid w:val="00217778"/>
    <w:rsid w:val="00217908"/>
    <w:rsid w:val="0021797F"/>
    <w:rsid w:val="002208F4"/>
    <w:rsid w:val="00221288"/>
    <w:rsid w:val="00221D64"/>
    <w:rsid w:val="0022212F"/>
    <w:rsid w:val="00222468"/>
    <w:rsid w:val="002233C0"/>
    <w:rsid w:val="002236AA"/>
    <w:rsid w:val="002238F8"/>
    <w:rsid w:val="002239E9"/>
    <w:rsid w:val="00223B7D"/>
    <w:rsid w:val="00223D4C"/>
    <w:rsid w:val="00225755"/>
    <w:rsid w:val="00225CD3"/>
    <w:rsid w:val="00225D29"/>
    <w:rsid w:val="00226D7F"/>
    <w:rsid w:val="00226FD6"/>
    <w:rsid w:val="0022767D"/>
    <w:rsid w:val="00227B3E"/>
    <w:rsid w:val="00227FD4"/>
    <w:rsid w:val="00230128"/>
    <w:rsid w:val="0023012A"/>
    <w:rsid w:val="002301A2"/>
    <w:rsid w:val="0023061C"/>
    <w:rsid w:val="002311CB"/>
    <w:rsid w:val="002311D6"/>
    <w:rsid w:val="0023185E"/>
    <w:rsid w:val="00232225"/>
    <w:rsid w:val="00232595"/>
    <w:rsid w:val="0023288A"/>
    <w:rsid w:val="00233D28"/>
    <w:rsid w:val="002344FE"/>
    <w:rsid w:val="002353E2"/>
    <w:rsid w:val="002355B3"/>
    <w:rsid w:val="00236225"/>
    <w:rsid w:val="0023629B"/>
    <w:rsid w:val="002364A7"/>
    <w:rsid w:val="00236805"/>
    <w:rsid w:val="002368D3"/>
    <w:rsid w:val="00236CB9"/>
    <w:rsid w:val="00237898"/>
    <w:rsid w:val="00240250"/>
    <w:rsid w:val="002406C6"/>
    <w:rsid w:val="00241EA5"/>
    <w:rsid w:val="00242242"/>
    <w:rsid w:val="00244AC9"/>
    <w:rsid w:val="00244DDF"/>
    <w:rsid w:val="00244F6A"/>
    <w:rsid w:val="00250D97"/>
    <w:rsid w:val="00252054"/>
    <w:rsid w:val="002522F1"/>
    <w:rsid w:val="0025235C"/>
    <w:rsid w:val="0025253B"/>
    <w:rsid w:val="00253181"/>
    <w:rsid w:val="0025323F"/>
    <w:rsid w:val="0025355D"/>
    <w:rsid w:val="00253588"/>
    <w:rsid w:val="00253784"/>
    <w:rsid w:val="00253A8E"/>
    <w:rsid w:val="00253B1D"/>
    <w:rsid w:val="002547F7"/>
    <w:rsid w:val="002549E8"/>
    <w:rsid w:val="002553A5"/>
    <w:rsid w:val="00255F8B"/>
    <w:rsid w:val="002560B5"/>
    <w:rsid w:val="002562E0"/>
    <w:rsid w:val="00256317"/>
    <w:rsid w:val="002565FE"/>
    <w:rsid w:val="00256DB4"/>
    <w:rsid w:val="00256F28"/>
    <w:rsid w:val="002570FB"/>
    <w:rsid w:val="002574F4"/>
    <w:rsid w:val="00257828"/>
    <w:rsid w:val="00257A85"/>
    <w:rsid w:val="00260DF4"/>
    <w:rsid w:val="00261888"/>
    <w:rsid w:val="002624FA"/>
    <w:rsid w:val="00262A51"/>
    <w:rsid w:val="00263282"/>
    <w:rsid w:val="00263DFA"/>
    <w:rsid w:val="00263F8C"/>
    <w:rsid w:val="00263FC0"/>
    <w:rsid w:val="00264B29"/>
    <w:rsid w:val="00264D79"/>
    <w:rsid w:val="002651EC"/>
    <w:rsid w:val="0026588D"/>
    <w:rsid w:val="002658C6"/>
    <w:rsid w:val="00265DF2"/>
    <w:rsid w:val="0026627F"/>
    <w:rsid w:val="00266480"/>
    <w:rsid w:val="0026695D"/>
    <w:rsid w:val="0026791B"/>
    <w:rsid w:val="00267E15"/>
    <w:rsid w:val="00270875"/>
    <w:rsid w:val="00270DE5"/>
    <w:rsid w:val="002717FB"/>
    <w:rsid w:val="00272D08"/>
    <w:rsid w:val="00273344"/>
    <w:rsid w:val="00273741"/>
    <w:rsid w:val="00273A87"/>
    <w:rsid w:val="00273C15"/>
    <w:rsid w:val="00273F2D"/>
    <w:rsid w:val="002740DA"/>
    <w:rsid w:val="00274E8F"/>
    <w:rsid w:val="00275549"/>
    <w:rsid w:val="0027576C"/>
    <w:rsid w:val="00275AB0"/>
    <w:rsid w:val="00275D51"/>
    <w:rsid w:val="002763C9"/>
    <w:rsid w:val="002767C3"/>
    <w:rsid w:val="00276CB9"/>
    <w:rsid w:val="00276F59"/>
    <w:rsid w:val="00277005"/>
    <w:rsid w:val="00277397"/>
    <w:rsid w:val="00280CC4"/>
    <w:rsid w:val="00281344"/>
    <w:rsid w:val="00281736"/>
    <w:rsid w:val="002820A4"/>
    <w:rsid w:val="00282E45"/>
    <w:rsid w:val="0028320C"/>
    <w:rsid w:val="00283254"/>
    <w:rsid w:val="00283E3E"/>
    <w:rsid w:val="002843C3"/>
    <w:rsid w:val="002848A3"/>
    <w:rsid w:val="00284DB0"/>
    <w:rsid w:val="00290CBF"/>
    <w:rsid w:val="00290DB9"/>
    <w:rsid w:val="00290E53"/>
    <w:rsid w:val="0029265F"/>
    <w:rsid w:val="002928EB"/>
    <w:rsid w:val="002929E6"/>
    <w:rsid w:val="00292AAE"/>
    <w:rsid w:val="00292CDC"/>
    <w:rsid w:val="002931CF"/>
    <w:rsid w:val="00293F96"/>
    <w:rsid w:val="002945BB"/>
    <w:rsid w:val="002949A5"/>
    <w:rsid w:val="0029532F"/>
    <w:rsid w:val="002958A0"/>
    <w:rsid w:val="002959D0"/>
    <w:rsid w:val="00295A00"/>
    <w:rsid w:val="00295EE4"/>
    <w:rsid w:val="00296D33"/>
    <w:rsid w:val="0029718E"/>
    <w:rsid w:val="00297222"/>
    <w:rsid w:val="00297482"/>
    <w:rsid w:val="00297543"/>
    <w:rsid w:val="00297988"/>
    <w:rsid w:val="002A08B2"/>
    <w:rsid w:val="002A0D5E"/>
    <w:rsid w:val="002A1A02"/>
    <w:rsid w:val="002A1DB4"/>
    <w:rsid w:val="002A2096"/>
    <w:rsid w:val="002A2B71"/>
    <w:rsid w:val="002A30C1"/>
    <w:rsid w:val="002A3907"/>
    <w:rsid w:val="002A410E"/>
    <w:rsid w:val="002A44D8"/>
    <w:rsid w:val="002A4D3C"/>
    <w:rsid w:val="002A55AB"/>
    <w:rsid w:val="002A55D4"/>
    <w:rsid w:val="002A5AB0"/>
    <w:rsid w:val="002A61A1"/>
    <w:rsid w:val="002A664B"/>
    <w:rsid w:val="002A66A8"/>
    <w:rsid w:val="002A77FC"/>
    <w:rsid w:val="002B0394"/>
    <w:rsid w:val="002B0795"/>
    <w:rsid w:val="002B0C47"/>
    <w:rsid w:val="002B1963"/>
    <w:rsid w:val="002B1FDD"/>
    <w:rsid w:val="002B26F8"/>
    <w:rsid w:val="002B3422"/>
    <w:rsid w:val="002B397C"/>
    <w:rsid w:val="002B4A5E"/>
    <w:rsid w:val="002B512A"/>
    <w:rsid w:val="002B5B35"/>
    <w:rsid w:val="002B5F4F"/>
    <w:rsid w:val="002B60CE"/>
    <w:rsid w:val="002B6145"/>
    <w:rsid w:val="002B64B5"/>
    <w:rsid w:val="002B6B6E"/>
    <w:rsid w:val="002B6E26"/>
    <w:rsid w:val="002B6E4C"/>
    <w:rsid w:val="002B7291"/>
    <w:rsid w:val="002B7344"/>
    <w:rsid w:val="002B7AAC"/>
    <w:rsid w:val="002B7C5C"/>
    <w:rsid w:val="002C0611"/>
    <w:rsid w:val="002C070D"/>
    <w:rsid w:val="002C07BD"/>
    <w:rsid w:val="002C0851"/>
    <w:rsid w:val="002C08E3"/>
    <w:rsid w:val="002C18EA"/>
    <w:rsid w:val="002C1B38"/>
    <w:rsid w:val="002C2628"/>
    <w:rsid w:val="002C4442"/>
    <w:rsid w:val="002C53A2"/>
    <w:rsid w:val="002C56D4"/>
    <w:rsid w:val="002C6267"/>
    <w:rsid w:val="002C6AFC"/>
    <w:rsid w:val="002C6BA5"/>
    <w:rsid w:val="002C6D33"/>
    <w:rsid w:val="002C75D3"/>
    <w:rsid w:val="002C786C"/>
    <w:rsid w:val="002D040F"/>
    <w:rsid w:val="002D19AE"/>
    <w:rsid w:val="002D1B0C"/>
    <w:rsid w:val="002D1BDB"/>
    <w:rsid w:val="002D1FEC"/>
    <w:rsid w:val="002D21C1"/>
    <w:rsid w:val="002D22F7"/>
    <w:rsid w:val="002D2713"/>
    <w:rsid w:val="002D28EB"/>
    <w:rsid w:val="002D2C96"/>
    <w:rsid w:val="002D3121"/>
    <w:rsid w:val="002D317B"/>
    <w:rsid w:val="002D3E68"/>
    <w:rsid w:val="002D435E"/>
    <w:rsid w:val="002D44DF"/>
    <w:rsid w:val="002D4698"/>
    <w:rsid w:val="002D48A7"/>
    <w:rsid w:val="002D51E9"/>
    <w:rsid w:val="002D7991"/>
    <w:rsid w:val="002E0F6D"/>
    <w:rsid w:val="002E1056"/>
    <w:rsid w:val="002E24B1"/>
    <w:rsid w:val="002E2C82"/>
    <w:rsid w:val="002E2ED3"/>
    <w:rsid w:val="002E388A"/>
    <w:rsid w:val="002E42BF"/>
    <w:rsid w:val="002E4432"/>
    <w:rsid w:val="002E48EF"/>
    <w:rsid w:val="002E4AB6"/>
    <w:rsid w:val="002E4DB6"/>
    <w:rsid w:val="002E4F17"/>
    <w:rsid w:val="002E53C5"/>
    <w:rsid w:val="002E5AED"/>
    <w:rsid w:val="002E694D"/>
    <w:rsid w:val="002E772A"/>
    <w:rsid w:val="002E77CF"/>
    <w:rsid w:val="002E7B53"/>
    <w:rsid w:val="002F01D4"/>
    <w:rsid w:val="002F04BF"/>
    <w:rsid w:val="002F06CD"/>
    <w:rsid w:val="002F0BF4"/>
    <w:rsid w:val="002F1167"/>
    <w:rsid w:val="002F15FC"/>
    <w:rsid w:val="002F16F7"/>
    <w:rsid w:val="002F1A18"/>
    <w:rsid w:val="002F1FD9"/>
    <w:rsid w:val="002F238E"/>
    <w:rsid w:val="002F25AF"/>
    <w:rsid w:val="002F2A26"/>
    <w:rsid w:val="002F3159"/>
    <w:rsid w:val="002F333A"/>
    <w:rsid w:val="002F3B46"/>
    <w:rsid w:val="002F4AC6"/>
    <w:rsid w:val="002F4D8A"/>
    <w:rsid w:val="002F53FE"/>
    <w:rsid w:val="002F5F2A"/>
    <w:rsid w:val="002F5FC5"/>
    <w:rsid w:val="002F6174"/>
    <w:rsid w:val="002F6B90"/>
    <w:rsid w:val="002F6E13"/>
    <w:rsid w:val="002F6F47"/>
    <w:rsid w:val="002F7859"/>
    <w:rsid w:val="002F7C79"/>
    <w:rsid w:val="002F7E4B"/>
    <w:rsid w:val="002F7EB6"/>
    <w:rsid w:val="0030004B"/>
    <w:rsid w:val="0030012D"/>
    <w:rsid w:val="0030022E"/>
    <w:rsid w:val="003004D0"/>
    <w:rsid w:val="00300CF9"/>
    <w:rsid w:val="00300F03"/>
    <w:rsid w:val="0030111E"/>
    <w:rsid w:val="00301B50"/>
    <w:rsid w:val="00301C0D"/>
    <w:rsid w:val="00301FD7"/>
    <w:rsid w:val="00302551"/>
    <w:rsid w:val="0030260B"/>
    <w:rsid w:val="00303AC1"/>
    <w:rsid w:val="00304708"/>
    <w:rsid w:val="003047D2"/>
    <w:rsid w:val="00304F94"/>
    <w:rsid w:val="00305742"/>
    <w:rsid w:val="003058E8"/>
    <w:rsid w:val="00306470"/>
    <w:rsid w:val="003066C3"/>
    <w:rsid w:val="00306D36"/>
    <w:rsid w:val="00307B43"/>
    <w:rsid w:val="00307DDA"/>
    <w:rsid w:val="00307F02"/>
    <w:rsid w:val="00310034"/>
    <w:rsid w:val="003100B7"/>
    <w:rsid w:val="0031017E"/>
    <w:rsid w:val="00310400"/>
    <w:rsid w:val="0031053E"/>
    <w:rsid w:val="0031097C"/>
    <w:rsid w:val="00311034"/>
    <w:rsid w:val="00311249"/>
    <w:rsid w:val="00311D79"/>
    <w:rsid w:val="00312F1B"/>
    <w:rsid w:val="0031365A"/>
    <w:rsid w:val="00313963"/>
    <w:rsid w:val="00313C16"/>
    <w:rsid w:val="0031519E"/>
    <w:rsid w:val="00315322"/>
    <w:rsid w:val="0031585F"/>
    <w:rsid w:val="0031593D"/>
    <w:rsid w:val="00315A8F"/>
    <w:rsid w:val="00315DE6"/>
    <w:rsid w:val="0031716C"/>
    <w:rsid w:val="00317B45"/>
    <w:rsid w:val="00317DA5"/>
    <w:rsid w:val="00320697"/>
    <w:rsid w:val="00320884"/>
    <w:rsid w:val="00321840"/>
    <w:rsid w:val="003224EC"/>
    <w:rsid w:val="0032259E"/>
    <w:rsid w:val="00323D99"/>
    <w:rsid w:val="00324410"/>
    <w:rsid w:val="00324A42"/>
    <w:rsid w:val="00324EAE"/>
    <w:rsid w:val="00325138"/>
    <w:rsid w:val="00325151"/>
    <w:rsid w:val="00325374"/>
    <w:rsid w:val="00325B99"/>
    <w:rsid w:val="00325FF7"/>
    <w:rsid w:val="003263B1"/>
    <w:rsid w:val="0032693B"/>
    <w:rsid w:val="00326CB8"/>
    <w:rsid w:val="00327E70"/>
    <w:rsid w:val="003301BA"/>
    <w:rsid w:val="00331FA4"/>
    <w:rsid w:val="0033230A"/>
    <w:rsid w:val="00332498"/>
    <w:rsid w:val="00332D6E"/>
    <w:rsid w:val="0033366F"/>
    <w:rsid w:val="00334621"/>
    <w:rsid w:val="00334BED"/>
    <w:rsid w:val="00335539"/>
    <w:rsid w:val="00335728"/>
    <w:rsid w:val="00335E4D"/>
    <w:rsid w:val="003360A0"/>
    <w:rsid w:val="00336119"/>
    <w:rsid w:val="00336438"/>
    <w:rsid w:val="0033664A"/>
    <w:rsid w:val="00336887"/>
    <w:rsid w:val="0033710F"/>
    <w:rsid w:val="00337D1D"/>
    <w:rsid w:val="0034008A"/>
    <w:rsid w:val="0034022A"/>
    <w:rsid w:val="00340692"/>
    <w:rsid w:val="00341113"/>
    <w:rsid w:val="0034146D"/>
    <w:rsid w:val="0034195D"/>
    <w:rsid w:val="00341B9B"/>
    <w:rsid w:val="00341E9F"/>
    <w:rsid w:val="0034242D"/>
    <w:rsid w:val="00342A81"/>
    <w:rsid w:val="00343594"/>
    <w:rsid w:val="003445B2"/>
    <w:rsid w:val="00344DB1"/>
    <w:rsid w:val="00345208"/>
    <w:rsid w:val="003456A8"/>
    <w:rsid w:val="00345D86"/>
    <w:rsid w:val="00345F3D"/>
    <w:rsid w:val="003466D8"/>
    <w:rsid w:val="00346A91"/>
    <w:rsid w:val="00347489"/>
    <w:rsid w:val="003476C6"/>
    <w:rsid w:val="0034787F"/>
    <w:rsid w:val="00347A78"/>
    <w:rsid w:val="003504F8"/>
    <w:rsid w:val="00350818"/>
    <w:rsid w:val="003510DA"/>
    <w:rsid w:val="00351A45"/>
    <w:rsid w:val="00351F08"/>
    <w:rsid w:val="0035235D"/>
    <w:rsid w:val="0035237B"/>
    <w:rsid w:val="003524A1"/>
    <w:rsid w:val="00352A54"/>
    <w:rsid w:val="00352C71"/>
    <w:rsid w:val="00353657"/>
    <w:rsid w:val="0035382D"/>
    <w:rsid w:val="0035398B"/>
    <w:rsid w:val="00354398"/>
    <w:rsid w:val="0035476A"/>
    <w:rsid w:val="00354A30"/>
    <w:rsid w:val="00354E0A"/>
    <w:rsid w:val="00354EA7"/>
    <w:rsid w:val="00355589"/>
    <w:rsid w:val="00355783"/>
    <w:rsid w:val="00356886"/>
    <w:rsid w:val="003568BA"/>
    <w:rsid w:val="00360148"/>
    <w:rsid w:val="0036066E"/>
    <w:rsid w:val="00360CEF"/>
    <w:rsid w:val="00361470"/>
    <w:rsid w:val="00361740"/>
    <w:rsid w:val="003618FF"/>
    <w:rsid w:val="00362274"/>
    <w:rsid w:val="003629FA"/>
    <w:rsid w:val="00362C8D"/>
    <w:rsid w:val="00362CD6"/>
    <w:rsid w:val="00362E69"/>
    <w:rsid w:val="00363DB1"/>
    <w:rsid w:val="00364330"/>
    <w:rsid w:val="0036448A"/>
    <w:rsid w:val="00364AE6"/>
    <w:rsid w:val="00364B06"/>
    <w:rsid w:val="0036537A"/>
    <w:rsid w:val="00365895"/>
    <w:rsid w:val="00365982"/>
    <w:rsid w:val="00365F43"/>
    <w:rsid w:val="003673E8"/>
    <w:rsid w:val="00370FF9"/>
    <w:rsid w:val="0037144F"/>
    <w:rsid w:val="00372779"/>
    <w:rsid w:val="003730F5"/>
    <w:rsid w:val="003738F6"/>
    <w:rsid w:val="0037396D"/>
    <w:rsid w:val="00373B92"/>
    <w:rsid w:val="00374C23"/>
    <w:rsid w:val="00374F92"/>
    <w:rsid w:val="00375764"/>
    <w:rsid w:val="00375A14"/>
    <w:rsid w:val="00376251"/>
    <w:rsid w:val="00377136"/>
    <w:rsid w:val="0037769D"/>
    <w:rsid w:val="0037784D"/>
    <w:rsid w:val="00377B22"/>
    <w:rsid w:val="003801F1"/>
    <w:rsid w:val="00381869"/>
    <w:rsid w:val="0038196B"/>
    <w:rsid w:val="00381DC4"/>
    <w:rsid w:val="00382896"/>
    <w:rsid w:val="00382E82"/>
    <w:rsid w:val="00382F6B"/>
    <w:rsid w:val="003843EA"/>
    <w:rsid w:val="003843F8"/>
    <w:rsid w:val="00385147"/>
    <w:rsid w:val="00385B08"/>
    <w:rsid w:val="00385C3A"/>
    <w:rsid w:val="00385E00"/>
    <w:rsid w:val="00385E6F"/>
    <w:rsid w:val="00385EDE"/>
    <w:rsid w:val="00385F9D"/>
    <w:rsid w:val="00386969"/>
    <w:rsid w:val="00386C0F"/>
    <w:rsid w:val="00387387"/>
    <w:rsid w:val="0038798F"/>
    <w:rsid w:val="00390287"/>
    <w:rsid w:val="003903D7"/>
    <w:rsid w:val="00390486"/>
    <w:rsid w:val="00390A45"/>
    <w:rsid w:val="003912C8"/>
    <w:rsid w:val="003916D6"/>
    <w:rsid w:val="00391998"/>
    <w:rsid w:val="003919CC"/>
    <w:rsid w:val="003927BC"/>
    <w:rsid w:val="00392D52"/>
    <w:rsid w:val="003935B7"/>
    <w:rsid w:val="003943BB"/>
    <w:rsid w:val="003945C6"/>
    <w:rsid w:val="00395C3E"/>
    <w:rsid w:val="00396148"/>
    <w:rsid w:val="00396361"/>
    <w:rsid w:val="00396B15"/>
    <w:rsid w:val="0039734B"/>
    <w:rsid w:val="003977AA"/>
    <w:rsid w:val="00397EB6"/>
    <w:rsid w:val="003A0F91"/>
    <w:rsid w:val="003A10E5"/>
    <w:rsid w:val="003A1DA3"/>
    <w:rsid w:val="003A214B"/>
    <w:rsid w:val="003A2721"/>
    <w:rsid w:val="003A2BFE"/>
    <w:rsid w:val="003A3028"/>
    <w:rsid w:val="003A34FD"/>
    <w:rsid w:val="003A3B29"/>
    <w:rsid w:val="003A3B9F"/>
    <w:rsid w:val="003A3F3B"/>
    <w:rsid w:val="003A4973"/>
    <w:rsid w:val="003A5DFD"/>
    <w:rsid w:val="003A66C5"/>
    <w:rsid w:val="003A74D1"/>
    <w:rsid w:val="003A7A99"/>
    <w:rsid w:val="003A7EA2"/>
    <w:rsid w:val="003B02AD"/>
    <w:rsid w:val="003B059C"/>
    <w:rsid w:val="003B0861"/>
    <w:rsid w:val="003B0A11"/>
    <w:rsid w:val="003B1171"/>
    <w:rsid w:val="003B26B3"/>
    <w:rsid w:val="003B28B0"/>
    <w:rsid w:val="003B30F5"/>
    <w:rsid w:val="003B33B6"/>
    <w:rsid w:val="003B33CC"/>
    <w:rsid w:val="003B3DA6"/>
    <w:rsid w:val="003B3E77"/>
    <w:rsid w:val="003B3F78"/>
    <w:rsid w:val="003B45C8"/>
    <w:rsid w:val="003B4A42"/>
    <w:rsid w:val="003B4D6E"/>
    <w:rsid w:val="003B50A4"/>
    <w:rsid w:val="003B54E4"/>
    <w:rsid w:val="003B5530"/>
    <w:rsid w:val="003B6DC5"/>
    <w:rsid w:val="003B7263"/>
    <w:rsid w:val="003B75EA"/>
    <w:rsid w:val="003C01A2"/>
    <w:rsid w:val="003C0929"/>
    <w:rsid w:val="003C209B"/>
    <w:rsid w:val="003C239A"/>
    <w:rsid w:val="003C2D4E"/>
    <w:rsid w:val="003C3513"/>
    <w:rsid w:val="003C3641"/>
    <w:rsid w:val="003C39D8"/>
    <w:rsid w:val="003C40A1"/>
    <w:rsid w:val="003C4A02"/>
    <w:rsid w:val="003C4B40"/>
    <w:rsid w:val="003C4BF9"/>
    <w:rsid w:val="003C4BFE"/>
    <w:rsid w:val="003C4EB3"/>
    <w:rsid w:val="003C4F5C"/>
    <w:rsid w:val="003C5696"/>
    <w:rsid w:val="003C580A"/>
    <w:rsid w:val="003C63E9"/>
    <w:rsid w:val="003C647C"/>
    <w:rsid w:val="003C669D"/>
    <w:rsid w:val="003D0913"/>
    <w:rsid w:val="003D09D4"/>
    <w:rsid w:val="003D0CEF"/>
    <w:rsid w:val="003D0DB8"/>
    <w:rsid w:val="003D0F5C"/>
    <w:rsid w:val="003D1216"/>
    <w:rsid w:val="003D1663"/>
    <w:rsid w:val="003D1CA5"/>
    <w:rsid w:val="003D248F"/>
    <w:rsid w:val="003D25FD"/>
    <w:rsid w:val="003D2906"/>
    <w:rsid w:val="003D3EA1"/>
    <w:rsid w:val="003D4F92"/>
    <w:rsid w:val="003D5256"/>
    <w:rsid w:val="003D54FA"/>
    <w:rsid w:val="003D5DBF"/>
    <w:rsid w:val="003D6149"/>
    <w:rsid w:val="003D67E4"/>
    <w:rsid w:val="003D6C28"/>
    <w:rsid w:val="003E06B1"/>
    <w:rsid w:val="003E0D42"/>
    <w:rsid w:val="003E1714"/>
    <w:rsid w:val="003E2279"/>
    <w:rsid w:val="003E26CC"/>
    <w:rsid w:val="003E39FF"/>
    <w:rsid w:val="003E3A8D"/>
    <w:rsid w:val="003E3B3B"/>
    <w:rsid w:val="003E3D85"/>
    <w:rsid w:val="003E3FF8"/>
    <w:rsid w:val="003E4355"/>
    <w:rsid w:val="003E4719"/>
    <w:rsid w:val="003E4BFD"/>
    <w:rsid w:val="003E547D"/>
    <w:rsid w:val="003E5664"/>
    <w:rsid w:val="003E5E40"/>
    <w:rsid w:val="003E60A2"/>
    <w:rsid w:val="003E6255"/>
    <w:rsid w:val="003E639A"/>
    <w:rsid w:val="003E658C"/>
    <w:rsid w:val="003E693E"/>
    <w:rsid w:val="003E6946"/>
    <w:rsid w:val="003E6DCE"/>
    <w:rsid w:val="003E7194"/>
    <w:rsid w:val="003E7F1D"/>
    <w:rsid w:val="003F0425"/>
    <w:rsid w:val="003F092A"/>
    <w:rsid w:val="003F0C08"/>
    <w:rsid w:val="003F19BF"/>
    <w:rsid w:val="003F1FEE"/>
    <w:rsid w:val="003F20E5"/>
    <w:rsid w:val="003F2940"/>
    <w:rsid w:val="003F31F6"/>
    <w:rsid w:val="003F3941"/>
    <w:rsid w:val="003F479B"/>
    <w:rsid w:val="003F4E82"/>
    <w:rsid w:val="003F5322"/>
    <w:rsid w:val="003F5B24"/>
    <w:rsid w:val="003F5B2B"/>
    <w:rsid w:val="003F5CBE"/>
    <w:rsid w:val="003F5DDE"/>
    <w:rsid w:val="003F645D"/>
    <w:rsid w:val="003F7370"/>
    <w:rsid w:val="003F7C45"/>
    <w:rsid w:val="003F7D54"/>
    <w:rsid w:val="004002DB"/>
    <w:rsid w:val="0040048D"/>
    <w:rsid w:val="0040136D"/>
    <w:rsid w:val="00401AA4"/>
    <w:rsid w:val="0040279E"/>
    <w:rsid w:val="0040290C"/>
    <w:rsid w:val="00402D14"/>
    <w:rsid w:val="0040367A"/>
    <w:rsid w:val="00403B81"/>
    <w:rsid w:val="00403EAD"/>
    <w:rsid w:val="00404F32"/>
    <w:rsid w:val="0040528F"/>
    <w:rsid w:val="004052B1"/>
    <w:rsid w:val="004058B7"/>
    <w:rsid w:val="00405ED7"/>
    <w:rsid w:val="004063E3"/>
    <w:rsid w:val="00406819"/>
    <w:rsid w:val="00406E41"/>
    <w:rsid w:val="00406FDF"/>
    <w:rsid w:val="00407108"/>
    <w:rsid w:val="00407239"/>
    <w:rsid w:val="00407485"/>
    <w:rsid w:val="00407672"/>
    <w:rsid w:val="00407747"/>
    <w:rsid w:val="00410679"/>
    <w:rsid w:val="004109A1"/>
    <w:rsid w:val="004109FB"/>
    <w:rsid w:val="00410FEC"/>
    <w:rsid w:val="00411435"/>
    <w:rsid w:val="00411553"/>
    <w:rsid w:val="0041168A"/>
    <w:rsid w:val="00411F39"/>
    <w:rsid w:val="0041228F"/>
    <w:rsid w:val="0041253C"/>
    <w:rsid w:val="00413344"/>
    <w:rsid w:val="00413640"/>
    <w:rsid w:val="00413D55"/>
    <w:rsid w:val="00413ECD"/>
    <w:rsid w:val="00414E05"/>
    <w:rsid w:val="00415C9C"/>
    <w:rsid w:val="004165BF"/>
    <w:rsid w:val="00416E4B"/>
    <w:rsid w:val="00416F1A"/>
    <w:rsid w:val="004179DB"/>
    <w:rsid w:val="00417A73"/>
    <w:rsid w:val="00417DCC"/>
    <w:rsid w:val="00420770"/>
    <w:rsid w:val="00420A69"/>
    <w:rsid w:val="00420C1F"/>
    <w:rsid w:val="00421455"/>
    <w:rsid w:val="0042186B"/>
    <w:rsid w:val="00421D39"/>
    <w:rsid w:val="00422136"/>
    <w:rsid w:val="004229E3"/>
    <w:rsid w:val="00422CCF"/>
    <w:rsid w:val="00422F61"/>
    <w:rsid w:val="00422FCD"/>
    <w:rsid w:val="00423107"/>
    <w:rsid w:val="00423E64"/>
    <w:rsid w:val="00423F5C"/>
    <w:rsid w:val="004248DD"/>
    <w:rsid w:val="00425076"/>
    <w:rsid w:val="0042540E"/>
    <w:rsid w:val="004256E6"/>
    <w:rsid w:val="00425B21"/>
    <w:rsid w:val="00425D0B"/>
    <w:rsid w:val="00425E28"/>
    <w:rsid w:val="00426706"/>
    <w:rsid w:val="00426BC2"/>
    <w:rsid w:val="004272AF"/>
    <w:rsid w:val="00427381"/>
    <w:rsid w:val="00427B95"/>
    <w:rsid w:val="0043000C"/>
    <w:rsid w:val="0043019A"/>
    <w:rsid w:val="00430BF9"/>
    <w:rsid w:val="0043181D"/>
    <w:rsid w:val="00431D4F"/>
    <w:rsid w:val="004320B4"/>
    <w:rsid w:val="00432139"/>
    <w:rsid w:val="004322F6"/>
    <w:rsid w:val="00432590"/>
    <w:rsid w:val="00432B98"/>
    <w:rsid w:val="0043386F"/>
    <w:rsid w:val="00433C52"/>
    <w:rsid w:val="00433DAD"/>
    <w:rsid w:val="00434DD1"/>
    <w:rsid w:val="00435142"/>
    <w:rsid w:val="00435A1D"/>
    <w:rsid w:val="0043619F"/>
    <w:rsid w:val="00436920"/>
    <w:rsid w:val="00437DB1"/>
    <w:rsid w:val="004400DD"/>
    <w:rsid w:val="00440AF3"/>
    <w:rsid w:val="00440BB1"/>
    <w:rsid w:val="0044136A"/>
    <w:rsid w:val="004419A2"/>
    <w:rsid w:val="004419DD"/>
    <w:rsid w:val="00442ED0"/>
    <w:rsid w:val="004434A6"/>
    <w:rsid w:val="00444B00"/>
    <w:rsid w:val="00445176"/>
    <w:rsid w:val="004456B6"/>
    <w:rsid w:val="00445B88"/>
    <w:rsid w:val="004460F9"/>
    <w:rsid w:val="0044663C"/>
    <w:rsid w:val="00446790"/>
    <w:rsid w:val="00446894"/>
    <w:rsid w:val="00446DB3"/>
    <w:rsid w:val="00447074"/>
    <w:rsid w:val="004503CF"/>
    <w:rsid w:val="00450A28"/>
    <w:rsid w:val="004510D7"/>
    <w:rsid w:val="0045190A"/>
    <w:rsid w:val="0045250B"/>
    <w:rsid w:val="00452973"/>
    <w:rsid w:val="00452A85"/>
    <w:rsid w:val="00452DE1"/>
    <w:rsid w:val="00452E99"/>
    <w:rsid w:val="004538CE"/>
    <w:rsid w:val="00453C26"/>
    <w:rsid w:val="004540B3"/>
    <w:rsid w:val="00455201"/>
    <w:rsid w:val="00455240"/>
    <w:rsid w:val="00455D05"/>
    <w:rsid w:val="004560F2"/>
    <w:rsid w:val="004564BE"/>
    <w:rsid w:val="00457145"/>
    <w:rsid w:val="00457559"/>
    <w:rsid w:val="004577CC"/>
    <w:rsid w:val="00457B1C"/>
    <w:rsid w:val="00457C7F"/>
    <w:rsid w:val="00457C82"/>
    <w:rsid w:val="00457CE2"/>
    <w:rsid w:val="00457DB9"/>
    <w:rsid w:val="004603FC"/>
    <w:rsid w:val="004604E9"/>
    <w:rsid w:val="004608B2"/>
    <w:rsid w:val="00460F64"/>
    <w:rsid w:val="004626AB"/>
    <w:rsid w:val="00463069"/>
    <w:rsid w:val="00463266"/>
    <w:rsid w:val="004636D2"/>
    <w:rsid w:val="00463B46"/>
    <w:rsid w:val="00463B55"/>
    <w:rsid w:val="00464A5F"/>
    <w:rsid w:val="00464B15"/>
    <w:rsid w:val="0046560D"/>
    <w:rsid w:val="0046588F"/>
    <w:rsid w:val="00466279"/>
    <w:rsid w:val="004666F1"/>
    <w:rsid w:val="00466884"/>
    <w:rsid w:val="00467732"/>
    <w:rsid w:val="00467960"/>
    <w:rsid w:val="00467EFD"/>
    <w:rsid w:val="00470552"/>
    <w:rsid w:val="00470959"/>
    <w:rsid w:val="00471303"/>
    <w:rsid w:val="00471D10"/>
    <w:rsid w:val="004725C5"/>
    <w:rsid w:val="0047275F"/>
    <w:rsid w:val="00473855"/>
    <w:rsid w:val="0047398F"/>
    <w:rsid w:val="004740EA"/>
    <w:rsid w:val="00474210"/>
    <w:rsid w:val="0047427F"/>
    <w:rsid w:val="00474CC1"/>
    <w:rsid w:val="004751C6"/>
    <w:rsid w:val="00475DA7"/>
    <w:rsid w:val="0047684F"/>
    <w:rsid w:val="00476BA2"/>
    <w:rsid w:val="00477454"/>
    <w:rsid w:val="00477692"/>
    <w:rsid w:val="00477930"/>
    <w:rsid w:val="00480AAE"/>
    <w:rsid w:val="00481DC5"/>
    <w:rsid w:val="0048261A"/>
    <w:rsid w:val="004828D9"/>
    <w:rsid w:val="0048343C"/>
    <w:rsid w:val="00483D7D"/>
    <w:rsid w:val="004840BA"/>
    <w:rsid w:val="004840FD"/>
    <w:rsid w:val="00484E85"/>
    <w:rsid w:val="0048564F"/>
    <w:rsid w:val="004858E6"/>
    <w:rsid w:val="00485A1E"/>
    <w:rsid w:val="00485C65"/>
    <w:rsid w:val="00486148"/>
    <w:rsid w:val="00486C44"/>
    <w:rsid w:val="004871AF"/>
    <w:rsid w:val="004902B7"/>
    <w:rsid w:val="004913FC"/>
    <w:rsid w:val="00492268"/>
    <w:rsid w:val="0049294C"/>
    <w:rsid w:val="00492CFD"/>
    <w:rsid w:val="00492D5F"/>
    <w:rsid w:val="00492FEF"/>
    <w:rsid w:val="004932C7"/>
    <w:rsid w:val="00493939"/>
    <w:rsid w:val="004942EC"/>
    <w:rsid w:val="0049440C"/>
    <w:rsid w:val="004949B8"/>
    <w:rsid w:val="00494CDE"/>
    <w:rsid w:val="00495911"/>
    <w:rsid w:val="00495E1B"/>
    <w:rsid w:val="00496E82"/>
    <w:rsid w:val="004972A2"/>
    <w:rsid w:val="00497460"/>
    <w:rsid w:val="004A16EE"/>
    <w:rsid w:val="004A1F6E"/>
    <w:rsid w:val="004A2C5B"/>
    <w:rsid w:val="004A2E4F"/>
    <w:rsid w:val="004A3AF0"/>
    <w:rsid w:val="004A3FA6"/>
    <w:rsid w:val="004A4421"/>
    <w:rsid w:val="004A4A02"/>
    <w:rsid w:val="004A5414"/>
    <w:rsid w:val="004A55A9"/>
    <w:rsid w:val="004A569C"/>
    <w:rsid w:val="004A5A3D"/>
    <w:rsid w:val="004A6191"/>
    <w:rsid w:val="004A64B3"/>
    <w:rsid w:val="004A71F0"/>
    <w:rsid w:val="004A770C"/>
    <w:rsid w:val="004A7B16"/>
    <w:rsid w:val="004A7D58"/>
    <w:rsid w:val="004B01C7"/>
    <w:rsid w:val="004B0DC9"/>
    <w:rsid w:val="004B0E31"/>
    <w:rsid w:val="004B1440"/>
    <w:rsid w:val="004B1D0D"/>
    <w:rsid w:val="004B221E"/>
    <w:rsid w:val="004B2271"/>
    <w:rsid w:val="004B280C"/>
    <w:rsid w:val="004B2B29"/>
    <w:rsid w:val="004B3930"/>
    <w:rsid w:val="004B402F"/>
    <w:rsid w:val="004B4171"/>
    <w:rsid w:val="004B46D1"/>
    <w:rsid w:val="004B4A44"/>
    <w:rsid w:val="004B4B38"/>
    <w:rsid w:val="004B4C1C"/>
    <w:rsid w:val="004B4C9D"/>
    <w:rsid w:val="004B5F3E"/>
    <w:rsid w:val="004B5FCA"/>
    <w:rsid w:val="004B6FBF"/>
    <w:rsid w:val="004B6FEC"/>
    <w:rsid w:val="004B73BF"/>
    <w:rsid w:val="004B7D6B"/>
    <w:rsid w:val="004C0091"/>
    <w:rsid w:val="004C0D15"/>
    <w:rsid w:val="004C1213"/>
    <w:rsid w:val="004C1454"/>
    <w:rsid w:val="004C1C2E"/>
    <w:rsid w:val="004C1C60"/>
    <w:rsid w:val="004C1F41"/>
    <w:rsid w:val="004C2219"/>
    <w:rsid w:val="004C2382"/>
    <w:rsid w:val="004C3003"/>
    <w:rsid w:val="004C35D0"/>
    <w:rsid w:val="004C3BF9"/>
    <w:rsid w:val="004C3C82"/>
    <w:rsid w:val="004C3D0F"/>
    <w:rsid w:val="004C4382"/>
    <w:rsid w:val="004C47DC"/>
    <w:rsid w:val="004C4A53"/>
    <w:rsid w:val="004C4D78"/>
    <w:rsid w:val="004C53F8"/>
    <w:rsid w:val="004C5ABB"/>
    <w:rsid w:val="004C5FC4"/>
    <w:rsid w:val="004C602A"/>
    <w:rsid w:val="004C66C5"/>
    <w:rsid w:val="004C6D75"/>
    <w:rsid w:val="004C6EA7"/>
    <w:rsid w:val="004C7991"/>
    <w:rsid w:val="004D08D6"/>
    <w:rsid w:val="004D0A33"/>
    <w:rsid w:val="004D1E6B"/>
    <w:rsid w:val="004D2307"/>
    <w:rsid w:val="004D2EEB"/>
    <w:rsid w:val="004D4211"/>
    <w:rsid w:val="004D487F"/>
    <w:rsid w:val="004D4E2C"/>
    <w:rsid w:val="004D56D9"/>
    <w:rsid w:val="004D5E26"/>
    <w:rsid w:val="004D6C24"/>
    <w:rsid w:val="004D6D0D"/>
    <w:rsid w:val="004D6D2C"/>
    <w:rsid w:val="004D7126"/>
    <w:rsid w:val="004D77EB"/>
    <w:rsid w:val="004E0AD8"/>
    <w:rsid w:val="004E0E2B"/>
    <w:rsid w:val="004E1642"/>
    <w:rsid w:val="004E1CD1"/>
    <w:rsid w:val="004E2176"/>
    <w:rsid w:val="004E233D"/>
    <w:rsid w:val="004E266F"/>
    <w:rsid w:val="004E2ED0"/>
    <w:rsid w:val="004E5389"/>
    <w:rsid w:val="004E5ACE"/>
    <w:rsid w:val="004E5DA3"/>
    <w:rsid w:val="004E6769"/>
    <w:rsid w:val="004E67CA"/>
    <w:rsid w:val="004E6D4F"/>
    <w:rsid w:val="004E75FF"/>
    <w:rsid w:val="004E779B"/>
    <w:rsid w:val="004E7851"/>
    <w:rsid w:val="004E798E"/>
    <w:rsid w:val="004F011D"/>
    <w:rsid w:val="004F0720"/>
    <w:rsid w:val="004F0E43"/>
    <w:rsid w:val="004F12BE"/>
    <w:rsid w:val="004F1881"/>
    <w:rsid w:val="004F1D4E"/>
    <w:rsid w:val="004F224D"/>
    <w:rsid w:val="004F276E"/>
    <w:rsid w:val="004F336E"/>
    <w:rsid w:val="004F374C"/>
    <w:rsid w:val="004F38A6"/>
    <w:rsid w:val="004F4247"/>
    <w:rsid w:val="004F46EA"/>
    <w:rsid w:val="004F50FA"/>
    <w:rsid w:val="004F5589"/>
    <w:rsid w:val="004F6669"/>
    <w:rsid w:val="004F67BB"/>
    <w:rsid w:val="004F6A3B"/>
    <w:rsid w:val="0050066E"/>
    <w:rsid w:val="00500E51"/>
    <w:rsid w:val="00502445"/>
    <w:rsid w:val="005025C4"/>
    <w:rsid w:val="00502869"/>
    <w:rsid w:val="00502C86"/>
    <w:rsid w:val="00503334"/>
    <w:rsid w:val="005038E2"/>
    <w:rsid w:val="00504043"/>
    <w:rsid w:val="00504333"/>
    <w:rsid w:val="005045D1"/>
    <w:rsid w:val="00504B6E"/>
    <w:rsid w:val="00504DE4"/>
    <w:rsid w:val="00504FC8"/>
    <w:rsid w:val="00505DD4"/>
    <w:rsid w:val="00506998"/>
    <w:rsid w:val="00506FFF"/>
    <w:rsid w:val="00507A8C"/>
    <w:rsid w:val="00507D24"/>
    <w:rsid w:val="005103F5"/>
    <w:rsid w:val="00510E8C"/>
    <w:rsid w:val="00511012"/>
    <w:rsid w:val="00511946"/>
    <w:rsid w:val="00511D59"/>
    <w:rsid w:val="00511E46"/>
    <w:rsid w:val="005125F8"/>
    <w:rsid w:val="00512AEA"/>
    <w:rsid w:val="005134EB"/>
    <w:rsid w:val="005136C0"/>
    <w:rsid w:val="00513DB5"/>
    <w:rsid w:val="00515595"/>
    <w:rsid w:val="005169B1"/>
    <w:rsid w:val="00516A43"/>
    <w:rsid w:val="00517306"/>
    <w:rsid w:val="0051750F"/>
    <w:rsid w:val="00517CD0"/>
    <w:rsid w:val="005202E3"/>
    <w:rsid w:val="0052076C"/>
    <w:rsid w:val="005208D5"/>
    <w:rsid w:val="00520B53"/>
    <w:rsid w:val="005212CC"/>
    <w:rsid w:val="00521605"/>
    <w:rsid w:val="005218BF"/>
    <w:rsid w:val="00522452"/>
    <w:rsid w:val="00522483"/>
    <w:rsid w:val="00522CCB"/>
    <w:rsid w:val="00522E19"/>
    <w:rsid w:val="0052340A"/>
    <w:rsid w:val="00523599"/>
    <w:rsid w:val="0052393D"/>
    <w:rsid w:val="005245F0"/>
    <w:rsid w:val="00524937"/>
    <w:rsid w:val="00524A2D"/>
    <w:rsid w:val="00524C88"/>
    <w:rsid w:val="005253F1"/>
    <w:rsid w:val="00525513"/>
    <w:rsid w:val="00525712"/>
    <w:rsid w:val="00525C2C"/>
    <w:rsid w:val="00526841"/>
    <w:rsid w:val="005271BA"/>
    <w:rsid w:val="00527285"/>
    <w:rsid w:val="00530A5B"/>
    <w:rsid w:val="00531314"/>
    <w:rsid w:val="00531EEA"/>
    <w:rsid w:val="005327A1"/>
    <w:rsid w:val="00532AEF"/>
    <w:rsid w:val="00533162"/>
    <w:rsid w:val="00534BF0"/>
    <w:rsid w:val="0053523B"/>
    <w:rsid w:val="00535362"/>
    <w:rsid w:val="0053538D"/>
    <w:rsid w:val="00535AA7"/>
    <w:rsid w:val="00535E81"/>
    <w:rsid w:val="00536068"/>
    <w:rsid w:val="0053666D"/>
    <w:rsid w:val="005372C4"/>
    <w:rsid w:val="00537DFF"/>
    <w:rsid w:val="00540167"/>
    <w:rsid w:val="00540986"/>
    <w:rsid w:val="005416A7"/>
    <w:rsid w:val="00542342"/>
    <w:rsid w:val="0054293D"/>
    <w:rsid w:val="00542CCD"/>
    <w:rsid w:val="00542F5C"/>
    <w:rsid w:val="005432D0"/>
    <w:rsid w:val="00543AEF"/>
    <w:rsid w:val="005448FB"/>
    <w:rsid w:val="00546436"/>
    <w:rsid w:val="00546F26"/>
    <w:rsid w:val="005474AE"/>
    <w:rsid w:val="00547A17"/>
    <w:rsid w:val="00547A7D"/>
    <w:rsid w:val="00547AA1"/>
    <w:rsid w:val="00547DAE"/>
    <w:rsid w:val="00550741"/>
    <w:rsid w:val="00551547"/>
    <w:rsid w:val="00551753"/>
    <w:rsid w:val="0055175C"/>
    <w:rsid w:val="005517A4"/>
    <w:rsid w:val="00551F64"/>
    <w:rsid w:val="00552502"/>
    <w:rsid w:val="00552769"/>
    <w:rsid w:val="00552AA0"/>
    <w:rsid w:val="00552C3A"/>
    <w:rsid w:val="0055322C"/>
    <w:rsid w:val="00553DDD"/>
    <w:rsid w:val="00553EE7"/>
    <w:rsid w:val="00554B74"/>
    <w:rsid w:val="00554FCF"/>
    <w:rsid w:val="0055506F"/>
    <w:rsid w:val="005555DF"/>
    <w:rsid w:val="00555D7A"/>
    <w:rsid w:val="00556C43"/>
    <w:rsid w:val="00557AB9"/>
    <w:rsid w:val="00557B7A"/>
    <w:rsid w:val="00560469"/>
    <w:rsid w:val="00560D4D"/>
    <w:rsid w:val="005613E6"/>
    <w:rsid w:val="005617AA"/>
    <w:rsid w:val="00561CAD"/>
    <w:rsid w:val="00562586"/>
    <w:rsid w:val="00562AAE"/>
    <w:rsid w:val="0056353C"/>
    <w:rsid w:val="00564C05"/>
    <w:rsid w:val="00564E1A"/>
    <w:rsid w:val="0056512F"/>
    <w:rsid w:val="00565501"/>
    <w:rsid w:val="00565FA8"/>
    <w:rsid w:val="00566E97"/>
    <w:rsid w:val="0056707D"/>
    <w:rsid w:val="00570A1C"/>
    <w:rsid w:val="00570B63"/>
    <w:rsid w:val="0057172D"/>
    <w:rsid w:val="00571AD8"/>
    <w:rsid w:val="0057245D"/>
    <w:rsid w:val="0057297E"/>
    <w:rsid w:val="00572FA8"/>
    <w:rsid w:val="00573628"/>
    <w:rsid w:val="00574128"/>
    <w:rsid w:val="00574B3F"/>
    <w:rsid w:val="00574BBA"/>
    <w:rsid w:val="00575296"/>
    <w:rsid w:val="005761E3"/>
    <w:rsid w:val="005763C6"/>
    <w:rsid w:val="00577BCC"/>
    <w:rsid w:val="00580BCF"/>
    <w:rsid w:val="00580DFA"/>
    <w:rsid w:val="00581063"/>
    <w:rsid w:val="00581597"/>
    <w:rsid w:val="00581C91"/>
    <w:rsid w:val="0058270A"/>
    <w:rsid w:val="00582876"/>
    <w:rsid w:val="005831EA"/>
    <w:rsid w:val="00583232"/>
    <w:rsid w:val="0058376F"/>
    <w:rsid w:val="005842A5"/>
    <w:rsid w:val="005849B7"/>
    <w:rsid w:val="00585FFF"/>
    <w:rsid w:val="005861E0"/>
    <w:rsid w:val="0058699F"/>
    <w:rsid w:val="005876C0"/>
    <w:rsid w:val="005876D6"/>
    <w:rsid w:val="005900BB"/>
    <w:rsid w:val="0059060C"/>
    <w:rsid w:val="00590822"/>
    <w:rsid w:val="005911EC"/>
    <w:rsid w:val="005918E1"/>
    <w:rsid w:val="00591D68"/>
    <w:rsid w:val="0059204D"/>
    <w:rsid w:val="0059209A"/>
    <w:rsid w:val="005920AB"/>
    <w:rsid w:val="005921B5"/>
    <w:rsid w:val="00592D87"/>
    <w:rsid w:val="00592E1B"/>
    <w:rsid w:val="005934F6"/>
    <w:rsid w:val="0059399E"/>
    <w:rsid w:val="00593B06"/>
    <w:rsid w:val="00593F08"/>
    <w:rsid w:val="00594A89"/>
    <w:rsid w:val="00594BCD"/>
    <w:rsid w:val="00594F9A"/>
    <w:rsid w:val="00595279"/>
    <w:rsid w:val="005958C9"/>
    <w:rsid w:val="00595A1E"/>
    <w:rsid w:val="00596685"/>
    <w:rsid w:val="005969F9"/>
    <w:rsid w:val="00597004"/>
    <w:rsid w:val="00597042"/>
    <w:rsid w:val="005A0A9B"/>
    <w:rsid w:val="005A0B7F"/>
    <w:rsid w:val="005A15B4"/>
    <w:rsid w:val="005A17A7"/>
    <w:rsid w:val="005A206E"/>
    <w:rsid w:val="005A2147"/>
    <w:rsid w:val="005A2A5C"/>
    <w:rsid w:val="005A3697"/>
    <w:rsid w:val="005A40D8"/>
    <w:rsid w:val="005A41EC"/>
    <w:rsid w:val="005A4BA5"/>
    <w:rsid w:val="005A4F3D"/>
    <w:rsid w:val="005A5601"/>
    <w:rsid w:val="005A6BDC"/>
    <w:rsid w:val="005A7DDE"/>
    <w:rsid w:val="005A7FEB"/>
    <w:rsid w:val="005B05E4"/>
    <w:rsid w:val="005B0D73"/>
    <w:rsid w:val="005B1A88"/>
    <w:rsid w:val="005B1AFA"/>
    <w:rsid w:val="005B1E00"/>
    <w:rsid w:val="005B293F"/>
    <w:rsid w:val="005B2C6B"/>
    <w:rsid w:val="005B407B"/>
    <w:rsid w:val="005B44BB"/>
    <w:rsid w:val="005B47CC"/>
    <w:rsid w:val="005B490D"/>
    <w:rsid w:val="005B52E5"/>
    <w:rsid w:val="005B58C4"/>
    <w:rsid w:val="005B5959"/>
    <w:rsid w:val="005B5F38"/>
    <w:rsid w:val="005B6C86"/>
    <w:rsid w:val="005B6D12"/>
    <w:rsid w:val="005B70FF"/>
    <w:rsid w:val="005C05FD"/>
    <w:rsid w:val="005C09EB"/>
    <w:rsid w:val="005C13D4"/>
    <w:rsid w:val="005C13D5"/>
    <w:rsid w:val="005C156D"/>
    <w:rsid w:val="005C1995"/>
    <w:rsid w:val="005C2F86"/>
    <w:rsid w:val="005C30DD"/>
    <w:rsid w:val="005C31C8"/>
    <w:rsid w:val="005C31ED"/>
    <w:rsid w:val="005C35DE"/>
    <w:rsid w:val="005C387C"/>
    <w:rsid w:val="005C396B"/>
    <w:rsid w:val="005C4E7A"/>
    <w:rsid w:val="005C5474"/>
    <w:rsid w:val="005C57A0"/>
    <w:rsid w:val="005C5DA3"/>
    <w:rsid w:val="005C5FE1"/>
    <w:rsid w:val="005C76A6"/>
    <w:rsid w:val="005C7826"/>
    <w:rsid w:val="005C7E99"/>
    <w:rsid w:val="005D0506"/>
    <w:rsid w:val="005D06F6"/>
    <w:rsid w:val="005D1093"/>
    <w:rsid w:val="005D1294"/>
    <w:rsid w:val="005D1458"/>
    <w:rsid w:val="005D254A"/>
    <w:rsid w:val="005D28C0"/>
    <w:rsid w:val="005D39F5"/>
    <w:rsid w:val="005D44F6"/>
    <w:rsid w:val="005D4A05"/>
    <w:rsid w:val="005D4DA2"/>
    <w:rsid w:val="005D5B09"/>
    <w:rsid w:val="005D5B2D"/>
    <w:rsid w:val="005D5E02"/>
    <w:rsid w:val="005D5E3E"/>
    <w:rsid w:val="005D6121"/>
    <w:rsid w:val="005D6476"/>
    <w:rsid w:val="005D65BC"/>
    <w:rsid w:val="005D6737"/>
    <w:rsid w:val="005D6E64"/>
    <w:rsid w:val="005D76C5"/>
    <w:rsid w:val="005D7A17"/>
    <w:rsid w:val="005E02F2"/>
    <w:rsid w:val="005E0392"/>
    <w:rsid w:val="005E0668"/>
    <w:rsid w:val="005E06ED"/>
    <w:rsid w:val="005E1CD4"/>
    <w:rsid w:val="005E2329"/>
    <w:rsid w:val="005E3331"/>
    <w:rsid w:val="005E37D2"/>
    <w:rsid w:val="005E3AA3"/>
    <w:rsid w:val="005E3D57"/>
    <w:rsid w:val="005E4144"/>
    <w:rsid w:val="005E47AF"/>
    <w:rsid w:val="005E4C0F"/>
    <w:rsid w:val="005E5023"/>
    <w:rsid w:val="005E5808"/>
    <w:rsid w:val="005E5BA3"/>
    <w:rsid w:val="005E62FE"/>
    <w:rsid w:val="005E6781"/>
    <w:rsid w:val="005E68DF"/>
    <w:rsid w:val="005E70EB"/>
    <w:rsid w:val="005E7692"/>
    <w:rsid w:val="005E7AB9"/>
    <w:rsid w:val="005F00F7"/>
    <w:rsid w:val="005F1ADD"/>
    <w:rsid w:val="005F33EF"/>
    <w:rsid w:val="005F3CB3"/>
    <w:rsid w:val="005F41E4"/>
    <w:rsid w:val="005F4A2C"/>
    <w:rsid w:val="005F4AE7"/>
    <w:rsid w:val="005F4AFD"/>
    <w:rsid w:val="005F4BD4"/>
    <w:rsid w:val="005F4C2C"/>
    <w:rsid w:val="005F59D1"/>
    <w:rsid w:val="005F5BEE"/>
    <w:rsid w:val="005F5C93"/>
    <w:rsid w:val="005F5C96"/>
    <w:rsid w:val="005F5CCB"/>
    <w:rsid w:val="005F5F42"/>
    <w:rsid w:val="005F7167"/>
    <w:rsid w:val="005F7264"/>
    <w:rsid w:val="005F73DF"/>
    <w:rsid w:val="005F7A70"/>
    <w:rsid w:val="00600150"/>
    <w:rsid w:val="0060023A"/>
    <w:rsid w:val="0060024B"/>
    <w:rsid w:val="00600711"/>
    <w:rsid w:val="00600A63"/>
    <w:rsid w:val="00600D9A"/>
    <w:rsid w:val="00601632"/>
    <w:rsid w:val="006020A1"/>
    <w:rsid w:val="006024EF"/>
    <w:rsid w:val="0060282C"/>
    <w:rsid w:val="0060333D"/>
    <w:rsid w:val="006036F5"/>
    <w:rsid w:val="00603C5E"/>
    <w:rsid w:val="00604339"/>
    <w:rsid w:val="00604708"/>
    <w:rsid w:val="00604AB2"/>
    <w:rsid w:val="00604C0A"/>
    <w:rsid w:val="00604C10"/>
    <w:rsid w:val="006059FE"/>
    <w:rsid w:val="00605D1A"/>
    <w:rsid w:val="00606765"/>
    <w:rsid w:val="00607257"/>
    <w:rsid w:val="006102A9"/>
    <w:rsid w:val="00610477"/>
    <w:rsid w:val="00610640"/>
    <w:rsid w:val="00610DBE"/>
    <w:rsid w:val="00610E0B"/>
    <w:rsid w:val="006114B5"/>
    <w:rsid w:val="006119BF"/>
    <w:rsid w:val="0061236A"/>
    <w:rsid w:val="00612804"/>
    <w:rsid w:val="00612B94"/>
    <w:rsid w:val="00612CAD"/>
    <w:rsid w:val="00613116"/>
    <w:rsid w:val="00613A09"/>
    <w:rsid w:val="00614C5B"/>
    <w:rsid w:val="00614CD7"/>
    <w:rsid w:val="0061501C"/>
    <w:rsid w:val="0061515A"/>
    <w:rsid w:val="00615885"/>
    <w:rsid w:val="0061603F"/>
    <w:rsid w:val="00616385"/>
    <w:rsid w:val="00616390"/>
    <w:rsid w:val="00616B76"/>
    <w:rsid w:val="00617A6C"/>
    <w:rsid w:val="0062032E"/>
    <w:rsid w:val="006216E5"/>
    <w:rsid w:val="006217CF"/>
    <w:rsid w:val="0062286C"/>
    <w:rsid w:val="006235D0"/>
    <w:rsid w:val="00623707"/>
    <w:rsid w:val="0062379D"/>
    <w:rsid w:val="006237ED"/>
    <w:rsid w:val="00623962"/>
    <w:rsid w:val="00624224"/>
    <w:rsid w:val="006243F2"/>
    <w:rsid w:val="00624B85"/>
    <w:rsid w:val="006256E0"/>
    <w:rsid w:val="00626106"/>
    <w:rsid w:val="00626748"/>
    <w:rsid w:val="00626C96"/>
    <w:rsid w:val="006308CE"/>
    <w:rsid w:val="00630EBA"/>
    <w:rsid w:val="00631454"/>
    <w:rsid w:val="006315A0"/>
    <w:rsid w:val="006319A4"/>
    <w:rsid w:val="0063240C"/>
    <w:rsid w:val="00632BFD"/>
    <w:rsid w:val="006339CC"/>
    <w:rsid w:val="00634473"/>
    <w:rsid w:val="00634B15"/>
    <w:rsid w:val="00634CE3"/>
    <w:rsid w:val="006352BA"/>
    <w:rsid w:val="00635FB8"/>
    <w:rsid w:val="006369E2"/>
    <w:rsid w:val="00637E04"/>
    <w:rsid w:val="00637E7E"/>
    <w:rsid w:val="006408F3"/>
    <w:rsid w:val="00640A71"/>
    <w:rsid w:val="00640EC0"/>
    <w:rsid w:val="00641044"/>
    <w:rsid w:val="0064147F"/>
    <w:rsid w:val="006414A6"/>
    <w:rsid w:val="00641516"/>
    <w:rsid w:val="00641738"/>
    <w:rsid w:val="00641A27"/>
    <w:rsid w:val="00641ACA"/>
    <w:rsid w:val="00642C78"/>
    <w:rsid w:val="00643526"/>
    <w:rsid w:val="006437E1"/>
    <w:rsid w:val="006447FF"/>
    <w:rsid w:val="00644875"/>
    <w:rsid w:val="00644C76"/>
    <w:rsid w:val="00644F51"/>
    <w:rsid w:val="00645F47"/>
    <w:rsid w:val="006468F5"/>
    <w:rsid w:val="00646E8D"/>
    <w:rsid w:val="00646EA9"/>
    <w:rsid w:val="00646F2D"/>
    <w:rsid w:val="00647486"/>
    <w:rsid w:val="00647D05"/>
    <w:rsid w:val="0065103D"/>
    <w:rsid w:val="006513DE"/>
    <w:rsid w:val="00651C05"/>
    <w:rsid w:val="00652A42"/>
    <w:rsid w:val="00652CC9"/>
    <w:rsid w:val="00652DA5"/>
    <w:rsid w:val="00653048"/>
    <w:rsid w:val="00653311"/>
    <w:rsid w:val="006534EC"/>
    <w:rsid w:val="0065414F"/>
    <w:rsid w:val="006543F0"/>
    <w:rsid w:val="00655046"/>
    <w:rsid w:val="00655423"/>
    <w:rsid w:val="00655AB1"/>
    <w:rsid w:val="00655E67"/>
    <w:rsid w:val="0065652C"/>
    <w:rsid w:val="00656D9F"/>
    <w:rsid w:val="00657570"/>
    <w:rsid w:val="006575A8"/>
    <w:rsid w:val="0066019E"/>
    <w:rsid w:val="00660357"/>
    <w:rsid w:val="0066037F"/>
    <w:rsid w:val="00660735"/>
    <w:rsid w:val="006619D5"/>
    <w:rsid w:val="00661E78"/>
    <w:rsid w:val="00662C5D"/>
    <w:rsid w:val="00662E2A"/>
    <w:rsid w:val="0066301A"/>
    <w:rsid w:val="00663701"/>
    <w:rsid w:val="006638D0"/>
    <w:rsid w:val="00663DE2"/>
    <w:rsid w:val="006643D0"/>
    <w:rsid w:val="0066593D"/>
    <w:rsid w:val="006659FB"/>
    <w:rsid w:val="00665D73"/>
    <w:rsid w:val="006661BC"/>
    <w:rsid w:val="00666562"/>
    <w:rsid w:val="006666F6"/>
    <w:rsid w:val="006668E0"/>
    <w:rsid w:val="006708E1"/>
    <w:rsid w:val="00670CA0"/>
    <w:rsid w:val="00670E88"/>
    <w:rsid w:val="00670EE3"/>
    <w:rsid w:val="00671074"/>
    <w:rsid w:val="006710DD"/>
    <w:rsid w:val="006711BA"/>
    <w:rsid w:val="00671256"/>
    <w:rsid w:val="00671672"/>
    <w:rsid w:val="00671787"/>
    <w:rsid w:val="00671AB7"/>
    <w:rsid w:val="0067207B"/>
    <w:rsid w:val="006722ED"/>
    <w:rsid w:val="00672729"/>
    <w:rsid w:val="0067274D"/>
    <w:rsid w:val="0067281A"/>
    <w:rsid w:val="00673120"/>
    <w:rsid w:val="0067336C"/>
    <w:rsid w:val="00673808"/>
    <w:rsid w:val="00673A2E"/>
    <w:rsid w:val="0067411D"/>
    <w:rsid w:val="00674241"/>
    <w:rsid w:val="00674333"/>
    <w:rsid w:val="00674E79"/>
    <w:rsid w:val="006751C5"/>
    <w:rsid w:val="00675297"/>
    <w:rsid w:val="006753AA"/>
    <w:rsid w:val="00675663"/>
    <w:rsid w:val="006757D6"/>
    <w:rsid w:val="00675B14"/>
    <w:rsid w:val="00675C0B"/>
    <w:rsid w:val="0067607F"/>
    <w:rsid w:val="00676BAC"/>
    <w:rsid w:val="0067702B"/>
    <w:rsid w:val="00677E64"/>
    <w:rsid w:val="006810C7"/>
    <w:rsid w:val="00681C34"/>
    <w:rsid w:val="00681C94"/>
    <w:rsid w:val="006822BB"/>
    <w:rsid w:val="00682479"/>
    <w:rsid w:val="00682688"/>
    <w:rsid w:val="0068330F"/>
    <w:rsid w:val="00683608"/>
    <w:rsid w:val="00683D52"/>
    <w:rsid w:val="00684D1E"/>
    <w:rsid w:val="00685084"/>
    <w:rsid w:val="006855C8"/>
    <w:rsid w:val="00687B58"/>
    <w:rsid w:val="00690161"/>
    <w:rsid w:val="0069021F"/>
    <w:rsid w:val="00690AE1"/>
    <w:rsid w:val="0069212D"/>
    <w:rsid w:val="00692BD4"/>
    <w:rsid w:val="00692E18"/>
    <w:rsid w:val="006936AB"/>
    <w:rsid w:val="00693932"/>
    <w:rsid w:val="00694461"/>
    <w:rsid w:val="00694A6C"/>
    <w:rsid w:val="00694CC3"/>
    <w:rsid w:val="006950CE"/>
    <w:rsid w:val="00695FF1"/>
    <w:rsid w:val="0069609E"/>
    <w:rsid w:val="00696501"/>
    <w:rsid w:val="00696DE9"/>
    <w:rsid w:val="00696F4F"/>
    <w:rsid w:val="00697810"/>
    <w:rsid w:val="006A0543"/>
    <w:rsid w:val="006A06BD"/>
    <w:rsid w:val="006A101C"/>
    <w:rsid w:val="006A2099"/>
    <w:rsid w:val="006A2324"/>
    <w:rsid w:val="006A2A8D"/>
    <w:rsid w:val="006A360A"/>
    <w:rsid w:val="006A5051"/>
    <w:rsid w:val="006A55A2"/>
    <w:rsid w:val="006A581E"/>
    <w:rsid w:val="006A5A8C"/>
    <w:rsid w:val="006A60B8"/>
    <w:rsid w:val="006A6496"/>
    <w:rsid w:val="006A73C3"/>
    <w:rsid w:val="006A7559"/>
    <w:rsid w:val="006B07C8"/>
    <w:rsid w:val="006B0A41"/>
    <w:rsid w:val="006B15A2"/>
    <w:rsid w:val="006B193F"/>
    <w:rsid w:val="006B2263"/>
    <w:rsid w:val="006B28BD"/>
    <w:rsid w:val="006B2CE8"/>
    <w:rsid w:val="006B3548"/>
    <w:rsid w:val="006B3D33"/>
    <w:rsid w:val="006B3FD4"/>
    <w:rsid w:val="006B43F0"/>
    <w:rsid w:val="006B463B"/>
    <w:rsid w:val="006B496F"/>
    <w:rsid w:val="006B577F"/>
    <w:rsid w:val="006B5A55"/>
    <w:rsid w:val="006B6343"/>
    <w:rsid w:val="006B63A3"/>
    <w:rsid w:val="006B63F5"/>
    <w:rsid w:val="006B6504"/>
    <w:rsid w:val="006B7019"/>
    <w:rsid w:val="006B75DA"/>
    <w:rsid w:val="006B7666"/>
    <w:rsid w:val="006B7782"/>
    <w:rsid w:val="006C03D6"/>
    <w:rsid w:val="006C03E3"/>
    <w:rsid w:val="006C1AEF"/>
    <w:rsid w:val="006C2642"/>
    <w:rsid w:val="006C2BBC"/>
    <w:rsid w:val="006C2BDD"/>
    <w:rsid w:val="006C2C8E"/>
    <w:rsid w:val="006C2F7D"/>
    <w:rsid w:val="006C3024"/>
    <w:rsid w:val="006C3AD7"/>
    <w:rsid w:val="006C3BFF"/>
    <w:rsid w:val="006C3E6A"/>
    <w:rsid w:val="006C4052"/>
    <w:rsid w:val="006C4163"/>
    <w:rsid w:val="006C4E10"/>
    <w:rsid w:val="006C4FE7"/>
    <w:rsid w:val="006C56B9"/>
    <w:rsid w:val="006C63C9"/>
    <w:rsid w:val="006C660B"/>
    <w:rsid w:val="006C7229"/>
    <w:rsid w:val="006C7E31"/>
    <w:rsid w:val="006C7F17"/>
    <w:rsid w:val="006D0531"/>
    <w:rsid w:val="006D0769"/>
    <w:rsid w:val="006D1568"/>
    <w:rsid w:val="006D1930"/>
    <w:rsid w:val="006D25F5"/>
    <w:rsid w:val="006D32E2"/>
    <w:rsid w:val="006D32E5"/>
    <w:rsid w:val="006D36E3"/>
    <w:rsid w:val="006D4F3A"/>
    <w:rsid w:val="006D527E"/>
    <w:rsid w:val="006D5F99"/>
    <w:rsid w:val="006D6F84"/>
    <w:rsid w:val="006D78A1"/>
    <w:rsid w:val="006E0193"/>
    <w:rsid w:val="006E032C"/>
    <w:rsid w:val="006E03B2"/>
    <w:rsid w:val="006E09FC"/>
    <w:rsid w:val="006E0EF2"/>
    <w:rsid w:val="006E172F"/>
    <w:rsid w:val="006E1E4B"/>
    <w:rsid w:val="006E1F36"/>
    <w:rsid w:val="006E3724"/>
    <w:rsid w:val="006E3A6F"/>
    <w:rsid w:val="006E3B52"/>
    <w:rsid w:val="006E3E68"/>
    <w:rsid w:val="006E3F36"/>
    <w:rsid w:val="006E47B4"/>
    <w:rsid w:val="006E48F1"/>
    <w:rsid w:val="006E4FCA"/>
    <w:rsid w:val="006E4FE1"/>
    <w:rsid w:val="006E5314"/>
    <w:rsid w:val="006E5362"/>
    <w:rsid w:val="006E6559"/>
    <w:rsid w:val="006E67A3"/>
    <w:rsid w:val="006E6972"/>
    <w:rsid w:val="006E79A4"/>
    <w:rsid w:val="006F12DC"/>
    <w:rsid w:val="006F25D4"/>
    <w:rsid w:val="006F2814"/>
    <w:rsid w:val="006F2906"/>
    <w:rsid w:val="006F325B"/>
    <w:rsid w:val="006F3299"/>
    <w:rsid w:val="006F3B66"/>
    <w:rsid w:val="006F3D39"/>
    <w:rsid w:val="006F3EE0"/>
    <w:rsid w:val="006F5820"/>
    <w:rsid w:val="006F638D"/>
    <w:rsid w:val="006F66AF"/>
    <w:rsid w:val="006F6F97"/>
    <w:rsid w:val="006F7E32"/>
    <w:rsid w:val="007001BE"/>
    <w:rsid w:val="00700326"/>
    <w:rsid w:val="00701659"/>
    <w:rsid w:val="007017CA"/>
    <w:rsid w:val="007017DA"/>
    <w:rsid w:val="00701991"/>
    <w:rsid w:val="007019A2"/>
    <w:rsid w:val="00703064"/>
    <w:rsid w:val="00703202"/>
    <w:rsid w:val="0070352B"/>
    <w:rsid w:val="0070442E"/>
    <w:rsid w:val="007044B7"/>
    <w:rsid w:val="0070570F"/>
    <w:rsid w:val="007062F4"/>
    <w:rsid w:val="0070652C"/>
    <w:rsid w:val="00706820"/>
    <w:rsid w:val="007068C6"/>
    <w:rsid w:val="007069A2"/>
    <w:rsid w:val="00707CAD"/>
    <w:rsid w:val="00710075"/>
    <w:rsid w:val="007102AF"/>
    <w:rsid w:val="00710374"/>
    <w:rsid w:val="00710738"/>
    <w:rsid w:val="007107D5"/>
    <w:rsid w:val="00710D08"/>
    <w:rsid w:val="007110FD"/>
    <w:rsid w:val="0071119E"/>
    <w:rsid w:val="007116CC"/>
    <w:rsid w:val="00711753"/>
    <w:rsid w:val="00711F28"/>
    <w:rsid w:val="007123D2"/>
    <w:rsid w:val="0071296F"/>
    <w:rsid w:val="00712A33"/>
    <w:rsid w:val="00713DDC"/>
    <w:rsid w:val="007148D5"/>
    <w:rsid w:val="007149EF"/>
    <w:rsid w:val="00714A25"/>
    <w:rsid w:val="00715C07"/>
    <w:rsid w:val="007165C3"/>
    <w:rsid w:val="00716F2F"/>
    <w:rsid w:val="0071755D"/>
    <w:rsid w:val="007179FB"/>
    <w:rsid w:val="00717EFF"/>
    <w:rsid w:val="007227F9"/>
    <w:rsid w:val="007228F7"/>
    <w:rsid w:val="00722C39"/>
    <w:rsid w:val="00722C83"/>
    <w:rsid w:val="0072397F"/>
    <w:rsid w:val="00723A6A"/>
    <w:rsid w:val="00723DFD"/>
    <w:rsid w:val="0072490B"/>
    <w:rsid w:val="00724E92"/>
    <w:rsid w:val="0072559B"/>
    <w:rsid w:val="00725BFF"/>
    <w:rsid w:val="00725D82"/>
    <w:rsid w:val="007263A9"/>
    <w:rsid w:val="007265F4"/>
    <w:rsid w:val="007268C4"/>
    <w:rsid w:val="00726921"/>
    <w:rsid w:val="00726C34"/>
    <w:rsid w:val="00726F3C"/>
    <w:rsid w:val="0072777C"/>
    <w:rsid w:val="0073020B"/>
    <w:rsid w:val="007306D5"/>
    <w:rsid w:val="00730E53"/>
    <w:rsid w:val="00730FB6"/>
    <w:rsid w:val="0073183B"/>
    <w:rsid w:val="007326BE"/>
    <w:rsid w:val="00732A14"/>
    <w:rsid w:val="00733389"/>
    <w:rsid w:val="007335BD"/>
    <w:rsid w:val="00733EC5"/>
    <w:rsid w:val="00734605"/>
    <w:rsid w:val="00735A8E"/>
    <w:rsid w:val="007360B4"/>
    <w:rsid w:val="00736351"/>
    <w:rsid w:val="00740372"/>
    <w:rsid w:val="00740792"/>
    <w:rsid w:val="00740B58"/>
    <w:rsid w:val="0074124E"/>
    <w:rsid w:val="00741B1A"/>
    <w:rsid w:val="00741EB8"/>
    <w:rsid w:val="00742B1C"/>
    <w:rsid w:val="00742E58"/>
    <w:rsid w:val="007432FB"/>
    <w:rsid w:val="00743895"/>
    <w:rsid w:val="00743942"/>
    <w:rsid w:val="007439B8"/>
    <w:rsid w:val="00744D15"/>
    <w:rsid w:val="00746307"/>
    <w:rsid w:val="0074671A"/>
    <w:rsid w:val="007478D5"/>
    <w:rsid w:val="00750C86"/>
    <w:rsid w:val="007511E2"/>
    <w:rsid w:val="0075193F"/>
    <w:rsid w:val="00751943"/>
    <w:rsid w:val="007524FA"/>
    <w:rsid w:val="007526A2"/>
    <w:rsid w:val="00752858"/>
    <w:rsid w:val="007529A1"/>
    <w:rsid w:val="00752A72"/>
    <w:rsid w:val="00752BF2"/>
    <w:rsid w:val="00752C7B"/>
    <w:rsid w:val="0075309D"/>
    <w:rsid w:val="00753141"/>
    <w:rsid w:val="007533FC"/>
    <w:rsid w:val="007534A6"/>
    <w:rsid w:val="00753914"/>
    <w:rsid w:val="00753A78"/>
    <w:rsid w:val="00753CE7"/>
    <w:rsid w:val="00754977"/>
    <w:rsid w:val="00755457"/>
    <w:rsid w:val="00755480"/>
    <w:rsid w:val="007556BD"/>
    <w:rsid w:val="00755BC6"/>
    <w:rsid w:val="007572F7"/>
    <w:rsid w:val="00757365"/>
    <w:rsid w:val="00757BB6"/>
    <w:rsid w:val="0076008B"/>
    <w:rsid w:val="007603BD"/>
    <w:rsid w:val="00761E08"/>
    <w:rsid w:val="007629D0"/>
    <w:rsid w:val="00762BB7"/>
    <w:rsid w:val="00762FE0"/>
    <w:rsid w:val="007634A5"/>
    <w:rsid w:val="00763B80"/>
    <w:rsid w:val="00763D0D"/>
    <w:rsid w:val="00763E33"/>
    <w:rsid w:val="00763F7F"/>
    <w:rsid w:val="007640A7"/>
    <w:rsid w:val="007652B0"/>
    <w:rsid w:val="00765874"/>
    <w:rsid w:val="00765B1D"/>
    <w:rsid w:val="00766081"/>
    <w:rsid w:val="007662DE"/>
    <w:rsid w:val="00766B2B"/>
    <w:rsid w:val="007671F0"/>
    <w:rsid w:val="0076729D"/>
    <w:rsid w:val="00767C27"/>
    <w:rsid w:val="00767CD4"/>
    <w:rsid w:val="0077011A"/>
    <w:rsid w:val="00770F47"/>
    <w:rsid w:val="00771053"/>
    <w:rsid w:val="00771377"/>
    <w:rsid w:val="00771658"/>
    <w:rsid w:val="00771804"/>
    <w:rsid w:val="00771995"/>
    <w:rsid w:val="00771AEA"/>
    <w:rsid w:val="00771BE0"/>
    <w:rsid w:val="00771D86"/>
    <w:rsid w:val="007726CB"/>
    <w:rsid w:val="0077352C"/>
    <w:rsid w:val="0077358E"/>
    <w:rsid w:val="00773D43"/>
    <w:rsid w:val="00774032"/>
    <w:rsid w:val="007740FD"/>
    <w:rsid w:val="00774E27"/>
    <w:rsid w:val="00776062"/>
    <w:rsid w:val="007760F5"/>
    <w:rsid w:val="007764B7"/>
    <w:rsid w:val="0077680B"/>
    <w:rsid w:val="00776F02"/>
    <w:rsid w:val="00776F53"/>
    <w:rsid w:val="00777F8B"/>
    <w:rsid w:val="00780AF8"/>
    <w:rsid w:val="0078181C"/>
    <w:rsid w:val="00781E5D"/>
    <w:rsid w:val="00781EAA"/>
    <w:rsid w:val="007827CA"/>
    <w:rsid w:val="00782B61"/>
    <w:rsid w:val="00782DCF"/>
    <w:rsid w:val="007833E5"/>
    <w:rsid w:val="007834FA"/>
    <w:rsid w:val="00783594"/>
    <w:rsid w:val="00783DED"/>
    <w:rsid w:val="00785223"/>
    <w:rsid w:val="00785498"/>
    <w:rsid w:val="00785C32"/>
    <w:rsid w:val="00785C72"/>
    <w:rsid w:val="0078682A"/>
    <w:rsid w:val="00786A4D"/>
    <w:rsid w:val="00786F64"/>
    <w:rsid w:val="00787CB3"/>
    <w:rsid w:val="007901B7"/>
    <w:rsid w:val="00790770"/>
    <w:rsid w:val="007908CE"/>
    <w:rsid w:val="00790BC3"/>
    <w:rsid w:val="00790DE8"/>
    <w:rsid w:val="00790E92"/>
    <w:rsid w:val="00791E84"/>
    <w:rsid w:val="007925D7"/>
    <w:rsid w:val="0079281B"/>
    <w:rsid w:val="0079389E"/>
    <w:rsid w:val="007939C8"/>
    <w:rsid w:val="00793A15"/>
    <w:rsid w:val="00793C38"/>
    <w:rsid w:val="00794291"/>
    <w:rsid w:val="00794420"/>
    <w:rsid w:val="00795171"/>
    <w:rsid w:val="00795E94"/>
    <w:rsid w:val="00796098"/>
    <w:rsid w:val="00797A59"/>
    <w:rsid w:val="007A00E6"/>
    <w:rsid w:val="007A0280"/>
    <w:rsid w:val="007A0B63"/>
    <w:rsid w:val="007A0DC1"/>
    <w:rsid w:val="007A1D46"/>
    <w:rsid w:val="007A2299"/>
    <w:rsid w:val="007A268A"/>
    <w:rsid w:val="007A2D12"/>
    <w:rsid w:val="007A2E5B"/>
    <w:rsid w:val="007A3664"/>
    <w:rsid w:val="007A3D2F"/>
    <w:rsid w:val="007A426D"/>
    <w:rsid w:val="007A4420"/>
    <w:rsid w:val="007A46DF"/>
    <w:rsid w:val="007A4ADB"/>
    <w:rsid w:val="007A51B3"/>
    <w:rsid w:val="007A5A1B"/>
    <w:rsid w:val="007A5A22"/>
    <w:rsid w:val="007A5D22"/>
    <w:rsid w:val="007A6006"/>
    <w:rsid w:val="007A6065"/>
    <w:rsid w:val="007A736C"/>
    <w:rsid w:val="007A765A"/>
    <w:rsid w:val="007B0031"/>
    <w:rsid w:val="007B0161"/>
    <w:rsid w:val="007B09A3"/>
    <w:rsid w:val="007B0C94"/>
    <w:rsid w:val="007B0F26"/>
    <w:rsid w:val="007B1787"/>
    <w:rsid w:val="007B1DE2"/>
    <w:rsid w:val="007B2155"/>
    <w:rsid w:val="007B2956"/>
    <w:rsid w:val="007B3047"/>
    <w:rsid w:val="007B3462"/>
    <w:rsid w:val="007B3B58"/>
    <w:rsid w:val="007B3E1D"/>
    <w:rsid w:val="007B3E79"/>
    <w:rsid w:val="007B4C9D"/>
    <w:rsid w:val="007B506C"/>
    <w:rsid w:val="007B54E0"/>
    <w:rsid w:val="007B56A5"/>
    <w:rsid w:val="007B57B8"/>
    <w:rsid w:val="007B5821"/>
    <w:rsid w:val="007B5903"/>
    <w:rsid w:val="007B61FD"/>
    <w:rsid w:val="007B63D1"/>
    <w:rsid w:val="007B681F"/>
    <w:rsid w:val="007B69B1"/>
    <w:rsid w:val="007B6A5A"/>
    <w:rsid w:val="007B6DA5"/>
    <w:rsid w:val="007B710A"/>
    <w:rsid w:val="007C0253"/>
    <w:rsid w:val="007C035C"/>
    <w:rsid w:val="007C0E6E"/>
    <w:rsid w:val="007C0F12"/>
    <w:rsid w:val="007C1656"/>
    <w:rsid w:val="007C2055"/>
    <w:rsid w:val="007C2791"/>
    <w:rsid w:val="007C2A5B"/>
    <w:rsid w:val="007C2DF0"/>
    <w:rsid w:val="007C2F63"/>
    <w:rsid w:val="007C31BA"/>
    <w:rsid w:val="007C31C4"/>
    <w:rsid w:val="007C329C"/>
    <w:rsid w:val="007C3333"/>
    <w:rsid w:val="007C3584"/>
    <w:rsid w:val="007C363F"/>
    <w:rsid w:val="007C3999"/>
    <w:rsid w:val="007C4126"/>
    <w:rsid w:val="007C4239"/>
    <w:rsid w:val="007C432C"/>
    <w:rsid w:val="007C46F4"/>
    <w:rsid w:val="007C4A60"/>
    <w:rsid w:val="007C4F02"/>
    <w:rsid w:val="007C5208"/>
    <w:rsid w:val="007C52D7"/>
    <w:rsid w:val="007C5A36"/>
    <w:rsid w:val="007C5AEF"/>
    <w:rsid w:val="007C5E95"/>
    <w:rsid w:val="007C5F41"/>
    <w:rsid w:val="007C61A8"/>
    <w:rsid w:val="007D0331"/>
    <w:rsid w:val="007D05F6"/>
    <w:rsid w:val="007D099A"/>
    <w:rsid w:val="007D0DA6"/>
    <w:rsid w:val="007D1D17"/>
    <w:rsid w:val="007D1E5D"/>
    <w:rsid w:val="007D1F5B"/>
    <w:rsid w:val="007D20B0"/>
    <w:rsid w:val="007D219D"/>
    <w:rsid w:val="007D2C1E"/>
    <w:rsid w:val="007D2D5A"/>
    <w:rsid w:val="007D368E"/>
    <w:rsid w:val="007D4132"/>
    <w:rsid w:val="007D42E7"/>
    <w:rsid w:val="007D44C1"/>
    <w:rsid w:val="007D4DF8"/>
    <w:rsid w:val="007D4E27"/>
    <w:rsid w:val="007D5412"/>
    <w:rsid w:val="007D56D4"/>
    <w:rsid w:val="007D5B9A"/>
    <w:rsid w:val="007D5D4E"/>
    <w:rsid w:val="007D61C3"/>
    <w:rsid w:val="007D6417"/>
    <w:rsid w:val="007D6A8D"/>
    <w:rsid w:val="007D76E1"/>
    <w:rsid w:val="007D7A62"/>
    <w:rsid w:val="007E017C"/>
    <w:rsid w:val="007E19C2"/>
    <w:rsid w:val="007E2A21"/>
    <w:rsid w:val="007E2A91"/>
    <w:rsid w:val="007E2B4F"/>
    <w:rsid w:val="007E30AC"/>
    <w:rsid w:val="007E32DC"/>
    <w:rsid w:val="007E384D"/>
    <w:rsid w:val="007E397E"/>
    <w:rsid w:val="007E3B12"/>
    <w:rsid w:val="007E420F"/>
    <w:rsid w:val="007E4298"/>
    <w:rsid w:val="007E4523"/>
    <w:rsid w:val="007E4881"/>
    <w:rsid w:val="007E4FD6"/>
    <w:rsid w:val="007E506A"/>
    <w:rsid w:val="007E5DAC"/>
    <w:rsid w:val="007E5E69"/>
    <w:rsid w:val="007E6D27"/>
    <w:rsid w:val="007E6F80"/>
    <w:rsid w:val="007E71BD"/>
    <w:rsid w:val="007E7404"/>
    <w:rsid w:val="007E78D6"/>
    <w:rsid w:val="007F0E28"/>
    <w:rsid w:val="007F0E78"/>
    <w:rsid w:val="007F0FDA"/>
    <w:rsid w:val="007F176B"/>
    <w:rsid w:val="007F1AC5"/>
    <w:rsid w:val="007F21B3"/>
    <w:rsid w:val="007F32DE"/>
    <w:rsid w:val="007F34E8"/>
    <w:rsid w:val="007F36E6"/>
    <w:rsid w:val="007F420A"/>
    <w:rsid w:val="007F455E"/>
    <w:rsid w:val="007F45F1"/>
    <w:rsid w:val="007F46A7"/>
    <w:rsid w:val="007F49E4"/>
    <w:rsid w:val="007F51B7"/>
    <w:rsid w:val="007F573B"/>
    <w:rsid w:val="007F616D"/>
    <w:rsid w:val="007F642A"/>
    <w:rsid w:val="007F6CFD"/>
    <w:rsid w:val="007F75E4"/>
    <w:rsid w:val="007F76EE"/>
    <w:rsid w:val="008005C7"/>
    <w:rsid w:val="00800841"/>
    <w:rsid w:val="00800BB1"/>
    <w:rsid w:val="00800CA0"/>
    <w:rsid w:val="0080194E"/>
    <w:rsid w:val="00801C86"/>
    <w:rsid w:val="00802211"/>
    <w:rsid w:val="0080263E"/>
    <w:rsid w:val="00802EC9"/>
    <w:rsid w:val="00803043"/>
    <w:rsid w:val="008034C4"/>
    <w:rsid w:val="008035F6"/>
    <w:rsid w:val="0080550B"/>
    <w:rsid w:val="0080570D"/>
    <w:rsid w:val="00805C0C"/>
    <w:rsid w:val="00806609"/>
    <w:rsid w:val="00806714"/>
    <w:rsid w:val="008071A2"/>
    <w:rsid w:val="008077B2"/>
    <w:rsid w:val="00807F61"/>
    <w:rsid w:val="008100CA"/>
    <w:rsid w:val="0081070D"/>
    <w:rsid w:val="00811400"/>
    <w:rsid w:val="00812553"/>
    <w:rsid w:val="0081299C"/>
    <w:rsid w:val="00813A19"/>
    <w:rsid w:val="0081404A"/>
    <w:rsid w:val="008141D9"/>
    <w:rsid w:val="00814F4D"/>
    <w:rsid w:val="00815108"/>
    <w:rsid w:val="008151AD"/>
    <w:rsid w:val="00815679"/>
    <w:rsid w:val="00815756"/>
    <w:rsid w:val="008157E6"/>
    <w:rsid w:val="00815808"/>
    <w:rsid w:val="00815F45"/>
    <w:rsid w:val="0081651A"/>
    <w:rsid w:val="00816704"/>
    <w:rsid w:val="00817679"/>
    <w:rsid w:val="00820E29"/>
    <w:rsid w:val="00821219"/>
    <w:rsid w:val="00821A8D"/>
    <w:rsid w:val="00821B21"/>
    <w:rsid w:val="00822930"/>
    <w:rsid w:val="00822C05"/>
    <w:rsid w:val="00823162"/>
    <w:rsid w:val="0082320B"/>
    <w:rsid w:val="008233CC"/>
    <w:rsid w:val="00823C6A"/>
    <w:rsid w:val="008249E2"/>
    <w:rsid w:val="00824F17"/>
    <w:rsid w:val="00825A82"/>
    <w:rsid w:val="00825CE9"/>
    <w:rsid w:val="00825DD5"/>
    <w:rsid w:val="00826D04"/>
    <w:rsid w:val="00826E9C"/>
    <w:rsid w:val="00826FBA"/>
    <w:rsid w:val="008304D8"/>
    <w:rsid w:val="008313C4"/>
    <w:rsid w:val="0083194C"/>
    <w:rsid w:val="00831BB8"/>
    <w:rsid w:val="00831DCA"/>
    <w:rsid w:val="00832802"/>
    <w:rsid w:val="00832C62"/>
    <w:rsid w:val="00833906"/>
    <w:rsid w:val="0083399A"/>
    <w:rsid w:val="008339D3"/>
    <w:rsid w:val="00834400"/>
    <w:rsid w:val="00834601"/>
    <w:rsid w:val="00834D18"/>
    <w:rsid w:val="00835042"/>
    <w:rsid w:val="008361C4"/>
    <w:rsid w:val="0083633D"/>
    <w:rsid w:val="00836580"/>
    <w:rsid w:val="00837A9F"/>
    <w:rsid w:val="00837E2B"/>
    <w:rsid w:val="00840154"/>
    <w:rsid w:val="0084042B"/>
    <w:rsid w:val="00840EBF"/>
    <w:rsid w:val="008410FF"/>
    <w:rsid w:val="0084124F"/>
    <w:rsid w:val="008415BE"/>
    <w:rsid w:val="00841D14"/>
    <w:rsid w:val="008426F9"/>
    <w:rsid w:val="00843966"/>
    <w:rsid w:val="0084444F"/>
    <w:rsid w:val="00844815"/>
    <w:rsid w:val="008462E4"/>
    <w:rsid w:val="0084661C"/>
    <w:rsid w:val="0084782E"/>
    <w:rsid w:val="00850A8D"/>
    <w:rsid w:val="00850D75"/>
    <w:rsid w:val="00852424"/>
    <w:rsid w:val="00852A7D"/>
    <w:rsid w:val="008533D0"/>
    <w:rsid w:val="00853B82"/>
    <w:rsid w:val="00853D12"/>
    <w:rsid w:val="00854E06"/>
    <w:rsid w:val="0085556C"/>
    <w:rsid w:val="008555CF"/>
    <w:rsid w:val="00855927"/>
    <w:rsid w:val="00855E2F"/>
    <w:rsid w:val="00856018"/>
    <w:rsid w:val="008563B6"/>
    <w:rsid w:val="008567C7"/>
    <w:rsid w:val="008571DE"/>
    <w:rsid w:val="00857344"/>
    <w:rsid w:val="00857E7A"/>
    <w:rsid w:val="008603B4"/>
    <w:rsid w:val="00860669"/>
    <w:rsid w:val="0086067B"/>
    <w:rsid w:val="00861A04"/>
    <w:rsid w:val="00862031"/>
    <w:rsid w:val="00862510"/>
    <w:rsid w:val="008628B6"/>
    <w:rsid w:val="0086292B"/>
    <w:rsid w:val="008629D9"/>
    <w:rsid w:val="00863610"/>
    <w:rsid w:val="00863860"/>
    <w:rsid w:val="00864874"/>
    <w:rsid w:val="00864D5E"/>
    <w:rsid w:val="00865E99"/>
    <w:rsid w:val="008660B2"/>
    <w:rsid w:val="008666CF"/>
    <w:rsid w:val="008677E1"/>
    <w:rsid w:val="00867A1E"/>
    <w:rsid w:val="00867B6F"/>
    <w:rsid w:val="00867E94"/>
    <w:rsid w:val="00870AF2"/>
    <w:rsid w:val="00870BE3"/>
    <w:rsid w:val="00870DF7"/>
    <w:rsid w:val="008715AF"/>
    <w:rsid w:val="00871610"/>
    <w:rsid w:val="008718A1"/>
    <w:rsid w:val="008724BF"/>
    <w:rsid w:val="008725E3"/>
    <w:rsid w:val="00874654"/>
    <w:rsid w:val="008748C1"/>
    <w:rsid w:val="0087498C"/>
    <w:rsid w:val="008753FB"/>
    <w:rsid w:val="00876461"/>
    <w:rsid w:val="00876E2E"/>
    <w:rsid w:val="00876E41"/>
    <w:rsid w:val="008771C6"/>
    <w:rsid w:val="0087776E"/>
    <w:rsid w:val="0087777B"/>
    <w:rsid w:val="00877991"/>
    <w:rsid w:val="00880252"/>
    <w:rsid w:val="00882A27"/>
    <w:rsid w:val="00883250"/>
    <w:rsid w:val="008836D1"/>
    <w:rsid w:val="00883C94"/>
    <w:rsid w:val="00884B74"/>
    <w:rsid w:val="00884DE0"/>
    <w:rsid w:val="00884E15"/>
    <w:rsid w:val="008851D3"/>
    <w:rsid w:val="0088550E"/>
    <w:rsid w:val="0088586A"/>
    <w:rsid w:val="00885C99"/>
    <w:rsid w:val="00885D7B"/>
    <w:rsid w:val="00885E2A"/>
    <w:rsid w:val="00885F0E"/>
    <w:rsid w:val="0088717F"/>
    <w:rsid w:val="00887656"/>
    <w:rsid w:val="008907C8"/>
    <w:rsid w:val="00890DD5"/>
    <w:rsid w:val="00891432"/>
    <w:rsid w:val="0089180E"/>
    <w:rsid w:val="0089199F"/>
    <w:rsid w:val="0089337A"/>
    <w:rsid w:val="00893383"/>
    <w:rsid w:val="00893C6B"/>
    <w:rsid w:val="008940B7"/>
    <w:rsid w:val="00894474"/>
    <w:rsid w:val="00894A20"/>
    <w:rsid w:val="00894F05"/>
    <w:rsid w:val="008950DC"/>
    <w:rsid w:val="0089526B"/>
    <w:rsid w:val="008953A7"/>
    <w:rsid w:val="0089664D"/>
    <w:rsid w:val="00896CCA"/>
    <w:rsid w:val="0089763B"/>
    <w:rsid w:val="00897A56"/>
    <w:rsid w:val="00897A78"/>
    <w:rsid w:val="00897C5D"/>
    <w:rsid w:val="008A001A"/>
    <w:rsid w:val="008A02C5"/>
    <w:rsid w:val="008A078B"/>
    <w:rsid w:val="008A16E0"/>
    <w:rsid w:val="008A2064"/>
    <w:rsid w:val="008A22BE"/>
    <w:rsid w:val="008A235C"/>
    <w:rsid w:val="008A2516"/>
    <w:rsid w:val="008A26BC"/>
    <w:rsid w:val="008A2FA1"/>
    <w:rsid w:val="008A5317"/>
    <w:rsid w:val="008A6246"/>
    <w:rsid w:val="008A6638"/>
    <w:rsid w:val="008A67BC"/>
    <w:rsid w:val="008A6B83"/>
    <w:rsid w:val="008A6C6B"/>
    <w:rsid w:val="008A6C73"/>
    <w:rsid w:val="008A6DAD"/>
    <w:rsid w:val="008A77EB"/>
    <w:rsid w:val="008A7EC3"/>
    <w:rsid w:val="008B00BE"/>
    <w:rsid w:val="008B0356"/>
    <w:rsid w:val="008B093B"/>
    <w:rsid w:val="008B0E9C"/>
    <w:rsid w:val="008B1D09"/>
    <w:rsid w:val="008B260C"/>
    <w:rsid w:val="008B2D33"/>
    <w:rsid w:val="008B3322"/>
    <w:rsid w:val="008B332A"/>
    <w:rsid w:val="008B3378"/>
    <w:rsid w:val="008B355A"/>
    <w:rsid w:val="008B3759"/>
    <w:rsid w:val="008B3B9F"/>
    <w:rsid w:val="008B42F3"/>
    <w:rsid w:val="008B4450"/>
    <w:rsid w:val="008B46F0"/>
    <w:rsid w:val="008B5622"/>
    <w:rsid w:val="008B5AA7"/>
    <w:rsid w:val="008B60FE"/>
    <w:rsid w:val="008B61B8"/>
    <w:rsid w:val="008B6202"/>
    <w:rsid w:val="008B6A24"/>
    <w:rsid w:val="008B711E"/>
    <w:rsid w:val="008B74F8"/>
    <w:rsid w:val="008B7584"/>
    <w:rsid w:val="008B7594"/>
    <w:rsid w:val="008B7B6F"/>
    <w:rsid w:val="008B7DF3"/>
    <w:rsid w:val="008C26D3"/>
    <w:rsid w:val="008C3680"/>
    <w:rsid w:val="008C3D04"/>
    <w:rsid w:val="008C4D4B"/>
    <w:rsid w:val="008C55F4"/>
    <w:rsid w:val="008C6F14"/>
    <w:rsid w:val="008C6F1A"/>
    <w:rsid w:val="008C7B18"/>
    <w:rsid w:val="008D1925"/>
    <w:rsid w:val="008D1D63"/>
    <w:rsid w:val="008D2033"/>
    <w:rsid w:val="008D26F5"/>
    <w:rsid w:val="008D2FBB"/>
    <w:rsid w:val="008D38E0"/>
    <w:rsid w:val="008D4514"/>
    <w:rsid w:val="008D476C"/>
    <w:rsid w:val="008D4D0C"/>
    <w:rsid w:val="008D53FE"/>
    <w:rsid w:val="008D5615"/>
    <w:rsid w:val="008D5D46"/>
    <w:rsid w:val="008D635E"/>
    <w:rsid w:val="008D6B0B"/>
    <w:rsid w:val="008D6B0F"/>
    <w:rsid w:val="008D6DEA"/>
    <w:rsid w:val="008D71D3"/>
    <w:rsid w:val="008D7477"/>
    <w:rsid w:val="008D7EF4"/>
    <w:rsid w:val="008E0600"/>
    <w:rsid w:val="008E1158"/>
    <w:rsid w:val="008E127B"/>
    <w:rsid w:val="008E1544"/>
    <w:rsid w:val="008E26C7"/>
    <w:rsid w:val="008E26D8"/>
    <w:rsid w:val="008E346B"/>
    <w:rsid w:val="008E391F"/>
    <w:rsid w:val="008E3B48"/>
    <w:rsid w:val="008E3DE0"/>
    <w:rsid w:val="008E4483"/>
    <w:rsid w:val="008E4572"/>
    <w:rsid w:val="008E5031"/>
    <w:rsid w:val="008E57DF"/>
    <w:rsid w:val="008E66D2"/>
    <w:rsid w:val="008E6A8A"/>
    <w:rsid w:val="008E6B29"/>
    <w:rsid w:val="008E712A"/>
    <w:rsid w:val="008E7901"/>
    <w:rsid w:val="008F0CC8"/>
    <w:rsid w:val="008F1066"/>
    <w:rsid w:val="008F2328"/>
    <w:rsid w:val="008F2758"/>
    <w:rsid w:val="008F28AF"/>
    <w:rsid w:val="008F325E"/>
    <w:rsid w:val="008F32C9"/>
    <w:rsid w:val="008F35F6"/>
    <w:rsid w:val="008F39B8"/>
    <w:rsid w:val="008F3DF1"/>
    <w:rsid w:val="008F490B"/>
    <w:rsid w:val="008F522D"/>
    <w:rsid w:val="008F54EF"/>
    <w:rsid w:val="008F5565"/>
    <w:rsid w:val="008F6153"/>
    <w:rsid w:val="008F64FC"/>
    <w:rsid w:val="008F664A"/>
    <w:rsid w:val="008F67DE"/>
    <w:rsid w:val="008F6959"/>
    <w:rsid w:val="008F6F2F"/>
    <w:rsid w:val="008F712F"/>
    <w:rsid w:val="008F74C5"/>
    <w:rsid w:val="008F767F"/>
    <w:rsid w:val="00900075"/>
    <w:rsid w:val="00902235"/>
    <w:rsid w:val="00902564"/>
    <w:rsid w:val="00903FDB"/>
    <w:rsid w:val="00903FE7"/>
    <w:rsid w:val="0090491E"/>
    <w:rsid w:val="00904A1D"/>
    <w:rsid w:val="00905132"/>
    <w:rsid w:val="00905F28"/>
    <w:rsid w:val="00906DA7"/>
    <w:rsid w:val="00906FC1"/>
    <w:rsid w:val="00907358"/>
    <w:rsid w:val="009077FC"/>
    <w:rsid w:val="00907E44"/>
    <w:rsid w:val="00910503"/>
    <w:rsid w:val="009106F1"/>
    <w:rsid w:val="00910CD2"/>
    <w:rsid w:val="009110BD"/>
    <w:rsid w:val="00911C14"/>
    <w:rsid w:val="009129DC"/>
    <w:rsid w:val="00913240"/>
    <w:rsid w:val="00913600"/>
    <w:rsid w:val="00914367"/>
    <w:rsid w:val="00915593"/>
    <w:rsid w:val="00915674"/>
    <w:rsid w:val="0091583E"/>
    <w:rsid w:val="00915E8B"/>
    <w:rsid w:val="00916429"/>
    <w:rsid w:val="0091771D"/>
    <w:rsid w:val="009179D8"/>
    <w:rsid w:val="00917B7C"/>
    <w:rsid w:val="009201BE"/>
    <w:rsid w:val="00920910"/>
    <w:rsid w:val="00920B1D"/>
    <w:rsid w:val="00920C02"/>
    <w:rsid w:val="00920ECC"/>
    <w:rsid w:val="00920F7E"/>
    <w:rsid w:val="0092309F"/>
    <w:rsid w:val="009230DE"/>
    <w:rsid w:val="0092370B"/>
    <w:rsid w:val="00923B88"/>
    <w:rsid w:val="00923FF7"/>
    <w:rsid w:val="00924589"/>
    <w:rsid w:val="009246E1"/>
    <w:rsid w:val="009248B3"/>
    <w:rsid w:val="00925FC4"/>
    <w:rsid w:val="00926455"/>
    <w:rsid w:val="00926FA1"/>
    <w:rsid w:val="00926FA3"/>
    <w:rsid w:val="00927774"/>
    <w:rsid w:val="00927E9F"/>
    <w:rsid w:val="009300D0"/>
    <w:rsid w:val="00930193"/>
    <w:rsid w:val="00931285"/>
    <w:rsid w:val="00931308"/>
    <w:rsid w:val="00931C91"/>
    <w:rsid w:val="009321B7"/>
    <w:rsid w:val="00933327"/>
    <w:rsid w:val="00933EBC"/>
    <w:rsid w:val="0093415A"/>
    <w:rsid w:val="0093444C"/>
    <w:rsid w:val="00934456"/>
    <w:rsid w:val="0093466A"/>
    <w:rsid w:val="00934EF0"/>
    <w:rsid w:val="0093523F"/>
    <w:rsid w:val="00935403"/>
    <w:rsid w:val="00935B24"/>
    <w:rsid w:val="00935E42"/>
    <w:rsid w:val="00936148"/>
    <w:rsid w:val="00937354"/>
    <w:rsid w:val="009377D3"/>
    <w:rsid w:val="00940A78"/>
    <w:rsid w:val="00940C65"/>
    <w:rsid w:val="00940F6C"/>
    <w:rsid w:val="00941529"/>
    <w:rsid w:val="00942C4A"/>
    <w:rsid w:val="00942E3F"/>
    <w:rsid w:val="00943496"/>
    <w:rsid w:val="00943B09"/>
    <w:rsid w:val="00944374"/>
    <w:rsid w:val="0094451F"/>
    <w:rsid w:val="009447E2"/>
    <w:rsid w:val="00945787"/>
    <w:rsid w:val="00946145"/>
    <w:rsid w:val="0094693C"/>
    <w:rsid w:val="00946ED7"/>
    <w:rsid w:val="00947451"/>
    <w:rsid w:val="00950079"/>
    <w:rsid w:val="00950A54"/>
    <w:rsid w:val="00951022"/>
    <w:rsid w:val="0095104D"/>
    <w:rsid w:val="00951864"/>
    <w:rsid w:val="00952D8E"/>
    <w:rsid w:val="009535FA"/>
    <w:rsid w:val="0095463C"/>
    <w:rsid w:val="00954B70"/>
    <w:rsid w:val="00955C1E"/>
    <w:rsid w:val="00955CEF"/>
    <w:rsid w:val="00956769"/>
    <w:rsid w:val="00956B65"/>
    <w:rsid w:val="00956B96"/>
    <w:rsid w:val="00956DD7"/>
    <w:rsid w:val="00957882"/>
    <w:rsid w:val="00957BD7"/>
    <w:rsid w:val="00957BED"/>
    <w:rsid w:val="00957FF9"/>
    <w:rsid w:val="00960437"/>
    <w:rsid w:val="0096165A"/>
    <w:rsid w:val="00961B8C"/>
    <w:rsid w:val="009625AE"/>
    <w:rsid w:val="009626A3"/>
    <w:rsid w:val="009628D6"/>
    <w:rsid w:val="00964029"/>
    <w:rsid w:val="00964B43"/>
    <w:rsid w:val="00964DB5"/>
    <w:rsid w:val="00965BDA"/>
    <w:rsid w:val="00965D9B"/>
    <w:rsid w:val="009660E7"/>
    <w:rsid w:val="0096648C"/>
    <w:rsid w:val="009669D3"/>
    <w:rsid w:val="00966BF5"/>
    <w:rsid w:val="00966DA8"/>
    <w:rsid w:val="00967320"/>
    <w:rsid w:val="009702AE"/>
    <w:rsid w:val="00970E75"/>
    <w:rsid w:val="00970FE7"/>
    <w:rsid w:val="00971C53"/>
    <w:rsid w:val="00971DBE"/>
    <w:rsid w:val="0097206C"/>
    <w:rsid w:val="009720BB"/>
    <w:rsid w:val="00972DAD"/>
    <w:rsid w:val="00972EF6"/>
    <w:rsid w:val="009734DB"/>
    <w:rsid w:val="00973E88"/>
    <w:rsid w:val="00974126"/>
    <w:rsid w:val="009741E1"/>
    <w:rsid w:val="009747EA"/>
    <w:rsid w:val="00974DB1"/>
    <w:rsid w:val="0097525E"/>
    <w:rsid w:val="0097560A"/>
    <w:rsid w:val="00975694"/>
    <w:rsid w:val="0097592C"/>
    <w:rsid w:val="0097676A"/>
    <w:rsid w:val="00976DF1"/>
    <w:rsid w:val="00980533"/>
    <w:rsid w:val="00980BEC"/>
    <w:rsid w:val="00980F62"/>
    <w:rsid w:val="00981735"/>
    <w:rsid w:val="0098178C"/>
    <w:rsid w:val="009829B5"/>
    <w:rsid w:val="009840C8"/>
    <w:rsid w:val="009840E7"/>
    <w:rsid w:val="00984624"/>
    <w:rsid w:val="009847FE"/>
    <w:rsid w:val="00985EE9"/>
    <w:rsid w:val="00986259"/>
    <w:rsid w:val="0098632F"/>
    <w:rsid w:val="00986371"/>
    <w:rsid w:val="00986739"/>
    <w:rsid w:val="0098751D"/>
    <w:rsid w:val="00987E3C"/>
    <w:rsid w:val="00987E48"/>
    <w:rsid w:val="00987FEF"/>
    <w:rsid w:val="009905C1"/>
    <w:rsid w:val="009913BE"/>
    <w:rsid w:val="009915C3"/>
    <w:rsid w:val="009917BA"/>
    <w:rsid w:val="0099208B"/>
    <w:rsid w:val="00992258"/>
    <w:rsid w:val="00992A5F"/>
    <w:rsid w:val="00992C76"/>
    <w:rsid w:val="00992D76"/>
    <w:rsid w:val="00992E60"/>
    <w:rsid w:val="009933D2"/>
    <w:rsid w:val="009934BD"/>
    <w:rsid w:val="009937B9"/>
    <w:rsid w:val="00993BCB"/>
    <w:rsid w:val="00993CCD"/>
    <w:rsid w:val="00994F49"/>
    <w:rsid w:val="00994F62"/>
    <w:rsid w:val="0099539E"/>
    <w:rsid w:val="00995BB0"/>
    <w:rsid w:val="0099640C"/>
    <w:rsid w:val="00996F1E"/>
    <w:rsid w:val="009977DE"/>
    <w:rsid w:val="009A0580"/>
    <w:rsid w:val="009A079E"/>
    <w:rsid w:val="009A1C35"/>
    <w:rsid w:val="009A1F24"/>
    <w:rsid w:val="009A1F7B"/>
    <w:rsid w:val="009A2178"/>
    <w:rsid w:val="009A2C98"/>
    <w:rsid w:val="009A347F"/>
    <w:rsid w:val="009A3CB7"/>
    <w:rsid w:val="009A3E03"/>
    <w:rsid w:val="009A4CA1"/>
    <w:rsid w:val="009A4D6A"/>
    <w:rsid w:val="009A6C83"/>
    <w:rsid w:val="009A6C8E"/>
    <w:rsid w:val="009A7012"/>
    <w:rsid w:val="009A7C29"/>
    <w:rsid w:val="009A7FD8"/>
    <w:rsid w:val="009B00EB"/>
    <w:rsid w:val="009B0AD8"/>
    <w:rsid w:val="009B15D5"/>
    <w:rsid w:val="009B173D"/>
    <w:rsid w:val="009B1A2B"/>
    <w:rsid w:val="009B1CBB"/>
    <w:rsid w:val="009B1F71"/>
    <w:rsid w:val="009B2613"/>
    <w:rsid w:val="009B2776"/>
    <w:rsid w:val="009B30FB"/>
    <w:rsid w:val="009B3C71"/>
    <w:rsid w:val="009B4042"/>
    <w:rsid w:val="009B51E4"/>
    <w:rsid w:val="009B54A9"/>
    <w:rsid w:val="009B57D6"/>
    <w:rsid w:val="009B587D"/>
    <w:rsid w:val="009B614D"/>
    <w:rsid w:val="009B6437"/>
    <w:rsid w:val="009B6543"/>
    <w:rsid w:val="009B718D"/>
    <w:rsid w:val="009B7BA8"/>
    <w:rsid w:val="009B7BD6"/>
    <w:rsid w:val="009C05FD"/>
    <w:rsid w:val="009C0765"/>
    <w:rsid w:val="009C07DD"/>
    <w:rsid w:val="009C0CDE"/>
    <w:rsid w:val="009C1110"/>
    <w:rsid w:val="009C1CF7"/>
    <w:rsid w:val="009C1D7F"/>
    <w:rsid w:val="009C1F52"/>
    <w:rsid w:val="009C235D"/>
    <w:rsid w:val="009C2EC5"/>
    <w:rsid w:val="009C2F79"/>
    <w:rsid w:val="009C2FA6"/>
    <w:rsid w:val="009C3601"/>
    <w:rsid w:val="009C4944"/>
    <w:rsid w:val="009C4E7D"/>
    <w:rsid w:val="009C61B7"/>
    <w:rsid w:val="009C63E9"/>
    <w:rsid w:val="009C6B14"/>
    <w:rsid w:val="009C71E6"/>
    <w:rsid w:val="009C785F"/>
    <w:rsid w:val="009C7956"/>
    <w:rsid w:val="009C7ABF"/>
    <w:rsid w:val="009C7BCE"/>
    <w:rsid w:val="009D01C1"/>
    <w:rsid w:val="009D032B"/>
    <w:rsid w:val="009D06B9"/>
    <w:rsid w:val="009D07A0"/>
    <w:rsid w:val="009D1C40"/>
    <w:rsid w:val="009D22CB"/>
    <w:rsid w:val="009D2731"/>
    <w:rsid w:val="009D3411"/>
    <w:rsid w:val="009D402A"/>
    <w:rsid w:val="009D46AC"/>
    <w:rsid w:val="009D48BB"/>
    <w:rsid w:val="009D4B56"/>
    <w:rsid w:val="009D539E"/>
    <w:rsid w:val="009D58D8"/>
    <w:rsid w:val="009D5AD3"/>
    <w:rsid w:val="009D5CB4"/>
    <w:rsid w:val="009D5D53"/>
    <w:rsid w:val="009D62A5"/>
    <w:rsid w:val="009D65F6"/>
    <w:rsid w:val="009D735D"/>
    <w:rsid w:val="009D7695"/>
    <w:rsid w:val="009D76E7"/>
    <w:rsid w:val="009D7E46"/>
    <w:rsid w:val="009D7F5B"/>
    <w:rsid w:val="009E12F4"/>
    <w:rsid w:val="009E20D3"/>
    <w:rsid w:val="009E2D31"/>
    <w:rsid w:val="009E376D"/>
    <w:rsid w:val="009E37E6"/>
    <w:rsid w:val="009E3B59"/>
    <w:rsid w:val="009E3F5F"/>
    <w:rsid w:val="009E48C7"/>
    <w:rsid w:val="009E499A"/>
    <w:rsid w:val="009E58AF"/>
    <w:rsid w:val="009E6484"/>
    <w:rsid w:val="009E6949"/>
    <w:rsid w:val="009E6F9F"/>
    <w:rsid w:val="009E724A"/>
    <w:rsid w:val="009E729A"/>
    <w:rsid w:val="009E7EA4"/>
    <w:rsid w:val="009F0636"/>
    <w:rsid w:val="009F1A1A"/>
    <w:rsid w:val="009F1F09"/>
    <w:rsid w:val="009F2534"/>
    <w:rsid w:val="009F2716"/>
    <w:rsid w:val="009F3C96"/>
    <w:rsid w:val="009F4311"/>
    <w:rsid w:val="009F4470"/>
    <w:rsid w:val="009F4973"/>
    <w:rsid w:val="009F4F63"/>
    <w:rsid w:val="009F65E6"/>
    <w:rsid w:val="009F6A1D"/>
    <w:rsid w:val="009F76E1"/>
    <w:rsid w:val="00A0037C"/>
    <w:rsid w:val="00A00B21"/>
    <w:rsid w:val="00A010CC"/>
    <w:rsid w:val="00A0185E"/>
    <w:rsid w:val="00A01F7E"/>
    <w:rsid w:val="00A0286E"/>
    <w:rsid w:val="00A03525"/>
    <w:rsid w:val="00A038AA"/>
    <w:rsid w:val="00A03A1F"/>
    <w:rsid w:val="00A05474"/>
    <w:rsid w:val="00A05EC0"/>
    <w:rsid w:val="00A06456"/>
    <w:rsid w:val="00A065A9"/>
    <w:rsid w:val="00A0686A"/>
    <w:rsid w:val="00A06FBD"/>
    <w:rsid w:val="00A0736C"/>
    <w:rsid w:val="00A07554"/>
    <w:rsid w:val="00A07589"/>
    <w:rsid w:val="00A106AE"/>
    <w:rsid w:val="00A10B64"/>
    <w:rsid w:val="00A115C4"/>
    <w:rsid w:val="00A125F2"/>
    <w:rsid w:val="00A12D70"/>
    <w:rsid w:val="00A12FE0"/>
    <w:rsid w:val="00A13722"/>
    <w:rsid w:val="00A14862"/>
    <w:rsid w:val="00A148EF"/>
    <w:rsid w:val="00A15659"/>
    <w:rsid w:val="00A1612A"/>
    <w:rsid w:val="00A163AA"/>
    <w:rsid w:val="00A16EC1"/>
    <w:rsid w:val="00A179D3"/>
    <w:rsid w:val="00A201BB"/>
    <w:rsid w:val="00A20916"/>
    <w:rsid w:val="00A210AD"/>
    <w:rsid w:val="00A21576"/>
    <w:rsid w:val="00A222A9"/>
    <w:rsid w:val="00A24559"/>
    <w:rsid w:val="00A24DA7"/>
    <w:rsid w:val="00A24FE3"/>
    <w:rsid w:val="00A25019"/>
    <w:rsid w:val="00A2534D"/>
    <w:rsid w:val="00A256CD"/>
    <w:rsid w:val="00A25802"/>
    <w:rsid w:val="00A25A9F"/>
    <w:rsid w:val="00A25CE5"/>
    <w:rsid w:val="00A26181"/>
    <w:rsid w:val="00A26B06"/>
    <w:rsid w:val="00A26B86"/>
    <w:rsid w:val="00A271EA"/>
    <w:rsid w:val="00A27549"/>
    <w:rsid w:val="00A27B56"/>
    <w:rsid w:val="00A27BAE"/>
    <w:rsid w:val="00A27FE8"/>
    <w:rsid w:val="00A30756"/>
    <w:rsid w:val="00A308DD"/>
    <w:rsid w:val="00A30963"/>
    <w:rsid w:val="00A30CFC"/>
    <w:rsid w:val="00A311F8"/>
    <w:rsid w:val="00A31590"/>
    <w:rsid w:val="00A315A2"/>
    <w:rsid w:val="00A31D92"/>
    <w:rsid w:val="00A32213"/>
    <w:rsid w:val="00A32905"/>
    <w:rsid w:val="00A32C8E"/>
    <w:rsid w:val="00A33813"/>
    <w:rsid w:val="00A3490A"/>
    <w:rsid w:val="00A362E6"/>
    <w:rsid w:val="00A370B0"/>
    <w:rsid w:val="00A376DA"/>
    <w:rsid w:val="00A37A5C"/>
    <w:rsid w:val="00A37A8B"/>
    <w:rsid w:val="00A37B01"/>
    <w:rsid w:val="00A37F1B"/>
    <w:rsid w:val="00A401C0"/>
    <w:rsid w:val="00A404DB"/>
    <w:rsid w:val="00A4073C"/>
    <w:rsid w:val="00A41A4B"/>
    <w:rsid w:val="00A421D6"/>
    <w:rsid w:val="00A42390"/>
    <w:rsid w:val="00A42514"/>
    <w:rsid w:val="00A427D0"/>
    <w:rsid w:val="00A42F72"/>
    <w:rsid w:val="00A43307"/>
    <w:rsid w:val="00A434A9"/>
    <w:rsid w:val="00A43E36"/>
    <w:rsid w:val="00A440DD"/>
    <w:rsid w:val="00A44BDF"/>
    <w:rsid w:val="00A4504D"/>
    <w:rsid w:val="00A45127"/>
    <w:rsid w:val="00A453A4"/>
    <w:rsid w:val="00A45521"/>
    <w:rsid w:val="00A458BB"/>
    <w:rsid w:val="00A45A52"/>
    <w:rsid w:val="00A45D78"/>
    <w:rsid w:val="00A46522"/>
    <w:rsid w:val="00A46772"/>
    <w:rsid w:val="00A467D7"/>
    <w:rsid w:val="00A46898"/>
    <w:rsid w:val="00A46F12"/>
    <w:rsid w:val="00A4783D"/>
    <w:rsid w:val="00A50E47"/>
    <w:rsid w:val="00A51F78"/>
    <w:rsid w:val="00A530C8"/>
    <w:rsid w:val="00A53152"/>
    <w:rsid w:val="00A53D9F"/>
    <w:rsid w:val="00A55295"/>
    <w:rsid w:val="00A55364"/>
    <w:rsid w:val="00A55595"/>
    <w:rsid w:val="00A5569D"/>
    <w:rsid w:val="00A557A5"/>
    <w:rsid w:val="00A557D8"/>
    <w:rsid w:val="00A56084"/>
    <w:rsid w:val="00A5638E"/>
    <w:rsid w:val="00A575A1"/>
    <w:rsid w:val="00A60610"/>
    <w:rsid w:val="00A606F7"/>
    <w:rsid w:val="00A60A73"/>
    <w:rsid w:val="00A61648"/>
    <w:rsid w:val="00A623C6"/>
    <w:rsid w:val="00A62B14"/>
    <w:rsid w:val="00A62E8C"/>
    <w:rsid w:val="00A63047"/>
    <w:rsid w:val="00A63153"/>
    <w:rsid w:val="00A63F61"/>
    <w:rsid w:val="00A643D1"/>
    <w:rsid w:val="00A6492F"/>
    <w:rsid w:val="00A660F1"/>
    <w:rsid w:val="00A66657"/>
    <w:rsid w:val="00A66961"/>
    <w:rsid w:val="00A6747E"/>
    <w:rsid w:val="00A67967"/>
    <w:rsid w:val="00A71872"/>
    <w:rsid w:val="00A71F22"/>
    <w:rsid w:val="00A7228A"/>
    <w:rsid w:val="00A729D0"/>
    <w:rsid w:val="00A7308B"/>
    <w:rsid w:val="00A7354D"/>
    <w:rsid w:val="00A735EC"/>
    <w:rsid w:val="00A739A6"/>
    <w:rsid w:val="00A74527"/>
    <w:rsid w:val="00A74BB3"/>
    <w:rsid w:val="00A74C92"/>
    <w:rsid w:val="00A751D5"/>
    <w:rsid w:val="00A76781"/>
    <w:rsid w:val="00A773CF"/>
    <w:rsid w:val="00A804E7"/>
    <w:rsid w:val="00A80A41"/>
    <w:rsid w:val="00A822CE"/>
    <w:rsid w:val="00A82E6E"/>
    <w:rsid w:val="00A82EF2"/>
    <w:rsid w:val="00A83BF2"/>
    <w:rsid w:val="00A84340"/>
    <w:rsid w:val="00A844DB"/>
    <w:rsid w:val="00A84521"/>
    <w:rsid w:val="00A852DB"/>
    <w:rsid w:val="00A85472"/>
    <w:rsid w:val="00A85B38"/>
    <w:rsid w:val="00A8647F"/>
    <w:rsid w:val="00A86705"/>
    <w:rsid w:val="00A86E4E"/>
    <w:rsid w:val="00A86EEE"/>
    <w:rsid w:val="00A86F92"/>
    <w:rsid w:val="00A90283"/>
    <w:rsid w:val="00A90935"/>
    <w:rsid w:val="00A90952"/>
    <w:rsid w:val="00A91125"/>
    <w:rsid w:val="00A91766"/>
    <w:rsid w:val="00A92C40"/>
    <w:rsid w:val="00A93E28"/>
    <w:rsid w:val="00A94660"/>
    <w:rsid w:val="00A948D3"/>
    <w:rsid w:val="00A96A0A"/>
    <w:rsid w:val="00A96F36"/>
    <w:rsid w:val="00A96FC0"/>
    <w:rsid w:val="00A9742D"/>
    <w:rsid w:val="00A97478"/>
    <w:rsid w:val="00A976B9"/>
    <w:rsid w:val="00A97BFD"/>
    <w:rsid w:val="00AA0C66"/>
    <w:rsid w:val="00AA1671"/>
    <w:rsid w:val="00AA16CE"/>
    <w:rsid w:val="00AA1DDC"/>
    <w:rsid w:val="00AA1ECC"/>
    <w:rsid w:val="00AA2821"/>
    <w:rsid w:val="00AA29C7"/>
    <w:rsid w:val="00AA2D99"/>
    <w:rsid w:val="00AA3632"/>
    <w:rsid w:val="00AA372D"/>
    <w:rsid w:val="00AA3876"/>
    <w:rsid w:val="00AA3AA8"/>
    <w:rsid w:val="00AA431F"/>
    <w:rsid w:val="00AA4A5A"/>
    <w:rsid w:val="00AA4BE9"/>
    <w:rsid w:val="00AA5234"/>
    <w:rsid w:val="00AA5527"/>
    <w:rsid w:val="00AA5675"/>
    <w:rsid w:val="00AA5A13"/>
    <w:rsid w:val="00AA62BB"/>
    <w:rsid w:val="00AA63A2"/>
    <w:rsid w:val="00AA65DD"/>
    <w:rsid w:val="00AA7349"/>
    <w:rsid w:val="00AA765A"/>
    <w:rsid w:val="00AA7674"/>
    <w:rsid w:val="00AB0321"/>
    <w:rsid w:val="00AB04A2"/>
    <w:rsid w:val="00AB0703"/>
    <w:rsid w:val="00AB0A0E"/>
    <w:rsid w:val="00AB1827"/>
    <w:rsid w:val="00AB2166"/>
    <w:rsid w:val="00AB30E6"/>
    <w:rsid w:val="00AB34CB"/>
    <w:rsid w:val="00AB35C2"/>
    <w:rsid w:val="00AB36D2"/>
    <w:rsid w:val="00AB37AC"/>
    <w:rsid w:val="00AB4592"/>
    <w:rsid w:val="00AB4C3C"/>
    <w:rsid w:val="00AB5125"/>
    <w:rsid w:val="00AB586C"/>
    <w:rsid w:val="00AB5946"/>
    <w:rsid w:val="00AB681D"/>
    <w:rsid w:val="00AB6BE9"/>
    <w:rsid w:val="00AB7002"/>
    <w:rsid w:val="00AB7773"/>
    <w:rsid w:val="00AC06CD"/>
    <w:rsid w:val="00AC08CE"/>
    <w:rsid w:val="00AC10D2"/>
    <w:rsid w:val="00AC1B51"/>
    <w:rsid w:val="00AC2183"/>
    <w:rsid w:val="00AC221F"/>
    <w:rsid w:val="00AC2669"/>
    <w:rsid w:val="00AC26CB"/>
    <w:rsid w:val="00AC3AE2"/>
    <w:rsid w:val="00AC3BBD"/>
    <w:rsid w:val="00AC55D7"/>
    <w:rsid w:val="00AC6E96"/>
    <w:rsid w:val="00AC7206"/>
    <w:rsid w:val="00AC7958"/>
    <w:rsid w:val="00AC795B"/>
    <w:rsid w:val="00AC7BF2"/>
    <w:rsid w:val="00AC7D00"/>
    <w:rsid w:val="00AC7DEC"/>
    <w:rsid w:val="00AC7F5D"/>
    <w:rsid w:val="00AD01AF"/>
    <w:rsid w:val="00AD03F3"/>
    <w:rsid w:val="00AD0E54"/>
    <w:rsid w:val="00AD12EB"/>
    <w:rsid w:val="00AD1D84"/>
    <w:rsid w:val="00AD2D71"/>
    <w:rsid w:val="00AD2E78"/>
    <w:rsid w:val="00AD3636"/>
    <w:rsid w:val="00AD3E6D"/>
    <w:rsid w:val="00AD3F5A"/>
    <w:rsid w:val="00AD3FA1"/>
    <w:rsid w:val="00AD5342"/>
    <w:rsid w:val="00AD5387"/>
    <w:rsid w:val="00AD5908"/>
    <w:rsid w:val="00AD5A1B"/>
    <w:rsid w:val="00AE106B"/>
    <w:rsid w:val="00AE1DC9"/>
    <w:rsid w:val="00AE1DEF"/>
    <w:rsid w:val="00AE1EC5"/>
    <w:rsid w:val="00AE2B25"/>
    <w:rsid w:val="00AE33DC"/>
    <w:rsid w:val="00AE344D"/>
    <w:rsid w:val="00AE34DB"/>
    <w:rsid w:val="00AE37D0"/>
    <w:rsid w:val="00AE3B54"/>
    <w:rsid w:val="00AE3D94"/>
    <w:rsid w:val="00AE45E7"/>
    <w:rsid w:val="00AE5CC2"/>
    <w:rsid w:val="00AE612E"/>
    <w:rsid w:val="00AE6C34"/>
    <w:rsid w:val="00AE6FE4"/>
    <w:rsid w:val="00AE7EFE"/>
    <w:rsid w:val="00AF0361"/>
    <w:rsid w:val="00AF04C1"/>
    <w:rsid w:val="00AF0859"/>
    <w:rsid w:val="00AF086C"/>
    <w:rsid w:val="00AF0F78"/>
    <w:rsid w:val="00AF156C"/>
    <w:rsid w:val="00AF25D8"/>
    <w:rsid w:val="00AF2BEE"/>
    <w:rsid w:val="00AF332D"/>
    <w:rsid w:val="00AF336E"/>
    <w:rsid w:val="00AF3382"/>
    <w:rsid w:val="00AF44C2"/>
    <w:rsid w:val="00AF463A"/>
    <w:rsid w:val="00AF4C24"/>
    <w:rsid w:val="00AF6494"/>
    <w:rsid w:val="00AF6557"/>
    <w:rsid w:val="00AF6D12"/>
    <w:rsid w:val="00AF6D80"/>
    <w:rsid w:val="00AF6EF9"/>
    <w:rsid w:val="00AF7BD6"/>
    <w:rsid w:val="00AF7EEF"/>
    <w:rsid w:val="00B0029C"/>
    <w:rsid w:val="00B00537"/>
    <w:rsid w:val="00B00B2B"/>
    <w:rsid w:val="00B00E8F"/>
    <w:rsid w:val="00B012A4"/>
    <w:rsid w:val="00B0135D"/>
    <w:rsid w:val="00B01B3F"/>
    <w:rsid w:val="00B0273E"/>
    <w:rsid w:val="00B02D73"/>
    <w:rsid w:val="00B04590"/>
    <w:rsid w:val="00B05388"/>
    <w:rsid w:val="00B0563B"/>
    <w:rsid w:val="00B056BA"/>
    <w:rsid w:val="00B0622E"/>
    <w:rsid w:val="00B0640B"/>
    <w:rsid w:val="00B06995"/>
    <w:rsid w:val="00B0737F"/>
    <w:rsid w:val="00B078F4"/>
    <w:rsid w:val="00B07AB1"/>
    <w:rsid w:val="00B07DF3"/>
    <w:rsid w:val="00B10828"/>
    <w:rsid w:val="00B10E5D"/>
    <w:rsid w:val="00B114EF"/>
    <w:rsid w:val="00B115CD"/>
    <w:rsid w:val="00B11811"/>
    <w:rsid w:val="00B11BE6"/>
    <w:rsid w:val="00B11C92"/>
    <w:rsid w:val="00B13964"/>
    <w:rsid w:val="00B13A28"/>
    <w:rsid w:val="00B13DEA"/>
    <w:rsid w:val="00B149BA"/>
    <w:rsid w:val="00B1502B"/>
    <w:rsid w:val="00B16037"/>
    <w:rsid w:val="00B16320"/>
    <w:rsid w:val="00B16A89"/>
    <w:rsid w:val="00B175FF"/>
    <w:rsid w:val="00B178CF"/>
    <w:rsid w:val="00B200A4"/>
    <w:rsid w:val="00B203CA"/>
    <w:rsid w:val="00B219C2"/>
    <w:rsid w:val="00B221EA"/>
    <w:rsid w:val="00B2375A"/>
    <w:rsid w:val="00B23E00"/>
    <w:rsid w:val="00B2400F"/>
    <w:rsid w:val="00B244B9"/>
    <w:rsid w:val="00B24909"/>
    <w:rsid w:val="00B249A5"/>
    <w:rsid w:val="00B24B25"/>
    <w:rsid w:val="00B24BD2"/>
    <w:rsid w:val="00B24E18"/>
    <w:rsid w:val="00B25C15"/>
    <w:rsid w:val="00B25DA6"/>
    <w:rsid w:val="00B25FB5"/>
    <w:rsid w:val="00B26571"/>
    <w:rsid w:val="00B26908"/>
    <w:rsid w:val="00B26CDC"/>
    <w:rsid w:val="00B26D6C"/>
    <w:rsid w:val="00B26DE6"/>
    <w:rsid w:val="00B2721F"/>
    <w:rsid w:val="00B27343"/>
    <w:rsid w:val="00B27D86"/>
    <w:rsid w:val="00B31501"/>
    <w:rsid w:val="00B31B00"/>
    <w:rsid w:val="00B31E94"/>
    <w:rsid w:val="00B3210C"/>
    <w:rsid w:val="00B323F6"/>
    <w:rsid w:val="00B337B2"/>
    <w:rsid w:val="00B33C46"/>
    <w:rsid w:val="00B345CE"/>
    <w:rsid w:val="00B345E8"/>
    <w:rsid w:val="00B34A85"/>
    <w:rsid w:val="00B34F1B"/>
    <w:rsid w:val="00B354DE"/>
    <w:rsid w:val="00B35964"/>
    <w:rsid w:val="00B35B2B"/>
    <w:rsid w:val="00B360E6"/>
    <w:rsid w:val="00B37EAE"/>
    <w:rsid w:val="00B400D4"/>
    <w:rsid w:val="00B40D4A"/>
    <w:rsid w:val="00B41159"/>
    <w:rsid w:val="00B41492"/>
    <w:rsid w:val="00B4168B"/>
    <w:rsid w:val="00B44205"/>
    <w:rsid w:val="00B44882"/>
    <w:rsid w:val="00B449F0"/>
    <w:rsid w:val="00B44DF4"/>
    <w:rsid w:val="00B452E9"/>
    <w:rsid w:val="00B453F1"/>
    <w:rsid w:val="00B45E6F"/>
    <w:rsid w:val="00B46B06"/>
    <w:rsid w:val="00B46E9F"/>
    <w:rsid w:val="00B475E8"/>
    <w:rsid w:val="00B47726"/>
    <w:rsid w:val="00B47C81"/>
    <w:rsid w:val="00B503D2"/>
    <w:rsid w:val="00B50D58"/>
    <w:rsid w:val="00B51320"/>
    <w:rsid w:val="00B5160F"/>
    <w:rsid w:val="00B51A9E"/>
    <w:rsid w:val="00B52809"/>
    <w:rsid w:val="00B530C5"/>
    <w:rsid w:val="00B534E0"/>
    <w:rsid w:val="00B53617"/>
    <w:rsid w:val="00B53B37"/>
    <w:rsid w:val="00B54384"/>
    <w:rsid w:val="00B54B9E"/>
    <w:rsid w:val="00B550DC"/>
    <w:rsid w:val="00B55904"/>
    <w:rsid w:val="00B55B0C"/>
    <w:rsid w:val="00B55BD7"/>
    <w:rsid w:val="00B55E86"/>
    <w:rsid w:val="00B56C52"/>
    <w:rsid w:val="00B56FBC"/>
    <w:rsid w:val="00B5715F"/>
    <w:rsid w:val="00B573AD"/>
    <w:rsid w:val="00B5759B"/>
    <w:rsid w:val="00B61B16"/>
    <w:rsid w:val="00B61E04"/>
    <w:rsid w:val="00B6212D"/>
    <w:rsid w:val="00B6276F"/>
    <w:rsid w:val="00B62837"/>
    <w:rsid w:val="00B62D35"/>
    <w:rsid w:val="00B62D6B"/>
    <w:rsid w:val="00B632D6"/>
    <w:rsid w:val="00B63901"/>
    <w:rsid w:val="00B63AC1"/>
    <w:rsid w:val="00B63F9D"/>
    <w:rsid w:val="00B64539"/>
    <w:rsid w:val="00B645CA"/>
    <w:rsid w:val="00B64601"/>
    <w:rsid w:val="00B646CB"/>
    <w:rsid w:val="00B648FD"/>
    <w:rsid w:val="00B64BD1"/>
    <w:rsid w:val="00B64C91"/>
    <w:rsid w:val="00B65676"/>
    <w:rsid w:val="00B659CB"/>
    <w:rsid w:val="00B65F82"/>
    <w:rsid w:val="00B666BD"/>
    <w:rsid w:val="00B66E07"/>
    <w:rsid w:val="00B671F3"/>
    <w:rsid w:val="00B67B8A"/>
    <w:rsid w:val="00B7070A"/>
    <w:rsid w:val="00B70941"/>
    <w:rsid w:val="00B70D52"/>
    <w:rsid w:val="00B71261"/>
    <w:rsid w:val="00B712DD"/>
    <w:rsid w:val="00B7164A"/>
    <w:rsid w:val="00B7174D"/>
    <w:rsid w:val="00B71C93"/>
    <w:rsid w:val="00B71F8B"/>
    <w:rsid w:val="00B728D9"/>
    <w:rsid w:val="00B730DD"/>
    <w:rsid w:val="00B73B5F"/>
    <w:rsid w:val="00B740FA"/>
    <w:rsid w:val="00B741DF"/>
    <w:rsid w:val="00B742E8"/>
    <w:rsid w:val="00B743DE"/>
    <w:rsid w:val="00B74B37"/>
    <w:rsid w:val="00B7507B"/>
    <w:rsid w:val="00B75837"/>
    <w:rsid w:val="00B75B54"/>
    <w:rsid w:val="00B75C32"/>
    <w:rsid w:val="00B75F65"/>
    <w:rsid w:val="00B7635B"/>
    <w:rsid w:val="00B76961"/>
    <w:rsid w:val="00B77090"/>
    <w:rsid w:val="00B77343"/>
    <w:rsid w:val="00B7760B"/>
    <w:rsid w:val="00B77651"/>
    <w:rsid w:val="00B77BD6"/>
    <w:rsid w:val="00B800E0"/>
    <w:rsid w:val="00B8060D"/>
    <w:rsid w:val="00B80943"/>
    <w:rsid w:val="00B811EE"/>
    <w:rsid w:val="00B81291"/>
    <w:rsid w:val="00B81AD6"/>
    <w:rsid w:val="00B81D05"/>
    <w:rsid w:val="00B81D3B"/>
    <w:rsid w:val="00B822D1"/>
    <w:rsid w:val="00B82704"/>
    <w:rsid w:val="00B83805"/>
    <w:rsid w:val="00B83C87"/>
    <w:rsid w:val="00B843AB"/>
    <w:rsid w:val="00B84BD6"/>
    <w:rsid w:val="00B85FC9"/>
    <w:rsid w:val="00B86C94"/>
    <w:rsid w:val="00B86EBA"/>
    <w:rsid w:val="00B86EF4"/>
    <w:rsid w:val="00B86F86"/>
    <w:rsid w:val="00B874D2"/>
    <w:rsid w:val="00B87579"/>
    <w:rsid w:val="00B87F85"/>
    <w:rsid w:val="00B90036"/>
    <w:rsid w:val="00B90CAB"/>
    <w:rsid w:val="00B91853"/>
    <w:rsid w:val="00B91B3E"/>
    <w:rsid w:val="00B91BD5"/>
    <w:rsid w:val="00B91D7A"/>
    <w:rsid w:val="00B91E04"/>
    <w:rsid w:val="00B92042"/>
    <w:rsid w:val="00B92172"/>
    <w:rsid w:val="00B92572"/>
    <w:rsid w:val="00B92D80"/>
    <w:rsid w:val="00B9320D"/>
    <w:rsid w:val="00B93695"/>
    <w:rsid w:val="00B93BD5"/>
    <w:rsid w:val="00B94B97"/>
    <w:rsid w:val="00B94DE3"/>
    <w:rsid w:val="00B95F20"/>
    <w:rsid w:val="00B95FE7"/>
    <w:rsid w:val="00B9620F"/>
    <w:rsid w:val="00B9646A"/>
    <w:rsid w:val="00B968D2"/>
    <w:rsid w:val="00B96FFD"/>
    <w:rsid w:val="00B97215"/>
    <w:rsid w:val="00B973A2"/>
    <w:rsid w:val="00B97491"/>
    <w:rsid w:val="00B9758A"/>
    <w:rsid w:val="00B9787C"/>
    <w:rsid w:val="00B97A0B"/>
    <w:rsid w:val="00BA038B"/>
    <w:rsid w:val="00BA0504"/>
    <w:rsid w:val="00BA058B"/>
    <w:rsid w:val="00BA0B3D"/>
    <w:rsid w:val="00BA0D3C"/>
    <w:rsid w:val="00BA116F"/>
    <w:rsid w:val="00BA1729"/>
    <w:rsid w:val="00BA18FB"/>
    <w:rsid w:val="00BA1F36"/>
    <w:rsid w:val="00BA2064"/>
    <w:rsid w:val="00BA2191"/>
    <w:rsid w:val="00BA2246"/>
    <w:rsid w:val="00BA2275"/>
    <w:rsid w:val="00BA2E15"/>
    <w:rsid w:val="00BA3444"/>
    <w:rsid w:val="00BA3A5F"/>
    <w:rsid w:val="00BA4313"/>
    <w:rsid w:val="00BA439E"/>
    <w:rsid w:val="00BA43C6"/>
    <w:rsid w:val="00BA4524"/>
    <w:rsid w:val="00BA4A82"/>
    <w:rsid w:val="00BA4F82"/>
    <w:rsid w:val="00BA613F"/>
    <w:rsid w:val="00BA63A0"/>
    <w:rsid w:val="00BA6922"/>
    <w:rsid w:val="00BA7962"/>
    <w:rsid w:val="00BA7BDD"/>
    <w:rsid w:val="00BA7D78"/>
    <w:rsid w:val="00BB084B"/>
    <w:rsid w:val="00BB0AE0"/>
    <w:rsid w:val="00BB0DEE"/>
    <w:rsid w:val="00BB1788"/>
    <w:rsid w:val="00BB1A4A"/>
    <w:rsid w:val="00BB2E73"/>
    <w:rsid w:val="00BB3745"/>
    <w:rsid w:val="00BB40C1"/>
    <w:rsid w:val="00BB4C16"/>
    <w:rsid w:val="00BB5168"/>
    <w:rsid w:val="00BB5AF1"/>
    <w:rsid w:val="00BB5C53"/>
    <w:rsid w:val="00BB67ED"/>
    <w:rsid w:val="00BB72E8"/>
    <w:rsid w:val="00BB7834"/>
    <w:rsid w:val="00BB7840"/>
    <w:rsid w:val="00BB7B7C"/>
    <w:rsid w:val="00BC019A"/>
    <w:rsid w:val="00BC0262"/>
    <w:rsid w:val="00BC06D0"/>
    <w:rsid w:val="00BC0B2C"/>
    <w:rsid w:val="00BC0C20"/>
    <w:rsid w:val="00BC106F"/>
    <w:rsid w:val="00BC15E6"/>
    <w:rsid w:val="00BC207E"/>
    <w:rsid w:val="00BC229E"/>
    <w:rsid w:val="00BC24A0"/>
    <w:rsid w:val="00BC26BE"/>
    <w:rsid w:val="00BC3145"/>
    <w:rsid w:val="00BC39C2"/>
    <w:rsid w:val="00BC3BF1"/>
    <w:rsid w:val="00BC47E4"/>
    <w:rsid w:val="00BC4D18"/>
    <w:rsid w:val="00BC4DBC"/>
    <w:rsid w:val="00BC4FDC"/>
    <w:rsid w:val="00BC5757"/>
    <w:rsid w:val="00BC65EC"/>
    <w:rsid w:val="00BC6CA2"/>
    <w:rsid w:val="00BC6D7A"/>
    <w:rsid w:val="00BC6DDA"/>
    <w:rsid w:val="00BC7640"/>
    <w:rsid w:val="00BC7718"/>
    <w:rsid w:val="00BC79ED"/>
    <w:rsid w:val="00BC7A05"/>
    <w:rsid w:val="00BD0742"/>
    <w:rsid w:val="00BD0D8E"/>
    <w:rsid w:val="00BD136C"/>
    <w:rsid w:val="00BD1943"/>
    <w:rsid w:val="00BD1B15"/>
    <w:rsid w:val="00BD1D10"/>
    <w:rsid w:val="00BD274A"/>
    <w:rsid w:val="00BD2ACF"/>
    <w:rsid w:val="00BD2B19"/>
    <w:rsid w:val="00BD32B4"/>
    <w:rsid w:val="00BD476C"/>
    <w:rsid w:val="00BD4B35"/>
    <w:rsid w:val="00BD5B0A"/>
    <w:rsid w:val="00BD5E35"/>
    <w:rsid w:val="00BD624A"/>
    <w:rsid w:val="00BD65D0"/>
    <w:rsid w:val="00BD6AB3"/>
    <w:rsid w:val="00BD6CBA"/>
    <w:rsid w:val="00BD7BE6"/>
    <w:rsid w:val="00BE0277"/>
    <w:rsid w:val="00BE0858"/>
    <w:rsid w:val="00BE0B23"/>
    <w:rsid w:val="00BE0D12"/>
    <w:rsid w:val="00BE0D50"/>
    <w:rsid w:val="00BE1249"/>
    <w:rsid w:val="00BE143F"/>
    <w:rsid w:val="00BE167A"/>
    <w:rsid w:val="00BE1C48"/>
    <w:rsid w:val="00BE1EBF"/>
    <w:rsid w:val="00BE26AD"/>
    <w:rsid w:val="00BE35CD"/>
    <w:rsid w:val="00BE376B"/>
    <w:rsid w:val="00BE3A4B"/>
    <w:rsid w:val="00BE4465"/>
    <w:rsid w:val="00BE4FEE"/>
    <w:rsid w:val="00BE5323"/>
    <w:rsid w:val="00BE59B3"/>
    <w:rsid w:val="00BE6983"/>
    <w:rsid w:val="00BE6D2A"/>
    <w:rsid w:val="00BE7A64"/>
    <w:rsid w:val="00BF0681"/>
    <w:rsid w:val="00BF084A"/>
    <w:rsid w:val="00BF1204"/>
    <w:rsid w:val="00BF14C8"/>
    <w:rsid w:val="00BF1B0B"/>
    <w:rsid w:val="00BF2987"/>
    <w:rsid w:val="00BF2D92"/>
    <w:rsid w:val="00BF2EBD"/>
    <w:rsid w:val="00BF3EF9"/>
    <w:rsid w:val="00BF3F36"/>
    <w:rsid w:val="00BF3FD8"/>
    <w:rsid w:val="00BF47F9"/>
    <w:rsid w:val="00BF530F"/>
    <w:rsid w:val="00BF55A8"/>
    <w:rsid w:val="00BF5F8B"/>
    <w:rsid w:val="00BF6185"/>
    <w:rsid w:val="00BF73FF"/>
    <w:rsid w:val="00BF7BF2"/>
    <w:rsid w:val="00C00364"/>
    <w:rsid w:val="00C00413"/>
    <w:rsid w:val="00C00F0E"/>
    <w:rsid w:val="00C01879"/>
    <w:rsid w:val="00C023B3"/>
    <w:rsid w:val="00C02B38"/>
    <w:rsid w:val="00C02B4A"/>
    <w:rsid w:val="00C02C2E"/>
    <w:rsid w:val="00C02ED4"/>
    <w:rsid w:val="00C03241"/>
    <w:rsid w:val="00C03257"/>
    <w:rsid w:val="00C032E0"/>
    <w:rsid w:val="00C033D6"/>
    <w:rsid w:val="00C03EA2"/>
    <w:rsid w:val="00C03F21"/>
    <w:rsid w:val="00C064A2"/>
    <w:rsid w:val="00C076B4"/>
    <w:rsid w:val="00C078A0"/>
    <w:rsid w:val="00C079AD"/>
    <w:rsid w:val="00C079D8"/>
    <w:rsid w:val="00C07E49"/>
    <w:rsid w:val="00C07F82"/>
    <w:rsid w:val="00C10CE8"/>
    <w:rsid w:val="00C10D44"/>
    <w:rsid w:val="00C11073"/>
    <w:rsid w:val="00C11721"/>
    <w:rsid w:val="00C11A78"/>
    <w:rsid w:val="00C1247E"/>
    <w:rsid w:val="00C1288B"/>
    <w:rsid w:val="00C12D83"/>
    <w:rsid w:val="00C1306E"/>
    <w:rsid w:val="00C132CA"/>
    <w:rsid w:val="00C13C47"/>
    <w:rsid w:val="00C147A8"/>
    <w:rsid w:val="00C14CED"/>
    <w:rsid w:val="00C14FC3"/>
    <w:rsid w:val="00C150F3"/>
    <w:rsid w:val="00C15606"/>
    <w:rsid w:val="00C158D6"/>
    <w:rsid w:val="00C15EC3"/>
    <w:rsid w:val="00C16304"/>
    <w:rsid w:val="00C16ABA"/>
    <w:rsid w:val="00C16CD7"/>
    <w:rsid w:val="00C204B1"/>
    <w:rsid w:val="00C206B5"/>
    <w:rsid w:val="00C20A3F"/>
    <w:rsid w:val="00C20B28"/>
    <w:rsid w:val="00C20E8A"/>
    <w:rsid w:val="00C21563"/>
    <w:rsid w:val="00C21D9E"/>
    <w:rsid w:val="00C22766"/>
    <w:rsid w:val="00C22EC8"/>
    <w:rsid w:val="00C237E3"/>
    <w:rsid w:val="00C240E9"/>
    <w:rsid w:val="00C244BB"/>
    <w:rsid w:val="00C249A8"/>
    <w:rsid w:val="00C252C0"/>
    <w:rsid w:val="00C266A7"/>
    <w:rsid w:val="00C269C5"/>
    <w:rsid w:val="00C26E00"/>
    <w:rsid w:val="00C26F99"/>
    <w:rsid w:val="00C277E4"/>
    <w:rsid w:val="00C279D4"/>
    <w:rsid w:val="00C27D26"/>
    <w:rsid w:val="00C31B5D"/>
    <w:rsid w:val="00C31E7B"/>
    <w:rsid w:val="00C35B5C"/>
    <w:rsid w:val="00C362A0"/>
    <w:rsid w:val="00C37A2B"/>
    <w:rsid w:val="00C37A67"/>
    <w:rsid w:val="00C40024"/>
    <w:rsid w:val="00C40953"/>
    <w:rsid w:val="00C40E52"/>
    <w:rsid w:val="00C415B2"/>
    <w:rsid w:val="00C41732"/>
    <w:rsid w:val="00C41F79"/>
    <w:rsid w:val="00C42556"/>
    <w:rsid w:val="00C426B7"/>
    <w:rsid w:val="00C4492B"/>
    <w:rsid w:val="00C453F4"/>
    <w:rsid w:val="00C461D2"/>
    <w:rsid w:val="00C46236"/>
    <w:rsid w:val="00C46290"/>
    <w:rsid w:val="00C463D5"/>
    <w:rsid w:val="00C46CB6"/>
    <w:rsid w:val="00C46FB5"/>
    <w:rsid w:val="00C471E3"/>
    <w:rsid w:val="00C47EE1"/>
    <w:rsid w:val="00C50328"/>
    <w:rsid w:val="00C50356"/>
    <w:rsid w:val="00C510F1"/>
    <w:rsid w:val="00C51642"/>
    <w:rsid w:val="00C51736"/>
    <w:rsid w:val="00C5197D"/>
    <w:rsid w:val="00C52318"/>
    <w:rsid w:val="00C52458"/>
    <w:rsid w:val="00C52A0E"/>
    <w:rsid w:val="00C535B7"/>
    <w:rsid w:val="00C537C0"/>
    <w:rsid w:val="00C537D4"/>
    <w:rsid w:val="00C546D3"/>
    <w:rsid w:val="00C5585D"/>
    <w:rsid w:val="00C55F6C"/>
    <w:rsid w:val="00C56402"/>
    <w:rsid w:val="00C5653E"/>
    <w:rsid w:val="00C578E0"/>
    <w:rsid w:val="00C607A2"/>
    <w:rsid w:val="00C60A7F"/>
    <w:rsid w:val="00C60A8D"/>
    <w:rsid w:val="00C60AA6"/>
    <w:rsid w:val="00C61CA3"/>
    <w:rsid w:val="00C6297C"/>
    <w:rsid w:val="00C62DDA"/>
    <w:rsid w:val="00C62F87"/>
    <w:rsid w:val="00C6386D"/>
    <w:rsid w:val="00C63C6C"/>
    <w:rsid w:val="00C65319"/>
    <w:rsid w:val="00C65357"/>
    <w:rsid w:val="00C655FC"/>
    <w:rsid w:val="00C65635"/>
    <w:rsid w:val="00C65AF9"/>
    <w:rsid w:val="00C65F41"/>
    <w:rsid w:val="00C6606A"/>
    <w:rsid w:val="00C66255"/>
    <w:rsid w:val="00C66418"/>
    <w:rsid w:val="00C6677F"/>
    <w:rsid w:val="00C6762E"/>
    <w:rsid w:val="00C70386"/>
    <w:rsid w:val="00C7103C"/>
    <w:rsid w:val="00C71059"/>
    <w:rsid w:val="00C720FC"/>
    <w:rsid w:val="00C72169"/>
    <w:rsid w:val="00C7293B"/>
    <w:rsid w:val="00C73159"/>
    <w:rsid w:val="00C73DFE"/>
    <w:rsid w:val="00C743EF"/>
    <w:rsid w:val="00C74B0E"/>
    <w:rsid w:val="00C75277"/>
    <w:rsid w:val="00C75AAE"/>
    <w:rsid w:val="00C75C0E"/>
    <w:rsid w:val="00C75C1B"/>
    <w:rsid w:val="00C76FED"/>
    <w:rsid w:val="00C77021"/>
    <w:rsid w:val="00C772A2"/>
    <w:rsid w:val="00C7730F"/>
    <w:rsid w:val="00C77825"/>
    <w:rsid w:val="00C77C37"/>
    <w:rsid w:val="00C8056B"/>
    <w:rsid w:val="00C81066"/>
    <w:rsid w:val="00C814A4"/>
    <w:rsid w:val="00C815CB"/>
    <w:rsid w:val="00C819F2"/>
    <w:rsid w:val="00C81C14"/>
    <w:rsid w:val="00C81ED2"/>
    <w:rsid w:val="00C82628"/>
    <w:rsid w:val="00C827BB"/>
    <w:rsid w:val="00C82B59"/>
    <w:rsid w:val="00C82BF9"/>
    <w:rsid w:val="00C82CCE"/>
    <w:rsid w:val="00C83C0B"/>
    <w:rsid w:val="00C83F44"/>
    <w:rsid w:val="00C842F4"/>
    <w:rsid w:val="00C851BB"/>
    <w:rsid w:val="00C851C6"/>
    <w:rsid w:val="00C85B59"/>
    <w:rsid w:val="00C8798B"/>
    <w:rsid w:val="00C87B12"/>
    <w:rsid w:val="00C87D48"/>
    <w:rsid w:val="00C87E17"/>
    <w:rsid w:val="00C9053A"/>
    <w:rsid w:val="00C90629"/>
    <w:rsid w:val="00C90EC8"/>
    <w:rsid w:val="00C91287"/>
    <w:rsid w:val="00C93583"/>
    <w:rsid w:val="00C93961"/>
    <w:rsid w:val="00C93D58"/>
    <w:rsid w:val="00C93DA9"/>
    <w:rsid w:val="00C945A0"/>
    <w:rsid w:val="00C947DB"/>
    <w:rsid w:val="00C94C79"/>
    <w:rsid w:val="00C95047"/>
    <w:rsid w:val="00C95D56"/>
    <w:rsid w:val="00C962A0"/>
    <w:rsid w:val="00C963DC"/>
    <w:rsid w:val="00C96904"/>
    <w:rsid w:val="00C97853"/>
    <w:rsid w:val="00C97C29"/>
    <w:rsid w:val="00C97ED1"/>
    <w:rsid w:val="00C97FD0"/>
    <w:rsid w:val="00CA02FD"/>
    <w:rsid w:val="00CA0E39"/>
    <w:rsid w:val="00CA13D2"/>
    <w:rsid w:val="00CA1457"/>
    <w:rsid w:val="00CA1A24"/>
    <w:rsid w:val="00CA2D31"/>
    <w:rsid w:val="00CA30CB"/>
    <w:rsid w:val="00CA3191"/>
    <w:rsid w:val="00CA3260"/>
    <w:rsid w:val="00CA3551"/>
    <w:rsid w:val="00CA3775"/>
    <w:rsid w:val="00CA39E1"/>
    <w:rsid w:val="00CA3D1A"/>
    <w:rsid w:val="00CA4C6E"/>
    <w:rsid w:val="00CA622E"/>
    <w:rsid w:val="00CA6D25"/>
    <w:rsid w:val="00CA7166"/>
    <w:rsid w:val="00CA75D6"/>
    <w:rsid w:val="00CA7BEF"/>
    <w:rsid w:val="00CB04E5"/>
    <w:rsid w:val="00CB0696"/>
    <w:rsid w:val="00CB090D"/>
    <w:rsid w:val="00CB17EE"/>
    <w:rsid w:val="00CB1A1D"/>
    <w:rsid w:val="00CB1D89"/>
    <w:rsid w:val="00CB2C56"/>
    <w:rsid w:val="00CB3216"/>
    <w:rsid w:val="00CB3882"/>
    <w:rsid w:val="00CB59E6"/>
    <w:rsid w:val="00CB5C64"/>
    <w:rsid w:val="00CB5F01"/>
    <w:rsid w:val="00CB6DF9"/>
    <w:rsid w:val="00CB6F8B"/>
    <w:rsid w:val="00CB706D"/>
    <w:rsid w:val="00CB7077"/>
    <w:rsid w:val="00CB7426"/>
    <w:rsid w:val="00CB7653"/>
    <w:rsid w:val="00CB7F52"/>
    <w:rsid w:val="00CC00F4"/>
    <w:rsid w:val="00CC074A"/>
    <w:rsid w:val="00CC2621"/>
    <w:rsid w:val="00CC28E4"/>
    <w:rsid w:val="00CC2ABA"/>
    <w:rsid w:val="00CC2BCC"/>
    <w:rsid w:val="00CC2DF4"/>
    <w:rsid w:val="00CC3079"/>
    <w:rsid w:val="00CC352F"/>
    <w:rsid w:val="00CC448C"/>
    <w:rsid w:val="00CC4831"/>
    <w:rsid w:val="00CC50A7"/>
    <w:rsid w:val="00CC515F"/>
    <w:rsid w:val="00CC5E81"/>
    <w:rsid w:val="00CC666E"/>
    <w:rsid w:val="00CC670B"/>
    <w:rsid w:val="00CC6716"/>
    <w:rsid w:val="00CD0617"/>
    <w:rsid w:val="00CD0913"/>
    <w:rsid w:val="00CD0CDA"/>
    <w:rsid w:val="00CD15B0"/>
    <w:rsid w:val="00CD20DC"/>
    <w:rsid w:val="00CD2EF6"/>
    <w:rsid w:val="00CD329E"/>
    <w:rsid w:val="00CD3651"/>
    <w:rsid w:val="00CD495C"/>
    <w:rsid w:val="00CD581C"/>
    <w:rsid w:val="00CD5D5C"/>
    <w:rsid w:val="00CD613A"/>
    <w:rsid w:val="00CD618E"/>
    <w:rsid w:val="00CD68FC"/>
    <w:rsid w:val="00CD7206"/>
    <w:rsid w:val="00CD7496"/>
    <w:rsid w:val="00CD7EBA"/>
    <w:rsid w:val="00CE02F2"/>
    <w:rsid w:val="00CE0705"/>
    <w:rsid w:val="00CE1E9F"/>
    <w:rsid w:val="00CE2776"/>
    <w:rsid w:val="00CE2896"/>
    <w:rsid w:val="00CE2ED7"/>
    <w:rsid w:val="00CE2FE7"/>
    <w:rsid w:val="00CE2FF0"/>
    <w:rsid w:val="00CE54B4"/>
    <w:rsid w:val="00CE61F7"/>
    <w:rsid w:val="00CE704C"/>
    <w:rsid w:val="00CE7652"/>
    <w:rsid w:val="00CE76BE"/>
    <w:rsid w:val="00CE7D18"/>
    <w:rsid w:val="00CF0140"/>
    <w:rsid w:val="00CF0CCF"/>
    <w:rsid w:val="00CF0E2D"/>
    <w:rsid w:val="00CF1B3C"/>
    <w:rsid w:val="00CF1C33"/>
    <w:rsid w:val="00CF264C"/>
    <w:rsid w:val="00CF336A"/>
    <w:rsid w:val="00CF3B06"/>
    <w:rsid w:val="00CF3C1A"/>
    <w:rsid w:val="00CF3F05"/>
    <w:rsid w:val="00CF3FDB"/>
    <w:rsid w:val="00CF49D6"/>
    <w:rsid w:val="00CF5445"/>
    <w:rsid w:val="00CF5667"/>
    <w:rsid w:val="00CF601B"/>
    <w:rsid w:val="00CF6527"/>
    <w:rsid w:val="00CF7612"/>
    <w:rsid w:val="00CF7CE7"/>
    <w:rsid w:val="00D002FA"/>
    <w:rsid w:val="00D00509"/>
    <w:rsid w:val="00D010E0"/>
    <w:rsid w:val="00D01A54"/>
    <w:rsid w:val="00D01B66"/>
    <w:rsid w:val="00D01E0C"/>
    <w:rsid w:val="00D02036"/>
    <w:rsid w:val="00D02376"/>
    <w:rsid w:val="00D0251A"/>
    <w:rsid w:val="00D026F5"/>
    <w:rsid w:val="00D02E58"/>
    <w:rsid w:val="00D02FBA"/>
    <w:rsid w:val="00D034D7"/>
    <w:rsid w:val="00D040D1"/>
    <w:rsid w:val="00D0418A"/>
    <w:rsid w:val="00D06118"/>
    <w:rsid w:val="00D06248"/>
    <w:rsid w:val="00D062C0"/>
    <w:rsid w:val="00D0644D"/>
    <w:rsid w:val="00D06574"/>
    <w:rsid w:val="00D065DA"/>
    <w:rsid w:val="00D06F32"/>
    <w:rsid w:val="00D07470"/>
    <w:rsid w:val="00D0793C"/>
    <w:rsid w:val="00D10063"/>
    <w:rsid w:val="00D100E0"/>
    <w:rsid w:val="00D10586"/>
    <w:rsid w:val="00D10A59"/>
    <w:rsid w:val="00D114DD"/>
    <w:rsid w:val="00D11A34"/>
    <w:rsid w:val="00D11F78"/>
    <w:rsid w:val="00D12823"/>
    <w:rsid w:val="00D12A3A"/>
    <w:rsid w:val="00D12C25"/>
    <w:rsid w:val="00D12C6A"/>
    <w:rsid w:val="00D141A9"/>
    <w:rsid w:val="00D14403"/>
    <w:rsid w:val="00D14E03"/>
    <w:rsid w:val="00D16759"/>
    <w:rsid w:val="00D16AC8"/>
    <w:rsid w:val="00D16F60"/>
    <w:rsid w:val="00D17BA9"/>
    <w:rsid w:val="00D17DE2"/>
    <w:rsid w:val="00D2003E"/>
    <w:rsid w:val="00D20B24"/>
    <w:rsid w:val="00D20E59"/>
    <w:rsid w:val="00D217DA"/>
    <w:rsid w:val="00D21A16"/>
    <w:rsid w:val="00D22481"/>
    <w:rsid w:val="00D229EA"/>
    <w:rsid w:val="00D2312C"/>
    <w:rsid w:val="00D231DF"/>
    <w:rsid w:val="00D23507"/>
    <w:rsid w:val="00D23B28"/>
    <w:rsid w:val="00D23C23"/>
    <w:rsid w:val="00D24150"/>
    <w:rsid w:val="00D24A6C"/>
    <w:rsid w:val="00D24C2B"/>
    <w:rsid w:val="00D25166"/>
    <w:rsid w:val="00D25A51"/>
    <w:rsid w:val="00D25AC4"/>
    <w:rsid w:val="00D275BB"/>
    <w:rsid w:val="00D2796D"/>
    <w:rsid w:val="00D27B8B"/>
    <w:rsid w:val="00D301E0"/>
    <w:rsid w:val="00D304DB"/>
    <w:rsid w:val="00D306A4"/>
    <w:rsid w:val="00D31516"/>
    <w:rsid w:val="00D315B7"/>
    <w:rsid w:val="00D31B78"/>
    <w:rsid w:val="00D31E62"/>
    <w:rsid w:val="00D338B5"/>
    <w:rsid w:val="00D371E4"/>
    <w:rsid w:val="00D375E0"/>
    <w:rsid w:val="00D37750"/>
    <w:rsid w:val="00D37870"/>
    <w:rsid w:val="00D37E22"/>
    <w:rsid w:val="00D404B5"/>
    <w:rsid w:val="00D409AF"/>
    <w:rsid w:val="00D40A54"/>
    <w:rsid w:val="00D40EDF"/>
    <w:rsid w:val="00D41AB6"/>
    <w:rsid w:val="00D4233E"/>
    <w:rsid w:val="00D4309C"/>
    <w:rsid w:val="00D4342F"/>
    <w:rsid w:val="00D43816"/>
    <w:rsid w:val="00D43ABE"/>
    <w:rsid w:val="00D43B02"/>
    <w:rsid w:val="00D4541B"/>
    <w:rsid w:val="00D45B26"/>
    <w:rsid w:val="00D46157"/>
    <w:rsid w:val="00D46889"/>
    <w:rsid w:val="00D46919"/>
    <w:rsid w:val="00D46C91"/>
    <w:rsid w:val="00D46DBA"/>
    <w:rsid w:val="00D50754"/>
    <w:rsid w:val="00D50D45"/>
    <w:rsid w:val="00D515A1"/>
    <w:rsid w:val="00D51A74"/>
    <w:rsid w:val="00D523B3"/>
    <w:rsid w:val="00D528B3"/>
    <w:rsid w:val="00D53552"/>
    <w:rsid w:val="00D53638"/>
    <w:rsid w:val="00D54389"/>
    <w:rsid w:val="00D5494F"/>
    <w:rsid w:val="00D55560"/>
    <w:rsid w:val="00D55562"/>
    <w:rsid w:val="00D56396"/>
    <w:rsid w:val="00D56B50"/>
    <w:rsid w:val="00D56C5F"/>
    <w:rsid w:val="00D57032"/>
    <w:rsid w:val="00D578D7"/>
    <w:rsid w:val="00D57CEC"/>
    <w:rsid w:val="00D6072A"/>
    <w:rsid w:val="00D6099D"/>
    <w:rsid w:val="00D60A2C"/>
    <w:rsid w:val="00D618E4"/>
    <w:rsid w:val="00D61B85"/>
    <w:rsid w:val="00D62222"/>
    <w:rsid w:val="00D62374"/>
    <w:rsid w:val="00D62E70"/>
    <w:rsid w:val="00D64358"/>
    <w:rsid w:val="00D64743"/>
    <w:rsid w:val="00D647A0"/>
    <w:rsid w:val="00D6486E"/>
    <w:rsid w:val="00D65D75"/>
    <w:rsid w:val="00D660FD"/>
    <w:rsid w:val="00D66205"/>
    <w:rsid w:val="00D66296"/>
    <w:rsid w:val="00D66AF3"/>
    <w:rsid w:val="00D66E74"/>
    <w:rsid w:val="00D6744D"/>
    <w:rsid w:val="00D67E3C"/>
    <w:rsid w:val="00D7021C"/>
    <w:rsid w:val="00D708FB"/>
    <w:rsid w:val="00D70995"/>
    <w:rsid w:val="00D70B10"/>
    <w:rsid w:val="00D710AD"/>
    <w:rsid w:val="00D71B28"/>
    <w:rsid w:val="00D72160"/>
    <w:rsid w:val="00D721BD"/>
    <w:rsid w:val="00D737F0"/>
    <w:rsid w:val="00D743E4"/>
    <w:rsid w:val="00D750D5"/>
    <w:rsid w:val="00D75188"/>
    <w:rsid w:val="00D75190"/>
    <w:rsid w:val="00D75416"/>
    <w:rsid w:val="00D75674"/>
    <w:rsid w:val="00D75816"/>
    <w:rsid w:val="00D75BCF"/>
    <w:rsid w:val="00D7623D"/>
    <w:rsid w:val="00D76507"/>
    <w:rsid w:val="00D76589"/>
    <w:rsid w:val="00D76652"/>
    <w:rsid w:val="00D768D7"/>
    <w:rsid w:val="00D7696B"/>
    <w:rsid w:val="00D76D0C"/>
    <w:rsid w:val="00D76E33"/>
    <w:rsid w:val="00D77082"/>
    <w:rsid w:val="00D770E9"/>
    <w:rsid w:val="00D77611"/>
    <w:rsid w:val="00D7769D"/>
    <w:rsid w:val="00D77C45"/>
    <w:rsid w:val="00D77F04"/>
    <w:rsid w:val="00D80733"/>
    <w:rsid w:val="00D80A36"/>
    <w:rsid w:val="00D80B02"/>
    <w:rsid w:val="00D81203"/>
    <w:rsid w:val="00D81246"/>
    <w:rsid w:val="00D813E3"/>
    <w:rsid w:val="00D8141D"/>
    <w:rsid w:val="00D8148C"/>
    <w:rsid w:val="00D82C53"/>
    <w:rsid w:val="00D832D1"/>
    <w:rsid w:val="00D833B0"/>
    <w:rsid w:val="00D84940"/>
    <w:rsid w:val="00D84BBB"/>
    <w:rsid w:val="00D851BB"/>
    <w:rsid w:val="00D85B67"/>
    <w:rsid w:val="00D85F21"/>
    <w:rsid w:val="00D86E8D"/>
    <w:rsid w:val="00D871A3"/>
    <w:rsid w:val="00D875F7"/>
    <w:rsid w:val="00D87944"/>
    <w:rsid w:val="00D91AB2"/>
    <w:rsid w:val="00D91AFE"/>
    <w:rsid w:val="00D91D0F"/>
    <w:rsid w:val="00D93527"/>
    <w:rsid w:val="00D938E6"/>
    <w:rsid w:val="00D93960"/>
    <w:rsid w:val="00D941B9"/>
    <w:rsid w:val="00D9463B"/>
    <w:rsid w:val="00D94FE2"/>
    <w:rsid w:val="00D9643E"/>
    <w:rsid w:val="00D9649C"/>
    <w:rsid w:val="00D968A5"/>
    <w:rsid w:val="00D968D3"/>
    <w:rsid w:val="00D96E70"/>
    <w:rsid w:val="00D97312"/>
    <w:rsid w:val="00DA03A0"/>
    <w:rsid w:val="00DA1747"/>
    <w:rsid w:val="00DA1915"/>
    <w:rsid w:val="00DA1955"/>
    <w:rsid w:val="00DA2AB3"/>
    <w:rsid w:val="00DA3E7E"/>
    <w:rsid w:val="00DA45A3"/>
    <w:rsid w:val="00DA4EA0"/>
    <w:rsid w:val="00DA4FB4"/>
    <w:rsid w:val="00DA5345"/>
    <w:rsid w:val="00DA6017"/>
    <w:rsid w:val="00DA628B"/>
    <w:rsid w:val="00DA6443"/>
    <w:rsid w:val="00DA69AB"/>
    <w:rsid w:val="00DA6E7F"/>
    <w:rsid w:val="00DA7DAD"/>
    <w:rsid w:val="00DA7E58"/>
    <w:rsid w:val="00DB0276"/>
    <w:rsid w:val="00DB027D"/>
    <w:rsid w:val="00DB0E86"/>
    <w:rsid w:val="00DB104F"/>
    <w:rsid w:val="00DB13B0"/>
    <w:rsid w:val="00DB211A"/>
    <w:rsid w:val="00DB27B7"/>
    <w:rsid w:val="00DB2999"/>
    <w:rsid w:val="00DB29DB"/>
    <w:rsid w:val="00DB2C9F"/>
    <w:rsid w:val="00DB31D7"/>
    <w:rsid w:val="00DB3620"/>
    <w:rsid w:val="00DB36F4"/>
    <w:rsid w:val="00DB37A1"/>
    <w:rsid w:val="00DB3841"/>
    <w:rsid w:val="00DB3AF5"/>
    <w:rsid w:val="00DB429D"/>
    <w:rsid w:val="00DB4E03"/>
    <w:rsid w:val="00DB5ED5"/>
    <w:rsid w:val="00DB5FFB"/>
    <w:rsid w:val="00DB6FB2"/>
    <w:rsid w:val="00DB7043"/>
    <w:rsid w:val="00DB7324"/>
    <w:rsid w:val="00DB76A0"/>
    <w:rsid w:val="00DB79B6"/>
    <w:rsid w:val="00DB7CF9"/>
    <w:rsid w:val="00DC00D8"/>
    <w:rsid w:val="00DC09A1"/>
    <w:rsid w:val="00DC0A43"/>
    <w:rsid w:val="00DC18C0"/>
    <w:rsid w:val="00DC19F9"/>
    <w:rsid w:val="00DC1ED6"/>
    <w:rsid w:val="00DC2695"/>
    <w:rsid w:val="00DC2840"/>
    <w:rsid w:val="00DC2C05"/>
    <w:rsid w:val="00DC31D8"/>
    <w:rsid w:val="00DC3C79"/>
    <w:rsid w:val="00DC4503"/>
    <w:rsid w:val="00DC47FE"/>
    <w:rsid w:val="00DC4C85"/>
    <w:rsid w:val="00DC57AF"/>
    <w:rsid w:val="00DC5BFD"/>
    <w:rsid w:val="00DC5E96"/>
    <w:rsid w:val="00DC6235"/>
    <w:rsid w:val="00DC679C"/>
    <w:rsid w:val="00DC681F"/>
    <w:rsid w:val="00DC6CC5"/>
    <w:rsid w:val="00DC6D47"/>
    <w:rsid w:val="00DC6E77"/>
    <w:rsid w:val="00DC7B4C"/>
    <w:rsid w:val="00DC7C1E"/>
    <w:rsid w:val="00DD0F1E"/>
    <w:rsid w:val="00DD10FC"/>
    <w:rsid w:val="00DD1401"/>
    <w:rsid w:val="00DD146F"/>
    <w:rsid w:val="00DD1DC6"/>
    <w:rsid w:val="00DD2E5B"/>
    <w:rsid w:val="00DD2FD3"/>
    <w:rsid w:val="00DD3E06"/>
    <w:rsid w:val="00DD416F"/>
    <w:rsid w:val="00DD43E9"/>
    <w:rsid w:val="00DD44C8"/>
    <w:rsid w:val="00DD4BF6"/>
    <w:rsid w:val="00DD6192"/>
    <w:rsid w:val="00DD6612"/>
    <w:rsid w:val="00DD6B8E"/>
    <w:rsid w:val="00DD6E5F"/>
    <w:rsid w:val="00DD73A6"/>
    <w:rsid w:val="00DD78EF"/>
    <w:rsid w:val="00DE03D0"/>
    <w:rsid w:val="00DE0940"/>
    <w:rsid w:val="00DE0A1D"/>
    <w:rsid w:val="00DE1028"/>
    <w:rsid w:val="00DE1E33"/>
    <w:rsid w:val="00DE2059"/>
    <w:rsid w:val="00DE2195"/>
    <w:rsid w:val="00DE297F"/>
    <w:rsid w:val="00DE3B46"/>
    <w:rsid w:val="00DE4191"/>
    <w:rsid w:val="00DE4A73"/>
    <w:rsid w:val="00DE4D3C"/>
    <w:rsid w:val="00DE5161"/>
    <w:rsid w:val="00DE57E6"/>
    <w:rsid w:val="00DE6059"/>
    <w:rsid w:val="00DE62DD"/>
    <w:rsid w:val="00DE6707"/>
    <w:rsid w:val="00DE6801"/>
    <w:rsid w:val="00DE695F"/>
    <w:rsid w:val="00DE783C"/>
    <w:rsid w:val="00DE7E22"/>
    <w:rsid w:val="00DF0962"/>
    <w:rsid w:val="00DF157D"/>
    <w:rsid w:val="00DF1C6F"/>
    <w:rsid w:val="00DF2CD2"/>
    <w:rsid w:val="00DF301A"/>
    <w:rsid w:val="00DF3908"/>
    <w:rsid w:val="00DF3CB9"/>
    <w:rsid w:val="00DF490B"/>
    <w:rsid w:val="00DF50D4"/>
    <w:rsid w:val="00DF5B29"/>
    <w:rsid w:val="00DF6981"/>
    <w:rsid w:val="00DF6E9E"/>
    <w:rsid w:val="00DF70E8"/>
    <w:rsid w:val="00DF7179"/>
    <w:rsid w:val="00E00212"/>
    <w:rsid w:val="00E007AF"/>
    <w:rsid w:val="00E00D7C"/>
    <w:rsid w:val="00E01DA9"/>
    <w:rsid w:val="00E021CC"/>
    <w:rsid w:val="00E02BEE"/>
    <w:rsid w:val="00E02E11"/>
    <w:rsid w:val="00E02E24"/>
    <w:rsid w:val="00E038DB"/>
    <w:rsid w:val="00E03994"/>
    <w:rsid w:val="00E03C09"/>
    <w:rsid w:val="00E03D11"/>
    <w:rsid w:val="00E04128"/>
    <w:rsid w:val="00E04933"/>
    <w:rsid w:val="00E04EDE"/>
    <w:rsid w:val="00E05326"/>
    <w:rsid w:val="00E05433"/>
    <w:rsid w:val="00E06D81"/>
    <w:rsid w:val="00E06E2E"/>
    <w:rsid w:val="00E0768C"/>
    <w:rsid w:val="00E07EAC"/>
    <w:rsid w:val="00E11213"/>
    <w:rsid w:val="00E1125B"/>
    <w:rsid w:val="00E11733"/>
    <w:rsid w:val="00E11D57"/>
    <w:rsid w:val="00E1224B"/>
    <w:rsid w:val="00E12337"/>
    <w:rsid w:val="00E1256B"/>
    <w:rsid w:val="00E12A29"/>
    <w:rsid w:val="00E12FA2"/>
    <w:rsid w:val="00E12FD9"/>
    <w:rsid w:val="00E13ED5"/>
    <w:rsid w:val="00E1434F"/>
    <w:rsid w:val="00E1488D"/>
    <w:rsid w:val="00E14D4F"/>
    <w:rsid w:val="00E15A16"/>
    <w:rsid w:val="00E16401"/>
    <w:rsid w:val="00E16810"/>
    <w:rsid w:val="00E16CFF"/>
    <w:rsid w:val="00E1703C"/>
    <w:rsid w:val="00E17655"/>
    <w:rsid w:val="00E200D0"/>
    <w:rsid w:val="00E208D2"/>
    <w:rsid w:val="00E20A6B"/>
    <w:rsid w:val="00E20D25"/>
    <w:rsid w:val="00E20F6B"/>
    <w:rsid w:val="00E22B8D"/>
    <w:rsid w:val="00E22D3C"/>
    <w:rsid w:val="00E23A5F"/>
    <w:rsid w:val="00E23E8B"/>
    <w:rsid w:val="00E244A4"/>
    <w:rsid w:val="00E24605"/>
    <w:rsid w:val="00E247EE"/>
    <w:rsid w:val="00E24CF2"/>
    <w:rsid w:val="00E25497"/>
    <w:rsid w:val="00E254A0"/>
    <w:rsid w:val="00E25722"/>
    <w:rsid w:val="00E261F6"/>
    <w:rsid w:val="00E268ED"/>
    <w:rsid w:val="00E26A12"/>
    <w:rsid w:val="00E26AEF"/>
    <w:rsid w:val="00E26CCE"/>
    <w:rsid w:val="00E27C6F"/>
    <w:rsid w:val="00E30071"/>
    <w:rsid w:val="00E302FE"/>
    <w:rsid w:val="00E3071F"/>
    <w:rsid w:val="00E32075"/>
    <w:rsid w:val="00E322FE"/>
    <w:rsid w:val="00E323E1"/>
    <w:rsid w:val="00E33550"/>
    <w:rsid w:val="00E33D5F"/>
    <w:rsid w:val="00E340FD"/>
    <w:rsid w:val="00E34243"/>
    <w:rsid w:val="00E34608"/>
    <w:rsid w:val="00E34843"/>
    <w:rsid w:val="00E34D71"/>
    <w:rsid w:val="00E35515"/>
    <w:rsid w:val="00E355B3"/>
    <w:rsid w:val="00E35625"/>
    <w:rsid w:val="00E35ACF"/>
    <w:rsid w:val="00E35FBA"/>
    <w:rsid w:val="00E36AB5"/>
    <w:rsid w:val="00E36C6E"/>
    <w:rsid w:val="00E37360"/>
    <w:rsid w:val="00E41279"/>
    <w:rsid w:val="00E413CC"/>
    <w:rsid w:val="00E41AE9"/>
    <w:rsid w:val="00E426EE"/>
    <w:rsid w:val="00E42F88"/>
    <w:rsid w:val="00E4340A"/>
    <w:rsid w:val="00E437F0"/>
    <w:rsid w:val="00E4449A"/>
    <w:rsid w:val="00E44612"/>
    <w:rsid w:val="00E45125"/>
    <w:rsid w:val="00E45271"/>
    <w:rsid w:val="00E45306"/>
    <w:rsid w:val="00E45890"/>
    <w:rsid w:val="00E458F7"/>
    <w:rsid w:val="00E45C00"/>
    <w:rsid w:val="00E45CCF"/>
    <w:rsid w:val="00E47A87"/>
    <w:rsid w:val="00E47CCF"/>
    <w:rsid w:val="00E50127"/>
    <w:rsid w:val="00E504F5"/>
    <w:rsid w:val="00E50F0A"/>
    <w:rsid w:val="00E51027"/>
    <w:rsid w:val="00E51E38"/>
    <w:rsid w:val="00E53DC9"/>
    <w:rsid w:val="00E543F7"/>
    <w:rsid w:val="00E5528A"/>
    <w:rsid w:val="00E5531F"/>
    <w:rsid w:val="00E556E0"/>
    <w:rsid w:val="00E5628E"/>
    <w:rsid w:val="00E56495"/>
    <w:rsid w:val="00E60457"/>
    <w:rsid w:val="00E60A05"/>
    <w:rsid w:val="00E60CC0"/>
    <w:rsid w:val="00E60CE4"/>
    <w:rsid w:val="00E60E64"/>
    <w:rsid w:val="00E61054"/>
    <w:rsid w:val="00E611BB"/>
    <w:rsid w:val="00E611F9"/>
    <w:rsid w:val="00E61321"/>
    <w:rsid w:val="00E6133C"/>
    <w:rsid w:val="00E6176E"/>
    <w:rsid w:val="00E61DBC"/>
    <w:rsid w:val="00E62686"/>
    <w:rsid w:val="00E6295D"/>
    <w:rsid w:val="00E6326A"/>
    <w:rsid w:val="00E63638"/>
    <w:rsid w:val="00E63A35"/>
    <w:rsid w:val="00E64509"/>
    <w:rsid w:val="00E64885"/>
    <w:rsid w:val="00E64AEF"/>
    <w:rsid w:val="00E65C6F"/>
    <w:rsid w:val="00E664FA"/>
    <w:rsid w:val="00E67013"/>
    <w:rsid w:val="00E67034"/>
    <w:rsid w:val="00E67D06"/>
    <w:rsid w:val="00E7054E"/>
    <w:rsid w:val="00E708F9"/>
    <w:rsid w:val="00E70BFB"/>
    <w:rsid w:val="00E70C15"/>
    <w:rsid w:val="00E70F64"/>
    <w:rsid w:val="00E719F2"/>
    <w:rsid w:val="00E722A3"/>
    <w:rsid w:val="00E72434"/>
    <w:rsid w:val="00E728B3"/>
    <w:rsid w:val="00E72936"/>
    <w:rsid w:val="00E72A99"/>
    <w:rsid w:val="00E7359E"/>
    <w:rsid w:val="00E738B4"/>
    <w:rsid w:val="00E743A0"/>
    <w:rsid w:val="00E74437"/>
    <w:rsid w:val="00E747DE"/>
    <w:rsid w:val="00E75016"/>
    <w:rsid w:val="00E75D7F"/>
    <w:rsid w:val="00E76092"/>
    <w:rsid w:val="00E76D32"/>
    <w:rsid w:val="00E76FF2"/>
    <w:rsid w:val="00E77776"/>
    <w:rsid w:val="00E826F5"/>
    <w:rsid w:val="00E82FE9"/>
    <w:rsid w:val="00E834AF"/>
    <w:rsid w:val="00E8408D"/>
    <w:rsid w:val="00E85098"/>
    <w:rsid w:val="00E85C38"/>
    <w:rsid w:val="00E86609"/>
    <w:rsid w:val="00E8715A"/>
    <w:rsid w:val="00E87CB9"/>
    <w:rsid w:val="00E909AA"/>
    <w:rsid w:val="00E90C83"/>
    <w:rsid w:val="00E910BE"/>
    <w:rsid w:val="00E91497"/>
    <w:rsid w:val="00E91C61"/>
    <w:rsid w:val="00E91EE2"/>
    <w:rsid w:val="00E9241A"/>
    <w:rsid w:val="00E92ED2"/>
    <w:rsid w:val="00E9317B"/>
    <w:rsid w:val="00E93CEC"/>
    <w:rsid w:val="00E94040"/>
    <w:rsid w:val="00E94056"/>
    <w:rsid w:val="00E948BE"/>
    <w:rsid w:val="00E95583"/>
    <w:rsid w:val="00E9577B"/>
    <w:rsid w:val="00E95909"/>
    <w:rsid w:val="00E95AD4"/>
    <w:rsid w:val="00E966CA"/>
    <w:rsid w:val="00E96791"/>
    <w:rsid w:val="00EA0CA8"/>
    <w:rsid w:val="00EA0F0B"/>
    <w:rsid w:val="00EA1933"/>
    <w:rsid w:val="00EA1A48"/>
    <w:rsid w:val="00EA2068"/>
    <w:rsid w:val="00EA20B6"/>
    <w:rsid w:val="00EA368B"/>
    <w:rsid w:val="00EA3803"/>
    <w:rsid w:val="00EA3DB7"/>
    <w:rsid w:val="00EA3FCD"/>
    <w:rsid w:val="00EA45A4"/>
    <w:rsid w:val="00EA4719"/>
    <w:rsid w:val="00EA5D02"/>
    <w:rsid w:val="00EA6179"/>
    <w:rsid w:val="00EA64BF"/>
    <w:rsid w:val="00EA6599"/>
    <w:rsid w:val="00EA66F1"/>
    <w:rsid w:val="00EA6ED0"/>
    <w:rsid w:val="00EA7945"/>
    <w:rsid w:val="00EA7D91"/>
    <w:rsid w:val="00EA7E60"/>
    <w:rsid w:val="00EA7F67"/>
    <w:rsid w:val="00EB0480"/>
    <w:rsid w:val="00EB0D2F"/>
    <w:rsid w:val="00EB0FBC"/>
    <w:rsid w:val="00EB124C"/>
    <w:rsid w:val="00EB17CB"/>
    <w:rsid w:val="00EB1ECF"/>
    <w:rsid w:val="00EB2139"/>
    <w:rsid w:val="00EB23B4"/>
    <w:rsid w:val="00EB2C2E"/>
    <w:rsid w:val="00EB2DC0"/>
    <w:rsid w:val="00EB33EF"/>
    <w:rsid w:val="00EB3A65"/>
    <w:rsid w:val="00EB3B0D"/>
    <w:rsid w:val="00EB40F2"/>
    <w:rsid w:val="00EB6080"/>
    <w:rsid w:val="00EB63FB"/>
    <w:rsid w:val="00EB6512"/>
    <w:rsid w:val="00EB6776"/>
    <w:rsid w:val="00EB6CC8"/>
    <w:rsid w:val="00EB6D3C"/>
    <w:rsid w:val="00EC0193"/>
    <w:rsid w:val="00EC07C1"/>
    <w:rsid w:val="00EC1110"/>
    <w:rsid w:val="00EC1116"/>
    <w:rsid w:val="00EC1AD7"/>
    <w:rsid w:val="00EC2459"/>
    <w:rsid w:val="00EC316A"/>
    <w:rsid w:val="00EC36C3"/>
    <w:rsid w:val="00EC3B9B"/>
    <w:rsid w:val="00EC4F01"/>
    <w:rsid w:val="00EC5C00"/>
    <w:rsid w:val="00EC6277"/>
    <w:rsid w:val="00EC648E"/>
    <w:rsid w:val="00EC679A"/>
    <w:rsid w:val="00EC69DC"/>
    <w:rsid w:val="00EC79EE"/>
    <w:rsid w:val="00ED0136"/>
    <w:rsid w:val="00ED042F"/>
    <w:rsid w:val="00ED0664"/>
    <w:rsid w:val="00ED09FF"/>
    <w:rsid w:val="00ED0AA6"/>
    <w:rsid w:val="00ED0E68"/>
    <w:rsid w:val="00ED2630"/>
    <w:rsid w:val="00ED28AE"/>
    <w:rsid w:val="00ED301E"/>
    <w:rsid w:val="00ED4259"/>
    <w:rsid w:val="00ED59CA"/>
    <w:rsid w:val="00ED5B62"/>
    <w:rsid w:val="00ED5CD7"/>
    <w:rsid w:val="00ED6A10"/>
    <w:rsid w:val="00ED6ADA"/>
    <w:rsid w:val="00ED70F7"/>
    <w:rsid w:val="00EE0C10"/>
    <w:rsid w:val="00EE1619"/>
    <w:rsid w:val="00EE18FE"/>
    <w:rsid w:val="00EE1B19"/>
    <w:rsid w:val="00EE1C36"/>
    <w:rsid w:val="00EE1D09"/>
    <w:rsid w:val="00EE2078"/>
    <w:rsid w:val="00EE215C"/>
    <w:rsid w:val="00EE2F96"/>
    <w:rsid w:val="00EE30EE"/>
    <w:rsid w:val="00EE327F"/>
    <w:rsid w:val="00EE32AB"/>
    <w:rsid w:val="00EE3852"/>
    <w:rsid w:val="00EE3CE1"/>
    <w:rsid w:val="00EE477C"/>
    <w:rsid w:val="00EE72FA"/>
    <w:rsid w:val="00EE7F28"/>
    <w:rsid w:val="00EF01AA"/>
    <w:rsid w:val="00EF0C88"/>
    <w:rsid w:val="00EF105B"/>
    <w:rsid w:val="00EF282D"/>
    <w:rsid w:val="00EF29E3"/>
    <w:rsid w:val="00EF41E2"/>
    <w:rsid w:val="00EF4A99"/>
    <w:rsid w:val="00EF51BC"/>
    <w:rsid w:val="00EF5A1E"/>
    <w:rsid w:val="00EF5E3E"/>
    <w:rsid w:val="00EF6073"/>
    <w:rsid w:val="00EF6A93"/>
    <w:rsid w:val="00EF6E60"/>
    <w:rsid w:val="00EF7585"/>
    <w:rsid w:val="00F00041"/>
    <w:rsid w:val="00F006A0"/>
    <w:rsid w:val="00F01864"/>
    <w:rsid w:val="00F01B21"/>
    <w:rsid w:val="00F02056"/>
    <w:rsid w:val="00F0216D"/>
    <w:rsid w:val="00F031AF"/>
    <w:rsid w:val="00F031BE"/>
    <w:rsid w:val="00F0390C"/>
    <w:rsid w:val="00F03DBA"/>
    <w:rsid w:val="00F0441F"/>
    <w:rsid w:val="00F04F5F"/>
    <w:rsid w:val="00F059A5"/>
    <w:rsid w:val="00F05B37"/>
    <w:rsid w:val="00F05EDB"/>
    <w:rsid w:val="00F061CC"/>
    <w:rsid w:val="00F0653F"/>
    <w:rsid w:val="00F06805"/>
    <w:rsid w:val="00F07F8C"/>
    <w:rsid w:val="00F10027"/>
    <w:rsid w:val="00F1052A"/>
    <w:rsid w:val="00F109E4"/>
    <w:rsid w:val="00F11DDF"/>
    <w:rsid w:val="00F125FE"/>
    <w:rsid w:val="00F13681"/>
    <w:rsid w:val="00F13BCB"/>
    <w:rsid w:val="00F144A5"/>
    <w:rsid w:val="00F1459A"/>
    <w:rsid w:val="00F14B32"/>
    <w:rsid w:val="00F14E2D"/>
    <w:rsid w:val="00F1500E"/>
    <w:rsid w:val="00F15AFB"/>
    <w:rsid w:val="00F16027"/>
    <w:rsid w:val="00F16696"/>
    <w:rsid w:val="00F16806"/>
    <w:rsid w:val="00F16E04"/>
    <w:rsid w:val="00F172D5"/>
    <w:rsid w:val="00F17991"/>
    <w:rsid w:val="00F20202"/>
    <w:rsid w:val="00F203FF"/>
    <w:rsid w:val="00F20E56"/>
    <w:rsid w:val="00F211EA"/>
    <w:rsid w:val="00F21C5B"/>
    <w:rsid w:val="00F21DCF"/>
    <w:rsid w:val="00F226B9"/>
    <w:rsid w:val="00F2281D"/>
    <w:rsid w:val="00F23234"/>
    <w:rsid w:val="00F2346A"/>
    <w:rsid w:val="00F23D83"/>
    <w:rsid w:val="00F23F12"/>
    <w:rsid w:val="00F24804"/>
    <w:rsid w:val="00F2484C"/>
    <w:rsid w:val="00F24D70"/>
    <w:rsid w:val="00F250B3"/>
    <w:rsid w:val="00F25215"/>
    <w:rsid w:val="00F25737"/>
    <w:rsid w:val="00F25B95"/>
    <w:rsid w:val="00F26070"/>
    <w:rsid w:val="00F263D2"/>
    <w:rsid w:val="00F2696F"/>
    <w:rsid w:val="00F26A1A"/>
    <w:rsid w:val="00F26FF4"/>
    <w:rsid w:val="00F271BF"/>
    <w:rsid w:val="00F27EDC"/>
    <w:rsid w:val="00F30156"/>
    <w:rsid w:val="00F30C80"/>
    <w:rsid w:val="00F310E9"/>
    <w:rsid w:val="00F32814"/>
    <w:rsid w:val="00F32815"/>
    <w:rsid w:val="00F32AF4"/>
    <w:rsid w:val="00F32DD4"/>
    <w:rsid w:val="00F33052"/>
    <w:rsid w:val="00F339C8"/>
    <w:rsid w:val="00F3418E"/>
    <w:rsid w:val="00F345AE"/>
    <w:rsid w:val="00F347B6"/>
    <w:rsid w:val="00F3507B"/>
    <w:rsid w:val="00F357B4"/>
    <w:rsid w:val="00F358B1"/>
    <w:rsid w:val="00F358FE"/>
    <w:rsid w:val="00F35F74"/>
    <w:rsid w:val="00F361AD"/>
    <w:rsid w:val="00F36E76"/>
    <w:rsid w:val="00F37230"/>
    <w:rsid w:val="00F37808"/>
    <w:rsid w:val="00F40095"/>
    <w:rsid w:val="00F4036E"/>
    <w:rsid w:val="00F404D8"/>
    <w:rsid w:val="00F40BD4"/>
    <w:rsid w:val="00F40EA4"/>
    <w:rsid w:val="00F413D8"/>
    <w:rsid w:val="00F414D5"/>
    <w:rsid w:val="00F42016"/>
    <w:rsid w:val="00F420F0"/>
    <w:rsid w:val="00F431EE"/>
    <w:rsid w:val="00F432E0"/>
    <w:rsid w:val="00F43980"/>
    <w:rsid w:val="00F4467E"/>
    <w:rsid w:val="00F4480C"/>
    <w:rsid w:val="00F44920"/>
    <w:rsid w:val="00F44D7B"/>
    <w:rsid w:val="00F44DF5"/>
    <w:rsid w:val="00F44EDE"/>
    <w:rsid w:val="00F45088"/>
    <w:rsid w:val="00F45144"/>
    <w:rsid w:val="00F45992"/>
    <w:rsid w:val="00F45A2D"/>
    <w:rsid w:val="00F45A99"/>
    <w:rsid w:val="00F45B87"/>
    <w:rsid w:val="00F467C8"/>
    <w:rsid w:val="00F46DEF"/>
    <w:rsid w:val="00F4710B"/>
    <w:rsid w:val="00F47683"/>
    <w:rsid w:val="00F476B9"/>
    <w:rsid w:val="00F47772"/>
    <w:rsid w:val="00F4794D"/>
    <w:rsid w:val="00F51D4F"/>
    <w:rsid w:val="00F51E29"/>
    <w:rsid w:val="00F52355"/>
    <w:rsid w:val="00F54856"/>
    <w:rsid w:val="00F55011"/>
    <w:rsid w:val="00F55673"/>
    <w:rsid w:val="00F55B3E"/>
    <w:rsid w:val="00F55E0C"/>
    <w:rsid w:val="00F56A7A"/>
    <w:rsid w:val="00F5702E"/>
    <w:rsid w:val="00F57579"/>
    <w:rsid w:val="00F5764D"/>
    <w:rsid w:val="00F576B9"/>
    <w:rsid w:val="00F57AF4"/>
    <w:rsid w:val="00F60B3B"/>
    <w:rsid w:val="00F60DCB"/>
    <w:rsid w:val="00F613A2"/>
    <w:rsid w:val="00F62246"/>
    <w:rsid w:val="00F627BE"/>
    <w:rsid w:val="00F62C97"/>
    <w:rsid w:val="00F6305B"/>
    <w:rsid w:val="00F6309C"/>
    <w:rsid w:val="00F631AB"/>
    <w:rsid w:val="00F632CC"/>
    <w:rsid w:val="00F6543D"/>
    <w:rsid w:val="00F65DEB"/>
    <w:rsid w:val="00F65E37"/>
    <w:rsid w:val="00F66175"/>
    <w:rsid w:val="00F66732"/>
    <w:rsid w:val="00F6738B"/>
    <w:rsid w:val="00F67675"/>
    <w:rsid w:val="00F6776D"/>
    <w:rsid w:val="00F67958"/>
    <w:rsid w:val="00F67FB0"/>
    <w:rsid w:val="00F70295"/>
    <w:rsid w:val="00F712FA"/>
    <w:rsid w:val="00F71ED3"/>
    <w:rsid w:val="00F7220C"/>
    <w:rsid w:val="00F72739"/>
    <w:rsid w:val="00F72CD0"/>
    <w:rsid w:val="00F73E96"/>
    <w:rsid w:val="00F741B5"/>
    <w:rsid w:val="00F74328"/>
    <w:rsid w:val="00F75990"/>
    <w:rsid w:val="00F75A9D"/>
    <w:rsid w:val="00F76582"/>
    <w:rsid w:val="00F765D3"/>
    <w:rsid w:val="00F7676A"/>
    <w:rsid w:val="00F77112"/>
    <w:rsid w:val="00F77896"/>
    <w:rsid w:val="00F80BB5"/>
    <w:rsid w:val="00F811D0"/>
    <w:rsid w:val="00F8199B"/>
    <w:rsid w:val="00F81FF9"/>
    <w:rsid w:val="00F82086"/>
    <w:rsid w:val="00F8261F"/>
    <w:rsid w:val="00F82A0D"/>
    <w:rsid w:val="00F83279"/>
    <w:rsid w:val="00F83452"/>
    <w:rsid w:val="00F84795"/>
    <w:rsid w:val="00F850C4"/>
    <w:rsid w:val="00F85200"/>
    <w:rsid w:val="00F858F4"/>
    <w:rsid w:val="00F86679"/>
    <w:rsid w:val="00F86FBC"/>
    <w:rsid w:val="00F8727E"/>
    <w:rsid w:val="00F877AE"/>
    <w:rsid w:val="00F87F10"/>
    <w:rsid w:val="00F87FE9"/>
    <w:rsid w:val="00F90046"/>
    <w:rsid w:val="00F909E0"/>
    <w:rsid w:val="00F9145F"/>
    <w:rsid w:val="00F91700"/>
    <w:rsid w:val="00F92359"/>
    <w:rsid w:val="00F923CD"/>
    <w:rsid w:val="00F92874"/>
    <w:rsid w:val="00F94089"/>
    <w:rsid w:val="00F94609"/>
    <w:rsid w:val="00F94A72"/>
    <w:rsid w:val="00F94C4F"/>
    <w:rsid w:val="00F94DBF"/>
    <w:rsid w:val="00F951FA"/>
    <w:rsid w:val="00F97542"/>
    <w:rsid w:val="00FA00A6"/>
    <w:rsid w:val="00FA0601"/>
    <w:rsid w:val="00FA0770"/>
    <w:rsid w:val="00FA0EC5"/>
    <w:rsid w:val="00FA11C7"/>
    <w:rsid w:val="00FA1D93"/>
    <w:rsid w:val="00FA1FC9"/>
    <w:rsid w:val="00FA22F2"/>
    <w:rsid w:val="00FA2781"/>
    <w:rsid w:val="00FA29D8"/>
    <w:rsid w:val="00FA45BE"/>
    <w:rsid w:val="00FA4AEE"/>
    <w:rsid w:val="00FA4DC0"/>
    <w:rsid w:val="00FA51F2"/>
    <w:rsid w:val="00FA59A2"/>
    <w:rsid w:val="00FA6793"/>
    <w:rsid w:val="00FA67E2"/>
    <w:rsid w:val="00FA6C6F"/>
    <w:rsid w:val="00FA6CAD"/>
    <w:rsid w:val="00FA6DEE"/>
    <w:rsid w:val="00FA707E"/>
    <w:rsid w:val="00FA7458"/>
    <w:rsid w:val="00FA7A5D"/>
    <w:rsid w:val="00FA7C89"/>
    <w:rsid w:val="00FB0614"/>
    <w:rsid w:val="00FB1AEB"/>
    <w:rsid w:val="00FB1B96"/>
    <w:rsid w:val="00FB1F7C"/>
    <w:rsid w:val="00FB2037"/>
    <w:rsid w:val="00FB2319"/>
    <w:rsid w:val="00FB2483"/>
    <w:rsid w:val="00FB2FDA"/>
    <w:rsid w:val="00FB2FF0"/>
    <w:rsid w:val="00FB4065"/>
    <w:rsid w:val="00FB438E"/>
    <w:rsid w:val="00FB4D21"/>
    <w:rsid w:val="00FB5B34"/>
    <w:rsid w:val="00FB5B93"/>
    <w:rsid w:val="00FB5B9A"/>
    <w:rsid w:val="00FB6A29"/>
    <w:rsid w:val="00FB7303"/>
    <w:rsid w:val="00FB7A25"/>
    <w:rsid w:val="00FC06DD"/>
    <w:rsid w:val="00FC080B"/>
    <w:rsid w:val="00FC144E"/>
    <w:rsid w:val="00FC15A8"/>
    <w:rsid w:val="00FC2469"/>
    <w:rsid w:val="00FC3AEC"/>
    <w:rsid w:val="00FC3E3E"/>
    <w:rsid w:val="00FC427D"/>
    <w:rsid w:val="00FC4B1E"/>
    <w:rsid w:val="00FC4B99"/>
    <w:rsid w:val="00FC4ECC"/>
    <w:rsid w:val="00FC553C"/>
    <w:rsid w:val="00FC5689"/>
    <w:rsid w:val="00FC5B8D"/>
    <w:rsid w:val="00FC5E44"/>
    <w:rsid w:val="00FC699D"/>
    <w:rsid w:val="00FC6F4E"/>
    <w:rsid w:val="00FC711F"/>
    <w:rsid w:val="00FC7398"/>
    <w:rsid w:val="00FC7927"/>
    <w:rsid w:val="00FC79F0"/>
    <w:rsid w:val="00FC7D69"/>
    <w:rsid w:val="00FD0094"/>
    <w:rsid w:val="00FD0107"/>
    <w:rsid w:val="00FD03E0"/>
    <w:rsid w:val="00FD0459"/>
    <w:rsid w:val="00FD0AC3"/>
    <w:rsid w:val="00FD18D8"/>
    <w:rsid w:val="00FD1A23"/>
    <w:rsid w:val="00FD1D92"/>
    <w:rsid w:val="00FD2911"/>
    <w:rsid w:val="00FD2BF9"/>
    <w:rsid w:val="00FD2D39"/>
    <w:rsid w:val="00FD3E73"/>
    <w:rsid w:val="00FD4170"/>
    <w:rsid w:val="00FD5BD9"/>
    <w:rsid w:val="00FD5BF4"/>
    <w:rsid w:val="00FD5C1F"/>
    <w:rsid w:val="00FD6BB7"/>
    <w:rsid w:val="00FD6E97"/>
    <w:rsid w:val="00FD7725"/>
    <w:rsid w:val="00FD7C78"/>
    <w:rsid w:val="00FD7D53"/>
    <w:rsid w:val="00FD7E41"/>
    <w:rsid w:val="00FD7FE1"/>
    <w:rsid w:val="00FE024F"/>
    <w:rsid w:val="00FE036E"/>
    <w:rsid w:val="00FE040C"/>
    <w:rsid w:val="00FE05BE"/>
    <w:rsid w:val="00FE0695"/>
    <w:rsid w:val="00FE0B9C"/>
    <w:rsid w:val="00FE0E20"/>
    <w:rsid w:val="00FE156E"/>
    <w:rsid w:val="00FE1D28"/>
    <w:rsid w:val="00FE266C"/>
    <w:rsid w:val="00FE2DDE"/>
    <w:rsid w:val="00FE2DE6"/>
    <w:rsid w:val="00FE2EA8"/>
    <w:rsid w:val="00FE32FD"/>
    <w:rsid w:val="00FE330A"/>
    <w:rsid w:val="00FE36F1"/>
    <w:rsid w:val="00FE4095"/>
    <w:rsid w:val="00FE4C51"/>
    <w:rsid w:val="00FE4EB8"/>
    <w:rsid w:val="00FE544F"/>
    <w:rsid w:val="00FE549A"/>
    <w:rsid w:val="00FE5BA0"/>
    <w:rsid w:val="00FE61D9"/>
    <w:rsid w:val="00FE62C1"/>
    <w:rsid w:val="00FE779D"/>
    <w:rsid w:val="00FE78F6"/>
    <w:rsid w:val="00FF0B34"/>
    <w:rsid w:val="00FF0BE0"/>
    <w:rsid w:val="00FF0DCC"/>
    <w:rsid w:val="00FF1121"/>
    <w:rsid w:val="00FF1773"/>
    <w:rsid w:val="00FF1A1D"/>
    <w:rsid w:val="00FF1AFD"/>
    <w:rsid w:val="00FF2678"/>
    <w:rsid w:val="00FF35DF"/>
    <w:rsid w:val="00FF4A04"/>
    <w:rsid w:val="00FF4B75"/>
    <w:rsid w:val="00FF5295"/>
    <w:rsid w:val="00FF538C"/>
    <w:rsid w:val="00FF5B5A"/>
    <w:rsid w:val="00FF5F98"/>
    <w:rsid w:val="00FF64B5"/>
    <w:rsid w:val="00FF699E"/>
    <w:rsid w:val="00FF6ED3"/>
    <w:rsid w:val="00FF78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1B4212A"/>
  <w15:chartTrackingRefBased/>
  <w15:docId w15:val="{84CBB679-96F4-4DD3-AB09-833C6DD8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hidden/>
    <w:qFormat/>
    <w:rsid w:val="00614CD7"/>
    <w:rPr>
      <w:rFonts w:ascii="Calibri" w:hAnsi="Calibri"/>
      <w:szCs w:val="24"/>
      <w:lang w:eastAsia="ja-JP"/>
    </w:rPr>
  </w:style>
  <w:style w:type="paragraph" w:styleId="Heading1">
    <w:name w:val="heading 1"/>
    <w:basedOn w:val="Normal"/>
    <w:next w:val="Normal"/>
    <w:link w:val="Heading1Char"/>
    <w:uiPriority w:val="9"/>
    <w:qFormat/>
    <w:rsid w:val="0063240C"/>
    <w:pPr>
      <w:keepNext/>
      <w:keepLines/>
      <w:spacing w:before="360" w:after="240"/>
      <w:outlineLvl w:val="0"/>
    </w:pPr>
    <w:rPr>
      <w:rFonts w:eastAsia="MS Gothic"/>
      <w:b/>
      <w:bCs/>
      <w:color w:val="345A8A"/>
      <w:sz w:val="32"/>
      <w:szCs w:val="32"/>
    </w:rPr>
  </w:style>
  <w:style w:type="paragraph" w:styleId="Heading2">
    <w:name w:val="heading 2"/>
    <w:basedOn w:val="Normal"/>
    <w:next w:val="Normal"/>
    <w:link w:val="Heading2Char"/>
    <w:uiPriority w:val="9"/>
    <w:qFormat/>
    <w:rsid w:val="00390287"/>
    <w:pPr>
      <w:keepNext/>
      <w:keepLines/>
      <w:spacing w:before="240" w:after="180"/>
      <w:outlineLvl w:val="1"/>
    </w:pPr>
    <w:rPr>
      <w:rFonts w:eastAsia="MS Gothic"/>
      <w:b/>
      <w:bCs/>
      <w:color w:val="2B6991"/>
      <w:sz w:val="26"/>
      <w:szCs w:val="26"/>
    </w:rPr>
  </w:style>
  <w:style w:type="paragraph" w:styleId="Heading3">
    <w:name w:val="heading 3"/>
    <w:basedOn w:val="Normal"/>
    <w:next w:val="Normal"/>
    <w:link w:val="Heading3Char"/>
    <w:uiPriority w:val="9"/>
    <w:qFormat/>
    <w:rsid w:val="001B1F49"/>
    <w:pPr>
      <w:keepNext/>
      <w:keepLines/>
      <w:spacing w:before="240" w:after="240"/>
      <w:outlineLvl w:val="2"/>
    </w:pPr>
    <w:rPr>
      <w:rFonts w:eastAsia="MS Gothic"/>
      <w:b/>
      <w:bCs/>
      <w:color w:val="4F81BD"/>
      <w:sz w:val="22"/>
    </w:rPr>
  </w:style>
  <w:style w:type="paragraph" w:styleId="Heading4">
    <w:name w:val="heading 4"/>
    <w:basedOn w:val="Normal"/>
    <w:next w:val="Normal"/>
    <w:link w:val="Heading4Char"/>
    <w:uiPriority w:val="9"/>
    <w:qFormat/>
    <w:rsid w:val="00C6297C"/>
    <w:pPr>
      <w:keepNext/>
      <w:keepLines/>
      <w:spacing w:before="200"/>
      <w:outlineLvl w:val="3"/>
    </w:pPr>
    <w:rPr>
      <w:rFonts w:eastAsia="MS Gothic"/>
      <w:b/>
      <w:bCs/>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olor w:val="000000"/>
      <w:sz w:val="22"/>
    </w:rPr>
  </w:style>
  <w:style w:type="paragraph" w:customStyle="1" w:styleId="listbullets1">
    <w:name w:val="list bullets 1"/>
    <w:basedOn w:val="Normal"/>
    <w:autoRedefine/>
    <w:qFormat/>
    <w:rsid w:val="000828D8"/>
    <w:pPr>
      <w:numPr>
        <w:numId w:val="2"/>
      </w:numPr>
      <w:spacing w:before="60" w:after="60" w:line="300" w:lineRule="auto"/>
    </w:pPr>
    <w:rPr>
      <w:rFonts w:eastAsia="ヒラギノ角ゴ Pro W3"/>
      <w:color w:val="000000"/>
      <w:szCs w:val="20"/>
    </w:rPr>
  </w:style>
  <w:style w:type="paragraph" w:customStyle="1" w:styleId="Heading1a">
    <w:name w:val="Heading 1a"/>
    <w:basedOn w:val="Normal"/>
    <w:next w:val="Normal"/>
    <w:qFormat/>
    <w:rsid w:val="007E5E69"/>
    <w:pPr>
      <w:suppressAutoHyphens/>
      <w:spacing w:line="288" w:lineRule="auto"/>
    </w:pPr>
    <w:rPr>
      <w:rFonts w:eastAsia="Times"/>
      <w:b/>
      <w:sz w:val="26"/>
      <w:szCs w:val="20"/>
    </w:rPr>
  </w:style>
  <w:style w:type="paragraph" w:styleId="EndnoteText">
    <w:name w:val="endnote text"/>
    <w:basedOn w:val="Normal"/>
    <w:link w:val="EndnoteTextChar"/>
    <w:semiHidden/>
    <w:rsid w:val="007E5E69"/>
    <w:rPr>
      <w:rFonts w:ascii="Gill Sans" w:eastAsia="Times New Roman" w:hAnsi="Gill Sans"/>
      <w:sz w:val="16"/>
    </w:rPr>
  </w:style>
  <w:style w:type="character" w:customStyle="1" w:styleId="EndnoteTextChar">
    <w:name w:val="Endnote Text Char"/>
    <w:link w:val="EndnoteText"/>
    <w:semiHidden/>
    <w:rsid w:val="007E5E69"/>
    <w:rPr>
      <w:rFonts w:ascii="Gill Sans" w:eastAsia="Times New Roman" w:hAnsi="Gill Sans" w:cs="Times New Roman"/>
      <w:sz w:val="16"/>
      <w:szCs w:val="24"/>
    </w:rPr>
  </w:style>
  <w:style w:type="paragraph" w:customStyle="1" w:styleId="outlineSEQSs">
    <w:name w:val="outline SEQSs"/>
    <w:basedOn w:val="Normal"/>
    <w:autoRedefine/>
    <w:qFormat/>
    <w:rsid w:val="00894474"/>
    <w:pPr>
      <w:numPr>
        <w:numId w:val="1"/>
      </w:numPr>
      <w:spacing w:line="360" w:lineRule="auto"/>
    </w:pPr>
    <w:rPr>
      <w:b/>
    </w:rPr>
  </w:style>
  <w:style w:type="character" w:customStyle="1" w:styleId="st">
    <w:name w:val="st"/>
    <w:rsid w:val="001B4AD5"/>
  </w:style>
  <w:style w:type="paragraph" w:customStyle="1" w:styleId="SEQSbodynumbered">
    <w:name w:val="SEQS body numbered"/>
    <w:basedOn w:val="Normal"/>
    <w:autoRedefine/>
    <w:qFormat/>
    <w:rsid w:val="00D515A1"/>
    <w:pPr>
      <w:numPr>
        <w:numId w:val="4"/>
      </w:numPr>
      <w:spacing w:before="120" w:after="120" w:line="300" w:lineRule="auto"/>
    </w:pPr>
    <w:rPr>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n,single space,footnote text"/>
    <w:basedOn w:val="Normal"/>
    <w:link w:val="FootnoteTextChar"/>
    <w:uiPriority w:val="99"/>
    <w:unhideWhenUsed/>
    <w:rsid w:val="00876E41"/>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uiPriority w:val="99"/>
    <w:rsid w:val="00876E41"/>
    <w:rPr>
      <w:rFonts w:ascii="Calibri" w:hAnsi="Calibri"/>
      <w:sz w:val="18"/>
      <w:szCs w:val="24"/>
    </w:rPr>
  </w:style>
  <w:style w:type="character" w:styleId="FootnoteReference">
    <w:name w:val="footnote reference"/>
    <w:aliases w:val="ftref,16 Point,Superscript 6 Point"/>
    <w:uiPriority w:val="99"/>
    <w:unhideWhenUsed/>
    <w:rsid w:val="00876E41"/>
    <w:rPr>
      <w:rFonts w:ascii="Calibri" w:hAnsi="Calibri"/>
      <w:sz w:val="18"/>
      <w:vertAlign w:val="superscript"/>
    </w:rPr>
  </w:style>
  <w:style w:type="paragraph" w:styleId="Header">
    <w:name w:val="header"/>
    <w:basedOn w:val="Normal"/>
    <w:link w:val="HeaderChar"/>
    <w:uiPriority w:val="99"/>
    <w:unhideWhenUsed/>
    <w:rsid w:val="00BE3A4B"/>
    <w:pPr>
      <w:tabs>
        <w:tab w:val="center" w:pos="4320"/>
        <w:tab w:val="right" w:pos="8640"/>
      </w:tabs>
    </w:pPr>
  </w:style>
  <w:style w:type="character" w:customStyle="1" w:styleId="HeaderChar">
    <w:name w:val="Header Char"/>
    <w:link w:val="Header"/>
    <w:uiPriority w:val="99"/>
    <w:rsid w:val="00BE3A4B"/>
    <w:rPr>
      <w:rFonts w:ascii="Arial" w:hAnsi="Arial"/>
      <w:szCs w:val="24"/>
    </w:rPr>
  </w:style>
  <w:style w:type="paragraph" w:styleId="Footer">
    <w:name w:val="footer"/>
    <w:basedOn w:val="Normal"/>
    <w:link w:val="FooterChar"/>
    <w:uiPriority w:val="99"/>
    <w:unhideWhenUsed/>
    <w:rsid w:val="00BE3A4B"/>
    <w:pPr>
      <w:tabs>
        <w:tab w:val="center" w:pos="4320"/>
        <w:tab w:val="right" w:pos="8640"/>
      </w:tabs>
    </w:pPr>
  </w:style>
  <w:style w:type="character" w:customStyle="1" w:styleId="FooterChar">
    <w:name w:val="Footer Char"/>
    <w:link w:val="Footer"/>
    <w:uiPriority w:val="99"/>
    <w:rsid w:val="00BE3A4B"/>
    <w:rPr>
      <w:rFonts w:ascii="Arial" w:hAnsi="Arial"/>
      <w:szCs w:val="24"/>
    </w:rPr>
  </w:style>
  <w:style w:type="character" w:styleId="PageNumber">
    <w:name w:val="page number"/>
    <w:basedOn w:val="DefaultParagraphFont"/>
    <w:uiPriority w:val="99"/>
    <w:semiHidden/>
    <w:unhideWhenUsed/>
    <w:rsid w:val="00BE3A4B"/>
  </w:style>
  <w:style w:type="paragraph" w:styleId="BalloonText">
    <w:name w:val="Balloon Text"/>
    <w:basedOn w:val="Normal"/>
    <w:link w:val="BalloonTextChar"/>
    <w:uiPriority w:val="99"/>
    <w:semiHidden/>
    <w:unhideWhenUsed/>
    <w:rsid w:val="005A2A5C"/>
    <w:rPr>
      <w:rFonts w:ascii="Lucida Grande" w:hAnsi="Lucida Grande" w:cs="Lucida Grande"/>
      <w:sz w:val="18"/>
      <w:szCs w:val="18"/>
    </w:rPr>
  </w:style>
  <w:style w:type="character" w:customStyle="1" w:styleId="BalloonTextChar">
    <w:name w:val="Balloon Text Char"/>
    <w:link w:val="BalloonText"/>
    <w:uiPriority w:val="99"/>
    <w:semiHidden/>
    <w:rsid w:val="005A2A5C"/>
    <w:rPr>
      <w:rFonts w:ascii="Lucida Grande" w:hAnsi="Lucida Grande" w:cs="Lucida Grande"/>
      <w:sz w:val="18"/>
      <w:szCs w:val="18"/>
    </w:rPr>
  </w:style>
  <w:style w:type="character" w:styleId="Hyperlink">
    <w:name w:val="Hyperlink"/>
    <w:uiPriority w:val="99"/>
    <w:unhideWhenUsed/>
    <w:rsid w:val="00E67034"/>
    <w:rPr>
      <w:color w:val="0000FF"/>
      <w:u w:val="single"/>
    </w:rPr>
  </w:style>
  <w:style w:type="paragraph" w:styleId="NormalWeb">
    <w:name w:val="Normal (Web)"/>
    <w:basedOn w:val="Normal"/>
    <w:uiPriority w:val="99"/>
    <w:semiHidden/>
    <w:unhideWhenUsed/>
    <w:rsid w:val="00CE2ED7"/>
    <w:rPr>
      <w:rFonts w:ascii="Times New Roman" w:hAnsi="Times New Roman"/>
      <w:sz w:val="24"/>
    </w:rPr>
  </w:style>
  <w:style w:type="paragraph" w:styleId="Title">
    <w:name w:val="Title"/>
    <w:basedOn w:val="Normal"/>
    <w:next w:val="Normal"/>
    <w:link w:val="TitleChar"/>
    <w:uiPriority w:val="10"/>
    <w:qFormat/>
    <w:rsid w:val="003801F1"/>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3801F1"/>
    <w:rPr>
      <w:rFonts w:ascii="Calibri" w:eastAsia="MS Gothic" w:hAnsi="Calibri" w:cs="Times New Roman"/>
      <w:color w:val="17365D"/>
      <w:spacing w:val="5"/>
      <w:kern w:val="28"/>
      <w:sz w:val="52"/>
      <w:szCs w:val="52"/>
    </w:rPr>
  </w:style>
  <w:style w:type="character" w:customStyle="1" w:styleId="Heading1Char">
    <w:name w:val="Heading 1 Char"/>
    <w:link w:val="Heading1"/>
    <w:uiPriority w:val="9"/>
    <w:rsid w:val="0063240C"/>
    <w:rPr>
      <w:rFonts w:ascii="Calibri" w:eastAsia="MS Gothic" w:hAnsi="Calibri"/>
      <w:b/>
      <w:bCs/>
      <w:color w:val="345A8A"/>
      <w:sz w:val="32"/>
      <w:szCs w:val="32"/>
      <w:lang w:eastAsia="ja-JP"/>
    </w:rPr>
  </w:style>
  <w:style w:type="character" w:customStyle="1" w:styleId="Heading2Char">
    <w:name w:val="Heading 2 Char"/>
    <w:link w:val="Heading2"/>
    <w:uiPriority w:val="9"/>
    <w:rsid w:val="00390287"/>
    <w:rPr>
      <w:rFonts w:ascii="Calibri" w:eastAsia="MS Gothic" w:hAnsi="Calibri" w:cs="Times New Roman"/>
      <w:b/>
      <w:bCs/>
      <w:color w:val="2B6991"/>
      <w:sz w:val="26"/>
      <w:szCs w:val="26"/>
    </w:rPr>
  </w:style>
  <w:style w:type="paragraph" w:styleId="BodyText">
    <w:name w:val="Body Text"/>
    <w:basedOn w:val="Normal"/>
    <w:link w:val="BodyTextChar"/>
    <w:uiPriority w:val="99"/>
    <w:unhideWhenUsed/>
    <w:rsid w:val="003801F1"/>
    <w:pPr>
      <w:spacing w:after="120"/>
    </w:pPr>
  </w:style>
  <w:style w:type="character" w:customStyle="1" w:styleId="BodyTextChar">
    <w:name w:val="Body Text Char"/>
    <w:link w:val="BodyText"/>
    <w:uiPriority w:val="99"/>
    <w:rsid w:val="003801F1"/>
    <w:rPr>
      <w:rFonts w:ascii="Calibri" w:hAnsi="Calibri"/>
      <w:szCs w:val="24"/>
    </w:rPr>
  </w:style>
  <w:style w:type="character" w:customStyle="1" w:styleId="Heading3Char">
    <w:name w:val="Heading 3 Char"/>
    <w:link w:val="Heading3"/>
    <w:uiPriority w:val="9"/>
    <w:rsid w:val="001B1F49"/>
    <w:rPr>
      <w:rFonts w:ascii="Calibri" w:eastAsia="MS Gothic" w:hAnsi="Calibri" w:cs="Times New Roman"/>
      <w:b/>
      <w:bCs/>
      <w:color w:val="4F81BD"/>
      <w:sz w:val="22"/>
      <w:szCs w:val="24"/>
    </w:rPr>
  </w:style>
  <w:style w:type="paragraph" w:customStyle="1" w:styleId="listlettered">
    <w:name w:val="list lettered"/>
    <w:basedOn w:val="listbullets1"/>
    <w:qFormat/>
    <w:rsid w:val="00E3071F"/>
    <w:pPr>
      <w:numPr>
        <w:numId w:val="18"/>
      </w:numPr>
    </w:pPr>
  </w:style>
  <w:style w:type="paragraph" w:styleId="CommentText">
    <w:name w:val="annotation text"/>
    <w:basedOn w:val="Normal"/>
    <w:link w:val="CommentTextChar"/>
    <w:uiPriority w:val="99"/>
    <w:unhideWhenUsed/>
    <w:rsid w:val="00970E75"/>
    <w:rPr>
      <w:sz w:val="24"/>
    </w:rPr>
  </w:style>
  <w:style w:type="character" w:customStyle="1" w:styleId="CommentTextChar">
    <w:name w:val="Comment Text Char"/>
    <w:link w:val="CommentText"/>
    <w:uiPriority w:val="99"/>
    <w:rsid w:val="00970E75"/>
    <w:rPr>
      <w:rFonts w:ascii="Calibri" w:hAnsi="Calibri"/>
      <w:sz w:val="24"/>
      <w:szCs w:val="24"/>
    </w:rPr>
  </w:style>
  <w:style w:type="character" w:styleId="CommentReference">
    <w:name w:val="annotation reference"/>
    <w:uiPriority w:val="99"/>
    <w:semiHidden/>
    <w:unhideWhenUsed/>
    <w:rsid w:val="00970E75"/>
    <w:rPr>
      <w:sz w:val="16"/>
      <w:szCs w:val="16"/>
    </w:rPr>
  </w:style>
  <w:style w:type="character" w:customStyle="1" w:styleId="Heading4Char">
    <w:name w:val="Heading 4 Char"/>
    <w:link w:val="Heading4"/>
    <w:uiPriority w:val="9"/>
    <w:rsid w:val="00C6297C"/>
    <w:rPr>
      <w:rFonts w:ascii="Calibri" w:eastAsia="MS Gothic" w:hAnsi="Calibri" w:cs="Times New Roman"/>
      <w:b/>
      <w:bCs/>
      <w:iCs/>
      <w:color w:val="4F81BD"/>
      <w:sz w:val="22"/>
      <w:szCs w:val="24"/>
    </w:rPr>
  </w:style>
  <w:style w:type="paragraph" w:styleId="TOCHeading">
    <w:name w:val="TOC Heading"/>
    <w:basedOn w:val="Heading1"/>
    <w:next w:val="Normal"/>
    <w:uiPriority w:val="39"/>
    <w:unhideWhenUsed/>
    <w:qFormat/>
    <w:rsid w:val="0084444F"/>
    <w:pPr>
      <w:spacing w:line="276" w:lineRule="auto"/>
      <w:outlineLvl w:val="9"/>
    </w:pPr>
    <w:rPr>
      <w:color w:val="365F91"/>
      <w:sz w:val="28"/>
      <w:szCs w:val="28"/>
      <w:lang w:eastAsia="en-US"/>
    </w:rPr>
  </w:style>
  <w:style w:type="paragraph" w:styleId="TOC1">
    <w:name w:val="toc 1"/>
    <w:basedOn w:val="Normal"/>
    <w:next w:val="Normal"/>
    <w:autoRedefine/>
    <w:uiPriority w:val="39"/>
    <w:unhideWhenUsed/>
    <w:rsid w:val="003E2279"/>
    <w:pPr>
      <w:tabs>
        <w:tab w:val="right" w:leader="dot" w:pos="8630"/>
      </w:tabs>
      <w:spacing w:before="120"/>
    </w:pPr>
    <w:rPr>
      <w:b/>
      <w:color w:val="548DD4"/>
      <w:sz w:val="24"/>
    </w:rPr>
  </w:style>
  <w:style w:type="paragraph" w:styleId="TOC3">
    <w:name w:val="toc 3"/>
    <w:basedOn w:val="Normal"/>
    <w:next w:val="Normal"/>
    <w:autoRedefine/>
    <w:uiPriority w:val="39"/>
    <w:unhideWhenUsed/>
    <w:rsid w:val="003A3B29"/>
    <w:pPr>
      <w:ind w:left="200"/>
    </w:pPr>
    <w:rPr>
      <w:i/>
      <w:sz w:val="22"/>
      <w:szCs w:val="22"/>
    </w:rPr>
  </w:style>
  <w:style w:type="paragraph" w:styleId="TOC2">
    <w:name w:val="toc 2"/>
    <w:basedOn w:val="Normal"/>
    <w:next w:val="Normal"/>
    <w:autoRedefine/>
    <w:uiPriority w:val="39"/>
    <w:unhideWhenUsed/>
    <w:rsid w:val="003A3B29"/>
    <w:rPr>
      <w:sz w:val="22"/>
      <w:szCs w:val="22"/>
    </w:rPr>
  </w:style>
  <w:style w:type="paragraph" w:styleId="TOC4">
    <w:name w:val="toc 4"/>
    <w:basedOn w:val="Normal"/>
    <w:next w:val="Normal"/>
    <w:autoRedefine/>
    <w:uiPriority w:val="39"/>
    <w:semiHidden/>
    <w:unhideWhenUsed/>
    <w:rsid w:val="0084444F"/>
    <w:pPr>
      <w:pBdr>
        <w:between w:val="double" w:sz="6" w:space="0" w:color="auto"/>
      </w:pBdr>
      <w:ind w:left="400"/>
    </w:pPr>
    <w:rPr>
      <w:rFonts w:ascii="Cambria" w:hAnsi="Cambria"/>
      <w:szCs w:val="20"/>
    </w:rPr>
  </w:style>
  <w:style w:type="paragraph" w:styleId="TOC5">
    <w:name w:val="toc 5"/>
    <w:basedOn w:val="Normal"/>
    <w:next w:val="Normal"/>
    <w:autoRedefine/>
    <w:uiPriority w:val="39"/>
    <w:semiHidden/>
    <w:unhideWhenUsed/>
    <w:rsid w:val="0084444F"/>
    <w:pPr>
      <w:pBdr>
        <w:between w:val="double" w:sz="6" w:space="0" w:color="auto"/>
      </w:pBdr>
      <w:ind w:left="600"/>
    </w:pPr>
    <w:rPr>
      <w:rFonts w:ascii="Cambria" w:hAnsi="Cambria"/>
      <w:szCs w:val="20"/>
    </w:rPr>
  </w:style>
  <w:style w:type="paragraph" w:styleId="TOC6">
    <w:name w:val="toc 6"/>
    <w:basedOn w:val="Normal"/>
    <w:next w:val="Normal"/>
    <w:autoRedefine/>
    <w:uiPriority w:val="39"/>
    <w:semiHidden/>
    <w:unhideWhenUsed/>
    <w:rsid w:val="0084444F"/>
    <w:pPr>
      <w:pBdr>
        <w:between w:val="double" w:sz="6" w:space="0" w:color="auto"/>
      </w:pBdr>
      <w:ind w:left="800"/>
    </w:pPr>
    <w:rPr>
      <w:rFonts w:ascii="Cambria" w:hAnsi="Cambria"/>
      <w:szCs w:val="20"/>
    </w:rPr>
  </w:style>
  <w:style w:type="paragraph" w:styleId="TOC7">
    <w:name w:val="toc 7"/>
    <w:basedOn w:val="Normal"/>
    <w:next w:val="Normal"/>
    <w:autoRedefine/>
    <w:uiPriority w:val="39"/>
    <w:semiHidden/>
    <w:unhideWhenUsed/>
    <w:rsid w:val="0084444F"/>
    <w:pPr>
      <w:pBdr>
        <w:between w:val="double" w:sz="6" w:space="0" w:color="auto"/>
      </w:pBdr>
      <w:ind w:left="1000"/>
    </w:pPr>
    <w:rPr>
      <w:rFonts w:ascii="Cambria" w:hAnsi="Cambria"/>
      <w:szCs w:val="20"/>
    </w:rPr>
  </w:style>
  <w:style w:type="paragraph" w:styleId="TOC8">
    <w:name w:val="toc 8"/>
    <w:basedOn w:val="Normal"/>
    <w:next w:val="Normal"/>
    <w:autoRedefine/>
    <w:uiPriority w:val="39"/>
    <w:semiHidden/>
    <w:unhideWhenUsed/>
    <w:rsid w:val="0084444F"/>
    <w:pPr>
      <w:pBdr>
        <w:between w:val="double" w:sz="6" w:space="0" w:color="auto"/>
      </w:pBdr>
      <w:ind w:left="1200"/>
    </w:pPr>
    <w:rPr>
      <w:rFonts w:ascii="Cambria" w:hAnsi="Cambria"/>
      <w:szCs w:val="20"/>
    </w:rPr>
  </w:style>
  <w:style w:type="paragraph" w:styleId="TOC9">
    <w:name w:val="toc 9"/>
    <w:basedOn w:val="Normal"/>
    <w:next w:val="Normal"/>
    <w:autoRedefine/>
    <w:uiPriority w:val="39"/>
    <w:semiHidden/>
    <w:unhideWhenUsed/>
    <w:rsid w:val="0084444F"/>
    <w:pPr>
      <w:pBdr>
        <w:between w:val="double" w:sz="6" w:space="0" w:color="auto"/>
      </w:pBdr>
      <w:ind w:left="1400"/>
    </w:pPr>
    <w:rPr>
      <w:rFonts w:ascii="Cambria" w:hAnsi="Cambria"/>
      <w:szCs w:val="20"/>
    </w:rPr>
  </w:style>
  <w:style w:type="paragraph" w:styleId="Subtitle">
    <w:name w:val="Subtitle"/>
    <w:basedOn w:val="Normal"/>
    <w:next w:val="Normal"/>
    <w:link w:val="SubtitleChar"/>
    <w:uiPriority w:val="11"/>
    <w:qFormat/>
    <w:rsid w:val="00897C5D"/>
    <w:pPr>
      <w:numPr>
        <w:ilvl w:val="1"/>
      </w:numPr>
    </w:pPr>
    <w:rPr>
      <w:rFonts w:eastAsia="MS Gothic"/>
      <w:i/>
      <w:iCs/>
      <w:color w:val="2B6991"/>
      <w:spacing w:val="15"/>
      <w:sz w:val="24"/>
    </w:rPr>
  </w:style>
  <w:style w:type="character" w:customStyle="1" w:styleId="SubtitleChar">
    <w:name w:val="Subtitle Char"/>
    <w:link w:val="Subtitle"/>
    <w:uiPriority w:val="11"/>
    <w:rsid w:val="00897C5D"/>
    <w:rPr>
      <w:rFonts w:ascii="Calibri" w:eastAsia="MS Gothic" w:hAnsi="Calibri" w:cs="Times New Roman"/>
      <w:i/>
      <w:iCs/>
      <w:color w:val="2B6991"/>
      <w:spacing w:val="15"/>
      <w:sz w:val="24"/>
      <w:szCs w:val="24"/>
    </w:rPr>
  </w:style>
  <w:style w:type="paragraph" w:customStyle="1" w:styleId="ColorfulGrid-Accent61">
    <w:name w:val="Colorful Grid - Accent 61"/>
    <w:hidden/>
    <w:uiPriority w:val="99"/>
    <w:semiHidden/>
    <w:rsid w:val="00614CD7"/>
    <w:rPr>
      <w:rFonts w:ascii="Calibri" w:hAnsi="Calibri"/>
      <w:szCs w:val="24"/>
      <w:lang w:eastAsia="ja-JP"/>
    </w:rPr>
  </w:style>
  <w:style w:type="paragraph" w:styleId="CommentSubject">
    <w:name w:val="annotation subject"/>
    <w:basedOn w:val="CommentText"/>
    <w:next w:val="CommentText"/>
    <w:link w:val="CommentSubjectChar"/>
    <w:uiPriority w:val="99"/>
    <w:semiHidden/>
    <w:unhideWhenUsed/>
    <w:rsid w:val="004B5FCA"/>
    <w:rPr>
      <w:b/>
      <w:bCs/>
      <w:sz w:val="20"/>
      <w:szCs w:val="20"/>
    </w:rPr>
  </w:style>
  <w:style w:type="character" w:customStyle="1" w:styleId="CommentSubjectChar">
    <w:name w:val="Comment Subject Char"/>
    <w:link w:val="CommentSubject"/>
    <w:uiPriority w:val="99"/>
    <w:semiHidden/>
    <w:rsid w:val="004B5FCA"/>
    <w:rPr>
      <w:rFonts w:ascii="Calibri" w:hAnsi="Calibri"/>
      <w:b/>
      <w:bCs/>
      <w:sz w:val="24"/>
      <w:szCs w:val="24"/>
    </w:rPr>
  </w:style>
  <w:style w:type="paragraph" w:customStyle="1" w:styleId="Default">
    <w:name w:val="Default"/>
    <w:rsid w:val="00E06E2E"/>
    <w:pPr>
      <w:autoSpaceDE w:val="0"/>
      <w:autoSpaceDN w:val="0"/>
      <w:adjustRightInd w:val="0"/>
    </w:pPr>
    <w:rPr>
      <w:rFonts w:ascii="Calibri" w:eastAsia="Calibri" w:hAnsi="Calibri" w:cs="Calibri"/>
      <w:color w:val="000000"/>
      <w:sz w:val="24"/>
      <w:szCs w:val="24"/>
    </w:rPr>
  </w:style>
  <w:style w:type="paragraph" w:customStyle="1" w:styleId="Pa3">
    <w:name w:val="Pa3"/>
    <w:basedOn w:val="Default"/>
    <w:next w:val="Default"/>
    <w:uiPriority w:val="99"/>
    <w:rsid w:val="00E06E2E"/>
    <w:pPr>
      <w:spacing w:line="211" w:lineRule="atLeast"/>
    </w:pPr>
    <w:rPr>
      <w:rFonts w:cs="Times New Roman"/>
      <w:color w:val="auto"/>
    </w:rPr>
  </w:style>
  <w:style w:type="paragraph" w:customStyle="1" w:styleId="Heading3a">
    <w:name w:val="Heading 3a"/>
    <w:basedOn w:val="Heading3"/>
    <w:qFormat/>
    <w:rsid w:val="002B0C47"/>
  </w:style>
  <w:style w:type="paragraph" w:customStyle="1" w:styleId="standardssubheadsnoTOC">
    <w:name w:val="standards subheads no TOC"/>
    <w:basedOn w:val="Normal"/>
    <w:qFormat/>
    <w:rsid w:val="002B0C47"/>
    <w:pPr>
      <w:spacing w:before="240" w:after="240"/>
    </w:pPr>
    <w:rPr>
      <w:b/>
      <w:bCs/>
      <w:color w:val="4F81BD"/>
      <w:sz w:val="22"/>
      <w:szCs w:val="22"/>
    </w:rPr>
  </w:style>
  <w:style w:type="paragraph" w:customStyle="1" w:styleId="listbulletssubbullets">
    <w:name w:val="list bullets sub bullets"/>
    <w:basedOn w:val="listbullets1"/>
    <w:qFormat/>
    <w:rsid w:val="00E75D7F"/>
    <w:pPr>
      <w:numPr>
        <w:numId w:val="115"/>
      </w:numPr>
    </w:pPr>
  </w:style>
  <w:style w:type="paragraph" w:customStyle="1" w:styleId="MediumShading2-Accent61">
    <w:name w:val="Medium Shading 2 - Accent 61"/>
    <w:hidden/>
    <w:uiPriority w:val="71"/>
    <w:rsid w:val="009D06B9"/>
    <w:rPr>
      <w:rFonts w:ascii="Calibri" w:hAnsi="Calibri"/>
      <w:szCs w:val="24"/>
      <w:lang w:eastAsia="ja-JP"/>
    </w:rPr>
  </w:style>
  <w:style w:type="character" w:styleId="FollowedHyperlink">
    <w:name w:val="FollowedHyperlink"/>
    <w:uiPriority w:val="99"/>
    <w:semiHidden/>
    <w:unhideWhenUsed/>
    <w:rsid w:val="00DC00D8"/>
    <w:rPr>
      <w:color w:val="800080"/>
      <w:u w:val="single"/>
    </w:rPr>
  </w:style>
  <w:style w:type="character" w:styleId="Emphasis">
    <w:name w:val="Emphasis"/>
    <w:uiPriority w:val="20"/>
    <w:qFormat/>
    <w:rsid w:val="001B4AD5"/>
    <w:rPr>
      <w:i/>
      <w:iCs/>
    </w:rPr>
  </w:style>
  <w:style w:type="paragraph" w:customStyle="1" w:styleId="MediumShading1-Accent21">
    <w:name w:val="Medium Shading 1 - Accent 21"/>
    <w:uiPriority w:val="1"/>
    <w:qFormat/>
    <w:rsid w:val="001B4AD5"/>
    <w:rPr>
      <w:rFonts w:ascii="Calibri" w:eastAsia="Calibri" w:hAnsi="Calibri"/>
      <w:sz w:val="22"/>
      <w:szCs w:val="22"/>
    </w:rPr>
  </w:style>
  <w:style w:type="table" w:styleId="TableGrid">
    <w:name w:val="Table Grid"/>
    <w:basedOn w:val="TableNormal"/>
    <w:uiPriority w:val="59"/>
    <w:rsid w:val="00D77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71"/>
    <w:rsid w:val="0016267E"/>
    <w:rPr>
      <w:rFonts w:ascii="Calibri" w:hAnsi="Calibri"/>
      <w:szCs w:val="24"/>
      <w:lang w:eastAsia="ja-JP"/>
    </w:rPr>
  </w:style>
  <w:style w:type="paragraph" w:customStyle="1" w:styleId="ColorfulShading-Accent11">
    <w:name w:val="Colorful Shading - Accent 11"/>
    <w:hidden/>
    <w:uiPriority w:val="71"/>
    <w:rsid w:val="00DD78EF"/>
    <w:rPr>
      <w:rFonts w:ascii="Calibri" w:hAnsi="Calibri"/>
      <w:szCs w:val="24"/>
      <w:lang w:eastAsia="ja-JP"/>
    </w:rPr>
  </w:style>
  <w:style w:type="paragraph" w:styleId="Revision">
    <w:name w:val="Revision"/>
    <w:hidden/>
    <w:uiPriority w:val="99"/>
    <w:semiHidden/>
    <w:rsid w:val="007B63D1"/>
    <w:rPr>
      <w:rFonts w:ascii="Calibri" w:hAnsi="Calibri"/>
      <w:szCs w:val="24"/>
      <w:lang w:eastAsia="ja-JP"/>
    </w:rPr>
  </w:style>
  <w:style w:type="character" w:styleId="UnresolvedMention">
    <w:name w:val="Unresolved Mention"/>
    <w:uiPriority w:val="99"/>
    <w:semiHidden/>
    <w:unhideWhenUsed/>
    <w:rsid w:val="007671F0"/>
    <w:rPr>
      <w:color w:val="808080"/>
      <w:shd w:val="clear" w:color="auto" w:fill="E6E6E6"/>
    </w:rPr>
  </w:style>
  <w:style w:type="paragraph" w:customStyle="1" w:styleId="SESPbodynumbered">
    <w:name w:val="SESP body numbered"/>
    <w:basedOn w:val="Normal"/>
    <w:qFormat/>
    <w:rsid w:val="00273344"/>
    <w:pPr>
      <w:numPr>
        <w:numId w:val="62"/>
      </w:numPr>
      <w:tabs>
        <w:tab w:val="left" w:pos="360"/>
      </w:tabs>
      <w:spacing w:before="120" w:after="120" w:line="264" w:lineRule="auto"/>
    </w:pPr>
    <w:rPr>
      <w:szCs w:val="20"/>
    </w:rPr>
  </w:style>
  <w:style w:type="paragraph" w:styleId="ListParagraph">
    <w:name w:val="List Paragraph"/>
    <w:aliases w:val="List Paragraph1,Bullets,List Paragraph (numbered (a)),WB Para,Heading,Párrafo de lista1"/>
    <w:basedOn w:val="Normal"/>
    <w:link w:val="ListParagraphChar"/>
    <w:uiPriority w:val="34"/>
    <w:qFormat/>
    <w:rsid w:val="009077FC"/>
    <w:pPr>
      <w:spacing w:before="120" w:after="120" w:line="280" w:lineRule="exact"/>
      <w:ind w:left="720"/>
      <w:jc w:val="both"/>
    </w:pPr>
    <w:rPr>
      <w:rFonts w:eastAsia="Calibri" w:cs="Calibri Light"/>
      <w:sz w:val="22"/>
      <w:szCs w:val="22"/>
      <w:lang w:eastAsia="en-US"/>
    </w:rPr>
  </w:style>
  <w:style w:type="character" w:customStyle="1" w:styleId="ListParagraphChar">
    <w:name w:val="List Paragraph Char"/>
    <w:aliases w:val="List Paragraph1 Char,Bullets Char,List Paragraph (numbered (a)) Char,WB Para Char,Heading Char,Párrafo de lista1 Char"/>
    <w:link w:val="ListParagraph"/>
    <w:uiPriority w:val="34"/>
    <w:rsid w:val="009077FC"/>
    <w:rPr>
      <w:rFonts w:ascii="Calibri" w:eastAsia="Calibri" w:hAnsi="Calibri" w:cs="Calibri Light"/>
      <w:sz w:val="22"/>
      <w:szCs w:val="22"/>
    </w:rPr>
  </w:style>
  <w:style w:type="paragraph" w:customStyle="1" w:styleId="SEQSoutline">
    <w:name w:val="SEQS outline"/>
    <w:basedOn w:val="ListParagraph"/>
    <w:autoRedefine/>
    <w:qFormat/>
    <w:rsid w:val="005F73DF"/>
    <w:pPr>
      <w:numPr>
        <w:numId w:val="92"/>
      </w:numPr>
      <w:spacing w:before="300" w:after="300" w:line="264" w:lineRule="auto"/>
      <w:ind w:left="432" w:hanging="432"/>
    </w:pPr>
    <w:rPr>
      <w:rFonts w:eastAsia="Yu Mincho" w:cs="Arial"/>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5933">
      <w:bodyDiv w:val="1"/>
      <w:marLeft w:val="0"/>
      <w:marRight w:val="0"/>
      <w:marTop w:val="0"/>
      <w:marBottom w:val="0"/>
      <w:divBdr>
        <w:top w:val="none" w:sz="0" w:space="0" w:color="auto"/>
        <w:left w:val="none" w:sz="0" w:space="0" w:color="auto"/>
        <w:bottom w:val="none" w:sz="0" w:space="0" w:color="auto"/>
        <w:right w:val="none" w:sz="0" w:space="0" w:color="auto"/>
      </w:divBdr>
      <w:divsChild>
        <w:div w:id="86049253">
          <w:marLeft w:val="0"/>
          <w:marRight w:val="0"/>
          <w:marTop w:val="0"/>
          <w:marBottom w:val="0"/>
          <w:divBdr>
            <w:top w:val="none" w:sz="0" w:space="0" w:color="auto"/>
            <w:left w:val="none" w:sz="0" w:space="0" w:color="auto"/>
            <w:bottom w:val="none" w:sz="0" w:space="0" w:color="auto"/>
            <w:right w:val="none" w:sz="0" w:space="0" w:color="auto"/>
          </w:divBdr>
        </w:div>
        <w:div w:id="653485646">
          <w:marLeft w:val="0"/>
          <w:marRight w:val="0"/>
          <w:marTop w:val="0"/>
          <w:marBottom w:val="0"/>
          <w:divBdr>
            <w:top w:val="none" w:sz="0" w:space="0" w:color="auto"/>
            <w:left w:val="none" w:sz="0" w:space="0" w:color="auto"/>
            <w:bottom w:val="none" w:sz="0" w:space="0" w:color="auto"/>
            <w:right w:val="none" w:sz="0" w:space="0" w:color="auto"/>
          </w:divBdr>
        </w:div>
        <w:div w:id="849836197">
          <w:marLeft w:val="0"/>
          <w:marRight w:val="0"/>
          <w:marTop w:val="0"/>
          <w:marBottom w:val="0"/>
          <w:divBdr>
            <w:top w:val="none" w:sz="0" w:space="0" w:color="auto"/>
            <w:left w:val="none" w:sz="0" w:space="0" w:color="auto"/>
            <w:bottom w:val="none" w:sz="0" w:space="0" w:color="auto"/>
            <w:right w:val="none" w:sz="0" w:space="0" w:color="auto"/>
          </w:divBdr>
        </w:div>
        <w:div w:id="1594169821">
          <w:marLeft w:val="0"/>
          <w:marRight w:val="0"/>
          <w:marTop w:val="0"/>
          <w:marBottom w:val="0"/>
          <w:divBdr>
            <w:top w:val="none" w:sz="0" w:space="0" w:color="auto"/>
            <w:left w:val="none" w:sz="0" w:space="0" w:color="auto"/>
            <w:bottom w:val="none" w:sz="0" w:space="0" w:color="auto"/>
            <w:right w:val="none" w:sz="0" w:space="0" w:color="auto"/>
          </w:divBdr>
        </w:div>
      </w:divsChild>
    </w:div>
    <w:div w:id="321470103">
      <w:bodyDiv w:val="1"/>
      <w:marLeft w:val="0"/>
      <w:marRight w:val="0"/>
      <w:marTop w:val="0"/>
      <w:marBottom w:val="0"/>
      <w:divBdr>
        <w:top w:val="none" w:sz="0" w:space="0" w:color="auto"/>
        <w:left w:val="none" w:sz="0" w:space="0" w:color="auto"/>
        <w:bottom w:val="none" w:sz="0" w:space="0" w:color="auto"/>
        <w:right w:val="none" w:sz="0" w:space="0" w:color="auto"/>
      </w:divBdr>
      <w:divsChild>
        <w:div w:id="36898683">
          <w:marLeft w:val="0"/>
          <w:marRight w:val="0"/>
          <w:marTop w:val="0"/>
          <w:marBottom w:val="0"/>
          <w:divBdr>
            <w:top w:val="none" w:sz="0" w:space="0" w:color="auto"/>
            <w:left w:val="none" w:sz="0" w:space="0" w:color="auto"/>
            <w:bottom w:val="none" w:sz="0" w:space="0" w:color="auto"/>
            <w:right w:val="none" w:sz="0" w:space="0" w:color="auto"/>
          </w:divBdr>
        </w:div>
        <w:div w:id="608198399">
          <w:marLeft w:val="0"/>
          <w:marRight w:val="0"/>
          <w:marTop w:val="0"/>
          <w:marBottom w:val="0"/>
          <w:divBdr>
            <w:top w:val="none" w:sz="0" w:space="0" w:color="auto"/>
            <w:left w:val="none" w:sz="0" w:space="0" w:color="auto"/>
            <w:bottom w:val="none" w:sz="0" w:space="0" w:color="auto"/>
            <w:right w:val="none" w:sz="0" w:space="0" w:color="auto"/>
          </w:divBdr>
        </w:div>
      </w:divsChild>
    </w:div>
    <w:div w:id="382366717">
      <w:bodyDiv w:val="1"/>
      <w:marLeft w:val="0"/>
      <w:marRight w:val="0"/>
      <w:marTop w:val="0"/>
      <w:marBottom w:val="0"/>
      <w:divBdr>
        <w:top w:val="none" w:sz="0" w:space="0" w:color="auto"/>
        <w:left w:val="none" w:sz="0" w:space="0" w:color="auto"/>
        <w:bottom w:val="none" w:sz="0" w:space="0" w:color="auto"/>
        <w:right w:val="none" w:sz="0" w:space="0" w:color="auto"/>
      </w:divBdr>
    </w:div>
    <w:div w:id="590553851">
      <w:bodyDiv w:val="1"/>
      <w:marLeft w:val="0"/>
      <w:marRight w:val="0"/>
      <w:marTop w:val="0"/>
      <w:marBottom w:val="0"/>
      <w:divBdr>
        <w:top w:val="none" w:sz="0" w:space="0" w:color="auto"/>
        <w:left w:val="none" w:sz="0" w:space="0" w:color="auto"/>
        <w:bottom w:val="none" w:sz="0" w:space="0" w:color="auto"/>
        <w:right w:val="none" w:sz="0" w:space="0" w:color="auto"/>
      </w:divBdr>
    </w:div>
    <w:div w:id="627593061">
      <w:bodyDiv w:val="1"/>
      <w:marLeft w:val="0"/>
      <w:marRight w:val="0"/>
      <w:marTop w:val="0"/>
      <w:marBottom w:val="0"/>
      <w:divBdr>
        <w:top w:val="none" w:sz="0" w:space="0" w:color="auto"/>
        <w:left w:val="none" w:sz="0" w:space="0" w:color="auto"/>
        <w:bottom w:val="none" w:sz="0" w:space="0" w:color="auto"/>
        <w:right w:val="none" w:sz="0" w:space="0" w:color="auto"/>
      </w:divBdr>
      <w:divsChild>
        <w:div w:id="1638409823">
          <w:marLeft w:val="0"/>
          <w:marRight w:val="0"/>
          <w:marTop w:val="0"/>
          <w:marBottom w:val="0"/>
          <w:divBdr>
            <w:top w:val="none" w:sz="0" w:space="0" w:color="auto"/>
            <w:left w:val="none" w:sz="0" w:space="0" w:color="auto"/>
            <w:bottom w:val="none" w:sz="0" w:space="0" w:color="auto"/>
            <w:right w:val="none" w:sz="0" w:space="0" w:color="auto"/>
          </w:divBdr>
          <w:divsChild>
            <w:div w:id="1228031891">
              <w:marLeft w:val="0"/>
              <w:marRight w:val="0"/>
              <w:marTop w:val="0"/>
              <w:marBottom w:val="0"/>
              <w:divBdr>
                <w:top w:val="none" w:sz="0" w:space="0" w:color="auto"/>
                <w:left w:val="none" w:sz="0" w:space="0" w:color="auto"/>
                <w:bottom w:val="none" w:sz="0" w:space="0" w:color="auto"/>
                <w:right w:val="none" w:sz="0" w:space="0" w:color="auto"/>
              </w:divBdr>
              <w:divsChild>
                <w:div w:id="8863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5173">
      <w:bodyDiv w:val="1"/>
      <w:marLeft w:val="0"/>
      <w:marRight w:val="0"/>
      <w:marTop w:val="0"/>
      <w:marBottom w:val="0"/>
      <w:divBdr>
        <w:top w:val="none" w:sz="0" w:space="0" w:color="auto"/>
        <w:left w:val="none" w:sz="0" w:space="0" w:color="auto"/>
        <w:bottom w:val="none" w:sz="0" w:space="0" w:color="auto"/>
        <w:right w:val="none" w:sz="0" w:space="0" w:color="auto"/>
      </w:divBdr>
    </w:div>
    <w:div w:id="710500576">
      <w:bodyDiv w:val="1"/>
      <w:marLeft w:val="0"/>
      <w:marRight w:val="0"/>
      <w:marTop w:val="0"/>
      <w:marBottom w:val="0"/>
      <w:divBdr>
        <w:top w:val="none" w:sz="0" w:space="0" w:color="auto"/>
        <w:left w:val="none" w:sz="0" w:space="0" w:color="auto"/>
        <w:bottom w:val="none" w:sz="0" w:space="0" w:color="auto"/>
        <w:right w:val="none" w:sz="0" w:space="0" w:color="auto"/>
      </w:divBdr>
    </w:div>
    <w:div w:id="1028288807">
      <w:bodyDiv w:val="1"/>
      <w:marLeft w:val="0"/>
      <w:marRight w:val="0"/>
      <w:marTop w:val="0"/>
      <w:marBottom w:val="0"/>
      <w:divBdr>
        <w:top w:val="none" w:sz="0" w:space="0" w:color="auto"/>
        <w:left w:val="none" w:sz="0" w:space="0" w:color="auto"/>
        <w:bottom w:val="none" w:sz="0" w:space="0" w:color="auto"/>
        <w:right w:val="none" w:sz="0" w:space="0" w:color="auto"/>
      </w:divBdr>
    </w:div>
    <w:div w:id="1142847054">
      <w:bodyDiv w:val="1"/>
      <w:marLeft w:val="0"/>
      <w:marRight w:val="0"/>
      <w:marTop w:val="0"/>
      <w:marBottom w:val="0"/>
      <w:divBdr>
        <w:top w:val="none" w:sz="0" w:space="0" w:color="auto"/>
        <w:left w:val="none" w:sz="0" w:space="0" w:color="auto"/>
        <w:bottom w:val="none" w:sz="0" w:space="0" w:color="auto"/>
        <w:right w:val="none" w:sz="0" w:space="0" w:color="auto"/>
      </w:divBdr>
    </w:div>
    <w:div w:id="1178889440">
      <w:bodyDiv w:val="1"/>
      <w:marLeft w:val="0"/>
      <w:marRight w:val="0"/>
      <w:marTop w:val="0"/>
      <w:marBottom w:val="0"/>
      <w:divBdr>
        <w:top w:val="none" w:sz="0" w:space="0" w:color="auto"/>
        <w:left w:val="none" w:sz="0" w:space="0" w:color="auto"/>
        <w:bottom w:val="none" w:sz="0" w:space="0" w:color="auto"/>
        <w:right w:val="none" w:sz="0" w:space="0" w:color="auto"/>
      </w:divBdr>
      <w:divsChild>
        <w:div w:id="901796581">
          <w:marLeft w:val="0"/>
          <w:marRight w:val="0"/>
          <w:marTop w:val="0"/>
          <w:marBottom w:val="0"/>
          <w:divBdr>
            <w:top w:val="none" w:sz="0" w:space="0" w:color="auto"/>
            <w:left w:val="none" w:sz="0" w:space="0" w:color="auto"/>
            <w:bottom w:val="none" w:sz="0" w:space="0" w:color="auto"/>
            <w:right w:val="none" w:sz="0" w:space="0" w:color="auto"/>
          </w:divBdr>
          <w:divsChild>
            <w:div w:id="1485732891">
              <w:marLeft w:val="0"/>
              <w:marRight w:val="0"/>
              <w:marTop w:val="0"/>
              <w:marBottom w:val="0"/>
              <w:divBdr>
                <w:top w:val="none" w:sz="0" w:space="0" w:color="auto"/>
                <w:left w:val="none" w:sz="0" w:space="0" w:color="auto"/>
                <w:bottom w:val="none" w:sz="0" w:space="0" w:color="auto"/>
                <w:right w:val="none" w:sz="0" w:space="0" w:color="auto"/>
              </w:divBdr>
              <w:divsChild>
                <w:div w:id="2114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8624">
      <w:bodyDiv w:val="1"/>
      <w:marLeft w:val="0"/>
      <w:marRight w:val="0"/>
      <w:marTop w:val="0"/>
      <w:marBottom w:val="0"/>
      <w:divBdr>
        <w:top w:val="none" w:sz="0" w:space="0" w:color="auto"/>
        <w:left w:val="none" w:sz="0" w:space="0" w:color="auto"/>
        <w:bottom w:val="none" w:sz="0" w:space="0" w:color="auto"/>
        <w:right w:val="none" w:sz="0" w:space="0" w:color="auto"/>
      </w:divBdr>
      <w:divsChild>
        <w:div w:id="536309730">
          <w:marLeft w:val="0"/>
          <w:marRight w:val="0"/>
          <w:marTop w:val="0"/>
          <w:marBottom w:val="0"/>
          <w:divBdr>
            <w:top w:val="none" w:sz="0" w:space="0" w:color="auto"/>
            <w:left w:val="none" w:sz="0" w:space="0" w:color="auto"/>
            <w:bottom w:val="none" w:sz="0" w:space="0" w:color="auto"/>
            <w:right w:val="none" w:sz="0" w:space="0" w:color="auto"/>
          </w:divBdr>
          <w:divsChild>
            <w:div w:id="930236719">
              <w:marLeft w:val="0"/>
              <w:marRight w:val="0"/>
              <w:marTop w:val="0"/>
              <w:marBottom w:val="0"/>
              <w:divBdr>
                <w:top w:val="none" w:sz="0" w:space="0" w:color="auto"/>
                <w:left w:val="none" w:sz="0" w:space="0" w:color="auto"/>
                <w:bottom w:val="none" w:sz="0" w:space="0" w:color="auto"/>
                <w:right w:val="none" w:sz="0" w:space="0" w:color="auto"/>
              </w:divBdr>
              <w:divsChild>
                <w:div w:id="5815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5362">
      <w:bodyDiv w:val="1"/>
      <w:marLeft w:val="0"/>
      <w:marRight w:val="0"/>
      <w:marTop w:val="0"/>
      <w:marBottom w:val="0"/>
      <w:divBdr>
        <w:top w:val="none" w:sz="0" w:space="0" w:color="auto"/>
        <w:left w:val="none" w:sz="0" w:space="0" w:color="auto"/>
        <w:bottom w:val="none" w:sz="0" w:space="0" w:color="auto"/>
        <w:right w:val="none" w:sz="0" w:space="0" w:color="auto"/>
      </w:divBdr>
      <w:divsChild>
        <w:div w:id="1982155540">
          <w:marLeft w:val="0"/>
          <w:marRight w:val="0"/>
          <w:marTop w:val="0"/>
          <w:marBottom w:val="0"/>
          <w:divBdr>
            <w:top w:val="none" w:sz="0" w:space="0" w:color="auto"/>
            <w:left w:val="none" w:sz="0" w:space="0" w:color="auto"/>
            <w:bottom w:val="none" w:sz="0" w:space="0" w:color="auto"/>
            <w:right w:val="none" w:sz="0" w:space="0" w:color="auto"/>
          </w:divBdr>
          <w:divsChild>
            <w:div w:id="566652822">
              <w:marLeft w:val="0"/>
              <w:marRight w:val="0"/>
              <w:marTop w:val="0"/>
              <w:marBottom w:val="0"/>
              <w:divBdr>
                <w:top w:val="none" w:sz="0" w:space="0" w:color="auto"/>
                <w:left w:val="none" w:sz="0" w:space="0" w:color="auto"/>
                <w:bottom w:val="none" w:sz="0" w:space="0" w:color="auto"/>
                <w:right w:val="none" w:sz="0" w:space="0" w:color="auto"/>
              </w:divBdr>
              <w:divsChild>
                <w:div w:id="9932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4441">
      <w:bodyDiv w:val="1"/>
      <w:marLeft w:val="0"/>
      <w:marRight w:val="0"/>
      <w:marTop w:val="0"/>
      <w:marBottom w:val="0"/>
      <w:divBdr>
        <w:top w:val="none" w:sz="0" w:space="0" w:color="auto"/>
        <w:left w:val="none" w:sz="0" w:space="0" w:color="auto"/>
        <w:bottom w:val="none" w:sz="0" w:space="0" w:color="auto"/>
        <w:right w:val="none" w:sz="0" w:space="0" w:color="auto"/>
      </w:divBdr>
      <w:divsChild>
        <w:div w:id="1827673125">
          <w:marLeft w:val="0"/>
          <w:marRight w:val="0"/>
          <w:marTop w:val="0"/>
          <w:marBottom w:val="0"/>
          <w:divBdr>
            <w:top w:val="none" w:sz="0" w:space="0" w:color="auto"/>
            <w:left w:val="none" w:sz="0" w:space="0" w:color="auto"/>
            <w:bottom w:val="none" w:sz="0" w:space="0" w:color="auto"/>
            <w:right w:val="none" w:sz="0" w:space="0" w:color="auto"/>
          </w:divBdr>
        </w:div>
        <w:div w:id="2112313263">
          <w:marLeft w:val="0"/>
          <w:marRight w:val="0"/>
          <w:marTop w:val="0"/>
          <w:marBottom w:val="0"/>
          <w:divBdr>
            <w:top w:val="none" w:sz="0" w:space="0" w:color="auto"/>
            <w:left w:val="none" w:sz="0" w:space="0" w:color="auto"/>
            <w:bottom w:val="none" w:sz="0" w:space="0" w:color="auto"/>
            <w:right w:val="none" w:sz="0" w:space="0" w:color="auto"/>
          </w:divBdr>
        </w:div>
      </w:divsChild>
    </w:div>
    <w:div w:id="1753770304">
      <w:bodyDiv w:val="1"/>
      <w:marLeft w:val="0"/>
      <w:marRight w:val="0"/>
      <w:marTop w:val="0"/>
      <w:marBottom w:val="0"/>
      <w:divBdr>
        <w:top w:val="none" w:sz="0" w:space="0" w:color="auto"/>
        <w:left w:val="none" w:sz="0" w:space="0" w:color="auto"/>
        <w:bottom w:val="none" w:sz="0" w:space="0" w:color="auto"/>
        <w:right w:val="none" w:sz="0" w:space="0" w:color="auto"/>
      </w:divBdr>
    </w:div>
    <w:div w:id="2116441198">
      <w:bodyDiv w:val="1"/>
      <w:marLeft w:val="0"/>
      <w:marRight w:val="0"/>
      <w:marTop w:val="0"/>
      <w:marBottom w:val="0"/>
      <w:divBdr>
        <w:top w:val="none" w:sz="0" w:space="0" w:color="auto"/>
        <w:left w:val="none" w:sz="0" w:space="0" w:color="auto"/>
        <w:bottom w:val="none" w:sz="0" w:space="0" w:color="auto"/>
        <w:right w:val="none" w:sz="0" w:space="0" w:color="auto"/>
      </w:divBdr>
      <w:divsChild>
        <w:div w:id="93939135">
          <w:marLeft w:val="0"/>
          <w:marRight w:val="0"/>
          <w:marTop w:val="0"/>
          <w:marBottom w:val="0"/>
          <w:divBdr>
            <w:top w:val="none" w:sz="0" w:space="0" w:color="auto"/>
            <w:left w:val="none" w:sz="0" w:space="0" w:color="auto"/>
            <w:bottom w:val="none" w:sz="0" w:space="0" w:color="auto"/>
            <w:right w:val="none" w:sz="0" w:space="0" w:color="auto"/>
          </w:divBdr>
          <w:divsChild>
            <w:div w:id="1293749225">
              <w:marLeft w:val="0"/>
              <w:marRight w:val="0"/>
              <w:marTop w:val="0"/>
              <w:marBottom w:val="0"/>
              <w:divBdr>
                <w:top w:val="none" w:sz="0" w:space="0" w:color="auto"/>
                <w:left w:val="none" w:sz="0" w:space="0" w:color="auto"/>
                <w:bottom w:val="none" w:sz="0" w:space="0" w:color="auto"/>
                <w:right w:val="none" w:sz="0" w:space="0" w:color="auto"/>
              </w:divBdr>
              <w:divsChild>
                <w:div w:id="6005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asel.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ercuryconvention.org/" TargetMode="External"/><Relationship Id="rId2" Type="http://schemas.openxmlformats.org/officeDocument/2006/relationships/customXml" Target="../customXml/item2.xml"/><Relationship Id="rId16" Type="http://schemas.openxmlformats.org/officeDocument/2006/relationships/hyperlink" Target="http://ozone.unep.org/montreal-protocol-substances-deplete-ozone-layer/32506" TargetMode="External"/><Relationship Id="rId20"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pic.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cms.int/" TargetMode="External"/><Relationship Id="rId18" Type="http://schemas.openxmlformats.org/officeDocument/2006/relationships/hyperlink" Target="https://www.ippc.int/en/" TargetMode="External"/><Relationship Id="rId26" Type="http://schemas.openxmlformats.org/officeDocument/2006/relationships/hyperlink" Target="http://www.oecd.org/dac/43652123.pdf" TargetMode="External"/><Relationship Id="rId39" Type="http://schemas.openxmlformats.org/officeDocument/2006/relationships/hyperlink" Target="http://www.unesco.org/new/en/culture/themes/illicit-traffic-of-cultural-property/" TargetMode="External"/><Relationship Id="rId21" Type="http://schemas.openxmlformats.org/officeDocument/2006/relationships/hyperlink" Target="http://bbop.forest-trends.org/pages/guidelines" TargetMode="External"/><Relationship Id="rId34" Type="http://schemas.openxmlformats.org/officeDocument/2006/relationships/hyperlink" Target="http://www.unece.org/index.php?id=35086" TargetMode="External"/><Relationship Id="rId42" Type="http://schemas.openxmlformats.org/officeDocument/2006/relationships/hyperlink" Target="http://www.unesco.org/new/en/culture/themes/underwater-cultural-heritage/" TargetMode="External"/><Relationship Id="rId47" Type="http://schemas.openxmlformats.org/officeDocument/2006/relationships/hyperlink" Target="https://tbinternet.ohchr.org/_layouts/treatybodyexternal/Download.aspx?symbolno=INT/CESCR/GEC/6430&amp;Lang=en" TargetMode="External"/><Relationship Id="rId50" Type="http://schemas.openxmlformats.org/officeDocument/2006/relationships/hyperlink" Target="http://www.fao.org/cfs/home/activities/vggt/en/" TargetMode="External"/><Relationship Id="rId55" Type="http://schemas.openxmlformats.org/officeDocument/2006/relationships/hyperlink" Target="http://www.corteidh.or.cr/docs/casos/articulos/seriec_172_ing.pdf" TargetMode="External"/><Relationship Id="rId63" Type="http://schemas.openxmlformats.org/officeDocument/2006/relationships/hyperlink" Target="http://www.unece.org/env/lrtap/lrtap_h1.html" TargetMode="External"/><Relationship Id="rId68" Type="http://schemas.openxmlformats.org/officeDocument/2006/relationships/hyperlink" Target="http://ap.ohchr.org/documents/dpage_e.aspx?si=A/HRC/36/41" TargetMode="External"/><Relationship Id="rId76" Type="http://schemas.openxmlformats.org/officeDocument/2006/relationships/hyperlink" Target="https://info.undp.org/sites/bpps/ses_toolkit/default.aspx" TargetMode="External"/><Relationship Id="rId7" Type="http://schemas.openxmlformats.org/officeDocument/2006/relationships/hyperlink" Target="http://www.undg.org/content/programming_reference_guide_(undaf)/un_country_programming_principles/human_rights-based_approach_to_development_programming_(hrba" TargetMode="External"/><Relationship Id="rId71" Type="http://schemas.openxmlformats.org/officeDocument/2006/relationships/hyperlink" Target="http://chm.pops.int/" TargetMode="External"/><Relationship Id="rId2" Type="http://schemas.openxmlformats.org/officeDocument/2006/relationships/hyperlink" Target="https://popp.undp.org/_layouts/15/WopiFrame.aspx?sourcedoc=/UNDP_POPP_DOCUMENT_LIBRARY/Public/PSU_Procurement%20Overview_Sustainable%20Procurement.docx.docx&amp;action=default" TargetMode="External"/><Relationship Id="rId16" Type="http://schemas.openxmlformats.org/officeDocument/2006/relationships/hyperlink" Target="https://www.ramsar.org/" TargetMode="External"/><Relationship Id="rId29" Type="http://schemas.openxmlformats.org/officeDocument/2006/relationships/hyperlink" Target="https://www.unisdr.org/we/coordinate/sendai-framework" TargetMode="External"/><Relationship Id="rId11" Type="http://schemas.openxmlformats.org/officeDocument/2006/relationships/hyperlink" Target="http://www.cbd.int/sp/" TargetMode="External"/><Relationship Id="rId24" Type="http://schemas.openxmlformats.org/officeDocument/2006/relationships/hyperlink" Target="http://www.cbd.int/" TargetMode="External"/><Relationship Id="rId32" Type="http://schemas.openxmlformats.org/officeDocument/2006/relationships/hyperlink" Target="https://portals.iucn.org/library/sites/library/files/documents/2016-036.pdf" TargetMode="External"/><Relationship Id="rId37" Type="http://schemas.openxmlformats.org/officeDocument/2006/relationships/hyperlink" Target="http://www.voluntaryprinciples.org/" TargetMode="External"/><Relationship Id="rId40" Type="http://schemas.openxmlformats.org/officeDocument/2006/relationships/hyperlink" Target="mailto:http://www.unesco.org/new/en/culture/themes/illicit-traffic-of-cultural-property/" TargetMode="External"/><Relationship Id="rId45" Type="http://schemas.openxmlformats.org/officeDocument/2006/relationships/hyperlink" Target="https://www.icomos.org/world_heritage/HIA_20110201.pdf" TargetMode="External"/><Relationship Id="rId53" Type="http://schemas.openxmlformats.org/officeDocument/2006/relationships/hyperlink" Target="http://www.fao.org/tenure/voluntary-guidelines/en/" TargetMode="External"/><Relationship Id="rId58" Type="http://schemas.openxmlformats.org/officeDocument/2006/relationships/hyperlink" Target="https://info.undp.org/sites/bpps/ses_toolkit/default.aspx" TargetMode="External"/><Relationship Id="rId66" Type="http://schemas.openxmlformats.org/officeDocument/2006/relationships/hyperlink" Target="http://www.basel.int" TargetMode="External"/><Relationship Id="rId74" Type="http://schemas.openxmlformats.org/officeDocument/2006/relationships/hyperlink" Target="http://www.oecd.org/environment/environment-development/37353858.pdf" TargetMode="External"/><Relationship Id="rId79" Type="http://schemas.openxmlformats.org/officeDocument/2006/relationships/hyperlink" Target="https://info.undp.org/sites/bpps/ses_toolkit/default.aspx" TargetMode="External"/><Relationship Id="rId5" Type="http://schemas.openxmlformats.org/officeDocument/2006/relationships/hyperlink" Target="https://popp.undp.org/_layouts/15/WopiFrame.aspx?sourcedoc=/UNDP_POPP_DOCUMENT_LIBRARY/Public/PPM_Programming%20Standards_Quality%20Standards%20for%20Programming.docx&amp;action=default" TargetMode="External"/><Relationship Id="rId61" Type="http://schemas.openxmlformats.org/officeDocument/2006/relationships/hyperlink" Target="http://www.ilo.org/wcmsp5/groups/public/---dgreports/---dcomm/---publ/documents/publication/wcms_publ_9221116344_en.pdf" TargetMode="External"/><Relationship Id="rId10" Type="http://schemas.openxmlformats.org/officeDocument/2006/relationships/hyperlink" Target="http://www.cbd.int/" TargetMode="External"/><Relationship Id="rId19" Type="http://schemas.openxmlformats.org/officeDocument/2006/relationships/hyperlink" Target="https://iwc.int/home" TargetMode="External"/><Relationship Id="rId31" Type="http://schemas.openxmlformats.org/officeDocument/2006/relationships/hyperlink" Target="https://www.cbd.int/sbstta/sbstta-22-sbi-2/EbA-Eco-DRR-Guidelines-en.pdf" TargetMode="External"/><Relationship Id="rId44" Type="http://schemas.openxmlformats.org/officeDocument/2006/relationships/hyperlink" Target="http://www.wipo.int/tk/en/igc/" TargetMode="External"/><Relationship Id="rId52" Type="http://schemas.openxmlformats.org/officeDocument/2006/relationships/hyperlink" Target="http://undesadspd.org/IndigenousPeoples/DeclarationontheRightsofIndigenousPeoples.aspx" TargetMode="External"/><Relationship Id="rId60" Type="http://schemas.openxmlformats.org/officeDocument/2006/relationships/hyperlink" Target="https://www.ilo.org/declaration/thedeclaration/textdeclaration/lang--en/index.htm" TargetMode="External"/><Relationship Id="rId65" Type="http://schemas.openxmlformats.org/officeDocument/2006/relationships/hyperlink" Target="http://www.undp.org/content/undp/en/home/librarypage/environment-energy/chemicals_management/Guide_for_integrating_SMC_into_development_planning/" TargetMode="External"/><Relationship Id="rId73" Type="http://schemas.openxmlformats.org/officeDocument/2006/relationships/hyperlink" Target="http://ozone.unep.org/montreal-protocol-substances-deplete-ozone-layer/32506" TargetMode="External"/><Relationship Id="rId78" Type="http://schemas.openxmlformats.org/officeDocument/2006/relationships/hyperlink" Target="https://info.undp.org/sites/bpps/ses_toolkit/default.aspx" TargetMode="External"/><Relationship Id="rId81" Type="http://schemas.openxmlformats.org/officeDocument/2006/relationships/hyperlink" Target="http://www.undp.org/content/undp/en/home/operations/accountability/secu-srm/social-and-environmental-compliance-unit.html" TargetMode="External"/><Relationship Id="rId4" Type="http://schemas.openxmlformats.org/officeDocument/2006/relationships/hyperlink" Target="https://undg.org/document/united-nations-sustainable-development-cooperation-framework/" TargetMode="External"/><Relationship Id="rId9" Type="http://schemas.openxmlformats.org/officeDocument/2006/relationships/hyperlink" Target="http://www.undp.org/secu-srm" TargetMode="External"/><Relationship Id="rId14" Type="http://schemas.openxmlformats.org/officeDocument/2006/relationships/hyperlink" Target="https://www.cites.org/" TargetMode="External"/><Relationship Id="rId22" Type="http://schemas.openxmlformats.org/officeDocument/2006/relationships/hyperlink" Target="https://www.cites.org/eng" TargetMode="External"/><Relationship Id="rId27" Type="http://schemas.openxmlformats.org/officeDocument/2006/relationships/hyperlink" Target="https://unfccc.int/process/transparency-and-reporting/reporting-and-review-under-the-convention/greenhouse-gas-inventories-annex-i-parties/reporting-requirements" TargetMode="External"/><Relationship Id="rId30" Type="http://schemas.openxmlformats.org/officeDocument/2006/relationships/hyperlink" Target="https://www.unisdr.org/we/inform/publications/58969" TargetMode="External"/><Relationship Id="rId35" Type="http://schemas.openxmlformats.org/officeDocument/2006/relationships/hyperlink" Target="http://www.fao.org/docrep/012/i1531e/i1531e00.pdf" TargetMode="External"/><Relationship Id="rId43" Type="http://schemas.openxmlformats.org/officeDocument/2006/relationships/hyperlink" Target="mailto:http://www.unesco.org/new/en/culture/themes/cultural-diversity/diversity-of-cultural-expressions/" TargetMode="External"/><Relationship Id="rId48" Type="http://schemas.openxmlformats.org/officeDocument/2006/relationships/hyperlink" Target="http://www.ohchr.org/EN/Issues/Housing/Pages/ForcedEvictions.aspx." TargetMode="External"/><Relationship Id="rId56" Type="http://schemas.openxmlformats.org/officeDocument/2006/relationships/hyperlink" Target="https://www.cbd.int/decision/cop/?id=7753" TargetMode="External"/><Relationship Id="rId64" Type="http://schemas.openxmlformats.org/officeDocument/2006/relationships/hyperlink" Target="http://www.ifc.org/ehsguidelines" TargetMode="External"/><Relationship Id="rId69" Type="http://schemas.openxmlformats.org/officeDocument/2006/relationships/hyperlink" Target="http://www.fao.org/fileadmin/templates/agphome/documents/Pests_Pesticides/Code/CODE_2014Sep_ENG.pdf" TargetMode="External"/><Relationship Id="rId77" Type="http://schemas.openxmlformats.org/officeDocument/2006/relationships/hyperlink" Target="https://info.undp.org/sites/bpps/ses_toolkit/default.aspx" TargetMode="External"/><Relationship Id="rId8" Type="http://schemas.openxmlformats.org/officeDocument/2006/relationships/hyperlink" Target="http://www.unep.org/Documents.Multilingual/Default.asp?documentid=78&amp;articleid=1163" TargetMode="External"/><Relationship Id="rId51" Type="http://schemas.openxmlformats.org/officeDocument/2006/relationships/hyperlink" Target="https://unhabitat.org/the-right-to-adequate-housing-fact-sheet-no-21rev-1/" TargetMode="External"/><Relationship Id="rId72" Type="http://schemas.openxmlformats.org/officeDocument/2006/relationships/hyperlink" Target="http://www.pic.int/" TargetMode="External"/><Relationship Id="rId80" Type="http://schemas.openxmlformats.org/officeDocument/2006/relationships/hyperlink" Target="http://www.undp.org/content/undp/en/home/accountability/transparency/information-disclosure-policy.html" TargetMode="External"/><Relationship Id="rId3" Type="http://schemas.openxmlformats.org/officeDocument/2006/relationships/hyperlink" Target="https://www.undp.org/content/dam/undp/library/corporate/Procurement/english/3.%20UNDP%20GTCs%20for%20Contracts%20(Goods%20and-or%20Services)%20-%20Sept%202017.pdf" TargetMode="External"/><Relationship Id="rId12" Type="http://schemas.openxmlformats.org/officeDocument/2006/relationships/hyperlink" Target="http://www.undp.org/content/undp/en/home/librarypage/environment-energy/ecosystems_and_biodiversity/biodiversity-and-ecosystems-global-framework-2012-to-2020.html" TargetMode="External"/><Relationship Id="rId17" Type="http://schemas.openxmlformats.org/officeDocument/2006/relationships/hyperlink" Target="http://whc.unesco.org/" TargetMode="External"/><Relationship Id="rId25" Type="http://schemas.openxmlformats.org/officeDocument/2006/relationships/hyperlink" Target="http://www.cbd.int/abs/" TargetMode="External"/><Relationship Id="rId33" Type="http://schemas.openxmlformats.org/officeDocument/2006/relationships/hyperlink" Target="http://www.ifc.org/ehsguidelines" TargetMode="External"/><Relationship Id="rId38" Type="http://schemas.openxmlformats.org/officeDocument/2006/relationships/hyperlink" Target="mailto:http://www.unesco.org/new/en/culture/themes/armed-conflict-and-heritage/" TargetMode="External"/><Relationship Id="rId46" Type="http://schemas.openxmlformats.org/officeDocument/2006/relationships/hyperlink" Target="https://www.iucn.org/theme/world-heritage/resources/iucn-policies-world-heritage/environmental-assessment" TargetMode="External"/><Relationship Id="rId59" Type="http://schemas.openxmlformats.org/officeDocument/2006/relationships/hyperlink" Target="https://www.ilo.org/dyn/normlex/en/f?p=NORMLEXPUB:12000:0::NO:::" TargetMode="External"/><Relationship Id="rId67" Type="http://schemas.openxmlformats.org/officeDocument/2006/relationships/hyperlink" Target="http://www.saicm.org/" TargetMode="External"/><Relationship Id="rId20" Type="http://schemas.openxmlformats.org/officeDocument/2006/relationships/hyperlink" Target="https://www.cbd.int/ecosystem/" TargetMode="External"/><Relationship Id="rId41" Type="http://schemas.openxmlformats.org/officeDocument/2006/relationships/hyperlink" Target="http://whc.unesco.org/en/" TargetMode="External"/><Relationship Id="rId54" Type="http://schemas.openxmlformats.org/officeDocument/2006/relationships/hyperlink" Target="https://info.undp.org/sites/bpps/ses_toolkit/default.aspx" TargetMode="External"/><Relationship Id="rId62" Type="http://schemas.openxmlformats.org/officeDocument/2006/relationships/hyperlink" Target="http://ap.ohchr.org/documents/dpage_e.aspx?si=A/HRC/36/41" TargetMode="External"/><Relationship Id="rId70" Type="http://schemas.openxmlformats.org/officeDocument/2006/relationships/hyperlink" Target="http://www.who.int/ipcs/publications/pesticides_hazard/en/index.html" TargetMode="External"/><Relationship Id="rId75" Type="http://schemas.openxmlformats.org/officeDocument/2006/relationships/hyperlink" Target="https://info.undp.org/sites/bpps/ses_toolkit/default.aspx"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undg.org/document/leaving-no-one-behind-a-unsdg-operational-guide-for-un-country-teams-interim-draft/" TargetMode="External"/><Relationship Id="rId15" Type="http://schemas.openxmlformats.org/officeDocument/2006/relationships/hyperlink" Target="http://www.fao.org/plant-treaty/en/" TargetMode="External"/><Relationship Id="rId23" Type="http://schemas.openxmlformats.org/officeDocument/2006/relationships/hyperlink" Target="https://www.cites.org/eng/disc/species.php" TargetMode="External"/><Relationship Id="rId28" Type="http://schemas.openxmlformats.org/officeDocument/2006/relationships/hyperlink" Target="http://ozone.unep.org/" TargetMode="External"/><Relationship Id="rId36" Type="http://schemas.openxmlformats.org/officeDocument/2006/relationships/hyperlink" Target="http://www.ohchr.org/EN/NewYork/Pages/Resources.aspx" TargetMode="External"/><Relationship Id="rId49" Type="http://schemas.openxmlformats.org/officeDocument/2006/relationships/hyperlink" Target="https://unhabitat.org/forced-evictions-fact-sheet-no-25rev-1/" TargetMode="External"/><Relationship Id="rId57" Type="http://schemas.openxmlformats.org/officeDocument/2006/relationships/hyperlink" Target="https://www.cbd.int/decision/cop/default.shtml?id=12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F6A8BF690D64CBF9D13C1B88011E3" ma:contentTypeVersion="6" ma:contentTypeDescription="Create a new document." ma:contentTypeScope="" ma:versionID="2caa722195580302d76c433766a8f4df">
  <xsd:schema xmlns:xsd="http://www.w3.org/2001/XMLSchema" xmlns:xs="http://www.w3.org/2001/XMLSchema" xmlns:p="http://schemas.microsoft.com/office/2006/metadata/properties" xmlns:ns2="a6beeb66-a949-4ea7-816e-c28f1f0652a6" xmlns:ns3="998050b5-392d-4316-9dfe-5e1944a0296d" targetNamespace="http://schemas.microsoft.com/office/2006/metadata/properties" ma:root="true" ma:fieldsID="3749bcf420637b73e7a8776b21030b83" ns2:_="" ns3:_="">
    <xsd:import namespace="a6beeb66-a949-4ea7-816e-c28f1f0652a6"/>
    <xsd:import namespace="998050b5-392d-4316-9dfe-5e1944a029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eb66-a949-4ea7-816e-c28f1f065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8050b5-392d-4316-9dfe-5e1944a029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861C-66E9-4717-8516-380AB0E2F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E4623-B49F-4741-AFD7-762473DAEA3F}">
  <ds:schemaRefs>
    <ds:schemaRef ds:uri="http://schemas.microsoft.com/sharepoint/v3/contenttype/forms"/>
  </ds:schemaRefs>
</ds:datastoreItem>
</file>

<file path=customXml/itemProps3.xml><?xml version="1.0" encoding="utf-8"?>
<ds:datastoreItem xmlns:ds="http://schemas.openxmlformats.org/officeDocument/2006/customXml" ds:itemID="{7CC69B6F-1847-4B66-9686-4CDDB89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eb66-a949-4ea7-816e-c28f1f0652a6"/>
    <ds:schemaRef ds:uri="998050b5-392d-4316-9dfe-5e1944a02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47325-2953-452B-BB6B-6F600828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22792</Words>
  <Characters>142908</Characters>
  <Application>Microsoft Office Word</Application>
  <DocSecurity>0</DocSecurity>
  <Lines>2101</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165085</CharactersWithSpaces>
  <SharedDoc>false</SharedDoc>
  <HLinks>
    <vt:vector size="624" baseType="variant">
      <vt:variant>
        <vt:i4>4849742</vt:i4>
      </vt:variant>
      <vt:variant>
        <vt:i4>153</vt:i4>
      </vt:variant>
      <vt:variant>
        <vt:i4>0</vt:i4>
      </vt:variant>
      <vt:variant>
        <vt:i4>5</vt:i4>
      </vt:variant>
      <vt:variant>
        <vt:lpwstr>http://chm.pops.int/</vt:lpwstr>
      </vt:variant>
      <vt:variant>
        <vt:lpwstr/>
      </vt:variant>
      <vt:variant>
        <vt:i4>2424953</vt:i4>
      </vt:variant>
      <vt:variant>
        <vt:i4>150</vt:i4>
      </vt:variant>
      <vt:variant>
        <vt:i4>0</vt:i4>
      </vt:variant>
      <vt:variant>
        <vt:i4>5</vt:i4>
      </vt:variant>
      <vt:variant>
        <vt:lpwstr>http://www.pic.int/</vt:lpwstr>
      </vt:variant>
      <vt:variant>
        <vt:lpwstr/>
      </vt:variant>
      <vt:variant>
        <vt:i4>4915220</vt:i4>
      </vt:variant>
      <vt:variant>
        <vt:i4>147</vt:i4>
      </vt:variant>
      <vt:variant>
        <vt:i4>0</vt:i4>
      </vt:variant>
      <vt:variant>
        <vt:i4>5</vt:i4>
      </vt:variant>
      <vt:variant>
        <vt:lpwstr>http://www.basel.int/</vt:lpwstr>
      </vt:variant>
      <vt:variant>
        <vt:lpwstr/>
      </vt:variant>
      <vt:variant>
        <vt:i4>4194315</vt:i4>
      </vt:variant>
      <vt:variant>
        <vt:i4>144</vt:i4>
      </vt:variant>
      <vt:variant>
        <vt:i4>0</vt:i4>
      </vt:variant>
      <vt:variant>
        <vt:i4>5</vt:i4>
      </vt:variant>
      <vt:variant>
        <vt:lpwstr>http://www.mercuryconvention.org/</vt:lpwstr>
      </vt:variant>
      <vt:variant>
        <vt:lpwstr/>
      </vt:variant>
      <vt:variant>
        <vt:i4>6029330</vt:i4>
      </vt:variant>
      <vt:variant>
        <vt:i4>141</vt:i4>
      </vt:variant>
      <vt:variant>
        <vt:i4>0</vt:i4>
      </vt:variant>
      <vt:variant>
        <vt:i4>5</vt:i4>
      </vt:variant>
      <vt:variant>
        <vt:lpwstr>http://ozone.unep.org/montreal-protocol-substances-deplete-ozone-layer/32506</vt:lpwstr>
      </vt:variant>
      <vt:variant>
        <vt:lpwstr/>
      </vt:variant>
      <vt:variant>
        <vt:i4>2818053</vt:i4>
      </vt:variant>
      <vt:variant>
        <vt:i4>134</vt:i4>
      </vt:variant>
      <vt:variant>
        <vt:i4>0</vt:i4>
      </vt:variant>
      <vt:variant>
        <vt:i4>5</vt:i4>
      </vt:variant>
      <vt:variant>
        <vt:lpwstr/>
      </vt:variant>
      <vt:variant>
        <vt:lpwstr>_Toc4431298</vt:lpwstr>
      </vt:variant>
      <vt:variant>
        <vt:i4>2818053</vt:i4>
      </vt:variant>
      <vt:variant>
        <vt:i4>128</vt:i4>
      </vt:variant>
      <vt:variant>
        <vt:i4>0</vt:i4>
      </vt:variant>
      <vt:variant>
        <vt:i4>5</vt:i4>
      </vt:variant>
      <vt:variant>
        <vt:lpwstr/>
      </vt:variant>
      <vt:variant>
        <vt:lpwstr>_Toc4431297</vt:lpwstr>
      </vt:variant>
      <vt:variant>
        <vt:i4>2818053</vt:i4>
      </vt:variant>
      <vt:variant>
        <vt:i4>122</vt:i4>
      </vt:variant>
      <vt:variant>
        <vt:i4>0</vt:i4>
      </vt:variant>
      <vt:variant>
        <vt:i4>5</vt:i4>
      </vt:variant>
      <vt:variant>
        <vt:lpwstr/>
      </vt:variant>
      <vt:variant>
        <vt:lpwstr>_Toc4431296</vt:lpwstr>
      </vt:variant>
      <vt:variant>
        <vt:i4>2818053</vt:i4>
      </vt:variant>
      <vt:variant>
        <vt:i4>116</vt:i4>
      </vt:variant>
      <vt:variant>
        <vt:i4>0</vt:i4>
      </vt:variant>
      <vt:variant>
        <vt:i4>5</vt:i4>
      </vt:variant>
      <vt:variant>
        <vt:lpwstr/>
      </vt:variant>
      <vt:variant>
        <vt:lpwstr>_Toc4431295</vt:lpwstr>
      </vt:variant>
      <vt:variant>
        <vt:i4>2818053</vt:i4>
      </vt:variant>
      <vt:variant>
        <vt:i4>110</vt:i4>
      </vt:variant>
      <vt:variant>
        <vt:i4>0</vt:i4>
      </vt:variant>
      <vt:variant>
        <vt:i4>5</vt:i4>
      </vt:variant>
      <vt:variant>
        <vt:lpwstr/>
      </vt:variant>
      <vt:variant>
        <vt:lpwstr>_Toc4431294</vt:lpwstr>
      </vt:variant>
      <vt:variant>
        <vt:i4>2818053</vt:i4>
      </vt:variant>
      <vt:variant>
        <vt:i4>104</vt:i4>
      </vt:variant>
      <vt:variant>
        <vt:i4>0</vt:i4>
      </vt:variant>
      <vt:variant>
        <vt:i4>5</vt:i4>
      </vt:variant>
      <vt:variant>
        <vt:lpwstr/>
      </vt:variant>
      <vt:variant>
        <vt:lpwstr>_Toc4431293</vt:lpwstr>
      </vt:variant>
      <vt:variant>
        <vt:i4>2818053</vt:i4>
      </vt:variant>
      <vt:variant>
        <vt:i4>98</vt:i4>
      </vt:variant>
      <vt:variant>
        <vt:i4>0</vt:i4>
      </vt:variant>
      <vt:variant>
        <vt:i4>5</vt:i4>
      </vt:variant>
      <vt:variant>
        <vt:lpwstr/>
      </vt:variant>
      <vt:variant>
        <vt:lpwstr>_Toc4431292</vt:lpwstr>
      </vt:variant>
      <vt:variant>
        <vt:i4>2818053</vt:i4>
      </vt:variant>
      <vt:variant>
        <vt:i4>92</vt:i4>
      </vt:variant>
      <vt:variant>
        <vt:i4>0</vt:i4>
      </vt:variant>
      <vt:variant>
        <vt:i4>5</vt:i4>
      </vt:variant>
      <vt:variant>
        <vt:lpwstr/>
      </vt:variant>
      <vt:variant>
        <vt:lpwstr>_Toc4431291</vt:lpwstr>
      </vt:variant>
      <vt:variant>
        <vt:i4>2818053</vt:i4>
      </vt:variant>
      <vt:variant>
        <vt:i4>86</vt:i4>
      </vt:variant>
      <vt:variant>
        <vt:i4>0</vt:i4>
      </vt:variant>
      <vt:variant>
        <vt:i4>5</vt:i4>
      </vt:variant>
      <vt:variant>
        <vt:lpwstr/>
      </vt:variant>
      <vt:variant>
        <vt:lpwstr>_Toc4431290</vt:lpwstr>
      </vt:variant>
      <vt:variant>
        <vt:i4>2752517</vt:i4>
      </vt:variant>
      <vt:variant>
        <vt:i4>80</vt:i4>
      </vt:variant>
      <vt:variant>
        <vt:i4>0</vt:i4>
      </vt:variant>
      <vt:variant>
        <vt:i4>5</vt:i4>
      </vt:variant>
      <vt:variant>
        <vt:lpwstr/>
      </vt:variant>
      <vt:variant>
        <vt:lpwstr>_Toc4431289</vt:lpwstr>
      </vt:variant>
      <vt:variant>
        <vt:i4>2752517</vt:i4>
      </vt:variant>
      <vt:variant>
        <vt:i4>74</vt:i4>
      </vt:variant>
      <vt:variant>
        <vt:i4>0</vt:i4>
      </vt:variant>
      <vt:variant>
        <vt:i4>5</vt:i4>
      </vt:variant>
      <vt:variant>
        <vt:lpwstr/>
      </vt:variant>
      <vt:variant>
        <vt:lpwstr>_Toc4431288</vt:lpwstr>
      </vt:variant>
      <vt:variant>
        <vt:i4>2752517</vt:i4>
      </vt:variant>
      <vt:variant>
        <vt:i4>68</vt:i4>
      </vt:variant>
      <vt:variant>
        <vt:i4>0</vt:i4>
      </vt:variant>
      <vt:variant>
        <vt:i4>5</vt:i4>
      </vt:variant>
      <vt:variant>
        <vt:lpwstr/>
      </vt:variant>
      <vt:variant>
        <vt:lpwstr>_Toc4431287</vt:lpwstr>
      </vt:variant>
      <vt:variant>
        <vt:i4>2752517</vt:i4>
      </vt:variant>
      <vt:variant>
        <vt:i4>62</vt:i4>
      </vt:variant>
      <vt:variant>
        <vt:i4>0</vt:i4>
      </vt:variant>
      <vt:variant>
        <vt:i4>5</vt:i4>
      </vt:variant>
      <vt:variant>
        <vt:lpwstr/>
      </vt:variant>
      <vt:variant>
        <vt:lpwstr>_Toc4431286</vt:lpwstr>
      </vt:variant>
      <vt:variant>
        <vt:i4>2752517</vt:i4>
      </vt:variant>
      <vt:variant>
        <vt:i4>56</vt:i4>
      </vt:variant>
      <vt:variant>
        <vt:i4>0</vt:i4>
      </vt:variant>
      <vt:variant>
        <vt:i4>5</vt:i4>
      </vt:variant>
      <vt:variant>
        <vt:lpwstr/>
      </vt:variant>
      <vt:variant>
        <vt:lpwstr>_Toc4431285</vt:lpwstr>
      </vt:variant>
      <vt:variant>
        <vt:i4>2752517</vt:i4>
      </vt:variant>
      <vt:variant>
        <vt:i4>50</vt:i4>
      </vt:variant>
      <vt:variant>
        <vt:i4>0</vt:i4>
      </vt:variant>
      <vt:variant>
        <vt:i4>5</vt:i4>
      </vt:variant>
      <vt:variant>
        <vt:lpwstr/>
      </vt:variant>
      <vt:variant>
        <vt:lpwstr>_Toc4431284</vt:lpwstr>
      </vt:variant>
      <vt:variant>
        <vt:i4>2752517</vt:i4>
      </vt:variant>
      <vt:variant>
        <vt:i4>44</vt:i4>
      </vt:variant>
      <vt:variant>
        <vt:i4>0</vt:i4>
      </vt:variant>
      <vt:variant>
        <vt:i4>5</vt:i4>
      </vt:variant>
      <vt:variant>
        <vt:lpwstr/>
      </vt:variant>
      <vt:variant>
        <vt:lpwstr>_Toc4431283</vt:lpwstr>
      </vt:variant>
      <vt:variant>
        <vt:i4>2752517</vt:i4>
      </vt:variant>
      <vt:variant>
        <vt:i4>38</vt:i4>
      </vt:variant>
      <vt:variant>
        <vt:i4>0</vt:i4>
      </vt:variant>
      <vt:variant>
        <vt:i4>5</vt:i4>
      </vt:variant>
      <vt:variant>
        <vt:lpwstr/>
      </vt:variant>
      <vt:variant>
        <vt:lpwstr>_Toc4431282</vt:lpwstr>
      </vt:variant>
      <vt:variant>
        <vt:i4>2752517</vt:i4>
      </vt:variant>
      <vt:variant>
        <vt:i4>32</vt:i4>
      </vt:variant>
      <vt:variant>
        <vt:i4>0</vt:i4>
      </vt:variant>
      <vt:variant>
        <vt:i4>5</vt:i4>
      </vt:variant>
      <vt:variant>
        <vt:lpwstr/>
      </vt:variant>
      <vt:variant>
        <vt:lpwstr>_Toc4431281</vt:lpwstr>
      </vt:variant>
      <vt:variant>
        <vt:i4>2752517</vt:i4>
      </vt:variant>
      <vt:variant>
        <vt:i4>26</vt:i4>
      </vt:variant>
      <vt:variant>
        <vt:i4>0</vt:i4>
      </vt:variant>
      <vt:variant>
        <vt:i4>5</vt:i4>
      </vt:variant>
      <vt:variant>
        <vt:lpwstr/>
      </vt:variant>
      <vt:variant>
        <vt:lpwstr>_Toc4431280</vt:lpwstr>
      </vt:variant>
      <vt:variant>
        <vt:i4>2424837</vt:i4>
      </vt:variant>
      <vt:variant>
        <vt:i4>20</vt:i4>
      </vt:variant>
      <vt:variant>
        <vt:i4>0</vt:i4>
      </vt:variant>
      <vt:variant>
        <vt:i4>5</vt:i4>
      </vt:variant>
      <vt:variant>
        <vt:lpwstr/>
      </vt:variant>
      <vt:variant>
        <vt:lpwstr>_Toc4431279</vt:lpwstr>
      </vt:variant>
      <vt:variant>
        <vt:i4>2424837</vt:i4>
      </vt:variant>
      <vt:variant>
        <vt:i4>14</vt:i4>
      </vt:variant>
      <vt:variant>
        <vt:i4>0</vt:i4>
      </vt:variant>
      <vt:variant>
        <vt:i4>5</vt:i4>
      </vt:variant>
      <vt:variant>
        <vt:lpwstr/>
      </vt:variant>
      <vt:variant>
        <vt:lpwstr>_Toc4431278</vt:lpwstr>
      </vt:variant>
      <vt:variant>
        <vt:i4>2424837</vt:i4>
      </vt:variant>
      <vt:variant>
        <vt:i4>8</vt:i4>
      </vt:variant>
      <vt:variant>
        <vt:i4>0</vt:i4>
      </vt:variant>
      <vt:variant>
        <vt:i4>5</vt:i4>
      </vt:variant>
      <vt:variant>
        <vt:lpwstr/>
      </vt:variant>
      <vt:variant>
        <vt:lpwstr>_Toc4431277</vt:lpwstr>
      </vt:variant>
      <vt:variant>
        <vt:i4>2424837</vt:i4>
      </vt:variant>
      <vt:variant>
        <vt:i4>2</vt:i4>
      </vt:variant>
      <vt:variant>
        <vt:i4>0</vt:i4>
      </vt:variant>
      <vt:variant>
        <vt:i4>5</vt:i4>
      </vt:variant>
      <vt:variant>
        <vt:lpwstr/>
      </vt:variant>
      <vt:variant>
        <vt:lpwstr>_Toc4431276</vt:lpwstr>
      </vt:variant>
      <vt:variant>
        <vt:i4>4456564</vt:i4>
      </vt:variant>
      <vt:variant>
        <vt:i4>225</vt:i4>
      </vt:variant>
      <vt:variant>
        <vt:i4>0</vt:i4>
      </vt:variant>
      <vt:variant>
        <vt:i4>5</vt:i4>
      </vt:variant>
      <vt:variant>
        <vt:lpwstr>https://info.undp.org/sites/bpps/ses_toolkit/default.aspx</vt:lpwstr>
      </vt:variant>
      <vt:variant>
        <vt:lpwstr/>
      </vt:variant>
      <vt:variant>
        <vt:i4>4456564</vt:i4>
      </vt:variant>
      <vt:variant>
        <vt:i4>222</vt:i4>
      </vt:variant>
      <vt:variant>
        <vt:i4>0</vt:i4>
      </vt:variant>
      <vt:variant>
        <vt:i4>5</vt:i4>
      </vt:variant>
      <vt:variant>
        <vt:lpwstr>https://info.undp.org/sites/bpps/ses_toolkit/default.aspx</vt:lpwstr>
      </vt:variant>
      <vt:variant>
        <vt:lpwstr/>
      </vt:variant>
      <vt:variant>
        <vt:i4>4456564</vt:i4>
      </vt:variant>
      <vt:variant>
        <vt:i4>219</vt:i4>
      </vt:variant>
      <vt:variant>
        <vt:i4>0</vt:i4>
      </vt:variant>
      <vt:variant>
        <vt:i4>5</vt:i4>
      </vt:variant>
      <vt:variant>
        <vt:lpwstr>https://info.undp.org/sites/bpps/ses_toolkit/default.aspx</vt:lpwstr>
      </vt:variant>
      <vt:variant>
        <vt:lpwstr/>
      </vt:variant>
      <vt:variant>
        <vt:i4>4456564</vt:i4>
      </vt:variant>
      <vt:variant>
        <vt:i4>216</vt:i4>
      </vt:variant>
      <vt:variant>
        <vt:i4>0</vt:i4>
      </vt:variant>
      <vt:variant>
        <vt:i4>5</vt:i4>
      </vt:variant>
      <vt:variant>
        <vt:lpwstr>https://info.undp.org/sites/bpps/ses_toolkit/default.aspx</vt:lpwstr>
      </vt:variant>
      <vt:variant>
        <vt:lpwstr/>
      </vt:variant>
      <vt:variant>
        <vt:i4>65546</vt:i4>
      </vt:variant>
      <vt:variant>
        <vt:i4>213</vt:i4>
      </vt:variant>
      <vt:variant>
        <vt:i4>0</vt:i4>
      </vt:variant>
      <vt:variant>
        <vt:i4>5</vt:i4>
      </vt:variant>
      <vt:variant>
        <vt:lpwstr>http://www.oecd.org/environment/environment-development/37353858.pdf</vt:lpwstr>
      </vt:variant>
      <vt:variant>
        <vt:lpwstr/>
      </vt:variant>
      <vt:variant>
        <vt:i4>6029330</vt:i4>
      </vt:variant>
      <vt:variant>
        <vt:i4>210</vt:i4>
      </vt:variant>
      <vt:variant>
        <vt:i4>0</vt:i4>
      </vt:variant>
      <vt:variant>
        <vt:i4>5</vt:i4>
      </vt:variant>
      <vt:variant>
        <vt:lpwstr>http://ozone.unep.org/montreal-protocol-substances-deplete-ozone-layer/32506</vt:lpwstr>
      </vt:variant>
      <vt:variant>
        <vt:lpwstr/>
      </vt:variant>
      <vt:variant>
        <vt:i4>2424953</vt:i4>
      </vt:variant>
      <vt:variant>
        <vt:i4>207</vt:i4>
      </vt:variant>
      <vt:variant>
        <vt:i4>0</vt:i4>
      </vt:variant>
      <vt:variant>
        <vt:i4>5</vt:i4>
      </vt:variant>
      <vt:variant>
        <vt:lpwstr>http://www.pic.int/</vt:lpwstr>
      </vt:variant>
      <vt:variant>
        <vt:lpwstr/>
      </vt:variant>
      <vt:variant>
        <vt:i4>4849742</vt:i4>
      </vt:variant>
      <vt:variant>
        <vt:i4>204</vt:i4>
      </vt:variant>
      <vt:variant>
        <vt:i4>0</vt:i4>
      </vt:variant>
      <vt:variant>
        <vt:i4>5</vt:i4>
      </vt:variant>
      <vt:variant>
        <vt:lpwstr>http://chm.pops.int/</vt:lpwstr>
      </vt:variant>
      <vt:variant>
        <vt:lpwstr/>
      </vt:variant>
      <vt:variant>
        <vt:i4>3342418</vt:i4>
      </vt:variant>
      <vt:variant>
        <vt:i4>201</vt:i4>
      </vt:variant>
      <vt:variant>
        <vt:i4>0</vt:i4>
      </vt:variant>
      <vt:variant>
        <vt:i4>5</vt:i4>
      </vt:variant>
      <vt:variant>
        <vt:lpwstr>http://www.who.int/ipcs/publications/pesticides_hazard/en/index.html</vt:lpwstr>
      </vt:variant>
      <vt:variant>
        <vt:lpwstr/>
      </vt:variant>
      <vt:variant>
        <vt:i4>2949184</vt:i4>
      </vt:variant>
      <vt:variant>
        <vt:i4>198</vt:i4>
      </vt:variant>
      <vt:variant>
        <vt:i4>0</vt:i4>
      </vt:variant>
      <vt:variant>
        <vt:i4>5</vt:i4>
      </vt:variant>
      <vt:variant>
        <vt:lpwstr>http://www.fao.org/fileadmin/templates/agphome/documents/Pests_Pesticides/Code/CODE_2014Sep_ENG.pdf</vt:lpwstr>
      </vt:variant>
      <vt:variant>
        <vt:lpwstr/>
      </vt:variant>
      <vt:variant>
        <vt:i4>6291532</vt:i4>
      </vt:variant>
      <vt:variant>
        <vt:i4>195</vt:i4>
      </vt:variant>
      <vt:variant>
        <vt:i4>0</vt:i4>
      </vt:variant>
      <vt:variant>
        <vt:i4>5</vt:i4>
      </vt:variant>
      <vt:variant>
        <vt:lpwstr>http://ap.ohchr.org/documents/dpage_e.aspx?si=A/HRC/36/41</vt:lpwstr>
      </vt:variant>
      <vt:variant>
        <vt:lpwstr/>
      </vt:variant>
      <vt:variant>
        <vt:i4>5505038</vt:i4>
      </vt:variant>
      <vt:variant>
        <vt:i4>192</vt:i4>
      </vt:variant>
      <vt:variant>
        <vt:i4>0</vt:i4>
      </vt:variant>
      <vt:variant>
        <vt:i4>5</vt:i4>
      </vt:variant>
      <vt:variant>
        <vt:lpwstr>http://www.saicm.org/</vt:lpwstr>
      </vt:variant>
      <vt:variant>
        <vt:lpwstr/>
      </vt:variant>
      <vt:variant>
        <vt:i4>4915220</vt:i4>
      </vt:variant>
      <vt:variant>
        <vt:i4>189</vt:i4>
      </vt:variant>
      <vt:variant>
        <vt:i4>0</vt:i4>
      </vt:variant>
      <vt:variant>
        <vt:i4>5</vt:i4>
      </vt:variant>
      <vt:variant>
        <vt:lpwstr>http://www.basel.int/</vt:lpwstr>
      </vt:variant>
      <vt:variant>
        <vt:lpwstr/>
      </vt:variant>
      <vt:variant>
        <vt:i4>3080216</vt:i4>
      </vt:variant>
      <vt:variant>
        <vt:i4>186</vt:i4>
      </vt:variant>
      <vt:variant>
        <vt:i4>0</vt:i4>
      </vt:variant>
      <vt:variant>
        <vt:i4>5</vt:i4>
      </vt:variant>
      <vt:variant>
        <vt:lpwstr>http://www.undp.org/content/undp/en/home/librarypage/environment-energy/chemicals_management/Guide_for_integrating_SMC_into_development_planning/</vt:lpwstr>
      </vt:variant>
      <vt:variant>
        <vt:lpwstr/>
      </vt:variant>
      <vt:variant>
        <vt:i4>6225994</vt:i4>
      </vt:variant>
      <vt:variant>
        <vt:i4>183</vt:i4>
      </vt:variant>
      <vt:variant>
        <vt:i4>0</vt:i4>
      </vt:variant>
      <vt:variant>
        <vt:i4>5</vt:i4>
      </vt:variant>
      <vt:variant>
        <vt:lpwstr>http://www.ifc.org/ehsguidelines</vt:lpwstr>
      </vt:variant>
      <vt:variant>
        <vt:lpwstr/>
      </vt:variant>
      <vt:variant>
        <vt:i4>1769515</vt:i4>
      </vt:variant>
      <vt:variant>
        <vt:i4>180</vt:i4>
      </vt:variant>
      <vt:variant>
        <vt:i4>0</vt:i4>
      </vt:variant>
      <vt:variant>
        <vt:i4>5</vt:i4>
      </vt:variant>
      <vt:variant>
        <vt:lpwstr>http://www.unece.org/env/lrtap/lrtap_h1.html</vt:lpwstr>
      </vt:variant>
      <vt:variant>
        <vt:lpwstr/>
      </vt:variant>
      <vt:variant>
        <vt:i4>6291532</vt:i4>
      </vt:variant>
      <vt:variant>
        <vt:i4>177</vt:i4>
      </vt:variant>
      <vt:variant>
        <vt:i4>0</vt:i4>
      </vt:variant>
      <vt:variant>
        <vt:i4>5</vt:i4>
      </vt:variant>
      <vt:variant>
        <vt:lpwstr>http://ap.ohchr.org/documents/dpage_e.aspx?si=A/HRC/36/41</vt:lpwstr>
      </vt:variant>
      <vt:variant>
        <vt:lpwstr/>
      </vt:variant>
      <vt:variant>
        <vt:i4>1441900</vt:i4>
      </vt:variant>
      <vt:variant>
        <vt:i4>174</vt:i4>
      </vt:variant>
      <vt:variant>
        <vt:i4>0</vt:i4>
      </vt:variant>
      <vt:variant>
        <vt:i4>5</vt:i4>
      </vt:variant>
      <vt:variant>
        <vt:lpwstr>http://www.ilo.org/wcmsp5/groups/public/---dgreports/---dcomm/---publ/documents/publication/wcms_publ_9221116344_en.pdf</vt:lpwstr>
      </vt:variant>
      <vt:variant>
        <vt:lpwstr/>
      </vt:variant>
      <vt:variant>
        <vt:i4>4718614</vt:i4>
      </vt:variant>
      <vt:variant>
        <vt:i4>171</vt:i4>
      </vt:variant>
      <vt:variant>
        <vt:i4>0</vt:i4>
      </vt:variant>
      <vt:variant>
        <vt:i4>5</vt:i4>
      </vt:variant>
      <vt:variant>
        <vt:lpwstr>https://www.ilo.org/declaration/thedeclaration/textdeclaration/lang--en/index.htm</vt:lpwstr>
      </vt:variant>
      <vt:variant>
        <vt:lpwstr/>
      </vt:variant>
      <vt:variant>
        <vt:i4>1703967</vt:i4>
      </vt:variant>
      <vt:variant>
        <vt:i4>168</vt:i4>
      </vt:variant>
      <vt:variant>
        <vt:i4>0</vt:i4>
      </vt:variant>
      <vt:variant>
        <vt:i4>5</vt:i4>
      </vt:variant>
      <vt:variant>
        <vt:lpwstr>https://www.ilo.org/dyn/normlex/en/f?p=NORMLEXPUB:12000:0::NO:::</vt:lpwstr>
      </vt:variant>
      <vt:variant>
        <vt:lpwstr/>
      </vt:variant>
      <vt:variant>
        <vt:i4>4456564</vt:i4>
      </vt:variant>
      <vt:variant>
        <vt:i4>165</vt:i4>
      </vt:variant>
      <vt:variant>
        <vt:i4>0</vt:i4>
      </vt:variant>
      <vt:variant>
        <vt:i4>5</vt:i4>
      </vt:variant>
      <vt:variant>
        <vt:lpwstr>https://info.undp.org/sites/bpps/ses_toolkit/default.aspx</vt:lpwstr>
      </vt:variant>
      <vt:variant>
        <vt:lpwstr/>
      </vt:variant>
      <vt:variant>
        <vt:i4>6488116</vt:i4>
      </vt:variant>
      <vt:variant>
        <vt:i4>162</vt:i4>
      </vt:variant>
      <vt:variant>
        <vt:i4>0</vt:i4>
      </vt:variant>
      <vt:variant>
        <vt:i4>5</vt:i4>
      </vt:variant>
      <vt:variant>
        <vt:lpwstr>https://www.cbd.int/decision/cop/default.shtml?id=12308</vt:lpwstr>
      </vt:variant>
      <vt:variant>
        <vt:lpwstr/>
      </vt:variant>
      <vt:variant>
        <vt:i4>262221</vt:i4>
      </vt:variant>
      <vt:variant>
        <vt:i4>159</vt:i4>
      </vt:variant>
      <vt:variant>
        <vt:i4>0</vt:i4>
      </vt:variant>
      <vt:variant>
        <vt:i4>5</vt:i4>
      </vt:variant>
      <vt:variant>
        <vt:lpwstr>https://www.cbd.int/decision/cop/?id=7753</vt:lpwstr>
      </vt:variant>
      <vt:variant>
        <vt:lpwstr/>
      </vt:variant>
      <vt:variant>
        <vt:i4>4849740</vt:i4>
      </vt:variant>
      <vt:variant>
        <vt:i4>156</vt:i4>
      </vt:variant>
      <vt:variant>
        <vt:i4>0</vt:i4>
      </vt:variant>
      <vt:variant>
        <vt:i4>5</vt:i4>
      </vt:variant>
      <vt:variant>
        <vt:lpwstr>http://www.corteidh.or.cr/docs/casos/articulos/seriec_172_ing.pdf</vt:lpwstr>
      </vt:variant>
      <vt:variant>
        <vt:lpwstr/>
      </vt:variant>
      <vt:variant>
        <vt:i4>4456564</vt:i4>
      </vt:variant>
      <vt:variant>
        <vt:i4>153</vt:i4>
      </vt:variant>
      <vt:variant>
        <vt:i4>0</vt:i4>
      </vt:variant>
      <vt:variant>
        <vt:i4>5</vt:i4>
      </vt:variant>
      <vt:variant>
        <vt:lpwstr>https://info.undp.org/sites/bpps/ses_toolkit/default.aspx</vt:lpwstr>
      </vt:variant>
      <vt:variant>
        <vt:lpwstr/>
      </vt:variant>
      <vt:variant>
        <vt:i4>7733373</vt:i4>
      </vt:variant>
      <vt:variant>
        <vt:i4>150</vt:i4>
      </vt:variant>
      <vt:variant>
        <vt:i4>0</vt:i4>
      </vt:variant>
      <vt:variant>
        <vt:i4>5</vt:i4>
      </vt:variant>
      <vt:variant>
        <vt:lpwstr>http://www.fao.org/tenure/voluntary-guidelines/en/</vt:lpwstr>
      </vt:variant>
      <vt:variant>
        <vt:lpwstr/>
      </vt:variant>
      <vt:variant>
        <vt:i4>3014757</vt:i4>
      </vt:variant>
      <vt:variant>
        <vt:i4>147</vt:i4>
      </vt:variant>
      <vt:variant>
        <vt:i4>0</vt:i4>
      </vt:variant>
      <vt:variant>
        <vt:i4>5</vt:i4>
      </vt:variant>
      <vt:variant>
        <vt:lpwstr>http://undesadspd.org/IndigenousPeoples/DeclarationontheRightsofIndigenousPeoples.aspx</vt:lpwstr>
      </vt:variant>
      <vt:variant>
        <vt:lpwstr/>
      </vt:variant>
      <vt:variant>
        <vt:i4>7733372</vt:i4>
      </vt:variant>
      <vt:variant>
        <vt:i4>144</vt:i4>
      </vt:variant>
      <vt:variant>
        <vt:i4>0</vt:i4>
      </vt:variant>
      <vt:variant>
        <vt:i4>5</vt:i4>
      </vt:variant>
      <vt:variant>
        <vt:lpwstr>https://unhabitat.org/the-right-to-adequate-housing-fact-sheet-no-21rev-1/</vt:lpwstr>
      </vt:variant>
      <vt:variant>
        <vt:lpwstr/>
      </vt:variant>
      <vt:variant>
        <vt:i4>3735594</vt:i4>
      </vt:variant>
      <vt:variant>
        <vt:i4>141</vt:i4>
      </vt:variant>
      <vt:variant>
        <vt:i4>0</vt:i4>
      </vt:variant>
      <vt:variant>
        <vt:i4>5</vt:i4>
      </vt:variant>
      <vt:variant>
        <vt:lpwstr>http://www.fao.org/cfs/home/activities/vggt/en/</vt:lpwstr>
      </vt:variant>
      <vt:variant>
        <vt:lpwstr/>
      </vt:variant>
      <vt:variant>
        <vt:i4>589853</vt:i4>
      </vt:variant>
      <vt:variant>
        <vt:i4>138</vt:i4>
      </vt:variant>
      <vt:variant>
        <vt:i4>0</vt:i4>
      </vt:variant>
      <vt:variant>
        <vt:i4>5</vt:i4>
      </vt:variant>
      <vt:variant>
        <vt:lpwstr>https://unhabitat.org/forced-evictions-fact-sheet-no-25rev-1/</vt:lpwstr>
      </vt:variant>
      <vt:variant>
        <vt:lpwstr/>
      </vt:variant>
      <vt:variant>
        <vt:i4>4128820</vt:i4>
      </vt:variant>
      <vt:variant>
        <vt:i4>135</vt:i4>
      </vt:variant>
      <vt:variant>
        <vt:i4>0</vt:i4>
      </vt:variant>
      <vt:variant>
        <vt:i4>5</vt:i4>
      </vt:variant>
      <vt:variant>
        <vt:lpwstr>http://www.ohchr.org/EN/Issues/Housing/Pages/ForcedEvictions.aspx.</vt:lpwstr>
      </vt:variant>
      <vt:variant>
        <vt:lpwstr/>
      </vt:variant>
      <vt:variant>
        <vt:i4>1245241</vt:i4>
      </vt:variant>
      <vt:variant>
        <vt:i4>132</vt:i4>
      </vt:variant>
      <vt:variant>
        <vt:i4>0</vt:i4>
      </vt:variant>
      <vt:variant>
        <vt:i4>5</vt:i4>
      </vt:variant>
      <vt:variant>
        <vt:lpwstr>https://tbinternet.ohchr.org/_layouts/treatybodyexternal/Download.aspx?symbolno=INT/CESCR/GEC/6430&amp;Lang=en</vt:lpwstr>
      </vt:variant>
      <vt:variant>
        <vt:lpwstr/>
      </vt:variant>
      <vt:variant>
        <vt:i4>4194314</vt:i4>
      </vt:variant>
      <vt:variant>
        <vt:i4>129</vt:i4>
      </vt:variant>
      <vt:variant>
        <vt:i4>0</vt:i4>
      </vt:variant>
      <vt:variant>
        <vt:i4>5</vt:i4>
      </vt:variant>
      <vt:variant>
        <vt:lpwstr>https://www.iucn.org/theme/world-heritage/resources/iucn-policies-world-heritage/environmental-assessment</vt:lpwstr>
      </vt:variant>
      <vt:variant>
        <vt:lpwstr/>
      </vt:variant>
      <vt:variant>
        <vt:i4>5767246</vt:i4>
      </vt:variant>
      <vt:variant>
        <vt:i4>126</vt:i4>
      </vt:variant>
      <vt:variant>
        <vt:i4>0</vt:i4>
      </vt:variant>
      <vt:variant>
        <vt:i4>5</vt:i4>
      </vt:variant>
      <vt:variant>
        <vt:lpwstr>https://www.icomos.org/world_heritage/HIA_20110201.pdf</vt:lpwstr>
      </vt:variant>
      <vt:variant>
        <vt:lpwstr/>
      </vt:variant>
      <vt:variant>
        <vt:i4>2752628</vt:i4>
      </vt:variant>
      <vt:variant>
        <vt:i4>123</vt:i4>
      </vt:variant>
      <vt:variant>
        <vt:i4>0</vt:i4>
      </vt:variant>
      <vt:variant>
        <vt:i4>5</vt:i4>
      </vt:variant>
      <vt:variant>
        <vt:lpwstr>http://www.wipo.int/tk/en/igc/</vt:lpwstr>
      </vt:variant>
      <vt:variant>
        <vt:lpwstr/>
      </vt:variant>
      <vt:variant>
        <vt:i4>262236</vt:i4>
      </vt:variant>
      <vt:variant>
        <vt:i4>120</vt:i4>
      </vt:variant>
      <vt:variant>
        <vt:i4>0</vt:i4>
      </vt:variant>
      <vt:variant>
        <vt:i4>5</vt:i4>
      </vt:variant>
      <vt:variant>
        <vt:lpwstr>mailto:http://www.unesco.org/new/en/culture/themes/cultural-diversity/diversity-of-cultural-expressions/</vt:lpwstr>
      </vt:variant>
      <vt:variant>
        <vt:lpwstr/>
      </vt:variant>
      <vt:variant>
        <vt:i4>983055</vt:i4>
      </vt:variant>
      <vt:variant>
        <vt:i4>117</vt:i4>
      </vt:variant>
      <vt:variant>
        <vt:i4>0</vt:i4>
      </vt:variant>
      <vt:variant>
        <vt:i4>5</vt:i4>
      </vt:variant>
      <vt:variant>
        <vt:lpwstr>http://www.unesco.org/new/en/culture/themes/underwater-cultural-heritage/</vt:lpwstr>
      </vt:variant>
      <vt:variant>
        <vt:lpwstr/>
      </vt:variant>
      <vt:variant>
        <vt:i4>5308496</vt:i4>
      </vt:variant>
      <vt:variant>
        <vt:i4>114</vt:i4>
      </vt:variant>
      <vt:variant>
        <vt:i4>0</vt:i4>
      </vt:variant>
      <vt:variant>
        <vt:i4>5</vt:i4>
      </vt:variant>
      <vt:variant>
        <vt:lpwstr>http://whc.unesco.org/en/</vt:lpwstr>
      </vt:variant>
      <vt:variant>
        <vt:lpwstr/>
      </vt:variant>
      <vt:variant>
        <vt:i4>5177417</vt:i4>
      </vt:variant>
      <vt:variant>
        <vt:i4>110</vt:i4>
      </vt:variant>
      <vt:variant>
        <vt:i4>0</vt:i4>
      </vt:variant>
      <vt:variant>
        <vt:i4>5</vt:i4>
      </vt:variant>
      <vt:variant>
        <vt:lpwstr>mailto:http://www.unesco.org/new/en/culture/themes/illicit-traffic-of-cultural-property/</vt:lpwstr>
      </vt:variant>
      <vt:variant>
        <vt:lpwstr/>
      </vt:variant>
      <vt:variant>
        <vt:i4>196610</vt:i4>
      </vt:variant>
      <vt:variant>
        <vt:i4>108</vt:i4>
      </vt:variant>
      <vt:variant>
        <vt:i4>0</vt:i4>
      </vt:variant>
      <vt:variant>
        <vt:i4>5</vt:i4>
      </vt:variant>
      <vt:variant>
        <vt:lpwstr>http://www.unesco.org/new/en/culture/themes/illicit-traffic-of-cultural-property/</vt:lpwstr>
      </vt:variant>
      <vt:variant>
        <vt:lpwstr/>
      </vt:variant>
      <vt:variant>
        <vt:i4>3997731</vt:i4>
      </vt:variant>
      <vt:variant>
        <vt:i4>105</vt:i4>
      </vt:variant>
      <vt:variant>
        <vt:i4>0</vt:i4>
      </vt:variant>
      <vt:variant>
        <vt:i4>5</vt:i4>
      </vt:variant>
      <vt:variant>
        <vt:lpwstr>mailto:http://www.unesco.org/new/en/culture/themes/armed-conflict-and-heritage/</vt:lpwstr>
      </vt:variant>
      <vt:variant>
        <vt:lpwstr/>
      </vt:variant>
      <vt:variant>
        <vt:i4>2424959</vt:i4>
      </vt:variant>
      <vt:variant>
        <vt:i4>102</vt:i4>
      </vt:variant>
      <vt:variant>
        <vt:i4>0</vt:i4>
      </vt:variant>
      <vt:variant>
        <vt:i4>5</vt:i4>
      </vt:variant>
      <vt:variant>
        <vt:lpwstr>http://www.voluntaryprinciples.org/</vt:lpwstr>
      </vt:variant>
      <vt:variant>
        <vt:lpwstr/>
      </vt:variant>
      <vt:variant>
        <vt:i4>4522049</vt:i4>
      </vt:variant>
      <vt:variant>
        <vt:i4>99</vt:i4>
      </vt:variant>
      <vt:variant>
        <vt:i4>0</vt:i4>
      </vt:variant>
      <vt:variant>
        <vt:i4>5</vt:i4>
      </vt:variant>
      <vt:variant>
        <vt:lpwstr>http://www.ohchr.org/EN/NewYork/Pages/Resources.aspx</vt:lpwstr>
      </vt:variant>
      <vt:variant>
        <vt:lpwstr/>
      </vt:variant>
      <vt:variant>
        <vt:i4>589896</vt:i4>
      </vt:variant>
      <vt:variant>
        <vt:i4>96</vt:i4>
      </vt:variant>
      <vt:variant>
        <vt:i4>0</vt:i4>
      </vt:variant>
      <vt:variant>
        <vt:i4>5</vt:i4>
      </vt:variant>
      <vt:variant>
        <vt:lpwstr>http://www.fao.org/docrep/012/i1531e/i1531e00.pdf</vt:lpwstr>
      </vt:variant>
      <vt:variant>
        <vt:lpwstr/>
      </vt:variant>
      <vt:variant>
        <vt:i4>7995451</vt:i4>
      </vt:variant>
      <vt:variant>
        <vt:i4>93</vt:i4>
      </vt:variant>
      <vt:variant>
        <vt:i4>0</vt:i4>
      </vt:variant>
      <vt:variant>
        <vt:i4>5</vt:i4>
      </vt:variant>
      <vt:variant>
        <vt:lpwstr>http://www.unece.org/index.php?id=35086</vt:lpwstr>
      </vt:variant>
      <vt:variant>
        <vt:lpwstr/>
      </vt:variant>
      <vt:variant>
        <vt:i4>6225994</vt:i4>
      </vt:variant>
      <vt:variant>
        <vt:i4>90</vt:i4>
      </vt:variant>
      <vt:variant>
        <vt:i4>0</vt:i4>
      </vt:variant>
      <vt:variant>
        <vt:i4>5</vt:i4>
      </vt:variant>
      <vt:variant>
        <vt:lpwstr>http://www.ifc.org/ehsguidelines</vt:lpwstr>
      </vt:variant>
      <vt:variant>
        <vt:lpwstr/>
      </vt:variant>
      <vt:variant>
        <vt:i4>7733373</vt:i4>
      </vt:variant>
      <vt:variant>
        <vt:i4>87</vt:i4>
      </vt:variant>
      <vt:variant>
        <vt:i4>0</vt:i4>
      </vt:variant>
      <vt:variant>
        <vt:i4>5</vt:i4>
      </vt:variant>
      <vt:variant>
        <vt:lpwstr>https://portals.iucn.org/library/sites/library/files/documents/2016-036.pdf</vt:lpwstr>
      </vt:variant>
      <vt:variant>
        <vt:lpwstr/>
      </vt:variant>
      <vt:variant>
        <vt:i4>5963800</vt:i4>
      </vt:variant>
      <vt:variant>
        <vt:i4>84</vt:i4>
      </vt:variant>
      <vt:variant>
        <vt:i4>0</vt:i4>
      </vt:variant>
      <vt:variant>
        <vt:i4>5</vt:i4>
      </vt:variant>
      <vt:variant>
        <vt:lpwstr>https://www.cbd.int/sbstta/sbstta-22-sbi-2/EbA-Eco-DRR-Guidelines-en.pdf</vt:lpwstr>
      </vt:variant>
      <vt:variant>
        <vt:lpwstr/>
      </vt:variant>
      <vt:variant>
        <vt:i4>2556002</vt:i4>
      </vt:variant>
      <vt:variant>
        <vt:i4>81</vt:i4>
      </vt:variant>
      <vt:variant>
        <vt:i4>0</vt:i4>
      </vt:variant>
      <vt:variant>
        <vt:i4>5</vt:i4>
      </vt:variant>
      <vt:variant>
        <vt:lpwstr>https://www.unisdr.org/we/inform/publications/58969</vt:lpwstr>
      </vt:variant>
      <vt:variant>
        <vt:lpwstr/>
      </vt:variant>
      <vt:variant>
        <vt:i4>4980758</vt:i4>
      </vt:variant>
      <vt:variant>
        <vt:i4>78</vt:i4>
      </vt:variant>
      <vt:variant>
        <vt:i4>0</vt:i4>
      </vt:variant>
      <vt:variant>
        <vt:i4>5</vt:i4>
      </vt:variant>
      <vt:variant>
        <vt:lpwstr>https://www.unisdr.org/we/coordinate/sendai-framework</vt:lpwstr>
      </vt:variant>
      <vt:variant>
        <vt:lpwstr/>
      </vt:variant>
      <vt:variant>
        <vt:i4>2949157</vt:i4>
      </vt:variant>
      <vt:variant>
        <vt:i4>75</vt:i4>
      </vt:variant>
      <vt:variant>
        <vt:i4>0</vt:i4>
      </vt:variant>
      <vt:variant>
        <vt:i4>5</vt:i4>
      </vt:variant>
      <vt:variant>
        <vt:lpwstr>http://ozone.unep.org/</vt:lpwstr>
      </vt:variant>
      <vt:variant>
        <vt:lpwstr/>
      </vt:variant>
      <vt:variant>
        <vt:i4>589848</vt:i4>
      </vt:variant>
      <vt:variant>
        <vt:i4>72</vt:i4>
      </vt:variant>
      <vt:variant>
        <vt:i4>0</vt:i4>
      </vt:variant>
      <vt:variant>
        <vt:i4>5</vt:i4>
      </vt:variant>
      <vt:variant>
        <vt:lpwstr>https://unfccc.int/process/transparency-and-reporting/reporting-and-review-under-the-convention/greenhouse-gas-inventories-annex-i-parties/reporting-requirements</vt:lpwstr>
      </vt:variant>
      <vt:variant>
        <vt:lpwstr/>
      </vt:variant>
      <vt:variant>
        <vt:i4>524310</vt:i4>
      </vt:variant>
      <vt:variant>
        <vt:i4>69</vt:i4>
      </vt:variant>
      <vt:variant>
        <vt:i4>0</vt:i4>
      </vt:variant>
      <vt:variant>
        <vt:i4>5</vt:i4>
      </vt:variant>
      <vt:variant>
        <vt:lpwstr>http://www.oecd.org/dac/43652123.pdf</vt:lpwstr>
      </vt:variant>
      <vt:variant>
        <vt:lpwstr/>
      </vt:variant>
      <vt:variant>
        <vt:i4>2293823</vt:i4>
      </vt:variant>
      <vt:variant>
        <vt:i4>66</vt:i4>
      </vt:variant>
      <vt:variant>
        <vt:i4>0</vt:i4>
      </vt:variant>
      <vt:variant>
        <vt:i4>5</vt:i4>
      </vt:variant>
      <vt:variant>
        <vt:lpwstr>http://www.cbd.int/abs/</vt:lpwstr>
      </vt:variant>
      <vt:variant>
        <vt:lpwstr/>
      </vt:variant>
      <vt:variant>
        <vt:i4>3211378</vt:i4>
      </vt:variant>
      <vt:variant>
        <vt:i4>63</vt:i4>
      </vt:variant>
      <vt:variant>
        <vt:i4>0</vt:i4>
      </vt:variant>
      <vt:variant>
        <vt:i4>5</vt:i4>
      </vt:variant>
      <vt:variant>
        <vt:lpwstr>http://www.cbd.int/</vt:lpwstr>
      </vt:variant>
      <vt:variant>
        <vt:lpwstr/>
      </vt:variant>
      <vt:variant>
        <vt:i4>7340070</vt:i4>
      </vt:variant>
      <vt:variant>
        <vt:i4>60</vt:i4>
      </vt:variant>
      <vt:variant>
        <vt:i4>0</vt:i4>
      </vt:variant>
      <vt:variant>
        <vt:i4>5</vt:i4>
      </vt:variant>
      <vt:variant>
        <vt:lpwstr>https://www.cites.org/eng/disc/species.php</vt:lpwstr>
      </vt:variant>
      <vt:variant>
        <vt:lpwstr/>
      </vt:variant>
      <vt:variant>
        <vt:i4>5832777</vt:i4>
      </vt:variant>
      <vt:variant>
        <vt:i4>57</vt:i4>
      </vt:variant>
      <vt:variant>
        <vt:i4>0</vt:i4>
      </vt:variant>
      <vt:variant>
        <vt:i4>5</vt:i4>
      </vt:variant>
      <vt:variant>
        <vt:lpwstr>https://www.cites.org/eng</vt:lpwstr>
      </vt:variant>
      <vt:variant>
        <vt:lpwstr/>
      </vt:variant>
      <vt:variant>
        <vt:i4>3866677</vt:i4>
      </vt:variant>
      <vt:variant>
        <vt:i4>54</vt:i4>
      </vt:variant>
      <vt:variant>
        <vt:i4>0</vt:i4>
      </vt:variant>
      <vt:variant>
        <vt:i4>5</vt:i4>
      </vt:variant>
      <vt:variant>
        <vt:lpwstr>http://bbop.forest-trends.org/pages/guidelines</vt:lpwstr>
      </vt:variant>
      <vt:variant>
        <vt:lpwstr/>
      </vt:variant>
      <vt:variant>
        <vt:i4>7077936</vt:i4>
      </vt:variant>
      <vt:variant>
        <vt:i4>51</vt:i4>
      </vt:variant>
      <vt:variant>
        <vt:i4>0</vt:i4>
      </vt:variant>
      <vt:variant>
        <vt:i4>5</vt:i4>
      </vt:variant>
      <vt:variant>
        <vt:lpwstr>https://www.cbd.int/ecosystem/</vt:lpwstr>
      </vt:variant>
      <vt:variant>
        <vt:lpwstr/>
      </vt:variant>
      <vt:variant>
        <vt:i4>196690</vt:i4>
      </vt:variant>
      <vt:variant>
        <vt:i4>48</vt:i4>
      </vt:variant>
      <vt:variant>
        <vt:i4>0</vt:i4>
      </vt:variant>
      <vt:variant>
        <vt:i4>5</vt:i4>
      </vt:variant>
      <vt:variant>
        <vt:lpwstr>https://iwc.int/home</vt:lpwstr>
      </vt:variant>
      <vt:variant>
        <vt:lpwstr/>
      </vt:variant>
      <vt:variant>
        <vt:i4>786520</vt:i4>
      </vt:variant>
      <vt:variant>
        <vt:i4>45</vt:i4>
      </vt:variant>
      <vt:variant>
        <vt:i4>0</vt:i4>
      </vt:variant>
      <vt:variant>
        <vt:i4>5</vt:i4>
      </vt:variant>
      <vt:variant>
        <vt:lpwstr>https://www.ippc.int/en/</vt:lpwstr>
      </vt:variant>
      <vt:variant>
        <vt:lpwstr/>
      </vt:variant>
      <vt:variant>
        <vt:i4>4128821</vt:i4>
      </vt:variant>
      <vt:variant>
        <vt:i4>42</vt:i4>
      </vt:variant>
      <vt:variant>
        <vt:i4>0</vt:i4>
      </vt:variant>
      <vt:variant>
        <vt:i4>5</vt:i4>
      </vt:variant>
      <vt:variant>
        <vt:lpwstr>http://whc.unesco.org/</vt:lpwstr>
      </vt:variant>
      <vt:variant>
        <vt:lpwstr/>
      </vt:variant>
      <vt:variant>
        <vt:i4>2097250</vt:i4>
      </vt:variant>
      <vt:variant>
        <vt:i4>39</vt:i4>
      </vt:variant>
      <vt:variant>
        <vt:i4>0</vt:i4>
      </vt:variant>
      <vt:variant>
        <vt:i4>5</vt:i4>
      </vt:variant>
      <vt:variant>
        <vt:lpwstr>https://www.ramsar.org/</vt:lpwstr>
      </vt:variant>
      <vt:variant>
        <vt:lpwstr/>
      </vt:variant>
      <vt:variant>
        <vt:i4>7012450</vt:i4>
      </vt:variant>
      <vt:variant>
        <vt:i4>36</vt:i4>
      </vt:variant>
      <vt:variant>
        <vt:i4>0</vt:i4>
      </vt:variant>
      <vt:variant>
        <vt:i4>5</vt:i4>
      </vt:variant>
      <vt:variant>
        <vt:lpwstr>http://www.fao.org/plant-treaty/en/</vt:lpwstr>
      </vt:variant>
      <vt:variant>
        <vt:lpwstr/>
      </vt:variant>
      <vt:variant>
        <vt:i4>3604524</vt:i4>
      </vt:variant>
      <vt:variant>
        <vt:i4>33</vt:i4>
      </vt:variant>
      <vt:variant>
        <vt:i4>0</vt:i4>
      </vt:variant>
      <vt:variant>
        <vt:i4>5</vt:i4>
      </vt:variant>
      <vt:variant>
        <vt:lpwstr>https://www.cites.org/</vt:lpwstr>
      </vt:variant>
      <vt:variant>
        <vt:lpwstr/>
      </vt:variant>
      <vt:variant>
        <vt:i4>4849741</vt:i4>
      </vt:variant>
      <vt:variant>
        <vt:i4>30</vt:i4>
      </vt:variant>
      <vt:variant>
        <vt:i4>0</vt:i4>
      </vt:variant>
      <vt:variant>
        <vt:i4>5</vt:i4>
      </vt:variant>
      <vt:variant>
        <vt:lpwstr>https://www.cms.int/</vt:lpwstr>
      </vt:variant>
      <vt:variant>
        <vt:lpwstr/>
      </vt:variant>
      <vt:variant>
        <vt:i4>7864447</vt:i4>
      </vt:variant>
      <vt:variant>
        <vt:i4>27</vt:i4>
      </vt:variant>
      <vt:variant>
        <vt:i4>0</vt:i4>
      </vt:variant>
      <vt:variant>
        <vt:i4>5</vt:i4>
      </vt:variant>
      <vt:variant>
        <vt:lpwstr>http://www.undp.org/content/undp/en/home/librarypage/environment-energy/ecosystems_and_biodiversity/biodiversity-and-ecosystems-global-framework-2012-to-2020.html</vt:lpwstr>
      </vt:variant>
      <vt:variant>
        <vt:lpwstr/>
      </vt:variant>
      <vt:variant>
        <vt:i4>7143469</vt:i4>
      </vt:variant>
      <vt:variant>
        <vt:i4>24</vt:i4>
      </vt:variant>
      <vt:variant>
        <vt:i4>0</vt:i4>
      </vt:variant>
      <vt:variant>
        <vt:i4>5</vt:i4>
      </vt:variant>
      <vt:variant>
        <vt:lpwstr>http://www.cbd.int/sp/</vt:lpwstr>
      </vt:variant>
      <vt:variant>
        <vt:lpwstr/>
      </vt:variant>
      <vt:variant>
        <vt:i4>3211378</vt:i4>
      </vt:variant>
      <vt:variant>
        <vt:i4>21</vt:i4>
      </vt:variant>
      <vt:variant>
        <vt:i4>0</vt:i4>
      </vt:variant>
      <vt:variant>
        <vt:i4>5</vt:i4>
      </vt:variant>
      <vt:variant>
        <vt:lpwstr>http://www.cbd.int/</vt:lpwstr>
      </vt:variant>
      <vt:variant>
        <vt:lpwstr/>
      </vt:variant>
      <vt:variant>
        <vt:i4>4784132</vt:i4>
      </vt:variant>
      <vt:variant>
        <vt:i4>18</vt:i4>
      </vt:variant>
      <vt:variant>
        <vt:i4>0</vt:i4>
      </vt:variant>
      <vt:variant>
        <vt:i4>5</vt:i4>
      </vt:variant>
      <vt:variant>
        <vt:lpwstr>http://www.undp.org/content/undp/en/home/accountability/audit/secu-srm/social-and-environmental-compliance-unit.html</vt:lpwstr>
      </vt:variant>
      <vt:variant>
        <vt:lpwstr/>
      </vt:variant>
      <vt:variant>
        <vt:i4>4063336</vt:i4>
      </vt:variant>
      <vt:variant>
        <vt:i4>15</vt:i4>
      </vt:variant>
      <vt:variant>
        <vt:i4>0</vt:i4>
      </vt:variant>
      <vt:variant>
        <vt:i4>5</vt:i4>
      </vt:variant>
      <vt:variant>
        <vt:lpwstr>http://www.undp.org/content/undp/en/home/accountability/audit/secu-srm/stakeholder-response-mechanism.html</vt:lpwstr>
      </vt:variant>
      <vt:variant>
        <vt:lpwstr/>
      </vt:variant>
      <vt:variant>
        <vt:i4>8192127</vt:i4>
      </vt:variant>
      <vt:variant>
        <vt:i4>12</vt:i4>
      </vt:variant>
      <vt:variant>
        <vt:i4>0</vt:i4>
      </vt:variant>
      <vt:variant>
        <vt:i4>5</vt:i4>
      </vt:variant>
      <vt:variant>
        <vt:lpwstr>http://www.unep.org/Documents.Multilingual/Default.asp?documentid=78&amp;articleid=1163</vt:lpwstr>
      </vt:variant>
      <vt:variant>
        <vt:lpwstr/>
      </vt:variant>
      <vt:variant>
        <vt:i4>262210</vt:i4>
      </vt:variant>
      <vt:variant>
        <vt:i4>9</vt:i4>
      </vt:variant>
      <vt:variant>
        <vt:i4>0</vt:i4>
      </vt:variant>
      <vt:variant>
        <vt:i4>5</vt:i4>
      </vt:variant>
      <vt:variant>
        <vt:lpwstr>http://www.undg.org/content/programming_reference_guide_(undaf)/un_country_programming_principles/human_rights-based_approach_to_development_programming_(hrba</vt:lpwstr>
      </vt:variant>
      <vt:variant>
        <vt:lpwstr/>
      </vt:variant>
      <vt:variant>
        <vt:i4>8126507</vt:i4>
      </vt:variant>
      <vt:variant>
        <vt:i4>6</vt:i4>
      </vt:variant>
      <vt:variant>
        <vt:i4>0</vt:i4>
      </vt:variant>
      <vt:variant>
        <vt:i4>5</vt:i4>
      </vt:variant>
      <vt:variant>
        <vt:lpwstr>https://popp.undp.org/_layouts/15/WopiFrame.aspx?sourcedoc=/UNDP_POPP_DOCUMENT_LIBRARY/Public/PPM_Programming%20Standards_Quality%20Standards%20for%20Programming.docx&amp;action=default</vt:lpwstr>
      </vt:variant>
      <vt:variant>
        <vt:lpwstr/>
      </vt:variant>
      <vt:variant>
        <vt:i4>6815807</vt:i4>
      </vt:variant>
      <vt:variant>
        <vt:i4>3</vt:i4>
      </vt:variant>
      <vt:variant>
        <vt:i4>0</vt:i4>
      </vt:variant>
      <vt:variant>
        <vt:i4>5</vt:i4>
      </vt:variant>
      <vt:variant>
        <vt:lpwstr>https://undg.org/document/2017-undaf-guidance/</vt:lpwstr>
      </vt:variant>
      <vt:variant>
        <vt:lpwstr/>
      </vt:variant>
      <vt:variant>
        <vt:i4>8257659</vt:i4>
      </vt:variant>
      <vt:variant>
        <vt:i4>0</vt:i4>
      </vt:variant>
      <vt:variant>
        <vt:i4>0</vt:i4>
      </vt:variant>
      <vt:variant>
        <vt:i4>5</vt:i4>
      </vt:variant>
      <vt:variant>
        <vt:lpwstr>https://www.undp.org/content/dam/undp/library/corporate/Procurement/english/3. UNDP GTCs for Contracts (Goods and-or Services) - Sept 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Jenkins</dc:creator>
  <cp:keywords/>
  <dc:description/>
  <cp:lastModifiedBy>Holly Mergler</cp:lastModifiedBy>
  <cp:revision>6</cp:revision>
  <cp:lastPrinted>2014-03-10T18:35:00Z</cp:lastPrinted>
  <dcterms:created xsi:type="dcterms:W3CDTF">2019-07-22T14:27:00Z</dcterms:created>
  <dcterms:modified xsi:type="dcterms:W3CDTF">2019-11-01T15:26:00Z</dcterms:modified>
</cp:coreProperties>
</file>