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6099A" w14:textId="77777777" w:rsidR="000C171B" w:rsidRDefault="000C171B" w:rsidP="000C171B">
      <w:r>
        <w:rPr>
          <w:noProof/>
        </w:rPr>
        <mc:AlternateContent>
          <mc:Choice Requires="wps">
            <w:drawing>
              <wp:anchor distT="0" distB="0" distL="114300" distR="114300" simplePos="0" relativeHeight="251659264" behindDoc="0" locked="0" layoutInCell="1" allowOverlap="1" wp14:anchorId="07A0A5FF" wp14:editId="60D71C27">
                <wp:simplePos x="0" y="0"/>
                <wp:positionH relativeFrom="column">
                  <wp:posOffset>-339918</wp:posOffset>
                </wp:positionH>
                <wp:positionV relativeFrom="paragraph">
                  <wp:posOffset>-735773</wp:posOffset>
                </wp:positionV>
                <wp:extent cx="6788426" cy="8925339"/>
                <wp:effectExtent l="0" t="0" r="12700" b="28575"/>
                <wp:wrapNone/>
                <wp:docPr id="4" name="Rectángulo 4"/>
                <wp:cNvGraphicFramePr/>
                <a:graphic xmlns:a="http://schemas.openxmlformats.org/drawingml/2006/main">
                  <a:graphicData uri="http://schemas.microsoft.com/office/word/2010/wordprocessingShape">
                    <wps:wsp>
                      <wps:cNvSpPr/>
                      <wps:spPr>
                        <a:xfrm>
                          <a:off x="0" y="0"/>
                          <a:ext cx="6788426" cy="892533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3E9C3B" w14:textId="5A8F91D3" w:rsidR="000264D3" w:rsidRDefault="000264D3" w:rsidP="003878C7">
                            <w:r>
                              <w:rPr>
                                <w:noProof/>
                              </w:rPr>
                              <w:drawing>
                                <wp:inline distT="0" distB="0" distL="0" distR="0" wp14:anchorId="50DA3141" wp14:editId="5DA07024">
                                  <wp:extent cx="2126974" cy="943610"/>
                                  <wp:effectExtent l="0" t="0" r="6985"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359" cy="957977"/>
                                          </a:xfrm>
                                          <a:prstGeom prst="rect">
                                            <a:avLst/>
                                          </a:prstGeom>
                                          <a:noFill/>
                                        </pic:spPr>
                                      </pic:pic>
                                    </a:graphicData>
                                  </a:graphic>
                                </wp:inline>
                              </w:drawing>
                            </w:r>
                          </w:p>
                          <w:p w14:paraId="77FC44C5" w14:textId="77777777" w:rsidR="000264D3" w:rsidRDefault="000264D3" w:rsidP="000C171B">
                            <w:pPr>
                              <w:jc w:val="center"/>
                            </w:pPr>
                          </w:p>
                          <w:p w14:paraId="23E72265" w14:textId="7C4E4E7D" w:rsidR="000264D3" w:rsidRDefault="000264D3" w:rsidP="003878C7"/>
                          <w:p w14:paraId="751F34A9" w14:textId="77777777" w:rsidR="000264D3" w:rsidRDefault="000264D3" w:rsidP="000C171B">
                            <w:pPr>
                              <w:jc w:val="center"/>
                            </w:pPr>
                          </w:p>
                          <w:p w14:paraId="7176EF39" w14:textId="77777777" w:rsidR="000264D3" w:rsidRDefault="000264D3" w:rsidP="000C171B">
                            <w:pPr>
                              <w:jc w:val="center"/>
                            </w:pPr>
                          </w:p>
                          <w:p w14:paraId="7AC45058" w14:textId="2EF63B44" w:rsidR="000264D3" w:rsidRDefault="000264D3" w:rsidP="000C171B">
                            <w:pPr>
                              <w:jc w:val="center"/>
                            </w:pPr>
                            <w:r w:rsidRPr="003878C7">
                              <w:rPr>
                                <w:noProof/>
                              </w:rPr>
                              <w:drawing>
                                <wp:inline distT="0" distB="0" distL="0" distR="0" wp14:anchorId="6F304770" wp14:editId="64D138C4">
                                  <wp:extent cx="4493556" cy="4701146"/>
                                  <wp:effectExtent l="0" t="0" r="254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20000" contrast="20000"/>
                                            <a:extLst>
                                              <a:ext uri="{28A0092B-C50C-407E-A947-70E740481C1C}">
                                                <a14:useLocalDpi xmlns:a14="http://schemas.microsoft.com/office/drawing/2010/main" val="0"/>
                                              </a:ext>
                                            </a:extLst>
                                          </a:blip>
                                          <a:srcRect/>
                                          <a:stretch>
                                            <a:fillRect/>
                                          </a:stretch>
                                        </pic:blipFill>
                                        <pic:spPr bwMode="auto">
                                          <a:xfrm>
                                            <a:off x="0" y="0"/>
                                            <a:ext cx="4510818" cy="4719206"/>
                                          </a:xfrm>
                                          <a:prstGeom prst="rect">
                                            <a:avLst/>
                                          </a:prstGeom>
                                          <a:noFill/>
                                          <a:ln>
                                            <a:noFill/>
                                          </a:ln>
                                        </pic:spPr>
                                      </pic:pic>
                                    </a:graphicData>
                                  </a:graphic>
                                </wp:inline>
                              </w:drawing>
                            </w:r>
                            <w:bookmarkStart w:id="0" w:name="_GoBack"/>
                            <w:bookmarkEnd w:id="0"/>
                          </w:p>
                          <w:p w14:paraId="584B3CE0" w14:textId="77777777" w:rsidR="000264D3" w:rsidRDefault="000264D3" w:rsidP="000C171B">
                            <w:pPr>
                              <w:jc w:val="center"/>
                            </w:pPr>
                          </w:p>
                          <w:p w14:paraId="0007181B" w14:textId="77777777" w:rsidR="000264D3" w:rsidRPr="009110B7" w:rsidRDefault="000264D3" w:rsidP="000C171B">
                            <w:pPr>
                              <w:jc w:val="center"/>
                              <w:rPr>
                                <w:rFonts w:ascii="Mistral" w:hAnsi="Mistral"/>
                                <w:b/>
                                <w:bCs/>
                                <w:color w:val="2E74B5" w:themeColor="accent5" w:themeShade="BF"/>
                                <w:sz w:val="96"/>
                                <w:szCs w:val="96"/>
                              </w:rPr>
                            </w:pPr>
                            <w:r w:rsidRPr="009110B7">
                              <w:rPr>
                                <w:rFonts w:ascii="Mistral" w:hAnsi="Mistral"/>
                                <w:b/>
                                <w:bCs/>
                                <w:color w:val="2E74B5" w:themeColor="accent5" w:themeShade="BF"/>
                                <w:sz w:val="96"/>
                                <w:szCs w:val="96"/>
                              </w:rPr>
                              <w:t>Análisis Conjunto de País</w:t>
                            </w:r>
                          </w:p>
                          <w:p w14:paraId="2B347D6E" w14:textId="175415A7" w:rsidR="000264D3" w:rsidRPr="003878C7" w:rsidRDefault="000264D3" w:rsidP="000C171B">
                            <w:pPr>
                              <w:jc w:val="center"/>
                              <w:rPr>
                                <w:color w:val="2E74B5" w:themeColor="accent5" w:themeShade="BF"/>
                              </w:rPr>
                            </w:pPr>
                            <w:r w:rsidRPr="003878C7">
                              <w:rPr>
                                <w:rFonts w:ascii="Tw Cen MT Condensed" w:hAnsi="Tw Cen MT Condensed"/>
                                <w:color w:val="2E74B5" w:themeColor="accent5" w:themeShade="BF"/>
                                <w:sz w:val="36"/>
                                <w:szCs w:val="36"/>
                              </w:rPr>
                              <w:t xml:space="preserve">Panamá, </w:t>
                            </w:r>
                            <w:r>
                              <w:rPr>
                                <w:rFonts w:ascii="Tw Cen MT Condensed" w:hAnsi="Tw Cen MT Condensed"/>
                                <w:color w:val="2E74B5" w:themeColor="accent5" w:themeShade="BF"/>
                                <w:sz w:val="36"/>
                                <w:szCs w:val="36"/>
                              </w:rPr>
                              <w:t>Febrero</w:t>
                            </w:r>
                            <w:r w:rsidRPr="003878C7">
                              <w:rPr>
                                <w:rFonts w:ascii="Tw Cen MT Condensed" w:hAnsi="Tw Cen MT Condensed"/>
                                <w:color w:val="2E74B5" w:themeColor="accent5" w:themeShade="BF"/>
                                <w:sz w:val="36"/>
                                <w:szCs w:val="36"/>
                              </w:rPr>
                              <w:t xml:space="preserve"> 2020.</w:t>
                            </w:r>
                            <w:r w:rsidRPr="003878C7" w:rsidDel="00E50D56">
                              <w:rPr>
                                <w:rFonts w:ascii="Mistral" w:hAnsi="Mistral"/>
                                <w:b/>
                                <w:bCs/>
                                <w:color w:val="2E74B5" w:themeColor="accent5" w:themeShade="BF"/>
                                <w:sz w:val="144"/>
                                <w:szCs w:val="1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0A5FF" id="Rectángulo 4" o:spid="_x0000_s1026" style="position:absolute;margin-left:-26.75pt;margin-top:-57.95pt;width:534.5pt;height:70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" fillcolor="white [3212]" strokecolor="#1f3763 [1604]" strokeweight="1pt">
                <v:textbox>
                  <w:txbxContent>
                    <w:p w14:paraId="373E9C3B" w14:textId="5A8F91D3" w:rsidR="000264D3" w:rsidRDefault="000264D3" w:rsidP="003878C7">
                      <w:r>
                        <w:rPr>
                          <w:noProof/>
                        </w:rPr>
                        <w:drawing>
                          <wp:inline distT="0" distB="0" distL="0" distR="0" wp14:anchorId="50DA3141" wp14:editId="5DA07024">
                            <wp:extent cx="2126974" cy="943610"/>
                            <wp:effectExtent l="0" t="0" r="6985"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359" cy="957977"/>
                                    </a:xfrm>
                                    <a:prstGeom prst="rect">
                                      <a:avLst/>
                                    </a:prstGeom>
                                    <a:noFill/>
                                  </pic:spPr>
                                </pic:pic>
                              </a:graphicData>
                            </a:graphic>
                          </wp:inline>
                        </w:drawing>
                      </w:r>
                    </w:p>
                    <w:p w14:paraId="77FC44C5" w14:textId="77777777" w:rsidR="000264D3" w:rsidRDefault="000264D3" w:rsidP="000C171B">
                      <w:pPr>
                        <w:jc w:val="center"/>
                      </w:pPr>
                    </w:p>
                    <w:p w14:paraId="23E72265" w14:textId="7C4E4E7D" w:rsidR="000264D3" w:rsidRDefault="000264D3" w:rsidP="003878C7"/>
                    <w:p w14:paraId="751F34A9" w14:textId="77777777" w:rsidR="000264D3" w:rsidRDefault="000264D3" w:rsidP="000C171B">
                      <w:pPr>
                        <w:jc w:val="center"/>
                      </w:pPr>
                    </w:p>
                    <w:p w14:paraId="7176EF39" w14:textId="77777777" w:rsidR="000264D3" w:rsidRDefault="000264D3" w:rsidP="000C171B">
                      <w:pPr>
                        <w:jc w:val="center"/>
                      </w:pPr>
                    </w:p>
                    <w:p w14:paraId="7AC45058" w14:textId="2EF63B44" w:rsidR="000264D3" w:rsidRDefault="000264D3" w:rsidP="000C171B">
                      <w:pPr>
                        <w:jc w:val="center"/>
                      </w:pPr>
                      <w:r w:rsidRPr="003878C7">
                        <w:rPr>
                          <w:noProof/>
                        </w:rPr>
                        <w:drawing>
                          <wp:inline distT="0" distB="0" distL="0" distR="0" wp14:anchorId="6F304770" wp14:editId="64D138C4">
                            <wp:extent cx="4493556" cy="4701146"/>
                            <wp:effectExtent l="0" t="0" r="254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20000" contrast="20000"/>
                                      <a:extLst>
                                        <a:ext uri="{28A0092B-C50C-407E-A947-70E740481C1C}">
                                          <a14:useLocalDpi xmlns:a14="http://schemas.microsoft.com/office/drawing/2010/main" val="0"/>
                                        </a:ext>
                                      </a:extLst>
                                    </a:blip>
                                    <a:srcRect/>
                                    <a:stretch>
                                      <a:fillRect/>
                                    </a:stretch>
                                  </pic:blipFill>
                                  <pic:spPr bwMode="auto">
                                    <a:xfrm>
                                      <a:off x="0" y="0"/>
                                      <a:ext cx="4510818" cy="4719206"/>
                                    </a:xfrm>
                                    <a:prstGeom prst="rect">
                                      <a:avLst/>
                                    </a:prstGeom>
                                    <a:noFill/>
                                    <a:ln>
                                      <a:noFill/>
                                    </a:ln>
                                  </pic:spPr>
                                </pic:pic>
                              </a:graphicData>
                            </a:graphic>
                          </wp:inline>
                        </w:drawing>
                      </w:r>
                      <w:bookmarkStart w:id="1" w:name="_GoBack"/>
                      <w:bookmarkEnd w:id="1"/>
                    </w:p>
                    <w:p w14:paraId="584B3CE0" w14:textId="77777777" w:rsidR="000264D3" w:rsidRDefault="000264D3" w:rsidP="000C171B">
                      <w:pPr>
                        <w:jc w:val="center"/>
                      </w:pPr>
                    </w:p>
                    <w:p w14:paraId="0007181B" w14:textId="77777777" w:rsidR="000264D3" w:rsidRPr="009110B7" w:rsidRDefault="000264D3" w:rsidP="000C171B">
                      <w:pPr>
                        <w:jc w:val="center"/>
                        <w:rPr>
                          <w:rFonts w:ascii="Mistral" w:hAnsi="Mistral"/>
                          <w:b/>
                          <w:bCs/>
                          <w:color w:val="2E74B5" w:themeColor="accent5" w:themeShade="BF"/>
                          <w:sz w:val="96"/>
                          <w:szCs w:val="96"/>
                        </w:rPr>
                      </w:pPr>
                      <w:r w:rsidRPr="009110B7">
                        <w:rPr>
                          <w:rFonts w:ascii="Mistral" w:hAnsi="Mistral"/>
                          <w:b/>
                          <w:bCs/>
                          <w:color w:val="2E74B5" w:themeColor="accent5" w:themeShade="BF"/>
                          <w:sz w:val="96"/>
                          <w:szCs w:val="96"/>
                        </w:rPr>
                        <w:t>Análisis Conjunto de País</w:t>
                      </w:r>
                    </w:p>
                    <w:p w14:paraId="2B347D6E" w14:textId="175415A7" w:rsidR="000264D3" w:rsidRPr="003878C7" w:rsidRDefault="000264D3" w:rsidP="000C171B">
                      <w:pPr>
                        <w:jc w:val="center"/>
                        <w:rPr>
                          <w:color w:val="2E74B5" w:themeColor="accent5" w:themeShade="BF"/>
                        </w:rPr>
                      </w:pPr>
                      <w:r w:rsidRPr="003878C7">
                        <w:rPr>
                          <w:rFonts w:ascii="Tw Cen MT Condensed" w:hAnsi="Tw Cen MT Condensed"/>
                          <w:color w:val="2E74B5" w:themeColor="accent5" w:themeShade="BF"/>
                          <w:sz w:val="36"/>
                          <w:szCs w:val="36"/>
                        </w:rPr>
                        <w:t xml:space="preserve">Panamá, </w:t>
                      </w:r>
                      <w:r>
                        <w:rPr>
                          <w:rFonts w:ascii="Tw Cen MT Condensed" w:hAnsi="Tw Cen MT Condensed"/>
                          <w:color w:val="2E74B5" w:themeColor="accent5" w:themeShade="BF"/>
                          <w:sz w:val="36"/>
                          <w:szCs w:val="36"/>
                        </w:rPr>
                        <w:t>Febrero</w:t>
                      </w:r>
                      <w:r w:rsidRPr="003878C7">
                        <w:rPr>
                          <w:rFonts w:ascii="Tw Cen MT Condensed" w:hAnsi="Tw Cen MT Condensed"/>
                          <w:color w:val="2E74B5" w:themeColor="accent5" w:themeShade="BF"/>
                          <w:sz w:val="36"/>
                          <w:szCs w:val="36"/>
                        </w:rPr>
                        <w:t xml:space="preserve"> 2020.</w:t>
                      </w:r>
                      <w:r w:rsidRPr="003878C7" w:rsidDel="00E50D56">
                        <w:rPr>
                          <w:rFonts w:ascii="Mistral" w:hAnsi="Mistral"/>
                          <w:b/>
                          <w:bCs/>
                          <w:color w:val="2E74B5" w:themeColor="accent5" w:themeShade="BF"/>
                          <w:sz w:val="144"/>
                          <w:szCs w:val="144"/>
                        </w:rPr>
                        <w:t xml:space="preserve"> </w:t>
                      </w:r>
                    </w:p>
                  </w:txbxContent>
                </v:textbox>
              </v:rect>
            </w:pict>
          </mc:Fallback>
        </mc:AlternateContent>
      </w:r>
    </w:p>
    <w:p w14:paraId="255B200E" w14:textId="77777777" w:rsidR="000C171B" w:rsidRDefault="000C171B" w:rsidP="000C171B"/>
    <w:p w14:paraId="33E97B06" w14:textId="77777777" w:rsidR="000C171B" w:rsidRDefault="000C171B" w:rsidP="000C171B"/>
    <w:p w14:paraId="1F216907" w14:textId="77777777" w:rsidR="000C171B" w:rsidRDefault="000C171B" w:rsidP="000C171B"/>
    <w:p w14:paraId="5FC6EED5" w14:textId="77777777" w:rsidR="000C171B" w:rsidRDefault="000C171B" w:rsidP="000C171B"/>
    <w:p w14:paraId="6DC5518B" w14:textId="77777777" w:rsidR="000C171B" w:rsidRDefault="000C171B" w:rsidP="000C171B"/>
    <w:p w14:paraId="45D63E7A" w14:textId="77777777" w:rsidR="000C171B" w:rsidRDefault="000C171B" w:rsidP="000C171B"/>
    <w:p w14:paraId="4727A743" w14:textId="77777777" w:rsidR="000C171B" w:rsidRDefault="000C171B" w:rsidP="000C171B"/>
    <w:p w14:paraId="5748801E" w14:textId="77777777" w:rsidR="000C171B" w:rsidRDefault="000C171B" w:rsidP="000C171B"/>
    <w:p w14:paraId="1367E361" w14:textId="77777777" w:rsidR="000C171B" w:rsidRDefault="000C171B" w:rsidP="000C171B"/>
    <w:p w14:paraId="138AC9F9" w14:textId="77777777" w:rsidR="000C171B" w:rsidRDefault="000C171B" w:rsidP="000C171B"/>
    <w:p w14:paraId="4E72FEBE" w14:textId="77777777" w:rsidR="000C171B" w:rsidRDefault="000C171B" w:rsidP="000C171B"/>
    <w:p w14:paraId="2CA39C16" w14:textId="77777777" w:rsidR="000C171B" w:rsidRDefault="000C171B" w:rsidP="000C171B"/>
    <w:p w14:paraId="1BA7C266" w14:textId="77777777" w:rsidR="000C171B" w:rsidRDefault="000C171B" w:rsidP="000C171B"/>
    <w:p w14:paraId="0DD984B2" w14:textId="77777777" w:rsidR="000C171B" w:rsidRDefault="000C171B" w:rsidP="000C171B"/>
    <w:p w14:paraId="6CC458A2" w14:textId="77777777" w:rsidR="000C171B" w:rsidRDefault="000C171B" w:rsidP="000C171B"/>
    <w:p w14:paraId="438932FE" w14:textId="77777777" w:rsidR="000C171B" w:rsidRDefault="000C171B" w:rsidP="000C171B"/>
    <w:p w14:paraId="017602BC" w14:textId="77777777" w:rsidR="000C171B" w:rsidRDefault="000C171B" w:rsidP="000C171B"/>
    <w:p w14:paraId="27538C36" w14:textId="77777777" w:rsidR="000C171B" w:rsidRDefault="000C171B" w:rsidP="000C171B"/>
    <w:p w14:paraId="4B36CA03" w14:textId="77777777" w:rsidR="000C171B" w:rsidRDefault="000C171B" w:rsidP="000C171B"/>
    <w:p w14:paraId="0FF0A4A1" w14:textId="77777777" w:rsidR="000C171B" w:rsidRDefault="000C171B" w:rsidP="000C171B"/>
    <w:p w14:paraId="1DE873E1" w14:textId="77777777" w:rsidR="000C171B" w:rsidRDefault="000C171B" w:rsidP="000C171B"/>
    <w:p w14:paraId="79B24BD6" w14:textId="77777777" w:rsidR="000C171B" w:rsidRDefault="000C171B" w:rsidP="000C171B"/>
    <w:p w14:paraId="48144D6C" w14:textId="77777777" w:rsidR="000C171B" w:rsidRDefault="000C171B" w:rsidP="000C171B"/>
    <w:p w14:paraId="4DEB0BAA" w14:textId="77777777" w:rsidR="000C171B" w:rsidRDefault="000C171B" w:rsidP="000C171B"/>
    <w:p w14:paraId="4D2B5405" w14:textId="77777777" w:rsidR="000C171B" w:rsidRDefault="000C171B" w:rsidP="000C171B"/>
    <w:p w14:paraId="124326CD" w14:textId="77777777" w:rsidR="000C171B" w:rsidRDefault="000C171B" w:rsidP="000C171B"/>
    <w:p w14:paraId="353437ED" w14:textId="77777777" w:rsidR="000C171B" w:rsidRDefault="000C171B" w:rsidP="000C171B"/>
    <w:sdt>
      <w:sdtPr>
        <w:rPr>
          <w:rFonts w:eastAsia="Times New Roman" w:cstheme="minorHAnsi"/>
          <w:b/>
          <w:bCs/>
          <w:color w:val="0D0D0D" w:themeColor="text1" w:themeTint="F2"/>
          <w:w w:val="90"/>
          <w:lang w:eastAsia="es-PA"/>
        </w:rPr>
        <w:id w:val="-1696835217"/>
        <w:docPartObj>
          <w:docPartGallery w:val="Cover Pages"/>
          <w:docPartUnique/>
        </w:docPartObj>
      </w:sdtPr>
      <w:sdtEndPr>
        <w:rPr>
          <w:rFonts w:eastAsiaTheme="minorHAnsi" w:cstheme="minorBidi"/>
          <w:b w:val="0"/>
          <w:bCs w:val="0"/>
          <w:color w:val="auto"/>
          <w:w w:val="100"/>
          <w:lang w:eastAsia="en-US"/>
        </w:rPr>
      </w:sdtEndPr>
      <w:sdtContent>
        <w:tbl>
          <w:tblPr>
            <w:tblW w:w="93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60"/>
            <w:gridCol w:w="555"/>
            <w:gridCol w:w="720"/>
            <w:gridCol w:w="7020"/>
            <w:gridCol w:w="900"/>
          </w:tblGrid>
          <w:tr w:rsidR="000C171B" w:rsidRPr="00A97A6D" w14:paraId="6CA5007E" w14:textId="77777777" w:rsidTr="002C49EF">
            <w:trPr>
              <w:trHeight w:val="69"/>
              <w:tblHeader/>
            </w:trPr>
            <w:tc>
              <w:tcPr>
                <w:tcW w:w="160" w:type="dxa"/>
                <w:tcBorders>
                  <w:top w:val="single" w:sz="2" w:space="0" w:color="000000" w:themeColor="text1"/>
                  <w:bottom w:val="single" w:sz="2" w:space="0" w:color="000000" w:themeColor="text1"/>
                </w:tcBorders>
              </w:tcPr>
              <w:p w14:paraId="2F525471" w14:textId="77777777" w:rsidR="000C171B" w:rsidRPr="00A97A6D" w:rsidRDefault="000C171B" w:rsidP="002C49EF">
                <w:pPr>
                  <w:spacing w:after="0" w:line="240" w:lineRule="auto"/>
                  <w:rPr>
                    <w:rFonts w:eastAsia="Times New Roman" w:cstheme="minorHAnsi"/>
                    <w:b/>
                    <w:bCs/>
                    <w:color w:val="0D0D0D" w:themeColor="text1" w:themeTint="F2"/>
                    <w:w w:val="90"/>
                    <w:lang w:eastAsia="es-PA"/>
                  </w:rPr>
                </w:pPr>
              </w:p>
            </w:tc>
            <w:tc>
              <w:tcPr>
                <w:tcW w:w="555" w:type="dxa"/>
                <w:tcBorders>
                  <w:top w:val="single" w:sz="2" w:space="0" w:color="000000" w:themeColor="text1"/>
                  <w:bottom w:val="single" w:sz="2" w:space="0" w:color="000000" w:themeColor="text1"/>
                  <w:right w:val="single" w:sz="2" w:space="0" w:color="B4C6E7" w:themeColor="accent1" w:themeTint="66"/>
                </w:tcBorders>
                <w:shd w:val="clear" w:color="auto" w:fill="auto"/>
                <w:hideMark/>
              </w:tcPr>
              <w:p w14:paraId="047E489F" w14:textId="77777777" w:rsidR="000C171B" w:rsidRPr="00A97A6D" w:rsidRDefault="000C171B" w:rsidP="002C49EF">
                <w:pPr>
                  <w:spacing w:after="0" w:line="240" w:lineRule="auto"/>
                  <w:rPr>
                    <w:rFonts w:eastAsia="Times New Roman" w:cstheme="minorHAnsi"/>
                    <w:b/>
                    <w:bCs/>
                    <w:color w:val="0D0D0D" w:themeColor="text1" w:themeTint="F2"/>
                    <w:w w:val="90"/>
                    <w:lang w:eastAsia="es-PA"/>
                  </w:rPr>
                </w:pPr>
                <w:r w:rsidRPr="00A97A6D">
                  <w:rPr>
                    <w:rFonts w:eastAsia="Times New Roman" w:cstheme="minorHAnsi"/>
                    <w:b/>
                    <w:bCs/>
                    <w:color w:val="0D0D0D" w:themeColor="text1" w:themeTint="F2"/>
                    <w:w w:val="90"/>
                    <w:lang w:eastAsia="es-PA"/>
                  </w:rPr>
                  <w:t>N°</w:t>
                </w:r>
              </w:p>
            </w:tc>
            <w:tc>
              <w:tcPr>
                <w:tcW w:w="7740" w:type="dxa"/>
                <w:gridSpan w:val="2"/>
                <w:tcBorders>
                  <w:top w:val="single" w:sz="2" w:space="0" w:color="000000" w:themeColor="text1"/>
                  <w:left w:val="single" w:sz="2" w:space="0" w:color="B4C6E7" w:themeColor="accent1" w:themeTint="66"/>
                  <w:bottom w:val="single" w:sz="2" w:space="0" w:color="000000" w:themeColor="text1"/>
                  <w:right w:val="single" w:sz="2" w:space="0" w:color="B4C6E7" w:themeColor="accent1" w:themeTint="66"/>
                </w:tcBorders>
                <w:shd w:val="clear" w:color="auto" w:fill="auto"/>
                <w:hideMark/>
              </w:tcPr>
              <w:p w14:paraId="7BB4BFDE" w14:textId="77777777" w:rsidR="000C171B" w:rsidRPr="00A97A6D" w:rsidRDefault="000C171B" w:rsidP="002C49EF">
                <w:pPr>
                  <w:spacing w:after="0" w:line="240" w:lineRule="auto"/>
                  <w:rPr>
                    <w:rFonts w:eastAsia="Times New Roman" w:cstheme="minorHAnsi"/>
                    <w:b/>
                    <w:bCs/>
                    <w:color w:val="0D0D0D" w:themeColor="text1" w:themeTint="F2"/>
                    <w:w w:val="90"/>
                    <w:lang w:eastAsia="es-PA"/>
                  </w:rPr>
                </w:pPr>
                <w:r w:rsidRPr="00A97A6D">
                  <w:rPr>
                    <w:rFonts w:eastAsia="Times New Roman" w:cstheme="minorHAnsi"/>
                    <w:b/>
                    <w:bCs/>
                    <w:color w:val="0D0D0D" w:themeColor="text1" w:themeTint="F2"/>
                    <w:w w:val="90"/>
                    <w:lang w:eastAsia="es-PA"/>
                  </w:rPr>
                  <w:t>TEMÁTICA.</w:t>
                </w:r>
              </w:p>
            </w:tc>
            <w:tc>
              <w:tcPr>
                <w:tcW w:w="900" w:type="dxa"/>
                <w:tcBorders>
                  <w:top w:val="single" w:sz="2" w:space="0" w:color="000000" w:themeColor="text1"/>
                  <w:left w:val="single" w:sz="2" w:space="0" w:color="B4C6E7" w:themeColor="accent1" w:themeTint="66"/>
                  <w:bottom w:val="single" w:sz="2" w:space="0" w:color="000000" w:themeColor="text1"/>
                </w:tcBorders>
                <w:shd w:val="clear" w:color="auto" w:fill="auto"/>
                <w:hideMark/>
              </w:tcPr>
              <w:p w14:paraId="6031AC1F" w14:textId="77777777" w:rsidR="000C171B" w:rsidRPr="00A97A6D" w:rsidRDefault="000C171B" w:rsidP="002C49EF">
                <w:pPr>
                  <w:spacing w:after="0" w:line="240" w:lineRule="auto"/>
                  <w:jc w:val="center"/>
                  <w:rPr>
                    <w:rFonts w:eastAsia="Times New Roman" w:cstheme="minorHAnsi"/>
                    <w:b/>
                    <w:bCs/>
                    <w:color w:val="0D0D0D" w:themeColor="text1" w:themeTint="F2"/>
                    <w:w w:val="90"/>
                    <w:lang w:eastAsia="es-PA"/>
                  </w:rPr>
                </w:pPr>
                <w:r w:rsidRPr="00A97A6D">
                  <w:rPr>
                    <w:rFonts w:eastAsia="Times New Roman" w:cstheme="minorHAnsi"/>
                    <w:b/>
                    <w:bCs/>
                    <w:color w:val="0D0D0D" w:themeColor="text1" w:themeTint="F2"/>
                    <w:w w:val="90"/>
                    <w:lang w:eastAsia="es-PA"/>
                  </w:rPr>
                  <w:t>PÁGINA.</w:t>
                </w:r>
              </w:p>
            </w:tc>
          </w:tr>
          <w:tr w:rsidR="000C171B" w:rsidRPr="00A97A6D" w14:paraId="4386F5D2" w14:textId="77777777" w:rsidTr="002C49EF">
            <w:trPr>
              <w:trHeight w:val="153"/>
            </w:trPr>
            <w:tc>
              <w:tcPr>
                <w:tcW w:w="160" w:type="dxa"/>
                <w:tcBorders>
                  <w:top w:val="single" w:sz="2" w:space="0" w:color="000000" w:themeColor="text1"/>
                </w:tcBorders>
              </w:tcPr>
              <w:p w14:paraId="1110DCCF" w14:textId="77777777" w:rsidR="000C171B" w:rsidRPr="00A97A6D" w:rsidRDefault="000C171B" w:rsidP="002C49EF">
                <w:pPr>
                  <w:spacing w:after="0" w:line="240" w:lineRule="auto"/>
                  <w:rPr>
                    <w:rFonts w:eastAsia="Times New Roman" w:cstheme="minorHAnsi"/>
                    <w:b/>
                    <w:bCs/>
                    <w:color w:val="0D0D0D" w:themeColor="text1" w:themeTint="F2"/>
                    <w:w w:val="90"/>
                    <w:lang w:eastAsia="es-PA"/>
                  </w:rPr>
                </w:pPr>
              </w:p>
            </w:tc>
            <w:tc>
              <w:tcPr>
                <w:tcW w:w="555" w:type="dxa"/>
                <w:tcBorders>
                  <w:top w:val="single" w:sz="2" w:space="0" w:color="000000" w:themeColor="text1"/>
                  <w:bottom w:val="single" w:sz="2" w:space="0" w:color="B4C6E7" w:themeColor="accent1" w:themeTint="66"/>
                  <w:right w:val="single" w:sz="2" w:space="0" w:color="B4C6E7" w:themeColor="accent1" w:themeTint="66"/>
                </w:tcBorders>
                <w:shd w:val="clear" w:color="auto" w:fill="auto"/>
                <w:hideMark/>
              </w:tcPr>
              <w:p w14:paraId="4EF3AE91" w14:textId="77777777" w:rsidR="000C171B" w:rsidRPr="00A97A6D" w:rsidRDefault="000C171B" w:rsidP="002C49EF">
                <w:pPr>
                  <w:spacing w:after="0" w:line="240" w:lineRule="auto"/>
                  <w:rPr>
                    <w:rFonts w:eastAsia="Times New Roman" w:cstheme="minorHAnsi"/>
                    <w:b/>
                    <w:bCs/>
                    <w:color w:val="0D0D0D" w:themeColor="text1" w:themeTint="F2"/>
                    <w:w w:val="90"/>
                    <w:lang w:eastAsia="es-PA"/>
                  </w:rPr>
                </w:pPr>
                <w:r w:rsidRPr="00A97A6D">
                  <w:rPr>
                    <w:rFonts w:eastAsia="Times New Roman" w:cstheme="minorHAnsi"/>
                    <w:b/>
                    <w:bCs/>
                    <w:color w:val="0D0D0D" w:themeColor="text1" w:themeTint="F2"/>
                    <w:w w:val="90"/>
                    <w:lang w:eastAsia="es-PA"/>
                  </w:rPr>
                  <w:t>0.</w:t>
                </w:r>
              </w:p>
            </w:tc>
            <w:tc>
              <w:tcPr>
                <w:tcW w:w="7740" w:type="dxa"/>
                <w:gridSpan w:val="2"/>
                <w:tcBorders>
                  <w:top w:val="single" w:sz="2" w:space="0" w:color="000000" w:themeColor="text1"/>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757CC172" w14:textId="77777777" w:rsidR="000C171B" w:rsidRPr="00A97A6D" w:rsidRDefault="000C171B" w:rsidP="002C49EF">
                <w:pPr>
                  <w:spacing w:after="0" w:line="240" w:lineRule="auto"/>
                  <w:rPr>
                    <w:rFonts w:eastAsia="Times New Roman" w:cstheme="minorHAnsi"/>
                    <w:b/>
                    <w:bCs/>
                    <w:color w:val="0D0D0D" w:themeColor="text1" w:themeTint="F2"/>
                    <w:w w:val="90"/>
                    <w:lang w:eastAsia="es-PA"/>
                  </w:rPr>
                </w:pPr>
                <w:r w:rsidRPr="00A97A6D">
                  <w:rPr>
                    <w:rFonts w:eastAsia="Times New Roman" w:cstheme="minorHAnsi"/>
                    <w:b/>
                    <w:bCs/>
                    <w:color w:val="0D0D0D" w:themeColor="text1" w:themeTint="F2"/>
                    <w:w w:val="90"/>
                    <w:lang w:eastAsia="es-PA"/>
                  </w:rPr>
                  <w:t>RESUMEN EJECUTIVO.</w:t>
                </w:r>
              </w:p>
            </w:tc>
            <w:tc>
              <w:tcPr>
                <w:tcW w:w="900" w:type="dxa"/>
                <w:tcBorders>
                  <w:top w:val="single" w:sz="2" w:space="0" w:color="000000" w:themeColor="text1"/>
                  <w:left w:val="single" w:sz="2" w:space="0" w:color="B4C6E7" w:themeColor="accent1" w:themeTint="66"/>
                  <w:bottom w:val="single" w:sz="2" w:space="0" w:color="B4C6E7" w:themeColor="accent1" w:themeTint="66"/>
                </w:tcBorders>
                <w:shd w:val="clear" w:color="auto" w:fill="auto"/>
              </w:tcPr>
              <w:p w14:paraId="4E162B46" w14:textId="77777777" w:rsidR="000C171B" w:rsidRPr="00A97A6D" w:rsidRDefault="000C171B" w:rsidP="002C49EF">
                <w:pPr>
                  <w:spacing w:after="0" w:line="240" w:lineRule="auto"/>
                  <w:jc w:val="center"/>
                  <w:rPr>
                    <w:rFonts w:eastAsia="Times New Roman" w:cstheme="minorHAnsi"/>
                    <w:b/>
                    <w:color w:val="0D0D0D" w:themeColor="text1" w:themeTint="F2"/>
                    <w:w w:val="90"/>
                    <w:lang w:eastAsia="es-PA"/>
                  </w:rPr>
                </w:pPr>
                <w:r w:rsidRPr="00A97A6D">
                  <w:rPr>
                    <w:rFonts w:eastAsia="Times New Roman" w:cstheme="minorHAnsi"/>
                    <w:b/>
                    <w:color w:val="0D0D0D" w:themeColor="text1" w:themeTint="F2"/>
                    <w:w w:val="90"/>
                    <w:lang w:eastAsia="es-PA"/>
                  </w:rPr>
                  <w:t>03</w:t>
                </w:r>
              </w:p>
            </w:tc>
          </w:tr>
          <w:tr w:rsidR="000C171B" w:rsidRPr="00A97A6D" w14:paraId="33AECD30" w14:textId="77777777" w:rsidTr="002C49EF">
            <w:trPr>
              <w:trHeight w:val="48"/>
            </w:trPr>
            <w:tc>
              <w:tcPr>
                <w:tcW w:w="160" w:type="dxa"/>
              </w:tcPr>
              <w:p w14:paraId="2B914784"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7F715EB4" w14:textId="77777777" w:rsidR="000C171B" w:rsidRPr="00A97A6D" w:rsidRDefault="000C171B" w:rsidP="002C49EF">
                <w:pPr>
                  <w:spacing w:after="0" w:line="240" w:lineRule="auto"/>
                  <w:rPr>
                    <w:rFonts w:eastAsia="Times New Roman" w:cstheme="minorHAnsi"/>
                    <w:b/>
                    <w:bCs/>
                    <w:color w:val="0D0D0D" w:themeColor="text1" w:themeTint="F2"/>
                    <w:w w:val="90"/>
                    <w:lang w:eastAsia="es-PA"/>
                  </w:rPr>
                </w:pPr>
                <w:r w:rsidRPr="00A97A6D">
                  <w:rPr>
                    <w:rFonts w:eastAsia="Times New Roman" w:cstheme="minorHAnsi"/>
                    <w:b/>
                    <w:bCs/>
                    <w:color w:val="0D0D0D" w:themeColor="text1" w:themeTint="F2"/>
                    <w:w w:val="90"/>
                    <w:lang w:eastAsia="es-PA"/>
                  </w:rPr>
                  <w:t xml:space="preserve">1. </w:t>
                </w:r>
              </w:p>
            </w:tc>
            <w:tc>
              <w:tcPr>
                <w:tcW w:w="7740" w:type="dxa"/>
                <w:gridSpan w:val="2"/>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B4B11BB" w14:textId="77777777" w:rsidR="000C171B" w:rsidRPr="00A97A6D" w:rsidRDefault="000C171B" w:rsidP="002C49EF">
                <w:pPr>
                  <w:spacing w:after="0" w:line="240" w:lineRule="auto"/>
                  <w:rPr>
                    <w:rFonts w:eastAsia="Times New Roman" w:cstheme="minorHAnsi"/>
                    <w:b/>
                    <w:bCs/>
                    <w:color w:val="0D0D0D" w:themeColor="text1" w:themeTint="F2"/>
                    <w:w w:val="90"/>
                    <w:lang w:eastAsia="es-PA"/>
                  </w:rPr>
                </w:pPr>
                <w:r w:rsidRPr="00A97A6D">
                  <w:rPr>
                    <w:rFonts w:eastAsia="Times New Roman" w:cstheme="minorHAnsi"/>
                    <w:b/>
                    <w:bCs/>
                    <w:color w:val="0D0D0D" w:themeColor="text1" w:themeTint="F2"/>
                    <w:w w:val="90"/>
                    <w:lang w:eastAsia="es-PA"/>
                  </w:rPr>
                  <w:t>CONTEXTO PAÍS.</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49F413F7" w14:textId="77777777" w:rsidR="000C171B" w:rsidRPr="00A97A6D" w:rsidRDefault="000C171B" w:rsidP="002C49EF">
                <w:pPr>
                  <w:spacing w:after="0" w:line="240" w:lineRule="auto"/>
                  <w:jc w:val="center"/>
                  <w:rPr>
                    <w:rFonts w:eastAsia="Times New Roman" w:cstheme="minorHAnsi"/>
                    <w:b/>
                    <w:color w:val="0D0D0D" w:themeColor="text1" w:themeTint="F2"/>
                    <w:w w:val="90"/>
                    <w:lang w:eastAsia="es-PA"/>
                  </w:rPr>
                </w:pPr>
                <w:r w:rsidRPr="00A97A6D">
                  <w:rPr>
                    <w:rFonts w:eastAsia="Times New Roman" w:cstheme="minorHAnsi"/>
                    <w:b/>
                    <w:color w:val="0D0D0D" w:themeColor="text1" w:themeTint="F2"/>
                    <w:w w:val="90"/>
                    <w:lang w:eastAsia="es-PA"/>
                  </w:rPr>
                  <w:t>05</w:t>
                </w:r>
              </w:p>
            </w:tc>
          </w:tr>
          <w:tr w:rsidR="000C171B" w:rsidRPr="00A97A6D" w14:paraId="680D9628" w14:textId="77777777" w:rsidTr="002C49EF">
            <w:trPr>
              <w:trHeight w:val="48"/>
            </w:trPr>
            <w:tc>
              <w:tcPr>
                <w:tcW w:w="160" w:type="dxa"/>
              </w:tcPr>
              <w:p w14:paraId="540277D6"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7DBC3EEE"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9C729C5"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1.1.</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289A4768"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Situación del país.</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41B21648" w14:textId="77777777"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06</w:t>
                </w:r>
              </w:p>
            </w:tc>
          </w:tr>
          <w:tr w:rsidR="000C171B" w:rsidRPr="00A97A6D" w14:paraId="52C581B0" w14:textId="77777777" w:rsidTr="002C49EF">
            <w:trPr>
              <w:trHeight w:val="48"/>
            </w:trPr>
            <w:tc>
              <w:tcPr>
                <w:tcW w:w="160" w:type="dxa"/>
              </w:tcPr>
              <w:p w14:paraId="6C4659BD"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61EDA65D"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75141D9E"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1.2.</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FC11C74"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Examen de las dimensiones del Desarrollo Sostenible: económica, social y ambiental.</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4E6D50E7" w14:textId="3EDEA076"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0</w:t>
                </w:r>
                <w:r w:rsidR="00624FAB">
                  <w:rPr>
                    <w:rFonts w:eastAsia="Times New Roman" w:cstheme="minorHAnsi"/>
                    <w:color w:val="0D0D0D" w:themeColor="text1" w:themeTint="F2"/>
                    <w:w w:val="90"/>
                    <w:lang w:eastAsia="es-PA"/>
                  </w:rPr>
                  <w:t>7</w:t>
                </w:r>
              </w:p>
            </w:tc>
          </w:tr>
          <w:tr w:rsidR="000C171B" w:rsidRPr="00A97A6D" w14:paraId="6DA41DAD" w14:textId="77777777" w:rsidTr="002C49EF">
            <w:trPr>
              <w:trHeight w:val="48"/>
            </w:trPr>
            <w:tc>
              <w:tcPr>
                <w:tcW w:w="160" w:type="dxa"/>
              </w:tcPr>
              <w:p w14:paraId="7E0D199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79CDD0D"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7D911F7"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1.2.1.</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D930D32"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 xml:space="preserve">Dinámica económica.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2D6DF030" w14:textId="77777777"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0</w:t>
                </w:r>
                <w:r>
                  <w:rPr>
                    <w:rFonts w:eastAsia="Times New Roman" w:cstheme="minorHAnsi"/>
                    <w:color w:val="0D0D0D" w:themeColor="text1" w:themeTint="F2"/>
                    <w:w w:val="90"/>
                    <w:lang w:eastAsia="es-PA"/>
                  </w:rPr>
                  <w:t>7</w:t>
                </w:r>
              </w:p>
            </w:tc>
          </w:tr>
          <w:tr w:rsidR="000C171B" w:rsidRPr="00A97A6D" w14:paraId="4E85DC89" w14:textId="77777777" w:rsidTr="002C49EF">
            <w:trPr>
              <w:trHeight w:val="48"/>
            </w:trPr>
            <w:tc>
              <w:tcPr>
                <w:tcW w:w="160" w:type="dxa"/>
              </w:tcPr>
              <w:p w14:paraId="4C13778C"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21DE1FE3"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6179FBC3"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1.2.2.</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FBC5FCD"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Dinámica social.</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18B40DE6" w14:textId="77777777"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09</w:t>
                </w:r>
              </w:p>
            </w:tc>
          </w:tr>
          <w:tr w:rsidR="000C171B" w:rsidRPr="00A97A6D" w14:paraId="037252C4" w14:textId="77777777" w:rsidTr="002C49EF">
            <w:trPr>
              <w:trHeight w:val="48"/>
            </w:trPr>
            <w:tc>
              <w:tcPr>
                <w:tcW w:w="160" w:type="dxa"/>
              </w:tcPr>
              <w:p w14:paraId="006A6584"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0CC52218"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01B99B7C"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1.2.3.</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88E9BD5"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Dinámica ambiental.</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21FD09EB" w14:textId="77777777"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1</w:t>
                </w:r>
                <w:r>
                  <w:rPr>
                    <w:rFonts w:eastAsia="Times New Roman" w:cstheme="minorHAnsi"/>
                    <w:color w:val="0D0D0D" w:themeColor="text1" w:themeTint="F2"/>
                    <w:w w:val="90"/>
                    <w:lang w:eastAsia="es-PA"/>
                  </w:rPr>
                  <w:t>2</w:t>
                </w:r>
              </w:p>
            </w:tc>
          </w:tr>
          <w:tr w:rsidR="000C171B" w:rsidRPr="00A97A6D" w14:paraId="1C5CCC6B" w14:textId="77777777" w:rsidTr="002C49EF">
            <w:trPr>
              <w:trHeight w:val="48"/>
            </w:trPr>
            <w:tc>
              <w:tcPr>
                <w:tcW w:w="160" w:type="dxa"/>
              </w:tcPr>
              <w:p w14:paraId="53DDED3D"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03E3144E"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98EB154"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 xml:space="preserve">1.3.  </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235B7D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Tendencias y desafíos que influyen en el logro de la Agenda 2030.</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51D9674D" w14:textId="77777777"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14</w:t>
                </w:r>
              </w:p>
            </w:tc>
          </w:tr>
          <w:tr w:rsidR="000C171B" w:rsidRPr="00A97A6D" w14:paraId="2864359E" w14:textId="77777777" w:rsidTr="002C49EF">
            <w:trPr>
              <w:trHeight w:val="48"/>
            </w:trPr>
            <w:tc>
              <w:tcPr>
                <w:tcW w:w="160" w:type="dxa"/>
              </w:tcPr>
              <w:p w14:paraId="2F1AD76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3C541B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175BF2D"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1.3.1.</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0D33EAB5"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 xml:space="preserve">Transición demográfica.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1BBFCE90" w14:textId="77777777"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14</w:t>
                </w:r>
              </w:p>
            </w:tc>
          </w:tr>
          <w:tr w:rsidR="000C171B" w:rsidRPr="00A97A6D" w14:paraId="4B89A1F6" w14:textId="77777777" w:rsidTr="002C49EF">
            <w:trPr>
              <w:trHeight w:val="48"/>
            </w:trPr>
            <w:tc>
              <w:tcPr>
                <w:tcW w:w="160" w:type="dxa"/>
              </w:tcPr>
              <w:p w14:paraId="2769B6EE"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D9B9BB5"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75B14106"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1.3.2.</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2C186DF4"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roofErr w:type="spellStart"/>
                <w:r w:rsidRPr="00A97A6D">
                  <w:rPr>
                    <w:rFonts w:eastAsia="Times New Roman" w:cstheme="minorHAnsi"/>
                    <w:bCs/>
                    <w:color w:val="0D0D0D" w:themeColor="text1" w:themeTint="F2"/>
                    <w:w w:val="90"/>
                    <w:lang w:eastAsia="es-PA"/>
                  </w:rPr>
                  <w:t>Desruralización</w:t>
                </w:r>
                <w:proofErr w:type="spellEnd"/>
                <w:r w:rsidRPr="00A97A6D">
                  <w:rPr>
                    <w:rFonts w:eastAsia="Times New Roman" w:cstheme="minorHAnsi"/>
                    <w:bCs/>
                    <w:color w:val="0D0D0D" w:themeColor="text1" w:themeTint="F2"/>
                    <w:w w:val="90"/>
                    <w:lang w:eastAsia="es-PA"/>
                  </w:rPr>
                  <w:t>.</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403EFD56" w14:textId="77777777"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15</w:t>
                </w:r>
              </w:p>
            </w:tc>
          </w:tr>
          <w:tr w:rsidR="000C171B" w:rsidRPr="00A97A6D" w14:paraId="7D41A834" w14:textId="77777777" w:rsidTr="002C49EF">
            <w:trPr>
              <w:trHeight w:val="48"/>
            </w:trPr>
            <w:tc>
              <w:tcPr>
                <w:tcW w:w="160" w:type="dxa"/>
              </w:tcPr>
              <w:p w14:paraId="7A172C69"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660FB46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0387A703"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1.3.3.</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061ED34B"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Institucionalización del servicio público.</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679C965F" w14:textId="77777777"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15</w:t>
                </w:r>
              </w:p>
            </w:tc>
          </w:tr>
          <w:tr w:rsidR="000C171B" w:rsidRPr="00A97A6D" w14:paraId="2057F6D0" w14:textId="77777777" w:rsidTr="002C49EF">
            <w:trPr>
              <w:trHeight w:val="48"/>
            </w:trPr>
            <w:tc>
              <w:tcPr>
                <w:tcW w:w="160" w:type="dxa"/>
              </w:tcPr>
              <w:p w14:paraId="5ADED018"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0E216A4" w14:textId="77777777" w:rsidR="000C171B" w:rsidRPr="00A97A6D" w:rsidRDefault="000C171B" w:rsidP="002C49EF">
                <w:pPr>
                  <w:spacing w:after="0" w:line="240" w:lineRule="auto"/>
                  <w:rPr>
                    <w:rFonts w:eastAsia="Times New Roman" w:cstheme="minorHAnsi"/>
                    <w:b/>
                    <w:bCs/>
                    <w:color w:val="0D0D0D" w:themeColor="text1" w:themeTint="F2"/>
                    <w:w w:val="90"/>
                    <w:lang w:eastAsia="es-PA"/>
                  </w:rPr>
                </w:pPr>
                <w:r w:rsidRPr="00A97A6D">
                  <w:rPr>
                    <w:rFonts w:eastAsia="Times New Roman" w:cstheme="minorHAnsi"/>
                    <w:b/>
                    <w:bCs/>
                    <w:color w:val="0D0D0D" w:themeColor="text1" w:themeTint="F2"/>
                    <w:w w:val="90"/>
                    <w:lang w:eastAsia="es-PA"/>
                  </w:rPr>
                  <w:t xml:space="preserve">2. </w:t>
                </w:r>
              </w:p>
            </w:tc>
            <w:tc>
              <w:tcPr>
                <w:tcW w:w="7740" w:type="dxa"/>
                <w:gridSpan w:val="2"/>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6C8B56F6" w14:textId="77777777" w:rsidR="000C171B" w:rsidRPr="00A97A6D" w:rsidRDefault="000C171B" w:rsidP="002C49EF">
                <w:pPr>
                  <w:spacing w:after="0" w:line="240" w:lineRule="auto"/>
                  <w:rPr>
                    <w:rFonts w:eastAsia="Times New Roman" w:cstheme="minorHAnsi"/>
                    <w:b/>
                    <w:bCs/>
                    <w:color w:val="0D0D0D" w:themeColor="text1" w:themeTint="F2"/>
                    <w:w w:val="90"/>
                    <w:lang w:eastAsia="es-PA"/>
                  </w:rPr>
                </w:pPr>
                <w:r w:rsidRPr="00A97A6D">
                  <w:rPr>
                    <w:rFonts w:eastAsia="Times New Roman" w:cstheme="minorHAnsi"/>
                    <w:b/>
                    <w:bCs/>
                    <w:color w:val="0D0D0D" w:themeColor="text1" w:themeTint="F2"/>
                    <w:w w:val="90"/>
                    <w:lang w:eastAsia="es-PA"/>
                  </w:rPr>
                  <w:t>VISIÓN NACIONAL PARA EL DESARROLLO SOSTENIBLE.</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3893FCDA" w14:textId="77777777" w:rsidR="000C171B" w:rsidRPr="00A97A6D" w:rsidRDefault="000C171B" w:rsidP="002C49EF">
                <w:pPr>
                  <w:spacing w:after="0" w:line="240" w:lineRule="auto"/>
                  <w:jc w:val="center"/>
                  <w:rPr>
                    <w:rFonts w:eastAsia="Times New Roman" w:cstheme="minorHAnsi"/>
                    <w:b/>
                    <w:color w:val="0D0D0D" w:themeColor="text1" w:themeTint="F2"/>
                    <w:w w:val="90"/>
                    <w:lang w:eastAsia="es-PA"/>
                  </w:rPr>
                </w:pPr>
                <w:r w:rsidRPr="00A97A6D">
                  <w:rPr>
                    <w:rFonts w:eastAsia="Times New Roman" w:cstheme="minorHAnsi"/>
                    <w:b/>
                    <w:color w:val="0D0D0D" w:themeColor="text1" w:themeTint="F2"/>
                    <w:w w:val="90"/>
                    <w:lang w:eastAsia="es-PA"/>
                  </w:rPr>
                  <w:t>1</w:t>
                </w:r>
                <w:r>
                  <w:rPr>
                    <w:rFonts w:eastAsia="Times New Roman" w:cstheme="minorHAnsi"/>
                    <w:b/>
                    <w:color w:val="0D0D0D" w:themeColor="text1" w:themeTint="F2"/>
                    <w:w w:val="90"/>
                    <w:lang w:eastAsia="es-PA"/>
                  </w:rPr>
                  <w:t>7</w:t>
                </w:r>
              </w:p>
            </w:tc>
          </w:tr>
          <w:tr w:rsidR="000C171B" w:rsidRPr="00A97A6D" w14:paraId="21924C11" w14:textId="77777777" w:rsidTr="002C49EF">
            <w:trPr>
              <w:trHeight w:val="48"/>
            </w:trPr>
            <w:tc>
              <w:tcPr>
                <w:tcW w:w="160" w:type="dxa"/>
              </w:tcPr>
              <w:p w14:paraId="69A44534"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DFFCC35"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949F1C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 xml:space="preserve">2.1. </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64CE62E5"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Análisis de las prioridades para el desarrollo del país.</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5CB4DD15" w14:textId="77777777"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17</w:t>
                </w:r>
              </w:p>
            </w:tc>
          </w:tr>
          <w:tr w:rsidR="000C171B" w:rsidRPr="00A97A6D" w14:paraId="2839A361" w14:textId="77777777" w:rsidTr="002C49EF">
            <w:trPr>
              <w:trHeight w:val="48"/>
            </w:trPr>
            <w:tc>
              <w:tcPr>
                <w:tcW w:w="160" w:type="dxa"/>
              </w:tcPr>
              <w:p w14:paraId="047CEF1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7EBE5D8"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FDD6FAD"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2.2.</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2D122261"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Necesidades según el plan nacional, las estratégicas, políticas y programas.</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2BBDB79C" w14:textId="77777777"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19</w:t>
                </w:r>
              </w:p>
            </w:tc>
          </w:tr>
          <w:tr w:rsidR="000C171B" w:rsidRPr="00A97A6D" w14:paraId="54618CA9" w14:textId="77777777" w:rsidTr="002C49EF">
            <w:trPr>
              <w:trHeight w:val="48"/>
            </w:trPr>
            <w:tc>
              <w:tcPr>
                <w:tcW w:w="160" w:type="dxa"/>
              </w:tcPr>
              <w:p w14:paraId="463D938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352AE3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5F14E17"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2.3.</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254D9C5A"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Hoja de ruta nacional para la implementación de los ODS.</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2D73F3ED" w14:textId="77777777"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21</w:t>
                </w:r>
              </w:p>
            </w:tc>
          </w:tr>
          <w:tr w:rsidR="000C171B" w:rsidRPr="00A97A6D" w14:paraId="1A953982" w14:textId="77777777" w:rsidTr="002C49EF">
            <w:trPr>
              <w:trHeight w:val="48"/>
            </w:trPr>
            <w:tc>
              <w:tcPr>
                <w:tcW w:w="160" w:type="dxa"/>
              </w:tcPr>
              <w:p w14:paraId="3D5E06C3"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B3638BC" w14:textId="77777777" w:rsidR="000C171B" w:rsidRPr="0058607C" w:rsidRDefault="000C171B" w:rsidP="002C49EF">
                <w:pPr>
                  <w:spacing w:after="0" w:line="240" w:lineRule="auto"/>
                  <w:rPr>
                    <w:rFonts w:eastAsia="Times New Roman" w:cstheme="minorHAnsi"/>
                    <w:b/>
                    <w:bCs/>
                    <w:color w:val="0D0D0D" w:themeColor="text1" w:themeTint="F2"/>
                    <w:w w:val="90"/>
                    <w:lang w:eastAsia="es-PA"/>
                  </w:rPr>
                </w:pPr>
                <w:r w:rsidRPr="0058607C">
                  <w:rPr>
                    <w:rFonts w:eastAsia="Times New Roman" w:cstheme="minorHAnsi"/>
                    <w:b/>
                    <w:bCs/>
                    <w:color w:val="0D0D0D" w:themeColor="text1" w:themeTint="F2"/>
                    <w:w w:val="90"/>
                    <w:lang w:eastAsia="es-PA"/>
                  </w:rPr>
                  <w:t xml:space="preserve">3. </w:t>
                </w:r>
              </w:p>
            </w:tc>
            <w:tc>
              <w:tcPr>
                <w:tcW w:w="7740" w:type="dxa"/>
                <w:gridSpan w:val="2"/>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A2B7297" w14:textId="77777777" w:rsidR="000C171B" w:rsidRPr="0058607C" w:rsidRDefault="000C171B" w:rsidP="002C49EF">
                <w:pPr>
                  <w:spacing w:after="0" w:line="240" w:lineRule="auto"/>
                  <w:rPr>
                    <w:rFonts w:eastAsia="Times New Roman" w:cstheme="minorHAnsi"/>
                    <w:b/>
                    <w:bCs/>
                    <w:color w:val="000000" w:themeColor="text1"/>
                    <w:w w:val="90"/>
                    <w:lang w:eastAsia="es-PA"/>
                  </w:rPr>
                </w:pPr>
                <w:r w:rsidRPr="0058607C">
                  <w:rPr>
                    <w:rFonts w:eastAsia="Times New Roman" w:cstheme="minorHAnsi"/>
                    <w:b/>
                    <w:bCs/>
                    <w:color w:val="000000" w:themeColor="text1"/>
                    <w:w w:val="90"/>
                    <w:lang w:eastAsia="es-PA"/>
                  </w:rPr>
                  <w:t>PROGRESO DEL PAÍS HACIA LA AGENDA 2030.</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7FD7F314" w14:textId="77777777" w:rsidR="000C171B" w:rsidRPr="0058607C" w:rsidRDefault="000C171B" w:rsidP="002C49EF">
                <w:pPr>
                  <w:spacing w:after="0" w:line="240" w:lineRule="auto"/>
                  <w:jc w:val="center"/>
                  <w:rPr>
                    <w:rFonts w:eastAsia="Times New Roman" w:cstheme="minorHAnsi"/>
                    <w:b/>
                    <w:bCs/>
                    <w:color w:val="000000" w:themeColor="text1"/>
                    <w:w w:val="90"/>
                    <w:lang w:eastAsia="es-PA"/>
                  </w:rPr>
                </w:pPr>
                <w:r w:rsidRPr="0058607C">
                  <w:rPr>
                    <w:rFonts w:eastAsia="Times New Roman" w:cstheme="minorHAnsi"/>
                    <w:b/>
                    <w:bCs/>
                    <w:color w:val="000000" w:themeColor="text1"/>
                    <w:w w:val="90"/>
                    <w:lang w:eastAsia="es-PA"/>
                  </w:rPr>
                  <w:t>23</w:t>
                </w:r>
              </w:p>
            </w:tc>
          </w:tr>
          <w:tr w:rsidR="000C171B" w:rsidRPr="00A97A6D" w14:paraId="2DC7150F" w14:textId="77777777" w:rsidTr="002C49EF">
            <w:trPr>
              <w:trHeight w:val="48"/>
            </w:trPr>
            <w:tc>
              <w:tcPr>
                <w:tcW w:w="160" w:type="dxa"/>
              </w:tcPr>
              <w:p w14:paraId="69CBF1C9"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007A9C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107FCA5"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cstheme="minorHAnsi"/>
                    <w:color w:val="000000" w:themeColor="text1"/>
                  </w:rPr>
                  <w:t>3.1.</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A74343D"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cstheme="minorHAnsi"/>
                    <w:color w:val="000000" w:themeColor="text1"/>
                  </w:rPr>
                  <w:t>Avance de los ODS según Informes Voluntarios.</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1704CA06" w14:textId="77777777" w:rsidR="000C171B" w:rsidRPr="00A97A6D" w:rsidRDefault="000C171B" w:rsidP="002C49EF">
                <w:pPr>
                  <w:spacing w:after="0" w:line="240" w:lineRule="auto"/>
                  <w:jc w:val="center"/>
                  <w:rPr>
                    <w:rFonts w:eastAsia="Times New Roman" w:cstheme="minorHAnsi"/>
                    <w:color w:val="000000" w:themeColor="text1"/>
                    <w:w w:val="90"/>
                    <w:lang w:eastAsia="es-PA"/>
                  </w:rPr>
                </w:pPr>
                <w:r>
                  <w:rPr>
                    <w:rFonts w:eastAsia="Times New Roman" w:cstheme="minorHAnsi"/>
                    <w:color w:val="000000" w:themeColor="text1"/>
                    <w:w w:val="90"/>
                    <w:lang w:eastAsia="es-PA"/>
                  </w:rPr>
                  <w:t>23</w:t>
                </w:r>
              </w:p>
            </w:tc>
          </w:tr>
          <w:tr w:rsidR="000C171B" w:rsidRPr="00A97A6D" w14:paraId="6B7C9003" w14:textId="77777777" w:rsidTr="002C49EF">
            <w:trPr>
              <w:trHeight w:val="48"/>
            </w:trPr>
            <w:tc>
              <w:tcPr>
                <w:tcW w:w="160" w:type="dxa"/>
              </w:tcPr>
              <w:p w14:paraId="497FA1DD"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07164B7"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9319A9E"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3.1.1.</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F058CF1"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 xml:space="preserve">ODS 1: Erradicación de la pobreza en todas sus formas.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72FCE8D1" w14:textId="526817A7" w:rsidR="000C171B" w:rsidRPr="00A97A6D" w:rsidRDefault="00624FAB" w:rsidP="002C49EF">
                <w:pPr>
                  <w:spacing w:after="0" w:line="240" w:lineRule="auto"/>
                  <w:jc w:val="center"/>
                  <w:rPr>
                    <w:rFonts w:eastAsia="Times New Roman" w:cstheme="minorHAnsi"/>
                    <w:color w:val="000000" w:themeColor="text1"/>
                    <w:w w:val="90"/>
                    <w:lang w:eastAsia="es-PA"/>
                  </w:rPr>
                </w:pPr>
                <w:r>
                  <w:rPr>
                    <w:rFonts w:eastAsia="Times New Roman" w:cstheme="minorHAnsi"/>
                    <w:color w:val="000000" w:themeColor="text1"/>
                    <w:w w:val="90"/>
                    <w:lang w:eastAsia="es-PA"/>
                  </w:rPr>
                  <w:t>25</w:t>
                </w:r>
              </w:p>
            </w:tc>
          </w:tr>
          <w:tr w:rsidR="000C171B" w:rsidRPr="00A97A6D" w14:paraId="660D67FC" w14:textId="77777777" w:rsidTr="002C49EF">
            <w:trPr>
              <w:trHeight w:val="48"/>
            </w:trPr>
            <w:tc>
              <w:tcPr>
                <w:tcW w:w="160" w:type="dxa"/>
              </w:tcPr>
              <w:p w14:paraId="24ADA71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4F1169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FFD9ABF"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3.1.2.</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F2641B7"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ODS 2: Hambre cero.</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59B3E963" w14:textId="4B900AA4" w:rsidR="000C171B" w:rsidRPr="00A97A6D" w:rsidRDefault="000C171B" w:rsidP="002C49EF">
                <w:pPr>
                  <w:spacing w:after="0" w:line="240" w:lineRule="auto"/>
                  <w:jc w:val="center"/>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2</w:t>
                </w:r>
                <w:r w:rsidR="00624FAB">
                  <w:rPr>
                    <w:rFonts w:eastAsia="Times New Roman" w:cstheme="minorHAnsi"/>
                    <w:color w:val="000000" w:themeColor="text1"/>
                    <w:w w:val="90"/>
                    <w:lang w:eastAsia="es-PA"/>
                  </w:rPr>
                  <w:t>6</w:t>
                </w:r>
              </w:p>
            </w:tc>
          </w:tr>
          <w:tr w:rsidR="000C171B" w:rsidRPr="00A97A6D" w14:paraId="43CDD7E7" w14:textId="77777777" w:rsidTr="002C49EF">
            <w:trPr>
              <w:trHeight w:val="48"/>
            </w:trPr>
            <w:tc>
              <w:tcPr>
                <w:tcW w:w="160" w:type="dxa"/>
              </w:tcPr>
              <w:p w14:paraId="2B5B1367"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60041CA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8CB0789"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3.1.3.</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FECCB57"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 xml:space="preserve">ODS 3: Garantizar una vida sana y promover el bienestar.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7A41A7C3" w14:textId="28B63E07" w:rsidR="000C171B" w:rsidRPr="00A97A6D" w:rsidRDefault="000C171B" w:rsidP="002C49EF">
                <w:pPr>
                  <w:spacing w:after="0" w:line="240" w:lineRule="auto"/>
                  <w:jc w:val="center"/>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2</w:t>
                </w:r>
                <w:r w:rsidR="00624FAB">
                  <w:rPr>
                    <w:rFonts w:eastAsia="Times New Roman" w:cstheme="minorHAnsi"/>
                    <w:color w:val="000000" w:themeColor="text1"/>
                    <w:w w:val="90"/>
                    <w:lang w:eastAsia="es-PA"/>
                  </w:rPr>
                  <w:t>7</w:t>
                </w:r>
              </w:p>
            </w:tc>
          </w:tr>
          <w:tr w:rsidR="000C171B" w:rsidRPr="00A97A6D" w14:paraId="3732E734" w14:textId="77777777" w:rsidTr="002C49EF">
            <w:trPr>
              <w:trHeight w:val="48"/>
            </w:trPr>
            <w:tc>
              <w:tcPr>
                <w:tcW w:w="160" w:type="dxa"/>
              </w:tcPr>
              <w:p w14:paraId="4AE0A0B1"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26819618"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467F0DB"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3.1.4.</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28FEF1B"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 xml:space="preserve">ODS 4: Educación inclusiva, equitativa y de calidad.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56D4A7B6" w14:textId="16D58BFC" w:rsidR="000C171B" w:rsidRPr="00A97A6D" w:rsidRDefault="00624FAB" w:rsidP="002C49EF">
                <w:pPr>
                  <w:spacing w:after="0" w:line="240" w:lineRule="auto"/>
                  <w:jc w:val="center"/>
                  <w:rPr>
                    <w:rFonts w:eastAsia="Times New Roman" w:cstheme="minorHAnsi"/>
                    <w:color w:val="000000" w:themeColor="text1"/>
                    <w:w w:val="90"/>
                    <w:lang w:eastAsia="es-PA"/>
                  </w:rPr>
                </w:pPr>
                <w:r>
                  <w:rPr>
                    <w:rFonts w:eastAsia="Times New Roman" w:cstheme="minorHAnsi"/>
                    <w:color w:val="000000" w:themeColor="text1"/>
                    <w:w w:val="90"/>
                    <w:lang w:eastAsia="es-PA"/>
                  </w:rPr>
                  <w:t>29</w:t>
                </w:r>
              </w:p>
            </w:tc>
          </w:tr>
          <w:tr w:rsidR="000C171B" w:rsidRPr="00A97A6D" w14:paraId="4387E467" w14:textId="77777777" w:rsidTr="002C49EF">
            <w:trPr>
              <w:trHeight w:val="48"/>
            </w:trPr>
            <w:tc>
              <w:tcPr>
                <w:tcW w:w="160" w:type="dxa"/>
              </w:tcPr>
              <w:p w14:paraId="36DC99EC"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809B904"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80BB6D4"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 xml:space="preserve">3.1.5. </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471BDD4"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ODS 5: Igualdad entre los géneros y empoderar a todas las mujeres y niñas.</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0A8C4D8E" w14:textId="480AAB2C" w:rsidR="000C171B" w:rsidRPr="00A97A6D" w:rsidRDefault="000C171B" w:rsidP="002C49EF">
                <w:pPr>
                  <w:spacing w:after="0" w:line="240" w:lineRule="auto"/>
                  <w:jc w:val="center"/>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3</w:t>
                </w:r>
                <w:r w:rsidR="00624FAB">
                  <w:rPr>
                    <w:rFonts w:eastAsia="Times New Roman" w:cstheme="minorHAnsi"/>
                    <w:color w:val="000000" w:themeColor="text1"/>
                    <w:w w:val="90"/>
                    <w:lang w:eastAsia="es-PA"/>
                  </w:rPr>
                  <w:t>0</w:t>
                </w:r>
              </w:p>
            </w:tc>
          </w:tr>
          <w:tr w:rsidR="000C171B" w:rsidRPr="00A97A6D" w14:paraId="4AC5FD87" w14:textId="77777777" w:rsidTr="002C49EF">
            <w:trPr>
              <w:trHeight w:val="48"/>
            </w:trPr>
            <w:tc>
              <w:tcPr>
                <w:tcW w:w="160" w:type="dxa"/>
              </w:tcPr>
              <w:p w14:paraId="4F521683"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B368A4A"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664058A"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 xml:space="preserve">3.1.6. </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6352BA5"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 xml:space="preserve">ODS 6: Disposición y gestión sostenible del agua y saneamiento.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10D80860" w14:textId="5CBB1CA1" w:rsidR="000C171B" w:rsidRPr="00A97A6D" w:rsidRDefault="000C171B" w:rsidP="002C49EF">
                <w:pPr>
                  <w:spacing w:after="0" w:line="240" w:lineRule="auto"/>
                  <w:jc w:val="center"/>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3</w:t>
                </w:r>
                <w:r w:rsidR="00624FAB">
                  <w:rPr>
                    <w:rFonts w:eastAsia="Times New Roman" w:cstheme="minorHAnsi"/>
                    <w:color w:val="000000" w:themeColor="text1"/>
                    <w:w w:val="90"/>
                    <w:lang w:eastAsia="es-PA"/>
                  </w:rPr>
                  <w:t>1</w:t>
                </w:r>
              </w:p>
            </w:tc>
          </w:tr>
          <w:tr w:rsidR="000C171B" w:rsidRPr="00A97A6D" w14:paraId="6E2235C8" w14:textId="77777777" w:rsidTr="002C49EF">
            <w:trPr>
              <w:trHeight w:val="69"/>
            </w:trPr>
            <w:tc>
              <w:tcPr>
                <w:tcW w:w="160" w:type="dxa"/>
              </w:tcPr>
              <w:p w14:paraId="289BF5CB"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023126B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2A81121"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 xml:space="preserve">3.1.7. </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74A5EB1D"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 xml:space="preserve">ODS 7: Energía asequible, fiable y sostenible.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1C39BD5C" w14:textId="4D2D5FAF" w:rsidR="000C171B" w:rsidRPr="00A97A6D" w:rsidRDefault="000C171B" w:rsidP="002C49EF">
                <w:pPr>
                  <w:spacing w:after="0" w:line="240" w:lineRule="auto"/>
                  <w:jc w:val="center"/>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3</w:t>
                </w:r>
                <w:r w:rsidR="00624FAB">
                  <w:rPr>
                    <w:rFonts w:eastAsia="Times New Roman" w:cstheme="minorHAnsi"/>
                    <w:color w:val="000000" w:themeColor="text1"/>
                    <w:w w:val="90"/>
                    <w:lang w:eastAsia="es-PA"/>
                  </w:rPr>
                  <w:t>1</w:t>
                </w:r>
              </w:p>
            </w:tc>
          </w:tr>
          <w:tr w:rsidR="000C171B" w:rsidRPr="00A97A6D" w14:paraId="1EE26B31" w14:textId="77777777" w:rsidTr="002C49EF">
            <w:trPr>
              <w:trHeight w:val="69"/>
            </w:trPr>
            <w:tc>
              <w:tcPr>
                <w:tcW w:w="160" w:type="dxa"/>
              </w:tcPr>
              <w:p w14:paraId="31761ED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B88CD6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6A3DD3D1"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 xml:space="preserve">3.1.8. </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60F3F77A"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ODS 8: Crecimiento económico sostenido, inclusivo y sostenido</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0A69FB82" w14:textId="3F981E86" w:rsidR="000C171B" w:rsidRPr="00A97A6D" w:rsidRDefault="000C171B" w:rsidP="002C49EF">
                <w:pPr>
                  <w:spacing w:after="0" w:line="240" w:lineRule="auto"/>
                  <w:jc w:val="center"/>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3</w:t>
                </w:r>
                <w:r w:rsidR="00624FAB">
                  <w:rPr>
                    <w:rFonts w:eastAsia="Times New Roman" w:cstheme="minorHAnsi"/>
                    <w:color w:val="000000" w:themeColor="text1"/>
                    <w:w w:val="90"/>
                    <w:lang w:eastAsia="es-PA"/>
                  </w:rPr>
                  <w:t>2</w:t>
                </w:r>
              </w:p>
            </w:tc>
          </w:tr>
          <w:tr w:rsidR="000C171B" w:rsidRPr="00A97A6D" w14:paraId="4877DAD4" w14:textId="77777777" w:rsidTr="002C49EF">
            <w:trPr>
              <w:trHeight w:val="69"/>
            </w:trPr>
            <w:tc>
              <w:tcPr>
                <w:tcW w:w="160" w:type="dxa"/>
              </w:tcPr>
              <w:p w14:paraId="6F36FCC8"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2B8C7786"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6D214B0"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3.1.9.</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047088F2"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 xml:space="preserve">ODS 10: Reducir la desigualdad.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6C4259B1" w14:textId="760C9A7D" w:rsidR="000C171B" w:rsidRPr="00A97A6D" w:rsidRDefault="000C171B" w:rsidP="002C49EF">
                <w:pPr>
                  <w:spacing w:after="0" w:line="240" w:lineRule="auto"/>
                  <w:jc w:val="center"/>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3</w:t>
                </w:r>
                <w:r w:rsidR="00624FAB">
                  <w:rPr>
                    <w:rFonts w:eastAsia="Times New Roman" w:cstheme="minorHAnsi"/>
                    <w:color w:val="000000" w:themeColor="text1"/>
                    <w:w w:val="90"/>
                    <w:lang w:eastAsia="es-PA"/>
                  </w:rPr>
                  <w:t>4</w:t>
                </w:r>
              </w:p>
            </w:tc>
          </w:tr>
          <w:tr w:rsidR="000C171B" w:rsidRPr="00A97A6D" w14:paraId="34F70C44" w14:textId="77777777" w:rsidTr="002C49EF">
            <w:trPr>
              <w:trHeight w:val="69"/>
            </w:trPr>
            <w:tc>
              <w:tcPr>
                <w:tcW w:w="160" w:type="dxa"/>
              </w:tcPr>
              <w:p w14:paraId="3912D6DA"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22C928E3"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A324F14"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3.1.10.</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710781A"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 xml:space="preserve">ODS 11: Ciudades y comunidades sostenibles.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6DDC3C02" w14:textId="0D2CC6FF" w:rsidR="000C171B" w:rsidRPr="00A97A6D" w:rsidRDefault="000C171B" w:rsidP="002C49EF">
                <w:pPr>
                  <w:spacing w:after="0" w:line="240" w:lineRule="auto"/>
                  <w:jc w:val="center"/>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3</w:t>
                </w:r>
                <w:r w:rsidR="00624FAB">
                  <w:rPr>
                    <w:rFonts w:eastAsia="Times New Roman" w:cstheme="minorHAnsi"/>
                    <w:color w:val="000000" w:themeColor="text1"/>
                    <w:w w:val="90"/>
                    <w:lang w:eastAsia="es-PA"/>
                  </w:rPr>
                  <w:t>5</w:t>
                </w:r>
              </w:p>
            </w:tc>
          </w:tr>
          <w:tr w:rsidR="000C171B" w:rsidRPr="00A97A6D" w14:paraId="07F58333" w14:textId="77777777" w:rsidTr="002C49EF">
            <w:trPr>
              <w:trHeight w:val="69"/>
            </w:trPr>
            <w:tc>
              <w:tcPr>
                <w:tcW w:w="160" w:type="dxa"/>
              </w:tcPr>
              <w:p w14:paraId="049E6A25"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C5AADF6"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DD089C3"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3.1.11.</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441DE0C"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 xml:space="preserve">ODS 12: Producción y consumos responsables.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7DF054E3" w14:textId="2A68504E" w:rsidR="000C171B" w:rsidRPr="00A97A6D" w:rsidRDefault="000C171B" w:rsidP="002C49EF">
                <w:pPr>
                  <w:spacing w:after="0" w:line="240" w:lineRule="auto"/>
                  <w:jc w:val="center"/>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3</w:t>
                </w:r>
                <w:r w:rsidR="00624FAB">
                  <w:rPr>
                    <w:rFonts w:eastAsia="Times New Roman" w:cstheme="minorHAnsi"/>
                    <w:color w:val="000000" w:themeColor="text1"/>
                    <w:w w:val="90"/>
                    <w:lang w:eastAsia="es-PA"/>
                  </w:rPr>
                  <w:t>5</w:t>
                </w:r>
              </w:p>
            </w:tc>
          </w:tr>
          <w:tr w:rsidR="000C171B" w:rsidRPr="00A97A6D" w14:paraId="3529ABF7" w14:textId="77777777" w:rsidTr="002C49EF">
            <w:trPr>
              <w:trHeight w:val="69"/>
            </w:trPr>
            <w:tc>
              <w:tcPr>
                <w:tcW w:w="160" w:type="dxa"/>
              </w:tcPr>
              <w:p w14:paraId="70B70362"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809A7DC"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65797411"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3.1.12.</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7F66A583"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ODS 14: Conservación y uso sostenible de los océanos, los mares y los recursos marinos</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1FE87DAA" w14:textId="14B2F611" w:rsidR="000C171B" w:rsidRPr="00A97A6D" w:rsidRDefault="000C171B" w:rsidP="002C49EF">
                <w:pPr>
                  <w:spacing w:after="0" w:line="240" w:lineRule="auto"/>
                  <w:jc w:val="center"/>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3</w:t>
                </w:r>
                <w:r w:rsidR="00624FAB">
                  <w:rPr>
                    <w:rFonts w:eastAsia="Times New Roman" w:cstheme="minorHAnsi"/>
                    <w:color w:val="000000" w:themeColor="text1"/>
                    <w:w w:val="90"/>
                    <w:lang w:eastAsia="es-PA"/>
                  </w:rPr>
                  <w:t>6</w:t>
                </w:r>
              </w:p>
            </w:tc>
          </w:tr>
          <w:tr w:rsidR="000C171B" w:rsidRPr="00A97A6D" w14:paraId="4E2DF4AE" w14:textId="77777777" w:rsidTr="002C49EF">
            <w:trPr>
              <w:trHeight w:val="69"/>
            </w:trPr>
            <w:tc>
              <w:tcPr>
                <w:tcW w:w="160" w:type="dxa"/>
              </w:tcPr>
              <w:p w14:paraId="1AB6E7F8"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75EDC246"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D42E593"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3.1.13.</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A6E12D7"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 xml:space="preserve">ODS 15: Gestión sostenible de los bosques y biodiversidad.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7BD5A528" w14:textId="20D9B6EC" w:rsidR="000C171B" w:rsidRPr="00A97A6D" w:rsidRDefault="000C171B" w:rsidP="002C49EF">
                <w:pPr>
                  <w:spacing w:after="0" w:line="240" w:lineRule="auto"/>
                  <w:jc w:val="center"/>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3</w:t>
                </w:r>
                <w:r w:rsidR="00624FAB">
                  <w:rPr>
                    <w:rFonts w:eastAsia="Times New Roman" w:cstheme="minorHAnsi"/>
                    <w:color w:val="000000" w:themeColor="text1"/>
                    <w:w w:val="90"/>
                    <w:lang w:eastAsia="es-PA"/>
                  </w:rPr>
                  <w:t>6</w:t>
                </w:r>
              </w:p>
            </w:tc>
          </w:tr>
          <w:tr w:rsidR="000C171B" w:rsidRPr="00A97A6D" w14:paraId="0189BE73" w14:textId="77777777" w:rsidTr="002C49EF">
            <w:trPr>
              <w:trHeight w:val="69"/>
            </w:trPr>
            <w:tc>
              <w:tcPr>
                <w:tcW w:w="160" w:type="dxa"/>
              </w:tcPr>
              <w:p w14:paraId="54108882"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951C024"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7044E18B"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3.1.14.</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D8D81BE" w14:textId="77777777" w:rsidR="000C171B" w:rsidRPr="00A97A6D" w:rsidRDefault="000C171B" w:rsidP="002C49EF">
                <w:pPr>
                  <w:spacing w:after="0" w:line="240" w:lineRule="auto"/>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ODS 1</w:t>
                </w:r>
                <w:r>
                  <w:rPr>
                    <w:rFonts w:eastAsia="Times New Roman" w:cstheme="minorHAnsi"/>
                    <w:color w:val="000000" w:themeColor="text1"/>
                    <w:w w:val="90"/>
                    <w:lang w:eastAsia="es-PA"/>
                  </w:rPr>
                  <w:t>6</w:t>
                </w:r>
                <w:r w:rsidRPr="00A97A6D">
                  <w:rPr>
                    <w:rFonts w:eastAsia="Times New Roman" w:cstheme="minorHAnsi"/>
                    <w:color w:val="000000" w:themeColor="text1"/>
                    <w:w w:val="90"/>
                    <w:lang w:eastAsia="es-PA"/>
                  </w:rPr>
                  <w:t xml:space="preserve">: Promover sociedades, justas, pacíficas e inclusivas.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58B70D65" w14:textId="72B48A5E" w:rsidR="000C171B" w:rsidRPr="00A97A6D" w:rsidRDefault="000C171B" w:rsidP="002C49EF">
                <w:pPr>
                  <w:spacing w:after="0" w:line="240" w:lineRule="auto"/>
                  <w:jc w:val="center"/>
                  <w:rPr>
                    <w:rFonts w:eastAsia="Times New Roman" w:cstheme="minorHAnsi"/>
                    <w:color w:val="000000" w:themeColor="text1"/>
                    <w:w w:val="90"/>
                    <w:lang w:eastAsia="es-PA"/>
                  </w:rPr>
                </w:pPr>
                <w:r w:rsidRPr="00A97A6D">
                  <w:rPr>
                    <w:rFonts w:eastAsia="Times New Roman" w:cstheme="minorHAnsi"/>
                    <w:color w:val="000000" w:themeColor="text1"/>
                    <w:w w:val="90"/>
                    <w:lang w:eastAsia="es-PA"/>
                  </w:rPr>
                  <w:t>3</w:t>
                </w:r>
                <w:r w:rsidR="00624FAB">
                  <w:rPr>
                    <w:rFonts w:eastAsia="Times New Roman" w:cstheme="minorHAnsi"/>
                    <w:color w:val="000000" w:themeColor="text1"/>
                    <w:w w:val="90"/>
                    <w:lang w:eastAsia="es-PA"/>
                  </w:rPr>
                  <w:t>6</w:t>
                </w:r>
              </w:p>
            </w:tc>
          </w:tr>
          <w:tr w:rsidR="000C171B" w:rsidRPr="00A97A6D" w14:paraId="56551BF7" w14:textId="77777777" w:rsidTr="002C49EF">
            <w:trPr>
              <w:trHeight w:val="69"/>
            </w:trPr>
            <w:tc>
              <w:tcPr>
                <w:tcW w:w="160" w:type="dxa"/>
              </w:tcPr>
              <w:p w14:paraId="1C5C04B1"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12CB5A6"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7B415AE2" w14:textId="77777777" w:rsidR="000C171B" w:rsidRPr="00A97A6D" w:rsidRDefault="000C171B" w:rsidP="002C49EF">
                <w:pPr>
                  <w:spacing w:after="0" w:line="240" w:lineRule="auto"/>
                  <w:rPr>
                    <w:rFonts w:eastAsia="Times New Roman" w:cstheme="minorHAnsi"/>
                    <w:bCs/>
                    <w:color w:val="000000" w:themeColor="text1"/>
                    <w:w w:val="90"/>
                    <w:lang w:eastAsia="es-PA"/>
                  </w:rPr>
                </w:pPr>
                <w:r w:rsidRPr="00A97A6D">
                  <w:rPr>
                    <w:rFonts w:eastAsia="Times New Roman" w:cstheme="minorHAnsi"/>
                    <w:bCs/>
                    <w:color w:val="000000" w:themeColor="text1"/>
                    <w:w w:val="90"/>
                    <w:lang w:eastAsia="es-PA"/>
                  </w:rPr>
                  <w:t>3.1.15.</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54893CA" w14:textId="77777777" w:rsidR="000C171B" w:rsidRPr="00A97A6D" w:rsidRDefault="000C171B" w:rsidP="002C49EF">
                <w:pPr>
                  <w:spacing w:after="0" w:line="240" w:lineRule="auto"/>
                  <w:rPr>
                    <w:rFonts w:eastAsia="Times New Roman" w:cstheme="minorHAnsi"/>
                    <w:bCs/>
                    <w:color w:val="000000" w:themeColor="text1"/>
                    <w:w w:val="90"/>
                    <w:lang w:eastAsia="es-PA"/>
                  </w:rPr>
                </w:pPr>
                <w:r w:rsidRPr="00A97A6D">
                  <w:rPr>
                    <w:rFonts w:eastAsia="Times New Roman" w:cstheme="minorHAnsi"/>
                    <w:bCs/>
                    <w:color w:val="000000" w:themeColor="text1"/>
                    <w:w w:val="90"/>
                    <w:lang w:eastAsia="es-PA"/>
                  </w:rPr>
                  <w:t>ODS 17: Alianzas para el desarrollo sostenible.</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1C5A7C09" w14:textId="461A45FF"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3</w:t>
                </w:r>
                <w:r w:rsidR="00624FAB">
                  <w:rPr>
                    <w:rFonts w:eastAsia="Times New Roman" w:cstheme="minorHAnsi"/>
                    <w:color w:val="0D0D0D" w:themeColor="text1" w:themeTint="F2"/>
                    <w:w w:val="90"/>
                    <w:lang w:eastAsia="es-PA"/>
                  </w:rPr>
                  <w:t>7</w:t>
                </w:r>
              </w:p>
            </w:tc>
          </w:tr>
          <w:tr w:rsidR="000C171B" w:rsidRPr="00A97A6D" w14:paraId="79F4E989" w14:textId="77777777" w:rsidTr="002C49EF">
            <w:trPr>
              <w:trHeight w:val="69"/>
            </w:trPr>
            <w:tc>
              <w:tcPr>
                <w:tcW w:w="160" w:type="dxa"/>
              </w:tcPr>
              <w:p w14:paraId="1A1EC38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293EC724"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686A680C" w14:textId="77777777" w:rsidR="000C171B" w:rsidRPr="00A97A6D" w:rsidRDefault="000C171B" w:rsidP="002C49EF">
                <w:pPr>
                  <w:spacing w:after="0" w:line="240" w:lineRule="auto"/>
                  <w:rPr>
                    <w:rFonts w:eastAsia="Times New Roman" w:cstheme="minorHAnsi"/>
                    <w:bCs/>
                    <w:color w:val="000000" w:themeColor="text1"/>
                    <w:w w:val="90"/>
                    <w:lang w:eastAsia="es-PA"/>
                  </w:rPr>
                </w:pPr>
                <w:r w:rsidRPr="00A97A6D">
                  <w:rPr>
                    <w:rFonts w:eastAsia="Times New Roman" w:cstheme="minorHAnsi"/>
                    <w:bCs/>
                    <w:color w:val="000000" w:themeColor="text1"/>
                    <w:w w:val="90"/>
                    <w:lang w:eastAsia="es-PA"/>
                  </w:rPr>
                  <w:t>3.2.</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526887F" w14:textId="77777777" w:rsidR="000C171B" w:rsidRPr="00A97A6D" w:rsidRDefault="000C171B" w:rsidP="002C49EF">
                <w:pPr>
                  <w:spacing w:after="0" w:line="240" w:lineRule="auto"/>
                  <w:rPr>
                    <w:rFonts w:eastAsia="Times New Roman" w:cstheme="minorHAnsi"/>
                    <w:bCs/>
                    <w:color w:val="000000" w:themeColor="text1"/>
                    <w:w w:val="90"/>
                    <w:lang w:eastAsia="es-PA"/>
                  </w:rPr>
                </w:pPr>
                <w:r w:rsidRPr="00A97A6D">
                  <w:rPr>
                    <w:rFonts w:eastAsia="Times New Roman" w:cstheme="minorHAnsi"/>
                    <w:bCs/>
                    <w:color w:val="000000" w:themeColor="text1"/>
                    <w:w w:val="90"/>
                    <w:lang w:eastAsia="es-PA"/>
                  </w:rPr>
                  <w:t xml:space="preserve">Mecanismos institucionales que apoyan la implementación de los ODS.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424F5ECE" w14:textId="7FF32A77" w:rsidR="000C171B" w:rsidRPr="00A97A6D" w:rsidRDefault="00624FAB" w:rsidP="002C49EF">
                <w:pPr>
                  <w:spacing w:after="0" w:line="240" w:lineRule="auto"/>
                  <w:jc w:val="center"/>
                  <w:rPr>
                    <w:rFonts w:eastAsia="Times New Roman" w:cstheme="minorHAnsi"/>
                    <w:color w:val="0D0D0D" w:themeColor="text1" w:themeTint="F2"/>
                    <w:w w:val="90"/>
                    <w:lang w:eastAsia="es-PA"/>
                  </w:rPr>
                </w:pPr>
                <w:r>
                  <w:rPr>
                    <w:rFonts w:eastAsia="Times New Roman" w:cstheme="minorHAnsi"/>
                    <w:color w:val="0D0D0D" w:themeColor="text1" w:themeTint="F2"/>
                    <w:w w:val="90"/>
                    <w:lang w:eastAsia="es-PA"/>
                  </w:rPr>
                  <w:t>37</w:t>
                </w:r>
              </w:p>
            </w:tc>
          </w:tr>
          <w:tr w:rsidR="000C171B" w:rsidRPr="00A97A6D" w14:paraId="64635CCD" w14:textId="77777777" w:rsidTr="002C49EF">
            <w:trPr>
              <w:trHeight w:val="48"/>
            </w:trPr>
            <w:tc>
              <w:tcPr>
                <w:tcW w:w="160" w:type="dxa"/>
              </w:tcPr>
              <w:p w14:paraId="43B031C4"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97215ED" w14:textId="77777777" w:rsidR="000C171B" w:rsidRPr="00A97A6D" w:rsidRDefault="000C171B" w:rsidP="002C49EF">
                <w:pPr>
                  <w:spacing w:after="0" w:line="240" w:lineRule="auto"/>
                  <w:rPr>
                    <w:rFonts w:eastAsia="Times New Roman" w:cstheme="minorHAnsi"/>
                    <w:b/>
                    <w:bCs/>
                    <w:color w:val="0D0D0D" w:themeColor="text1" w:themeTint="F2"/>
                    <w:w w:val="90"/>
                    <w:lang w:eastAsia="es-PA"/>
                  </w:rPr>
                </w:pPr>
                <w:r w:rsidRPr="00A97A6D">
                  <w:rPr>
                    <w:rFonts w:eastAsia="Times New Roman" w:cstheme="minorHAnsi"/>
                    <w:b/>
                    <w:bCs/>
                    <w:color w:val="0D0D0D" w:themeColor="text1" w:themeTint="F2"/>
                    <w:w w:val="90"/>
                    <w:lang w:eastAsia="es-PA"/>
                  </w:rPr>
                  <w:t xml:space="preserve">4. </w:t>
                </w:r>
              </w:p>
            </w:tc>
            <w:tc>
              <w:tcPr>
                <w:tcW w:w="7740" w:type="dxa"/>
                <w:gridSpan w:val="2"/>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08C00A41" w14:textId="77777777" w:rsidR="000C171B" w:rsidRPr="00A97A6D" w:rsidRDefault="000C171B" w:rsidP="002C49EF">
                <w:pPr>
                  <w:spacing w:after="0" w:line="240" w:lineRule="auto"/>
                  <w:rPr>
                    <w:rFonts w:eastAsia="Times New Roman" w:cstheme="minorHAnsi"/>
                    <w:b/>
                    <w:bCs/>
                    <w:color w:val="0D0D0D" w:themeColor="text1" w:themeTint="F2"/>
                    <w:w w:val="90"/>
                    <w:lang w:eastAsia="es-PA"/>
                  </w:rPr>
                </w:pPr>
                <w:r w:rsidRPr="00A97A6D">
                  <w:rPr>
                    <w:rFonts w:eastAsia="Times New Roman" w:cstheme="minorHAnsi"/>
                    <w:b/>
                    <w:bCs/>
                    <w:color w:val="0D0D0D" w:themeColor="text1" w:themeTint="F2"/>
                    <w:w w:val="90"/>
                    <w:lang w:eastAsia="es-PA"/>
                  </w:rPr>
                  <w:t>NO DEJAR A NADIE ATRÁS.</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4A561B55" w14:textId="77777777" w:rsidR="000C171B" w:rsidRPr="00A97A6D" w:rsidRDefault="000C171B" w:rsidP="002C49EF">
                <w:pPr>
                  <w:spacing w:after="0" w:line="240" w:lineRule="auto"/>
                  <w:jc w:val="center"/>
                  <w:rPr>
                    <w:rFonts w:eastAsia="Times New Roman" w:cstheme="minorHAnsi"/>
                    <w:b/>
                    <w:color w:val="0D0D0D" w:themeColor="text1" w:themeTint="F2"/>
                    <w:w w:val="90"/>
                    <w:lang w:eastAsia="es-PA"/>
                  </w:rPr>
                </w:pPr>
                <w:r w:rsidRPr="00A97A6D">
                  <w:rPr>
                    <w:rFonts w:eastAsia="Times New Roman" w:cstheme="minorHAnsi"/>
                    <w:b/>
                    <w:color w:val="0D0D0D" w:themeColor="text1" w:themeTint="F2"/>
                    <w:w w:val="90"/>
                    <w:lang w:eastAsia="es-PA"/>
                  </w:rPr>
                  <w:t>4</w:t>
                </w:r>
                <w:r>
                  <w:rPr>
                    <w:rFonts w:eastAsia="Times New Roman" w:cstheme="minorHAnsi"/>
                    <w:b/>
                    <w:color w:val="0D0D0D" w:themeColor="text1" w:themeTint="F2"/>
                    <w:w w:val="90"/>
                    <w:lang w:eastAsia="es-PA"/>
                  </w:rPr>
                  <w:t>0</w:t>
                </w:r>
              </w:p>
            </w:tc>
          </w:tr>
          <w:tr w:rsidR="000C171B" w:rsidRPr="00A97A6D" w14:paraId="7E2024D5" w14:textId="77777777" w:rsidTr="002C49EF">
            <w:trPr>
              <w:trHeight w:val="48"/>
            </w:trPr>
            <w:tc>
              <w:tcPr>
                <w:tcW w:w="160" w:type="dxa"/>
              </w:tcPr>
              <w:p w14:paraId="52EC04E8"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385095B"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61C4B01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4.1.</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1A34501"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 xml:space="preserve">Análisis de los grupos específicos que se han quedado atrás o están en riesgo de quedarse atrás.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7F9B267A" w14:textId="59C03BCC"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4</w:t>
                </w:r>
                <w:r w:rsidR="00624FAB">
                  <w:rPr>
                    <w:rFonts w:eastAsia="Times New Roman" w:cstheme="minorHAnsi"/>
                    <w:color w:val="0D0D0D" w:themeColor="text1" w:themeTint="F2"/>
                    <w:w w:val="90"/>
                    <w:lang w:eastAsia="es-PA"/>
                  </w:rPr>
                  <w:t>2</w:t>
                </w:r>
              </w:p>
            </w:tc>
          </w:tr>
          <w:tr w:rsidR="000C171B" w:rsidRPr="00A97A6D" w14:paraId="76C8D603" w14:textId="77777777" w:rsidTr="002C49EF">
            <w:trPr>
              <w:trHeight w:val="48"/>
            </w:trPr>
            <w:tc>
              <w:tcPr>
                <w:tcW w:w="160" w:type="dxa"/>
              </w:tcPr>
              <w:p w14:paraId="3231EBCD"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02FEB05"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0957E69A"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4.1.1.</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0C3655E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Niños, niñas y adolescentes.</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1B892122" w14:textId="57EB64B1"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4</w:t>
                </w:r>
                <w:r w:rsidR="00624FAB">
                  <w:rPr>
                    <w:rFonts w:eastAsia="Times New Roman" w:cstheme="minorHAnsi"/>
                    <w:color w:val="0D0D0D" w:themeColor="text1" w:themeTint="F2"/>
                    <w:w w:val="90"/>
                    <w:lang w:eastAsia="es-PA"/>
                  </w:rPr>
                  <w:t>2</w:t>
                </w:r>
              </w:p>
            </w:tc>
          </w:tr>
          <w:tr w:rsidR="000C171B" w:rsidRPr="00A97A6D" w14:paraId="5A44AEDF" w14:textId="77777777" w:rsidTr="002C49EF">
            <w:trPr>
              <w:trHeight w:val="48"/>
            </w:trPr>
            <w:tc>
              <w:tcPr>
                <w:tcW w:w="160" w:type="dxa"/>
              </w:tcPr>
              <w:p w14:paraId="11C727EE"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20538C3C"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037AB2B"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4.1.2.</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2AE748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Mujeres.</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69B83135" w14:textId="416A4B07"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4</w:t>
                </w:r>
                <w:r w:rsidR="00624FAB">
                  <w:rPr>
                    <w:rFonts w:eastAsia="Times New Roman" w:cstheme="minorHAnsi"/>
                    <w:color w:val="0D0D0D" w:themeColor="text1" w:themeTint="F2"/>
                    <w:w w:val="90"/>
                    <w:lang w:eastAsia="es-PA"/>
                  </w:rPr>
                  <w:t>3</w:t>
                </w:r>
              </w:p>
            </w:tc>
          </w:tr>
          <w:tr w:rsidR="000C171B" w:rsidRPr="00A97A6D" w14:paraId="0535918C" w14:textId="77777777" w:rsidTr="002C49EF">
            <w:trPr>
              <w:trHeight w:val="48"/>
            </w:trPr>
            <w:tc>
              <w:tcPr>
                <w:tcW w:w="160" w:type="dxa"/>
              </w:tcPr>
              <w:p w14:paraId="17F57B14"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F7F6E7B"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6BE31B6"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4.1.3.</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985E278"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Adolescentes embarazadas.</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404DD6C8" w14:textId="4C255AFF"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4</w:t>
                </w:r>
                <w:r w:rsidR="00624FAB">
                  <w:rPr>
                    <w:rFonts w:eastAsia="Times New Roman" w:cstheme="minorHAnsi"/>
                    <w:color w:val="0D0D0D" w:themeColor="text1" w:themeTint="F2"/>
                    <w:w w:val="90"/>
                    <w:lang w:eastAsia="es-PA"/>
                  </w:rPr>
                  <w:t>4</w:t>
                </w:r>
              </w:p>
            </w:tc>
          </w:tr>
          <w:tr w:rsidR="000C171B" w:rsidRPr="00A97A6D" w14:paraId="37DF2704" w14:textId="77777777" w:rsidTr="002C49EF">
            <w:trPr>
              <w:trHeight w:val="48"/>
            </w:trPr>
            <w:tc>
              <w:tcPr>
                <w:tcW w:w="160" w:type="dxa"/>
              </w:tcPr>
              <w:p w14:paraId="731D67F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A2B8E0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03F5A90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4.1.4.</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0261066C"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Personas LGBTIQ+</w:t>
                </w:r>
                <w:r>
                  <w:rPr>
                    <w:rFonts w:eastAsia="Times New Roman" w:cstheme="minorHAnsi"/>
                    <w:bCs/>
                    <w:color w:val="0D0D0D" w:themeColor="text1" w:themeTint="F2"/>
                    <w:w w:val="90"/>
                    <w:lang w:eastAsia="es-PA"/>
                  </w:rPr>
                  <w:t xml:space="preserve">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5F401128" w14:textId="11D1EB04"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4</w:t>
                </w:r>
                <w:r w:rsidR="00624FAB">
                  <w:rPr>
                    <w:rFonts w:eastAsia="Times New Roman" w:cstheme="minorHAnsi"/>
                    <w:color w:val="0D0D0D" w:themeColor="text1" w:themeTint="F2"/>
                    <w:w w:val="90"/>
                    <w:lang w:eastAsia="es-PA"/>
                  </w:rPr>
                  <w:t>6</w:t>
                </w:r>
              </w:p>
            </w:tc>
          </w:tr>
          <w:tr w:rsidR="000C171B" w:rsidRPr="00A97A6D" w14:paraId="055A0028" w14:textId="77777777" w:rsidTr="002C49EF">
            <w:trPr>
              <w:trHeight w:val="48"/>
            </w:trPr>
            <w:tc>
              <w:tcPr>
                <w:tcW w:w="160" w:type="dxa"/>
              </w:tcPr>
              <w:p w14:paraId="06E89C1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24BA18AC"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25135E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4.1.5.</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08ED52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 xml:space="preserve">Personas </w:t>
                </w:r>
                <w:r>
                  <w:rPr>
                    <w:rFonts w:eastAsia="Times New Roman" w:cstheme="minorHAnsi"/>
                    <w:bCs/>
                    <w:color w:val="0D0D0D" w:themeColor="text1" w:themeTint="F2"/>
                    <w:w w:val="90"/>
                    <w:lang w:eastAsia="es-PA"/>
                  </w:rPr>
                  <w:t xml:space="preserve">que viven </w:t>
                </w:r>
                <w:r w:rsidRPr="00A97A6D">
                  <w:rPr>
                    <w:rFonts w:eastAsia="Times New Roman" w:cstheme="minorHAnsi"/>
                    <w:bCs/>
                    <w:color w:val="0D0D0D" w:themeColor="text1" w:themeTint="F2"/>
                    <w:w w:val="90"/>
                    <w:lang w:eastAsia="es-PA"/>
                  </w:rPr>
                  <w:t>con VIH.</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1295513B" w14:textId="363E93E4"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4</w:t>
                </w:r>
                <w:r w:rsidR="00624FAB">
                  <w:rPr>
                    <w:rFonts w:eastAsia="Times New Roman" w:cstheme="minorHAnsi"/>
                    <w:color w:val="0D0D0D" w:themeColor="text1" w:themeTint="F2"/>
                    <w:w w:val="90"/>
                    <w:lang w:eastAsia="es-PA"/>
                  </w:rPr>
                  <w:t>7</w:t>
                </w:r>
              </w:p>
            </w:tc>
          </w:tr>
          <w:tr w:rsidR="000C171B" w:rsidRPr="00A97A6D" w14:paraId="26011EFE" w14:textId="77777777" w:rsidTr="002C49EF">
            <w:trPr>
              <w:trHeight w:val="48"/>
            </w:trPr>
            <w:tc>
              <w:tcPr>
                <w:tcW w:w="160" w:type="dxa"/>
              </w:tcPr>
              <w:p w14:paraId="68C4A917"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B97B7C9"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66729174"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4.1.6</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442FD82"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Pueblos indígenas.</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2904536C" w14:textId="1EBD8B2E" w:rsidR="000C171B" w:rsidRPr="00A97A6D" w:rsidRDefault="00624FAB" w:rsidP="002C49EF">
                <w:pPr>
                  <w:spacing w:after="0" w:line="240" w:lineRule="auto"/>
                  <w:jc w:val="center"/>
                  <w:rPr>
                    <w:rFonts w:eastAsia="Times New Roman" w:cstheme="minorHAnsi"/>
                    <w:color w:val="0D0D0D" w:themeColor="text1" w:themeTint="F2"/>
                    <w:w w:val="90"/>
                    <w:lang w:eastAsia="es-PA"/>
                  </w:rPr>
                </w:pPr>
                <w:r>
                  <w:rPr>
                    <w:rFonts w:eastAsia="Times New Roman" w:cstheme="minorHAnsi"/>
                    <w:color w:val="0D0D0D" w:themeColor="text1" w:themeTint="F2"/>
                    <w:w w:val="90"/>
                    <w:lang w:eastAsia="es-PA"/>
                  </w:rPr>
                  <w:t>49</w:t>
                </w:r>
              </w:p>
            </w:tc>
          </w:tr>
          <w:tr w:rsidR="000C171B" w:rsidRPr="00A97A6D" w14:paraId="586406E2" w14:textId="77777777" w:rsidTr="002C49EF">
            <w:trPr>
              <w:trHeight w:val="48"/>
            </w:trPr>
            <w:tc>
              <w:tcPr>
                <w:tcW w:w="160" w:type="dxa"/>
              </w:tcPr>
              <w:p w14:paraId="140EB81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3B803B9"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57395BE"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4.1.7.</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0E446315"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Población afro panameña.</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7099D3EC" w14:textId="21C5F784"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5</w:t>
                </w:r>
                <w:r w:rsidR="00624FAB">
                  <w:rPr>
                    <w:rFonts w:eastAsia="Times New Roman" w:cstheme="minorHAnsi"/>
                    <w:color w:val="0D0D0D" w:themeColor="text1" w:themeTint="F2"/>
                    <w:w w:val="90"/>
                    <w:lang w:eastAsia="es-PA"/>
                  </w:rPr>
                  <w:t>0</w:t>
                </w:r>
              </w:p>
            </w:tc>
          </w:tr>
          <w:tr w:rsidR="000C171B" w:rsidRPr="00A97A6D" w14:paraId="2ACC4A9B" w14:textId="77777777" w:rsidTr="002C49EF">
            <w:trPr>
              <w:trHeight w:val="48"/>
            </w:trPr>
            <w:tc>
              <w:tcPr>
                <w:tcW w:w="160" w:type="dxa"/>
              </w:tcPr>
              <w:p w14:paraId="1068F993"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263B3E57"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9D36373"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4.1.8.</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D9B166E"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Personas con discapacidad</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51B86A21" w14:textId="3FE429E1"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5</w:t>
                </w:r>
                <w:r w:rsidR="00624FAB">
                  <w:rPr>
                    <w:rFonts w:eastAsia="Times New Roman" w:cstheme="minorHAnsi"/>
                    <w:color w:val="0D0D0D" w:themeColor="text1" w:themeTint="F2"/>
                    <w:w w:val="90"/>
                    <w:lang w:eastAsia="es-PA"/>
                  </w:rPr>
                  <w:t>1</w:t>
                </w:r>
              </w:p>
            </w:tc>
          </w:tr>
          <w:tr w:rsidR="000C171B" w:rsidRPr="00A97A6D" w14:paraId="0089A59C" w14:textId="77777777" w:rsidTr="002C49EF">
            <w:trPr>
              <w:trHeight w:val="48"/>
            </w:trPr>
            <w:tc>
              <w:tcPr>
                <w:tcW w:w="160" w:type="dxa"/>
              </w:tcPr>
              <w:p w14:paraId="7A56F53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750B6307"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0E2E82C"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4.2.</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2BF1B7BA"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 xml:space="preserve">Análisis de los factores que causan y refuerzan la desigualdad y la discriminación.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732228F1" w14:textId="17B500AC"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5</w:t>
                </w:r>
                <w:r w:rsidR="00624FAB">
                  <w:rPr>
                    <w:rFonts w:eastAsia="Times New Roman" w:cstheme="minorHAnsi"/>
                    <w:color w:val="0D0D0D" w:themeColor="text1" w:themeTint="F2"/>
                    <w:w w:val="90"/>
                    <w:lang w:eastAsia="es-PA"/>
                  </w:rPr>
                  <w:t>1</w:t>
                </w:r>
              </w:p>
            </w:tc>
          </w:tr>
          <w:tr w:rsidR="000C171B" w:rsidRPr="00A97A6D" w14:paraId="44119996" w14:textId="77777777" w:rsidTr="002C49EF">
            <w:trPr>
              <w:trHeight w:val="48"/>
            </w:trPr>
            <w:tc>
              <w:tcPr>
                <w:tcW w:w="160" w:type="dxa"/>
              </w:tcPr>
              <w:p w14:paraId="3BA2EF1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74BC3A7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741D1551"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AC7B5F2"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7A9BBF94" w14:textId="77777777" w:rsidR="000C171B" w:rsidRPr="00A97A6D" w:rsidRDefault="000C171B" w:rsidP="002C49EF">
                <w:pPr>
                  <w:spacing w:after="0" w:line="240" w:lineRule="auto"/>
                  <w:jc w:val="center"/>
                  <w:rPr>
                    <w:rFonts w:eastAsia="Times New Roman" w:cstheme="minorHAnsi"/>
                    <w:color w:val="0D0D0D" w:themeColor="text1" w:themeTint="F2"/>
                    <w:w w:val="90"/>
                    <w:lang w:eastAsia="es-PA"/>
                  </w:rPr>
                </w:pPr>
              </w:p>
            </w:tc>
          </w:tr>
          <w:tr w:rsidR="000C171B" w:rsidRPr="00A97A6D" w14:paraId="3863DB5C" w14:textId="77777777" w:rsidTr="002C49EF">
            <w:trPr>
              <w:trHeight w:val="48"/>
            </w:trPr>
            <w:tc>
              <w:tcPr>
                <w:tcW w:w="160" w:type="dxa"/>
              </w:tcPr>
              <w:p w14:paraId="723DDD0A"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A55C8C3" w14:textId="77777777" w:rsidR="000C171B" w:rsidRPr="00A97A6D" w:rsidRDefault="000C171B" w:rsidP="002C49EF">
                <w:pPr>
                  <w:spacing w:after="0" w:line="240" w:lineRule="auto"/>
                  <w:rPr>
                    <w:rFonts w:eastAsia="Times New Roman" w:cstheme="minorHAnsi"/>
                    <w:b/>
                    <w:bCs/>
                    <w:color w:val="0D0D0D" w:themeColor="text1" w:themeTint="F2"/>
                    <w:w w:val="90"/>
                    <w:lang w:eastAsia="es-PA"/>
                  </w:rPr>
                </w:pPr>
                <w:r w:rsidRPr="00A97A6D">
                  <w:rPr>
                    <w:rFonts w:eastAsia="Times New Roman" w:cstheme="minorHAnsi"/>
                    <w:b/>
                    <w:bCs/>
                    <w:color w:val="0D0D0D" w:themeColor="text1" w:themeTint="F2"/>
                    <w:w w:val="90"/>
                    <w:lang w:eastAsia="es-PA"/>
                  </w:rPr>
                  <w:t>5.</w:t>
                </w:r>
              </w:p>
            </w:tc>
            <w:tc>
              <w:tcPr>
                <w:tcW w:w="7740" w:type="dxa"/>
                <w:gridSpan w:val="2"/>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803ABB1" w14:textId="77777777" w:rsidR="000C171B" w:rsidRPr="00A97A6D" w:rsidRDefault="000C171B" w:rsidP="002C49EF">
                <w:pPr>
                  <w:spacing w:after="0" w:line="240" w:lineRule="auto"/>
                  <w:rPr>
                    <w:rFonts w:eastAsia="Times New Roman" w:cstheme="minorHAnsi"/>
                    <w:b/>
                    <w:bCs/>
                    <w:color w:val="0D0D0D" w:themeColor="text1" w:themeTint="F2"/>
                    <w:w w:val="90"/>
                    <w:lang w:eastAsia="es-PA"/>
                  </w:rPr>
                </w:pPr>
                <w:r w:rsidRPr="00A97A6D">
                  <w:rPr>
                    <w:rFonts w:eastAsia="Times New Roman" w:cstheme="minorHAnsi"/>
                    <w:b/>
                    <w:bCs/>
                    <w:color w:val="0D0D0D" w:themeColor="text1" w:themeTint="F2"/>
                    <w:w w:val="90"/>
                    <w:lang w:eastAsia="es-PA"/>
                  </w:rPr>
                  <w:t>COMPROMISOS SEGÚN NORMAS Y ESTÁNDARES INTERNACIONALES.</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1FDE90C0" w14:textId="701E576B" w:rsidR="000C171B" w:rsidRPr="00A97A6D" w:rsidRDefault="000C171B" w:rsidP="002C49EF">
                <w:pPr>
                  <w:spacing w:after="0" w:line="240" w:lineRule="auto"/>
                  <w:jc w:val="center"/>
                  <w:rPr>
                    <w:rFonts w:eastAsia="Times New Roman" w:cstheme="minorHAnsi"/>
                    <w:b/>
                    <w:color w:val="0D0D0D" w:themeColor="text1" w:themeTint="F2"/>
                    <w:w w:val="90"/>
                    <w:lang w:eastAsia="es-PA"/>
                  </w:rPr>
                </w:pPr>
                <w:r w:rsidRPr="00A97A6D">
                  <w:rPr>
                    <w:rFonts w:eastAsia="Times New Roman" w:cstheme="minorHAnsi"/>
                    <w:b/>
                    <w:color w:val="0D0D0D" w:themeColor="text1" w:themeTint="F2"/>
                    <w:w w:val="90"/>
                    <w:lang w:eastAsia="es-PA"/>
                  </w:rPr>
                  <w:t>5</w:t>
                </w:r>
                <w:r w:rsidR="00624FAB">
                  <w:rPr>
                    <w:rFonts w:eastAsia="Times New Roman" w:cstheme="minorHAnsi"/>
                    <w:b/>
                    <w:color w:val="0D0D0D" w:themeColor="text1" w:themeTint="F2"/>
                    <w:w w:val="90"/>
                    <w:lang w:eastAsia="es-PA"/>
                  </w:rPr>
                  <w:t>4</w:t>
                </w:r>
              </w:p>
            </w:tc>
          </w:tr>
          <w:tr w:rsidR="000C171B" w:rsidRPr="00A97A6D" w14:paraId="5DD07449" w14:textId="77777777" w:rsidTr="002C49EF">
            <w:trPr>
              <w:trHeight w:val="48"/>
            </w:trPr>
            <w:tc>
              <w:tcPr>
                <w:tcW w:w="160" w:type="dxa"/>
              </w:tcPr>
              <w:p w14:paraId="69E32871"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A9376F4"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6474ACE"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5.1.</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80D8459"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Análisis de la implementación de los compromisos bajo todas las normas y estándares internacionalmente acordados.</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499B170F" w14:textId="1A94E383"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5</w:t>
                </w:r>
                <w:r w:rsidR="00624FAB">
                  <w:rPr>
                    <w:rFonts w:eastAsia="Times New Roman" w:cstheme="minorHAnsi"/>
                    <w:color w:val="0D0D0D" w:themeColor="text1" w:themeTint="F2"/>
                    <w:w w:val="90"/>
                    <w:lang w:eastAsia="es-PA"/>
                  </w:rPr>
                  <w:t>5</w:t>
                </w:r>
              </w:p>
            </w:tc>
          </w:tr>
          <w:tr w:rsidR="000C171B" w:rsidRPr="00A97A6D" w14:paraId="2109F584" w14:textId="77777777" w:rsidTr="002C49EF">
            <w:trPr>
              <w:trHeight w:val="48"/>
            </w:trPr>
            <w:tc>
              <w:tcPr>
                <w:tcW w:w="160" w:type="dxa"/>
              </w:tcPr>
              <w:p w14:paraId="210A0C8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9907CFA" w14:textId="77777777" w:rsidR="000C171B" w:rsidRPr="00A97A6D" w:rsidRDefault="000C171B" w:rsidP="002C49EF">
                <w:pPr>
                  <w:spacing w:after="0" w:line="240" w:lineRule="auto"/>
                  <w:rPr>
                    <w:rFonts w:eastAsia="Times New Roman" w:cstheme="minorHAnsi"/>
                    <w:b/>
                    <w:bCs/>
                    <w:color w:val="0D0D0D" w:themeColor="text1" w:themeTint="F2"/>
                    <w:w w:val="90"/>
                    <w:lang w:eastAsia="es-PA"/>
                  </w:rPr>
                </w:pPr>
                <w:r w:rsidRPr="00A97A6D">
                  <w:rPr>
                    <w:rFonts w:eastAsia="Times New Roman" w:cstheme="minorHAnsi"/>
                    <w:b/>
                    <w:bCs/>
                    <w:color w:val="0D0D0D" w:themeColor="text1" w:themeTint="F2"/>
                    <w:w w:val="90"/>
                    <w:lang w:eastAsia="es-PA"/>
                  </w:rPr>
                  <w:t>6.</w:t>
                </w:r>
              </w:p>
            </w:tc>
            <w:tc>
              <w:tcPr>
                <w:tcW w:w="7740" w:type="dxa"/>
                <w:gridSpan w:val="2"/>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717510B" w14:textId="77777777" w:rsidR="000C171B" w:rsidRPr="00A97A6D" w:rsidRDefault="000C171B" w:rsidP="002C49EF">
                <w:pPr>
                  <w:spacing w:after="0" w:line="240" w:lineRule="auto"/>
                  <w:rPr>
                    <w:rFonts w:eastAsia="Times New Roman" w:cstheme="minorHAnsi"/>
                    <w:b/>
                    <w:bCs/>
                    <w:color w:val="0D0D0D" w:themeColor="text1" w:themeTint="F2"/>
                    <w:w w:val="90"/>
                    <w:lang w:eastAsia="es-PA"/>
                  </w:rPr>
                </w:pPr>
                <w:r w:rsidRPr="00A97A6D">
                  <w:rPr>
                    <w:rFonts w:eastAsia="Times New Roman" w:cstheme="minorHAnsi"/>
                    <w:b/>
                    <w:bCs/>
                    <w:color w:val="0D0D0D" w:themeColor="text1" w:themeTint="F2"/>
                    <w:w w:val="90"/>
                    <w:lang w:eastAsia="es-PA"/>
                  </w:rPr>
                  <w:t xml:space="preserve">PERSPECTIVAS TRANSFRONTERIZAS, REGIONALES Y SUBREGIONALES.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348D051D" w14:textId="6BC9843F" w:rsidR="000C171B" w:rsidRPr="00A97A6D" w:rsidRDefault="000C171B" w:rsidP="002C49EF">
                <w:pPr>
                  <w:spacing w:after="0" w:line="240" w:lineRule="auto"/>
                  <w:jc w:val="center"/>
                  <w:rPr>
                    <w:rFonts w:eastAsia="Times New Roman" w:cstheme="minorHAnsi"/>
                    <w:b/>
                    <w:color w:val="0D0D0D" w:themeColor="text1" w:themeTint="F2"/>
                    <w:w w:val="90"/>
                    <w:lang w:eastAsia="es-PA"/>
                  </w:rPr>
                </w:pPr>
                <w:r w:rsidRPr="00A97A6D">
                  <w:rPr>
                    <w:rFonts w:eastAsia="Times New Roman" w:cstheme="minorHAnsi"/>
                    <w:b/>
                    <w:color w:val="0D0D0D" w:themeColor="text1" w:themeTint="F2"/>
                    <w:w w:val="90"/>
                    <w:lang w:eastAsia="es-PA"/>
                  </w:rPr>
                  <w:t>6</w:t>
                </w:r>
                <w:r w:rsidR="00624FAB">
                  <w:rPr>
                    <w:rFonts w:eastAsia="Times New Roman" w:cstheme="minorHAnsi"/>
                    <w:b/>
                    <w:color w:val="0D0D0D" w:themeColor="text1" w:themeTint="F2"/>
                    <w:w w:val="90"/>
                    <w:lang w:eastAsia="es-PA"/>
                  </w:rPr>
                  <w:t>4</w:t>
                </w:r>
              </w:p>
            </w:tc>
          </w:tr>
          <w:tr w:rsidR="000C171B" w:rsidRPr="00A97A6D" w14:paraId="576C801F" w14:textId="77777777" w:rsidTr="002C49EF">
            <w:trPr>
              <w:trHeight w:val="48"/>
            </w:trPr>
            <w:tc>
              <w:tcPr>
                <w:tcW w:w="160" w:type="dxa"/>
              </w:tcPr>
              <w:p w14:paraId="161C837A"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EEC8D79"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3FC56F7"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6.1.</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72A10CCE"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cstheme="minorHAnsi"/>
                    <w:color w:val="000000"/>
                    <w:w w:val="90"/>
                  </w:rPr>
                  <w:t>Análisis de los factores y tendencias regionales, subregionales y transfronterizos relevantes y su impacto en el progreso del país.</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27753B31" w14:textId="2AF1D1CC"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6</w:t>
                </w:r>
                <w:r w:rsidR="00624FAB">
                  <w:rPr>
                    <w:rFonts w:eastAsia="Times New Roman" w:cstheme="minorHAnsi"/>
                    <w:color w:val="0D0D0D" w:themeColor="text1" w:themeTint="F2"/>
                    <w:w w:val="90"/>
                    <w:lang w:eastAsia="es-PA"/>
                  </w:rPr>
                  <w:t>4</w:t>
                </w:r>
              </w:p>
            </w:tc>
          </w:tr>
          <w:tr w:rsidR="000C171B" w:rsidRPr="00A97A6D" w14:paraId="7746856D" w14:textId="77777777" w:rsidTr="002C49EF">
            <w:trPr>
              <w:trHeight w:val="48"/>
            </w:trPr>
            <w:tc>
              <w:tcPr>
                <w:tcW w:w="160" w:type="dxa"/>
              </w:tcPr>
              <w:p w14:paraId="787BFD6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7B43D17"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689886E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6.1.1.</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E7B3251" w14:textId="1A36079E" w:rsidR="000C171B" w:rsidRPr="00A97A6D" w:rsidRDefault="00624FAB" w:rsidP="002C49EF">
                <w:pPr>
                  <w:spacing w:after="0" w:line="240" w:lineRule="auto"/>
                  <w:rPr>
                    <w:rFonts w:eastAsia="Times New Roman" w:cstheme="minorHAnsi"/>
                    <w:bCs/>
                    <w:color w:val="0D0D0D" w:themeColor="text1" w:themeTint="F2"/>
                    <w:w w:val="90"/>
                    <w:lang w:eastAsia="es-PA"/>
                  </w:rPr>
                </w:pPr>
                <w:r>
                  <w:rPr>
                    <w:rFonts w:cstheme="minorHAnsi"/>
                    <w:color w:val="000000"/>
                    <w:w w:val="90"/>
                  </w:rPr>
                  <w:t xml:space="preserve">Migraciones transfronterizas y </w:t>
                </w:r>
                <w:r w:rsidR="000C171B" w:rsidRPr="00A97A6D">
                  <w:rPr>
                    <w:rFonts w:cstheme="minorHAnsi"/>
                    <w:color w:val="000000"/>
                    <w:w w:val="90"/>
                  </w:rPr>
                  <w:t>Movilidad humana.</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17461955" w14:textId="12BF4E10"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6</w:t>
                </w:r>
                <w:r w:rsidR="00624FAB">
                  <w:rPr>
                    <w:rFonts w:eastAsia="Times New Roman" w:cstheme="minorHAnsi"/>
                    <w:color w:val="0D0D0D" w:themeColor="text1" w:themeTint="F2"/>
                    <w:w w:val="90"/>
                    <w:lang w:eastAsia="es-PA"/>
                  </w:rPr>
                  <w:t>5</w:t>
                </w:r>
              </w:p>
            </w:tc>
          </w:tr>
          <w:tr w:rsidR="000C171B" w:rsidRPr="00A97A6D" w14:paraId="6C0F7586" w14:textId="77777777" w:rsidTr="002C49EF">
            <w:trPr>
              <w:trHeight w:val="48"/>
            </w:trPr>
            <w:tc>
              <w:tcPr>
                <w:tcW w:w="160" w:type="dxa"/>
              </w:tcPr>
              <w:p w14:paraId="6779A599"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0D2DA4A"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740D1E73"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6.1.2.</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6560C40" w14:textId="77777777" w:rsidR="000C171B" w:rsidRPr="00A97A6D" w:rsidRDefault="000C171B" w:rsidP="002C49EF">
                <w:pPr>
                  <w:spacing w:after="0" w:line="240" w:lineRule="auto"/>
                  <w:rPr>
                    <w:rFonts w:cstheme="minorHAnsi"/>
                    <w:color w:val="000000"/>
                    <w:w w:val="90"/>
                  </w:rPr>
                </w:pPr>
                <w:r w:rsidRPr="00A97A6D">
                  <w:rPr>
                    <w:rFonts w:cstheme="minorHAnsi"/>
                    <w:color w:val="000000"/>
                    <w:w w:val="90"/>
                  </w:rPr>
                  <w:t>Crimen organizado.</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1E20D170" w14:textId="7D5131DD" w:rsidR="000C171B" w:rsidRPr="00A97A6D" w:rsidRDefault="00624FAB" w:rsidP="002C49EF">
                <w:pPr>
                  <w:spacing w:after="0" w:line="240" w:lineRule="auto"/>
                  <w:jc w:val="center"/>
                  <w:rPr>
                    <w:rFonts w:eastAsia="Times New Roman" w:cstheme="minorHAnsi"/>
                    <w:color w:val="0D0D0D" w:themeColor="text1" w:themeTint="F2"/>
                    <w:w w:val="90"/>
                    <w:lang w:eastAsia="es-PA"/>
                  </w:rPr>
                </w:pPr>
                <w:r>
                  <w:rPr>
                    <w:rFonts w:eastAsia="Times New Roman" w:cstheme="minorHAnsi"/>
                    <w:color w:val="0D0D0D" w:themeColor="text1" w:themeTint="F2"/>
                    <w:w w:val="90"/>
                    <w:lang w:eastAsia="es-PA"/>
                  </w:rPr>
                  <w:t>69</w:t>
                </w:r>
              </w:p>
            </w:tc>
          </w:tr>
          <w:tr w:rsidR="000C171B" w:rsidRPr="00A97A6D" w14:paraId="34991E34" w14:textId="77777777" w:rsidTr="002C49EF">
            <w:trPr>
              <w:trHeight w:val="48"/>
            </w:trPr>
            <w:tc>
              <w:tcPr>
                <w:tcW w:w="160" w:type="dxa"/>
              </w:tcPr>
              <w:p w14:paraId="281C8C98"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6A4A60E2"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273AAB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 xml:space="preserve">6.1.3. </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6A6A49C2" w14:textId="77777777" w:rsidR="000C171B" w:rsidRPr="00A97A6D" w:rsidRDefault="000C171B" w:rsidP="002C49EF">
                <w:pPr>
                  <w:spacing w:after="0" w:line="240" w:lineRule="auto"/>
                  <w:rPr>
                    <w:rFonts w:cstheme="minorHAnsi"/>
                    <w:color w:val="000000"/>
                    <w:w w:val="90"/>
                  </w:rPr>
                </w:pPr>
                <w:r w:rsidRPr="00A97A6D">
                  <w:rPr>
                    <w:rFonts w:cstheme="minorHAnsi"/>
                    <w:color w:val="000000"/>
                    <w:w w:val="90"/>
                  </w:rPr>
                  <w:t>Trata de personas y explotación sexual y laboral.</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0A9C98A8" w14:textId="39FB983E"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7</w:t>
                </w:r>
                <w:r w:rsidR="00624FAB">
                  <w:rPr>
                    <w:rFonts w:eastAsia="Times New Roman" w:cstheme="minorHAnsi"/>
                    <w:color w:val="0D0D0D" w:themeColor="text1" w:themeTint="F2"/>
                    <w:w w:val="90"/>
                    <w:lang w:eastAsia="es-PA"/>
                  </w:rPr>
                  <w:t>2</w:t>
                </w:r>
              </w:p>
            </w:tc>
          </w:tr>
          <w:tr w:rsidR="000C171B" w:rsidRPr="00A97A6D" w14:paraId="13AF68E3" w14:textId="77777777" w:rsidTr="002C49EF">
            <w:trPr>
              <w:trHeight w:val="48"/>
            </w:trPr>
            <w:tc>
              <w:tcPr>
                <w:tcW w:w="160" w:type="dxa"/>
              </w:tcPr>
              <w:p w14:paraId="71287B11"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90634A3"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E1E15A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6.2.</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23306EBF" w14:textId="77777777" w:rsidR="000C171B" w:rsidRPr="00A97A6D" w:rsidRDefault="000C171B" w:rsidP="002C49EF">
                <w:pPr>
                  <w:spacing w:after="0" w:line="240" w:lineRule="auto"/>
                  <w:rPr>
                    <w:rFonts w:cstheme="minorHAnsi"/>
                    <w:color w:val="000000"/>
                    <w:w w:val="90"/>
                  </w:rPr>
                </w:pPr>
                <w:r w:rsidRPr="00A97A6D">
                  <w:rPr>
                    <w:rFonts w:cstheme="minorHAnsi"/>
                    <w:color w:val="000000"/>
                    <w:w w:val="90"/>
                  </w:rPr>
                  <w:t xml:space="preserve">Cooperación Sur-Sur en el logro de la Agenda 2030: triangulación, marcos y estrategias regionales y continentales.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14156424" w14:textId="671B2628"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7</w:t>
                </w:r>
                <w:r w:rsidR="00624FAB">
                  <w:rPr>
                    <w:rFonts w:eastAsia="Times New Roman" w:cstheme="minorHAnsi"/>
                    <w:color w:val="0D0D0D" w:themeColor="text1" w:themeTint="F2"/>
                    <w:w w:val="90"/>
                    <w:lang w:eastAsia="es-PA"/>
                  </w:rPr>
                  <w:t>4</w:t>
                </w:r>
              </w:p>
            </w:tc>
          </w:tr>
          <w:tr w:rsidR="000C171B" w:rsidRPr="00A97A6D" w14:paraId="656FCDEB" w14:textId="77777777" w:rsidTr="002C49EF">
            <w:trPr>
              <w:trHeight w:val="48"/>
            </w:trPr>
            <w:tc>
              <w:tcPr>
                <w:tcW w:w="160" w:type="dxa"/>
              </w:tcPr>
              <w:p w14:paraId="4B577B98"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762D59B8" w14:textId="77777777" w:rsidR="000C171B" w:rsidRPr="00A97A6D" w:rsidRDefault="000C171B" w:rsidP="002C49EF">
                <w:pPr>
                  <w:spacing w:after="0" w:line="240" w:lineRule="auto"/>
                  <w:rPr>
                    <w:rFonts w:eastAsia="Times New Roman" w:cstheme="minorHAnsi"/>
                    <w:b/>
                    <w:bCs/>
                    <w:color w:val="0D0D0D" w:themeColor="text1" w:themeTint="F2"/>
                    <w:w w:val="90"/>
                    <w:lang w:eastAsia="es-PA"/>
                  </w:rPr>
                </w:pPr>
                <w:r w:rsidRPr="00A97A6D">
                  <w:rPr>
                    <w:rFonts w:eastAsia="Times New Roman" w:cstheme="minorHAnsi"/>
                    <w:b/>
                    <w:bCs/>
                    <w:color w:val="0D0D0D" w:themeColor="text1" w:themeTint="F2"/>
                    <w:w w:val="90"/>
                    <w:lang w:eastAsia="es-PA"/>
                  </w:rPr>
                  <w:t xml:space="preserve">7. </w:t>
                </w:r>
              </w:p>
            </w:tc>
            <w:tc>
              <w:tcPr>
                <w:tcW w:w="7740" w:type="dxa"/>
                <w:gridSpan w:val="2"/>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4D7F070" w14:textId="77777777" w:rsidR="000C171B" w:rsidRPr="00A97A6D" w:rsidRDefault="000C171B" w:rsidP="002C49EF">
                <w:pPr>
                  <w:spacing w:after="0" w:line="240" w:lineRule="auto"/>
                  <w:rPr>
                    <w:rFonts w:eastAsia="Times New Roman" w:cstheme="minorHAnsi"/>
                    <w:b/>
                    <w:bCs/>
                    <w:color w:val="0D0D0D" w:themeColor="text1" w:themeTint="F2"/>
                    <w:w w:val="90"/>
                    <w:lang w:eastAsia="es-PA"/>
                  </w:rPr>
                </w:pPr>
                <w:r w:rsidRPr="00A97A6D">
                  <w:rPr>
                    <w:rFonts w:eastAsia="Times New Roman" w:cstheme="minorHAnsi"/>
                    <w:b/>
                    <w:bCs/>
                    <w:color w:val="0D0D0D" w:themeColor="text1" w:themeTint="F2"/>
                    <w:w w:val="90"/>
                    <w:lang w:eastAsia="es-PA"/>
                  </w:rPr>
                  <w:t>PANORAMA Y OPORTUNIDADES DE FINANCIAMIENTO DEL DESARROLLO SOSTENIBLE.</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2B2FD7A0" w14:textId="194ADAB1" w:rsidR="000C171B" w:rsidRPr="00A97A6D" w:rsidRDefault="000C171B" w:rsidP="002C49EF">
                <w:pPr>
                  <w:spacing w:after="0" w:line="240" w:lineRule="auto"/>
                  <w:jc w:val="center"/>
                  <w:rPr>
                    <w:rFonts w:eastAsia="Times New Roman" w:cstheme="minorHAnsi"/>
                    <w:b/>
                    <w:color w:val="0D0D0D" w:themeColor="text1" w:themeTint="F2"/>
                    <w:w w:val="90"/>
                    <w:lang w:eastAsia="es-PA"/>
                  </w:rPr>
                </w:pPr>
                <w:r w:rsidRPr="00A97A6D">
                  <w:rPr>
                    <w:rFonts w:eastAsia="Times New Roman" w:cstheme="minorHAnsi"/>
                    <w:b/>
                    <w:color w:val="0D0D0D" w:themeColor="text1" w:themeTint="F2"/>
                    <w:w w:val="90"/>
                    <w:lang w:eastAsia="es-PA"/>
                  </w:rPr>
                  <w:t>7</w:t>
                </w:r>
                <w:r w:rsidR="00624FAB">
                  <w:rPr>
                    <w:rFonts w:eastAsia="Times New Roman" w:cstheme="minorHAnsi"/>
                    <w:b/>
                    <w:color w:val="0D0D0D" w:themeColor="text1" w:themeTint="F2"/>
                    <w:w w:val="90"/>
                    <w:lang w:eastAsia="es-PA"/>
                  </w:rPr>
                  <w:t>5</w:t>
                </w:r>
              </w:p>
            </w:tc>
          </w:tr>
          <w:tr w:rsidR="000C171B" w:rsidRPr="00A97A6D" w14:paraId="797E0A3F" w14:textId="77777777" w:rsidTr="002C49EF">
            <w:trPr>
              <w:trHeight w:val="48"/>
            </w:trPr>
            <w:tc>
              <w:tcPr>
                <w:tcW w:w="160" w:type="dxa"/>
              </w:tcPr>
              <w:p w14:paraId="0D3BA47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4201E06"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F2CB502"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7.1.</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128C5A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Examen del panorama financiero del país para el desarrollo sostenible, basado en un mapeo y análisis de los flujos financieros.</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643251EE" w14:textId="108BD7FA"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7</w:t>
                </w:r>
                <w:r w:rsidR="00624FAB">
                  <w:rPr>
                    <w:rFonts w:eastAsia="Times New Roman" w:cstheme="minorHAnsi"/>
                    <w:color w:val="0D0D0D" w:themeColor="text1" w:themeTint="F2"/>
                    <w:w w:val="90"/>
                    <w:lang w:eastAsia="es-PA"/>
                  </w:rPr>
                  <w:t>5</w:t>
                </w:r>
              </w:p>
            </w:tc>
          </w:tr>
          <w:tr w:rsidR="000C171B" w:rsidRPr="00A97A6D" w14:paraId="3A1A43C6" w14:textId="77777777" w:rsidTr="002C49EF">
            <w:trPr>
              <w:trHeight w:val="48"/>
            </w:trPr>
            <w:tc>
              <w:tcPr>
                <w:tcW w:w="160" w:type="dxa"/>
              </w:tcPr>
              <w:p w14:paraId="735C1D94"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2FE798F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62E54D92"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7.1.1.</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1DDB933"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Inversión local.</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0216A73B" w14:textId="30C01749" w:rsidR="000C171B" w:rsidRPr="00A97A6D" w:rsidRDefault="00624FAB" w:rsidP="002C49EF">
                <w:pPr>
                  <w:spacing w:after="0" w:line="240" w:lineRule="auto"/>
                  <w:jc w:val="center"/>
                  <w:rPr>
                    <w:rFonts w:eastAsia="Times New Roman" w:cstheme="minorHAnsi"/>
                    <w:color w:val="0D0D0D" w:themeColor="text1" w:themeTint="F2"/>
                    <w:w w:val="90"/>
                    <w:lang w:eastAsia="es-PA"/>
                  </w:rPr>
                </w:pPr>
                <w:r>
                  <w:rPr>
                    <w:rFonts w:eastAsia="Times New Roman" w:cstheme="minorHAnsi"/>
                    <w:color w:val="0D0D0D" w:themeColor="text1" w:themeTint="F2"/>
                    <w:w w:val="90"/>
                    <w:lang w:eastAsia="es-PA"/>
                  </w:rPr>
                  <w:t>77</w:t>
                </w:r>
              </w:p>
            </w:tc>
          </w:tr>
          <w:tr w:rsidR="000C171B" w:rsidRPr="00A97A6D" w14:paraId="371DBEDB" w14:textId="77777777" w:rsidTr="002C49EF">
            <w:trPr>
              <w:trHeight w:val="48"/>
            </w:trPr>
            <w:tc>
              <w:tcPr>
                <w:tcW w:w="160" w:type="dxa"/>
              </w:tcPr>
              <w:p w14:paraId="1CA6C565"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4EF8297"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371BEF6"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7.1.2.</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2DB7B09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Intervención multisectorial.</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7AFF81A6" w14:textId="1EFD0142" w:rsidR="000C171B" w:rsidRPr="00A97A6D" w:rsidRDefault="00624FAB" w:rsidP="002C49EF">
                <w:pPr>
                  <w:spacing w:after="0" w:line="240" w:lineRule="auto"/>
                  <w:jc w:val="center"/>
                  <w:rPr>
                    <w:rFonts w:eastAsia="Times New Roman" w:cstheme="minorHAnsi"/>
                    <w:color w:val="0D0D0D" w:themeColor="text1" w:themeTint="F2"/>
                    <w:w w:val="90"/>
                    <w:lang w:eastAsia="es-PA"/>
                  </w:rPr>
                </w:pPr>
                <w:r>
                  <w:rPr>
                    <w:rFonts w:eastAsia="Times New Roman" w:cstheme="minorHAnsi"/>
                    <w:color w:val="0D0D0D" w:themeColor="text1" w:themeTint="F2"/>
                    <w:w w:val="90"/>
                    <w:lang w:eastAsia="es-PA"/>
                  </w:rPr>
                  <w:t>78</w:t>
                </w:r>
              </w:p>
            </w:tc>
          </w:tr>
          <w:tr w:rsidR="000C171B" w:rsidRPr="00A97A6D" w14:paraId="3419EFA1" w14:textId="77777777" w:rsidTr="002C49EF">
            <w:trPr>
              <w:trHeight w:val="48"/>
            </w:trPr>
            <w:tc>
              <w:tcPr>
                <w:tcW w:w="160" w:type="dxa"/>
              </w:tcPr>
              <w:p w14:paraId="0B2FB3A6"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00BA3D9"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9998CA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7.1.3.</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2B6C8AD"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Fuentes financieras alternativas.</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293D6A0B" w14:textId="13AE2B0C" w:rsidR="000C171B" w:rsidRPr="00A97A6D" w:rsidRDefault="00624FAB" w:rsidP="002C49EF">
                <w:pPr>
                  <w:spacing w:after="0" w:line="240" w:lineRule="auto"/>
                  <w:jc w:val="center"/>
                  <w:rPr>
                    <w:rFonts w:eastAsia="Times New Roman" w:cstheme="minorHAnsi"/>
                    <w:color w:val="0D0D0D" w:themeColor="text1" w:themeTint="F2"/>
                    <w:w w:val="90"/>
                    <w:lang w:eastAsia="es-PA"/>
                  </w:rPr>
                </w:pPr>
                <w:r>
                  <w:rPr>
                    <w:rFonts w:eastAsia="Times New Roman" w:cstheme="minorHAnsi"/>
                    <w:color w:val="0D0D0D" w:themeColor="text1" w:themeTint="F2"/>
                    <w:w w:val="90"/>
                    <w:lang w:eastAsia="es-PA"/>
                  </w:rPr>
                  <w:t>79</w:t>
                </w:r>
              </w:p>
            </w:tc>
          </w:tr>
          <w:tr w:rsidR="000C171B" w:rsidRPr="00A97A6D" w14:paraId="0F2B4DDC" w14:textId="77777777" w:rsidTr="002C49EF">
            <w:trPr>
              <w:trHeight w:val="48"/>
            </w:trPr>
            <w:tc>
              <w:tcPr>
                <w:tcW w:w="160" w:type="dxa"/>
              </w:tcPr>
              <w:p w14:paraId="620ABFD7"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16E7877" w14:textId="77777777" w:rsidR="000C171B" w:rsidRPr="00A97A6D" w:rsidRDefault="000C171B" w:rsidP="002C49EF">
                <w:pPr>
                  <w:spacing w:after="0" w:line="240" w:lineRule="auto"/>
                  <w:rPr>
                    <w:rFonts w:eastAsia="Times New Roman" w:cstheme="minorHAnsi"/>
                    <w:b/>
                    <w:color w:val="0D0D0D" w:themeColor="text1" w:themeTint="F2"/>
                    <w:w w:val="90"/>
                    <w:lang w:eastAsia="es-PA"/>
                  </w:rPr>
                </w:pPr>
                <w:r w:rsidRPr="00A97A6D">
                  <w:rPr>
                    <w:rFonts w:eastAsia="Times New Roman" w:cstheme="minorHAnsi"/>
                    <w:b/>
                    <w:color w:val="0D0D0D" w:themeColor="text1" w:themeTint="F2"/>
                    <w:w w:val="90"/>
                    <w:lang w:eastAsia="es-PA"/>
                  </w:rPr>
                  <w:t>8.</w:t>
                </w:r>
              </w:p>
            </w:tc>
            <w:tc>
              <w:tcPr>
                <w:tcW w:w="7740" w:type="dxa"/>
                <w:gridSpan w:val="2"/>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6105383" w14:textId="77777777" w:rsidR="000C171B" w:rsidRPr="00A97A6D" w:rsidRDefault="000C171B" w:rsidP="002C49EF">
                <w:pPr>
                  <w:spacing w:after="0" w:line="240" w:lineRule="auto"/>
                  <w:rPr>
                    <w:rFonts w:eastAsia="Times New Roman" w:cstheme="minorHAnsi"/>
                    <w:b/>
                    <w:color w:val="0D0D0D" w:themeColor="text1" w:themeTint="F2"/>
                    <w:w w:val="90"/>
                    <w:lang w:eastAsia="es-PA"/>
                  </w:rPr>
                </w:pPr>
                <w:r w:rsidRPr="00A97A6D">
                  <w:rPr>
                    <w:rFonts w:eastAsia="Times New Roman" w:cstheme="minorHAnsi"/>
                    <w:b/>
                    <w:color w:val="0D0D0D" w:themeColor="text1" w:themeTint="F2"/>
                    <w:w w:val="90"/>
                    <w:lang w:eastAsia="es-PA"/>
                  </w:rPr>
                  <w:t xml:space="preserve">ANALISIS DE RIESGOS.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0B6079BF" w14:textId="37FA24B0" w:rsidR="000C171B" w:rsidRPr="00A97A6D" w:rsidRDefault="000C171B" w:rsidP="002C49EF">
                <w:pPr>
                  <w:spacing w:after="0" w:line="240" w:lineRule="auto"/>
                  <w:jc w:val="center"/>
                  <w:rPr>
                    <w:rFonts w:eastAsia="Times New Roman" w:cstheme="minorHAnsi"/>
                    <w:b/>
                    <w:color w:val="0D0D0D" w:themeColor="text1" w:themeTint="F2"/>
                    <w:w w:val="90"/>
                    <w:lang w:eastAsia="es-PA"/>
                  </w:rPr>
                </w:pPr>
                <w:r w:rsidRPr="00A97A6D">
                  <w:rPr>
                    <w:rFonts w:eastAsia="Times New Roman" w:cstheme="minorHAnsi"/>
                    <w:b/>
                    <w:color w:val="0D0D0D" w:themeColor="text1" w:themeTint="F2"/>
                    <w:w w:val="90"/>
                    <w:lang w:eastAsia="es-PA"/>
                  </w:rPr>
                  <w:t>8</w:t>
                </w:r>
                <w:r w:rsidR="00624FAB">
                  <w:rPr>
                    <w:rFonts w:eastAsia="Times New Roman" w:cstheme="minorHAnsi"/>
                    <w:b/>
                    <w:color w:val="0D0D0D" w:themeColor="text1" w:themeTint="F2"/>
                    <w:w w:val="90"/>
                    <w:lang w:eastAsia="es-PA"/>
                  </w:rPr>
                  <w:t>0</w:t>
                </w:r>
              </w:p>
            </w:tc>
          </w:tr>
          <w:tr w:rsidR="000C171B" w:rsidRPr="00A97A6D" w14:paraId="39BDA92F" w14:textId="77777777" w:rsidTr="002C49EF">
            <w:trPr>
              <w:trHeight w:val="48"/>
            </w:trPr>
            <w:tc>
              <w:tcPr>
                <w:tcW w:w="160" w:type="dxa"/>
              </w:tcPr>
              <w:p w14:paraId="0B56B09D"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7C239A6"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12A5B24"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8.1.</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20F732A5"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Análisis de los diversos riesgos y amenazas multidimensionales que podrían afectar la trayectoria del desarrollo del país.</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465EB11E" w14:textId="43DDFF5E"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8</w:t>
                </w:r>
                <w:r w:rsidR="00624FAB">
                  <w:rPr>
                    <w:rFonts w:eastAsia="Times New Roman" w:cstheme="minorHAnsi"/>
                    <w:color w:val="0D0D0D" w:themeColor="text1" w:themeTint="F2"/>
                    <w:w w:val="90"/>
                    <w:lang w:eastAsia="es-PA"/>
                  </w:rPr>
                  <w:t>0</w:t>
                </w:r>
              </w:p>
            </w:tc>
          </w:tr>
          <w:tr w:rsidR="000C171B" w:rsidRPr="00A97A6D" w14:paraId="3AED4ECF" w14:textId="77777777" w:rsidTr="002C49EF">
            <w:trPr>
              <w:trHeight w:val="48"/>
            </w:trPr>
            <w:tc>
              <w:tcPr>
                <w:tcW w:w="160" w:type="dxa"/>
              </w:tcPr>
              <w:p w14:paraId="3C104F62"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8C23E3D"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2EDA899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8.1.1.</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0DE5BFA"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 xml:space="preserve">Riesgos y amenazas multidimensionales en lo político: la reforma del estado.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3D7B36AD" w14:textId="6081E28D"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8</w:t>
                </w:r>
                <w:r w:rsidR="00624FAB">
                  <w:rPr>
                    <w:rFonts w:eastAsia="Times New Roman" w:cstheme="minorHAnsi"/>
                    <w:color w:val="0D0D0D" w:themeColor="text1" w:themeTint="F2"/>
                    <w:w w:val="90"/>
                    <w:lang w:eastAsia="es-PA"/>
                  </w:rPr>
                  <w:t>1</w:t>
                </w:r>
              </w:p>
            </w:tc>
          </w:tr>
          <w:tr w:rsidR="000C171B" w:rsidRPr="00A97A6D" w14:paraId="7A989033" w14:textId="77777777" w:rsidTr="002C49EF">
            <w:trPr>
              <w:trHeight w:val="48"/>
            </w:trPr>
            <w:tc>
              <w:tcPr>
                <w:tcW w:w="160" w:type="dxa"/>
              </w:tcPr>
              <w:p w14:paraId="3CF52B5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248DC2FD"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6D7E37D4"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8.1.2.</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E30AAA4"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 xml:space="preserve">Riesgos y amenazas multidimensionales en el desarrollo: flujos financieros ilícitos.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4C0F1B56" w14:textId="49C8951F"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8</w:t>
                </w:r>
                <w:r w:rsidR="00624FAB">
                  <w:rPr>
                    <w:rFonts w:eastAsia="Times New Roman" w:cstheme="minorHAnsi"/>
                    <w:color w:val="0D0D0D" w:themeColor="text1" w:themeTint="F2"/>
                    <w:w w:val="90"/>
                    <w:lang w:eastAsia="es-PA"/>
                  </w:rPr>
                  <w:t>2</w:t>
                </w:r>
              </w:p>
            </w:tc>
          </w:tr>
          <w:tr w:rsidR="000C171B" w:rsidRPr="00A97A6D" w14:paraId="1188E650" w14:textId="77777777" w:rsidTr="002C49EF">
            <w:trPr>
              <w:trHeight w:val="48"/>
            </w:trPr>
            <w:tc>
              <w:tcPr>
                <w:tcW w:w="160" w:type="dxa"/>
              </w:tcPr>
              <w:p w14:paraId="49E0EC3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4D1CA6C"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0F4F7B09"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8.1.3.</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772FCE06"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Riesgos y amenazas multidimensionales en derechos humanos: institucionalidad.</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7FFFC080" w14:textId="39E34A2F"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8</w:t>
                </w:r>
                <w:r w:rsidR="00624FAB">
                  <w:rPr>
                    <w:rFonts w:eastAsia="Times New Roman" w:cstheme="minorHAnsi"/>
                    <w:color w:val="0D0D0D" w:themeColor="text1" w:themeTint="F2"/>
                    <w:w w:val="90"/>
                    <w:lang w:eastAsia="es-PA"/>
                  </w:rPr>
                  <w:t>5</w:t>
                </w:r>
              </w:p>
            </w:tc>
          </w:tr>
          <w:tr w:rsidR="000C171B" w:rsidRPr="00A97A6D" w14:paraId="06FAC96F" w14:textId="77777777" w:rsidTr="002C49EF">
            <w:trPr>
              <w:trHeight w:val="48"/>
            </w:trPr>
            <w:tc>
              <w:tcPr>
                <w:tcW w:w="160" w:type="dxa"/>
              </w:tcPr>
              <w:p w14:paraId="4BF84F9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0136852"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395D84C"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8.1.4.</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697B287"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Riesgos y amenazas multidimensionales en lo humanitario: exigibilidad de derechos.</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74A8B37D" w14:textId="222A67B9" w:rsidR="000C171B" w:rsidRPr="00A97A6D" w:rsidRDefault="00624FAB" w:rsidP="002C49EF">
                <w:pPr>
                  <w:spacing w:after="0" w:line="240" w:lineRule="auto"/>
                  <w:jc w:val="center"/>
                  <w:rPr>
                    <w:rFonts w:eastAsia="Times New Roman" w:cstheme="minorHAnsi"/>
                    <w:color w:val="0D0D0D" w:themeColor="text1" w:themeTint="F2"/>
                    <w:w w:val="90"/>
                    <w:lang w:eastAsia="es-PA"/>
                  </w:rPr>
                </w:pPr>
                <w:r>
                  <w:rPr>
                    <w:rFonts w:eastAsia="Times New Roman" w:cstheme="minorHAnsi"/>
                    <w:color w:val="0D0D0D" w:themeColor="text1" w:themeTint="F2"/>
                    <w:w w:val="90"/>
                    <w:lang w:eastAsia="es-PA"/>
                  </w:rPr>
                  <w:t>87</w:t>
                </w:r>
              </w:p>
            </w:tc>
          </w:tr>
          <w:tr w:rsidR="000C171B" w:rsidRPr="00A97A6D" w14:paraId="212D6D86" w14:textId="77777777" w:rsidTr="002C49EF">
            <w:trPr>
              <w:trHeight w:val="48"/>
            </w:trPr>
            <w:tc>
              <w:tcPr>
                <w:tcW w:w="160" w:type="dxa"/>
              </w:tcPr>
              <w:p w14:paraId="5E0E6716"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6995A6E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2D3206E7"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8.2.</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733F8ADB"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Causas subyacentes de riesgos, vulnerabilidades y necesidades</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67BEE393" w14:textId="7F4ED0FC" w:rsidR="000C171B" w:rsidRPr="00A97A6D" w:rsidRDefault="00624FAB" w:rsidP="002C49EF">
                <w:pPr>
                  <w:spacing w:after="0" w:line="240" w:lineRule="auto"/>
                  <w:jc w:val="center"/>
                  <w:rPr>
                    <w:rFonts w:eastAsia="Times New Roman" w:cstheme="minorHAnsi"/>
                    <w:color w:val="0D0D0D" w:themeColor="text1" w:themeTint="F2"/>
                    <w:w w:val="90"/>
                    <w:lang w:eastAsia="es-PA"/>
                  </w:rPr>
                </w:pPr>
                <w:r>
                  <w:rPr>
                    <w:rFonts w:eastAsia="Times New Roman" w:cstheme="minorHAnsi"/>
                    <w:color w:val="0D0D0D" w:themeColor="text1" w:themeTint="F2"/>
                    <w:w w:val="90"/>
                    <w:lang w:eastAsia="es-PA"/>
                  </w:rPr>
                  <w:t>88</w:t>
                </w:r>
              </w:p>
            </w:tc>
          </w:tr>
          <w:tr w:rsidR="000C171B" w:rsidRPr="00A97A6D" w14:paraId="6ABA67D4" w14:textId="77777777" w:rsidTr="002C49EF">
            <w:trPr>
              <w:trHeight w:val="48"/>
            </w:trPr>
            <w:tc>
              <w:tcPr>
                <w:tcW w:w="160" w:type="dxa"/>
              </w:tcPr>
              <w:p w14:paraId="66CF6F77"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EF41481" w14:textId="77777777" w:rsidR="000C171B" w:rsidRPr="00A97A6D" w:rsidRDefault="000C171B" w:rsidP="002C49EF">
                <w:pPr>
                  <w:spacing w:after="0" w:line="240" w:lineRule="auto"/>
                  <w:rPr>
                    <w:rFonts w:eastAsia="Times New Roman" w:cstheme="minorHAnsi"/>
                    <w:b/>
                    <w:color w:val="0D0D0D" w:themeColor="text1" w:themeTint="F2"/>
                    <w:w w:val="90"/>
                    <w:lang w:eastAsia="es-PA"/>
                  </w:rPr>
                </w:pPr>
                <w:r w:rsidRPr="00A97A6D">
                  <w:rPr>
                    <w:rFonts w:eastAsia="Times New Roman" w:cstheme="minorHAnsi"/>
                    <w:b/>
                    <w:color w:val="0D0D0D" w:themeColor="text1" w:themeTint="F2"/>
                    <w:w w:val="90"/>
                    <w:lang w:eastAsia="es-PA"/>
                  </w:rPr>
                  <w:t>9.</w:t>
                </w:r>
              </w:p>
            </w:tc>
            <w:tc>
              <w:tcPr>
                <w:tcW w:w="7740" w:type="dxa"/>
                <w:gridSpan w:val="2"/>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4C35E66" w14:textId="77777777" w:rsidR="000C171B" w:rsidRPr="00A97A6D" w:rsidRDefault="000C171B" w:rsidP="002C49EF">
                <w:pPr>
                  <w:spacing w:after="0" w:line="240" w:lineRule="auto"/>
                  <w:rPr>
                    <w:rFonts w:eastAsia="Times New Roman" w:cstheme="minorHAnsi"/>
                    <w:b/>
                    <w:color w:val="0D0D0D" w:themeColor="text1" w:themeTint="F2"/>
                    <w:w w:val="90"/>
                    <w:lang w:eastAsia="es-PA"/>
                  </w:rPr>
                </w:pPr>
                <w:r w:rsidRPr="00A97A6D">
                  <w:rPr>
                    <w:rFonts w:eastAsia="Times New Roman" w:cstheme="minorHAnsi"/>
                    <w:b/>
                    <w:color w:val="0D0D0D" w:themeColor="text1" w:themeTint="F2"/>
                    <w:w w:val="90"/>
                    <w:lang w:eastAsia="es-PA"/>
                  </w:rPr>
                  <w:t xml:space="preserve">BRECHAS Y DESAFÍOS PARA LOGRAR LA AGENDA 2030.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4609381C" w14:textId="5A20824C" w:rsidR="000C171B" w:rsidRPr="00A97A6D" w:rsidRDefault="00624FAB" w:rsidP="00624FAB">
                <w:pPr>
                  <w:spacing w:after="0" w:line="240" w:lineRule="auto"/>
                  <w:rPr>
                    <w:rFonts w:eastAsia="Times New Roman" w:cstheme="minorHAnsi"/>
                    <w:b/>
                    <w:color w:val="0D0D0D" w:themeColor="text1" w:themeTint="F2"/>
                    <w:w w:val="90"/>
                    <w:lang w:eastAsia="es-PA"/>
                  </w:rPr>
                </w:pPr>
                <w:r>
                  <w:rPr>
                    <w:rFonts w:eastAsia="Times New Roman" w:cstheme="minorHAnsi"/>
                    <w:b/>
                    <w:color w:val="0D0D0D" w:themeColor="text1" w:themeTint="F2"/>
                    <w:w w:val="90"/>
                    <w:lang w:eastAsia="es-PA"/>
                  </w:rPr>
                  <w:t>89</w:t>
                </w:r>
              </w:p>
            </w:tc>
          </w:tr>
          <w:tr w:rsidR="000C171B" w:rsidRPr="00A97A6D" w14:paraId="67FA846A" w14:textId="77777777" w:rsidTr="002C49EF">
            <w:trPr>
              <w:trHeight w:val="48"/>
            </w:trPr>
            <w:tc>
              <w:tcPr>
                <w:tcW w:w="160" w:type="dxa"/>
              </w:tcPr>
              <w:p w14:paraId="0C2E322B"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634762A7"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4A0820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9.1.</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5CA811F7"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Examen de la trayectoria del país hacia el logro de la Agenda 2030, basado en el análisis de contexto y la comprensión del estado actual del progreso de los ODS.</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36C61403" w14:textId="2D1FBF8A" w:rsidR="000C171B" w:rsidRPr="00A97A6D" w:rsidRDefault="00624FAB" w:rsidP="002C49EF">
                <w:pPr>
                  <w:spacing w:after="0" w:line="240" w:lineRule="auto"/>
                  <w:jc w:val="center"/>
                  <w:rPr>
                    <w:rFonts w:eastAsia="Times New Roman" w:cstheme="minorHAnsi"/>
                    <w:color w:val="0D0D0D" w:themeColor="text1" w:themeTint="F2"/>
                    <w:w w:val="90"/>
                    <w:lang w:eastAsia="es-PA"/>
                  </w:rPr>
                </w:pPr>
                <w:r>
                  <w:rPr>
                    <w:rFonts w:eastAsia="Times New Roman" w:cstheme="minorHAnsi"/>
                    <w:color w:val="0D0D0D" w:themeColor="text1" w:themeTint="F2"/>
                    <w:w w:val="90"/>
                    <w:lang w:eastAsia="es-PA"/>
                  </w:rPr>
                  <w:t>89</w:t>
                </w:r>
              </w:p>
            </w:tc>
          </w:tr>
          <w:tr w:rsidR="000C171B" w:rsidRPr="00A97A6D" w14:paraId="122935B2" w14:textId="77777777" w:rsidTr="002C49EF">
            <w:trPr>
              <w:trHeight w:val="48"/>
            </w:trPr>
            <w:tc>
              <w:tcPr>
                <w:tcW w:w="160" w:type="dxa"/>
              </w:tcPr>
              <w:p w14:paraId="10B6C1BC"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E32FA00"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14ADAE64"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9.2.</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6607E461"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 xml:space="preserve">Principales cuellos de botella que impiden que el país acelere el progreso en los ODS, las normas y estándares de la ONU y los principios de la Carta de la ONU.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57D143F7" w14:textId="4D129E62"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9</w:t>
                </w:r>
                <w:r w:rsidR="00624FAB">
                  <w:rPr>
                    <w:rFonts w:eastAsia="Times New Roman" w:cstheme="minorHAnsi"/>
                    <w:color w:val="0D0D0D" w:themeColor="text1" w:themeTint="F2"/>
                    <w:w w:val="90"/>
                    <w:lang w:eastAsia="es-PA"/>
                  </w:rPr>
                  <w:t>0</w:t>
                </w:r>
              </w:p>
            </w:tc>
          </w:tr>
          <w:tr w:rsidR="000C171B" w:rsidRPr="00A97A6D" w14:paraId="4AA10CE5" w14:textId="77777777" w:rsidTr="002C49EF">
            <w:trPr>
              <w:trHeight w:val="48"/>
            </w:trPr>
            <w:tc>
              <w:tcPr>
                <w:tcW w:w="160" w:type="dxa"/>
              </w:tcPr>
              <w:p w14:paraId="51FDB4C5"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0D0CD1DF"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7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3FDC057E"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9.3.</w:t>
                </w:r>
              </w:p>
            </w:tc>
            <w:tc>
              <w:tcPr>
                <w:tcW w:w="7020" w:type="dxa"/>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76CB966D"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Cs/>
                    <w:color w:val="0D0D0D" w:themeColor="text1" w:themeTint="F2"/>
                    <w:w w:val="90"/>
                    <w:lang w:eastAsia="es-PA"/>
                  </w:rPr>
                  <w:t xml:space="preserve">Interconectividad de los ODS. </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7B56C3C3" w14:textId="44B24B84" w:rsidR="000C171B" w:rsidRPr="00A97A6D" w:rsidRDefault="000C171B" w:rsidP="002C49EF">
                <w:pPr>
                  <w:spacing w:after="0" w:line="240" w:lineRule="auto"/>
                  <w:jc w:val="center"/>
                  <w:rPr>
                    <w:rFonts w:eastAsia="Times New Roman" w:cstheme="minorHAnsi"/>
                    <w:color w:val="0D0D0D" w:themeColor="text1" w:themeTint="F2"/>
                    <w:w w:val="90"/>
                    <w:lang w:eastAsia="es-PA"/>
                  </w:rPr>
                </w:pPr>
                <w:r w:rsidRPr="00A97A6D">
                  <w:rPr>
                    <w:rFonts w:eastAsia="Times New Roman" w:cstheme="minorHAnsi"/>
                    <w:color w:val="0D0D0D" w:themeColor="text1" w:themeTint="F2"/>
                    <w:w w:val="90"/>
                    <w:lang w:eastAsia="es-PA"/>
                  </w:rPr>
                  <w:t>9</w:t>
                </w:r>
                <w:r w:rsidR="00624FAB">
                  <w:rPr>
                    <w:rFonts w:eastAsia="Times New Roman" w:cstheme="minorHAnsi"/>
                    <w:color w:val="0D0D0D" w:themeColor="text1" w:themeTint="F2"/>
                    <w:w w:val="90"/>
                    <w:lang w:eastAsia="es-PA"/>
                  </w:rPr>
                  <w:t>1</w:t>
                </w:r>
              </w:p>
            </w:tc>
          </w:tr>
          <w:tr w:rsidR="000C171B" w:rsidRPr="00A97A6D" w14:paraId="1496A05C" w14:textId="77777777" w:rsidTr="002C49EF">
            <w:trPr>
              <w:trHeight w:val="48"/>
            </w:trPr>
            <w:tc>
              <w:tcPr>
                <w:tcW w:w="160" w:type="dxa"/>
              </w:tcPr>
              <w:p w14:paraId="1F788D2D"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p>
            </w:tc>
            <w:tc>
              <w:tcPr>
                <w:tcW w:w="555" w:type="dxa"/>
                <w:tcBorders>
                  <w:top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6ECCC4F9" w14:textId="77777777" w:rsidR="000C171B" w:rsidRPr="00A97A6D" w:rsidRDefault="000C171B" w:rsidP="002C49EF">
                <w:pPr>
                  <w:spacing w:after="0" w:line="240" w:lineRule="auto"/>
                  <w:rPr>
                    <w:rFonts w:eastAsia="Times New Roman" w:cstheme="minorHAnsi"/>
                    <w:bCs/>
                    <w:color w:val="0D0D0D" w:themeColor="text1" w:themeTint="F2"/>
                    <w:w w:val="90"/>
                    <w:lang w:eastAsia="es-PA"/>
                  </w:rPr>
                </w:pPr>
                <w:r w:rsidRPr="00A97A6D">
                  <w:rPr>
                    <w:rFonts w:eastAsia="Times New Roman" w:cstheme="minorHAnsi"/>
                    <w:b/>
                    <w:bCs/>
                    <w:color w:val="0D0D0D" w:themeColor="text1" w:themeTint="F2"/>
                    <w:w w:val="90"/>
                    <w:lang w:eastAsia="es-PA"/>
                  </w:rPr>
                  <w:t xml:space="preserve">10. </w:t>
                </w:r>
              </w:p>
            </w:tc>
            <w:tc>
              <w:tcPr>
                <w:tcW w:w="7740" w:type="dxa"/>
                <w:gridSpan w:val="2"/>
                <w:tcBorders>
                  <w:top w:val="single" w:sz="2" w:space="0" w:color="B4C6E7" w:themeColor="accent1" w:themeTint="66"/>
                  <w:left w:val="single" w:sz="2" w:space="0" w:color="B4C6E7" w:themeColor="accent1" w:themeTint="66"/>
                  <w:bottom w:val="single" w:sz="2" w:space="0" w:color="B4C6E7" w:themeColor="accent1" w:themeTint="66"/>
                  <w:right w:val="single" w:sz="2" w:space="0" w:color="B4C6E7" w:themeColor="accent1" w:themeTint="66"/>
                </w:tcBorders>
                <w:shd w:val="clear" w:color="auto" w:fill="auto"/>
              </w:tcPr>
              <w:p w14:paraId="40AD6531" w14:textId="77777777" w:rsidR="000C171B" w:rsidRPr="00A97A6D" w:rsidRDefault="000C171B" w:rsidP="002C49EF">
                <w:pPr>
                  <w:spacing w:after="0" w:line="240" w:lineRule="auto"/>
                  <w:rPr>
                    <w:rFonts w:eastAsia="Times New Roman" w:cstheme="minorHAnsi"/>
                    <w:b/>
                    <w:bCs/>
                    <w:color w:val="0D0D0D" w:themeColor="text1" w:themeTint="F2"/>
                    <w:w w:val="90"/>
                    <w:lang w:eastAsia="es-PA"/>
                  </w:rPr>
                </w:pPr>
                <w:r w:rsidRPr="00A97A6D">
                  <w:rPr>
                    <w:rFonts w:eastAsia="Times New Roman" w:cstheme="minorHAnsi"/>
                    <w:b/>
                    <w:bCs/>
                    <w:color w:val="0D0D0D" w:themeColor="text1" w:themeTint="F2"/>
                    <w:w w:val="90"/>
                    <w:lang w:eastAsia="es-PA"/>
                  </w:rPr>
                  <w:t>BIBLIOGRAFÍA</w:t>
                </w:r>
              </w:p>
            </w:tc>
            <w:tc>
              <w:tcPr>
                <w:tcW w:w="900" w:type="dxa"/>
                <w:tcBorders>
                  <w:top w:val="single" w:sz="2" w:space="0" w:color="B4C6E7" w:themeColor="accent1" w:themeTint="66"/>
                  <w:left w:val="single" w:sz="2" w:space="0" w:color="B4C6E7" w:themeColor="accent1" w:themeTint="66"/>
                  <w:bottom w:val="single" w:sz="2" w:space="0" w:color="B4C6E7" w:themeColor="accent1" w:themeTint="66"/>
                </w:tcBorders>
                <w:shd w:val="clear" w:color="auto" w:fill="auto"/>
              </w:tcPr>
              <w:p w14:paraId="570FCF75" w14:textId="55D72B71" w:rsidR="000C171B" w:rsidRPr="00A97A6D" w:rsidRDefault="000C171B" w:rsidP="002C49EF">
                <w:pPr>
                  <w:spacing w:after="0" w:line="240" w:lineRule="auto"/>
                  <w:jc w:val="center"/>
                  <w:rPr>
                    <w:rFonts w:eastAsia="Times New Roman" w:cstheme="minorHAnsi"/>
                    <w:b/>
                    <w:color w:val="0D0D0D" w:themeColor="text1" w:themeTint="F2"/>
                    <w:w w:val="90"/>
                    <w:lang w:eastAsia="es-PA"/>
                  </w:rPr>
                </w:pPr>
                <w:r w:rsidRPr="00A97A6D">
                  <w:rPr>
                    <w:rFonts w:eastAsia="Times New Roman" w:cstheme="minorHAnsi"/>
                    <w:b/>
                    <w:color w:val="0D0D0D" w:themeColor="text1" w:themeTint="F2"/>
                    <w:w w:val="90"/>
                    <w:lang w:eastAsia="es-PA"/>
                  </w:rPr>
                  <w:t>9</w:t>
                </w:r>
                <w:r w:rsidR="00624FAB">
                  <w:rPr>
                    <w:rFonts w:eastAsia="Times New Roman" w:cstheme="minorHAnsi"/>
                    <w:b/>
                    <w:color w:val="0D0D0D" w:themeColor="text1" w:themeTint="F2"/>
                    <w:w w:val="90"/>
                    <w:lang w:eastAsia="es-PA"/>
                  </w:rPr>
                  <w:t>4</w:t>
                </w:r>
              </w:p>
            </w:tc>
          </w:tr>
          <w:tr w:rsidR="000C171B" w:rsidRPr="00A97A6D" w14:paraId="6EF942DE" w14:textId="77777777" w:rsidTr="002C49EF">
            <w:trPr>
              <w:trHeight w:val="48"/>
            </w:trPr>
            <w:tc>
              <w:tcPr>
                <w:tcW w:w="160" w:type="dxa"/>
              </w:tcPr>
              <w:p w14:paraId="7192AFA1" w14:textId="77777777" w:rsidR="000C171B" w:rsidRPr="00A97A6D" w:rsidRDefault="000C171B" w:rsidP="002C49EF">
                <w:pPr>
                  <w:spacing w:after="0" w:line="240" w:lineRule="auto"/>
                  <w:rPr>
                    <w:rFonts w:eastAsia="Times New Roman" w:cstheme="minorHAnsi"/>
                    <w:b/>
                    <w:bCs/>
                    <w:color w:val="0D0D0D" w:themeColor="text1" w:themeTint="F2"/>
                    <w:w w:val="90"/>
                    <w:lang w:eastAsia="es-PA"/>
                  </w:rPr>
                </w:pPr>
              </w:p>
            </w:tc>
            <w:tc>
              <w:tcPr>
                <w:tcW w:w="555" w:type="dxa"/>
                <w:tcBorders>
                  <w:top w:val="single" w:sz="2" w:space="0" w:color="B4C6E7" w:themeColor="accent1" w:themeTint="66"/>
                  <w:bottom w:val="single" w:sz="2" w:space="0" w:color="000000" w:themeColor="text1"/>
                  <w:right w:val="single" w:sz="2" w:space="0" w:color="B4C6E7" w:themeColor="accent1" w:themeTint="66"/>
                </w:tcBorders>
                <w:shd w:val="clear" w:color="auto" w:fill="auto"/>
              </w:tcPr>
              <w:p w14:paraId="236894E6" w14:textId="77777777" w:rsidR="000C171B" w:rsidRPr="00A97A6D" w:rsidRDefault="000C171B" w:rsidP="002C49EF">
                <w:pPr>
                  <w:spacing w:after="0" w:line="240" w:lineRule="auto"/>
                  <w:rPr>
                    <w:rFonts w:eastAsia="Times New Roman" w:cstheme="minorHAnsi"/>
                    <w:b/>
                    <w:bCs/>
                    <w:color w:val="0D0D0D" w:themeColor="text1" w:themeTint="F2"/>
                    <w:w w:val="90"/>
                    <w:lang w:eastAsia="es-PA"/>
                  </w:rPr>
                </w:pPr>
                <w:r w:rsidRPr="00A97A6D">
                  <w:rPr>
                    <w:rFonts w:eastAsia="Times New Roman" w:cstheme="minorHAnsi"/>
                    <w:b/>
                    <w:bCs/>
                    <w:color w:val="0D0D0D" w:themeColor="text1" w:themeTint="F2"/>
                    <w:w w:val="90"/>
                    <w:lang w:eastAsia="es-PA"/>
                  </w:rPr>
                  <w:t>11.</w:t>
                </w:r>
              </w:p>
            </w:tc>
            <w:tc>
              <w:tcPr>
                <w:tcW w:w="7740" w:type="dxa"/>
                <w:gridSpan w:val="2"/>
                <w:tcBorders>
                  <w:top w:val="single" w:sz="2" w:space="0" w:color="B4C6E7" w:themeColor="accent1" w:themeTint="66"/>
                  <w:left w:val="single" w:sz="2" w:space="0" w:color="B4C6E7" w:themeColor="accent1" w:themeTint="66"/>
                  <w:bottom w:val="single" w:sz="2" w:space="0" w:color="000000" w:themeColor="text1"/>
                  <w:right w:val="single" w:sz="2" w:space="0" w:color="B4C6E7" w:themeColor="accent1" w:themeTint="66"/>
                </w:tcBorders>
                <w:shd w:val="clear" w:color="auto" w:fill="auto"/>
              </w:tcPr>
              <w:p w14:paraId="7E24F41F" w14:textId="17A88308" w:rsidR="000C171B" w:rsidRPr="00A97A6D" w:rsidRDefault="000C171B" w:rsidP="002C49EF">
                <w:pPr>
                  <w:spacing w:after="0" w:line="240" w:lineRule="auto"/>
                  <w:rPr>
                    <w:rFonts w:eastAsia="Times New Roman" w:cstheme="minorHAnsi"/>
                    <w:b/>
                    <w:bCs/>
                    <w:color w:val="0D0D0D" w:themeColor="text1" w:themeTint="F2"/>
                    <w:w w:val="90"/>
                    <w:lang w:eastAsia="es-PA"/>
                  </w:rPr>
                </w:pPr>
                <w:r w:rsidRPr="00A97A6D">
                  <w:rPr>
                    <w:rFonts w:eastAsia="Times New Roman" w:cstheme="minorHAnsi"/>
                    <w:b/>
                    <w:bCs/>
                    <w:color w:val="0D0D0D" w:themeColor="text1" w:themeTint="F2"/>
                    <w:w w:val="90"/>
                    <w:lang w:eastAsia="es-PA"/>
                  </w:rPr>
                  <w:t>ANEXO</w:t>
                </w:r>
                <w:r w:rsidR="00624FAB">
                  <w:rPr>
                    <w:rFonts w:eastAsia="Times New Roman" w:cstheme="minorHAnsi"/>
                    <w:b/>
                    <w:bCs/>
                    <w:color w:val="0D0D0D" w:themeColor="text1" w:themeTint="F2"/>
                    <w:w w:val="90"/>
                    <w:lang w:eastAsia="es-PA"/>
                  </w:rPr>
                  <w:t xml:space="preserve"> </w:t>
                </w:r>
                <w:proofErr w:type="spellStart"/>
                <w:r w:rsidR="00624FAB">
                  <w:rPr>
                    <w:rFonts w:eastAsia="Times New Roman" w:cstheme="minorHAnsi"/>
                    <w:b/>
                    <w:bCs/>
                    <w:color w:val="0D0D0D" w:themeColor="text1" w:themeTint="F2"/>
                    <w:w w:val="90"/>
                    <w:lang w:eastAsia="es-PA"/>
                  </w:rPr>
                  <w:t>N°</w:t>
                </w:r>
                <w:proofErr w:type="spellEnd"/>
                <w:r w:rsidR="00624FAB">
                  <w:rPr>
                    <w:rFonts w:eastAsia="Times New Roman" w:cstheme="minorHAnsi"/>
                    <w:b/>
                    <w:bCs/>
                    <w:color w:val="0D0D0D" w:themeColor="text1" w:themeTint="F2"/>
                    <w:w w:val="90"/>
                    <w:lang w:eastAsia="es-PA"/>
                  </w:rPr>
                  <w:t xml:space="preserve"> 1</w:t>
                </w:r>
                <w:r w:rsidRPr="00A97A6D">
                  <w:rPr>
                    <w:rFonts w:eastAsia="Times New Roman" w:cstheme="minorHAnsi"/>
                    <w:b/>
                    <w:bCs/>
                    <w:color w:val="0D0D0D" w:themeColor="text1" w:themeTint="F2"/>
                    <w:w w:val="90"/>
                    <w:lang w:eastAsia="es-PA"/>
                  </w:rPr>
                  <w:t>.</w:t>
                </w:r>
              </w:p>
            </w:tc>
            <w:tc>
              <w:tcPr>
                <w:tcW w:w="900" w:type="dxa"/>
                <w:tcBorders>
                  <w:top w:val="single" w:sz="2" w:space="0" w:color="B4C6E7" w:themeColor="accent1" w:themeTint="66"/>
                  <w:left w:val="single" w:sz="2" w:space="0" w:color="B4C6E7" w:themeColor="accent1" w:themeTint="66"/>
                  <w:bottom w:val="single" w:sz="2" w:space="0" w:color="000000" w:themeColor="text1"/>
                </w:tcBorders>
                <w:shd w:val="clear" w:color="auto" w:fill="auto"/>
              </w:tcPr>
              <w:p w14:paraId="6AB64EC8" w14:textId="296971B8" w:rsidR="000C171B" w:rsidRPr="00A97A6D" w:rsidRDefault="00624FAB" w:rsidP="002C49EF">
                <w:pPr>
                  <w:spacing w:after="0" w:line="240" w:lineRule="auto"/>
                  <w:jc w:val="center"/>
                  <w:rPr>
                    <w:rFonts w:eastAsia="Times New Roman" w:cstheme="minorHAnsi"/>
                    <w:b/>
                    <w:color w:val="0D0D0D" w:themeColor="text1" w:themeTint="F2"/>
                    <w:w w:val="90"/>
                    <w:lang w:eastAsia="es-PA"/>
                  </w:rPr>
                </w:pPr>
                <w:r>
                  <w:rPr>
                    <w:rFonts w:eastAsia="Times New Roman" w:cstheme="minorHAnsi"/>
                    <w:b/>
                    <w:color w:val="0D0D0D" w:themeColor="text1" w:themeTint="F2"/>
                    <w:w w:val="90"/>
                    <w:lang w:eastAsia="es-PA"/>
                  </w:rPr>
                  <w:t>100</w:t>
                </w:r>
              </w:p>
            </w:tc>
          </w:tr>
        </w:tbl>
        <w:p w14:paraId="6B873449" w14:textId="77777777" w:rsidR="000C171B" w:rsidRPr="00D4539E" w:rsidRDefault="000264D3" w:rsidP="000C171B">
          <w:pPr>
            <w:spacing w:after="0" w:line="240" w:lineRule="auto"/>
          </w:pPr>
        </w:p>
      </w:sdtContent>
    </w:sdt>
    <w:p w14:paraId="3CEDB541" w14:textId="77777777" w:rsidR="000C171B" w:rsidRPr="00D4539E" w:rsidRDefault="000C171B" w:rsidP="000C171B">
      <w:pPr>
        <w:rPr>
          <w:rFonts w:ascii="Arial Narrow" w:hAnsi="Arial Narrow"/>
          <w:b/>
          <w:color w:val="000000" w:themeColor="text1"/>
          <w:sz w:val="24"/>
          <w:szCs w:val="24"/>
        </w:rPr>
      </w:pPr>
      <w:r w:rsidRPr="00D4539E">
        <w:rPr>
          <w:rFonts w:ascii="Arial Narrow" w:hAnsi="Arial Narrow"/>
          <w:b/>
          <w:color w:val="000000" w:themeColor="text1"/>
          <w:sz w:val="24"/>
          <w:szCs w:val="24"/>
        </w:rPr>
        <w:br w:type="page"/>
      </w:r>
    </w:p>
    <w:p w14:paraId="064F4546" w14:textId="4309921B" w:rsidR="000C171B" w:rsidRPr="008C0BF9" w:rsidRDefault="000C171B" w:rsidP="000C171B">
      <w:pPr>
        <w:spacing w:after="0" w:line="240" w:lineRule="auto"/>
        <w:rPr>
          <w:rFonts w:ascii="Calibri" w:hAnsi="Calibri" w:cs="Calibri"/>
          <w:b/>
          <w:bCs/>
          <w:color w:val="4472C4" w:themeColor="accent1"/>
          <w:sz w:val="24"/>
          <w:szCs w:val="24"/>
        </w:rPr>
      </w:pPr>
      <w:r w:rsidRPr="008C0BF9">
        <w:rPr>
          <w:rFonts w:ascii="Calibri" w:hAnsi="Calibri" w:cs="Calibri"/>
          <w:b/>
          <w:bCs/>
          <w:color w:val="4472C4" w:themeColor="accent1"/>
          <w:sz w:val="24"/>
          <w:szCs w:val="24"/>
        </w:rPr>
        <w:lastRenderedPageBreak/>
        <w:t>RESUMEN EJECUTIVO</w:t>
      </w:r>
      <w:r w:rsidR="003878C7">
        <w:rPr>
          <w:rStyle w:val="FootnoteReference"/>
          <w:rFonts w:ascii="Calibri" w:hAnsi="Calibri" w:cs="Calibri"/>
          <w:b/>
          <w:bCs/>
          <w:color w:val="4472C4" w:themeColor="accent1"/>
          <w:sz w:val="24"/>
          <w:szCs w:val="24"/>
        </w:rPr>
        <w:footnoteReference w:id="1"/>
      </w:r>
      <w:r w:rsidRPr="008C0BF9">
        <w:rPr>
          <w:rFonts w:ascii="Calibri" w:hAnsi="Calibri" w:cs="Calibri"/>
          <w:b/>
          <w:bCs/>
          <w:color w:val="4472C4" w:themeColor="accent1"/>
          <w:sz w:val="24"/>
          <w:szCs w:val="24"/>
        </w:rPr>
        <w:t>.</w:t>
      </w:r>
    </w:p>
    <w:p w14:paraId="2A214CEC" w14:textId="77777777" w:rsidR="000C171B" w:rsidRPr="00371B75" w:rsidRDefault="000C171B" w:rsidP="000C171B">
      <w:pPr>
        <w:spacing w:after="0" w:line="240" w:lineRule="auto"/>
        <w:jc w:val="both"/>
        <w:rPr>
          <w:rFonts w:ascii="Calibri" w:hAnsi="Calibri" w:cs="Calibri"/>
          <w:color w:val="000000" w:themeColor="text1"/>
          <w:sz w:val="24"/>
          <w:szCs w:val="24"/>
        </w:rPr>
      </w:pPr>
    </w:p>
    <w:p w14:paraId="5A90BFF1" w14:textId="77777777" w:rsidR="000C171B" w:rsidRDefault="000C171B" w:rsidP="000C171B">
      <w:pPr>
        <w:spacing w:after="0" w:line="240" w:lineRule="auto"/>
        <w:jc w:val="both"/>
        <w:rPr>
          <w:rFonts w:ascii="Calibri" w:hAnsi="Calibri" w:cs="Calibri"/>
          <w:color w:val="000000" w:themeColor="text1"/>
          <w:sz w:val="24"/>
          <w:szCs w:val="24"/>
        </w:rPr>
      </w:pPr>
      <w:r w:rsidRPr="00371B75">
        <w:rPr>
          <w:rFonts w:ascii="Calibri" w:hAnsi="Calibri" w:cs="Calibri"/>
          <w:color w:val="000000" w:themeColor="text1"/>
          <w:sz w:val="24"/>
          <w:szCs w:val="24"/>
        </w:rPr>
        <w:t xml:space="preserve">Durante la última década, Panamá ha mostrado tasas de crecimiento económico por encima del 5%, </w:t>
      </w:r>
      <w:r>
        <w:rPr>
          <w:rFonts w:cstheme="minorHAnsi"/>
          <w:color w:val="000000" w:themeColor="text1"/>
          <w:sz w:val="24"/>
          <w:szCs w:val="24"/>
        </w:rPr>
        <w:t>sin</w:t>
      </w:r>
      <w:r w:rsidRPr="00371B75">
        <w:rPr>
          <w:rFonts w:cstheme="minorHAnsi"/>
          <w:color w:val="000000" w:themeColor="text1"/>
          <w:sz w:val="24"/>
          <w:szCs w:val="24"/>
        </w:rPr>
        <w:t xml:space="preserve"> una relación directa entre </w:t>
      </w:r>
      <w:r>
        <w:rPr>
          <w:rFonts w:cstheme="minorHAnsi"/>
          <w:color w:val="000000" w:themeColor="text1"/>
          <w:sz w:val="24"/>
          <w:szCs w:val="24"/>
        </w:rPr>
        <w:t xml:space="preserve">el </w:t>
      </w:r>
      <w:r w:rsidRPr="00371B75">
        <w:rPr>
          <w:rFonts w:cstheme="minorHAnsi"/>
          <w:color w:val="000000" w:themeColor="text1"/>
          <w:sz w:val="24"/>
          <w:szCs w:val="24"/>
        </w:rPr>
        <w:t xml:space="preserve">éxito económico y </w:t>
      </w:r>
      <w:r>
        <w:rPr>
          <w:rFonts w:cstheme="minorHAnsi"/>
          <w:color w:val="000000" w:themeColor="text1"/>
          <w:sz w:val="24"/>
          <w:szCs w:val="24"/>
        </w:rPr>
        <w:t xml:space="preserve">el </w:t>
      </w:r>
      <w:r w:rsidRPr="00371B75">
        <w:rPr>
          <w:rFonts w:cstheme="minorHAnsi"/>
          <w:color w:val="000000" w:themeColor="text1"/>
          <w:sz w:val="24"/>
          <w:szCs w:val="24"/>
        </w:rPr>
        <w:t>gasto social</w:t>
      </w:r>
      <w:r>
        <w:rPr>
          <w:rFonts w:cstheme="minorHAnsi"/>
          <w:color w:val="000000" w:themeColor="text1"/>
          <w:sz w:val="24"/>
          <w:szCs w:val="24"/>
        </w:rPr>
        <w:t xml:space="preserve"> </w:t>
      </w:r>
      <w:r w:rsidRPr="00371B75">
        <w:rPr>
          <w:rFonts w:cstheme="minorHAnsi"/>
          <w:color w:val="000000" w:themeColor="text1"/>
          <w:sz w:val="24"/>
          <w:szCs w:val="24"/>
        </w:rPr>
        <w:t>(IDH</w:t>
      </w:r>
      <w:r>
        <w:rPr>
          <w:rFonts w:cstheme="minorHAnsi"/>
          <w:color w:val="000000" w:themeColor="text1"/>
          <w:sz w:val="24"/>
          <w:szCs w:val="24"/>
        </w:rPr>
        <w:t>,</w:t>
      </w:r>
      <w:r w:rsidRPr="00371B75">
        <w:rPr>
          <w:rFonts w:cstheme="minorHAnsi"/>
          <w:color w:val="000000" w:themeColor="text1"/>
          <w:sz w:val="24"/>
          <w:szCs w:val="24"/>
        </w:rPr>
        <w:t xml:space="preserve"> 2019)</w:t>
      </w:r>
      <w:r>
        <w:rPr>
          <w:rFonts w:cstheme="minorHAnsi"/>
          <w:color w:val="000000" w:themeColor="text1"/>
          <w:sz w:val="24"/>
          <w:szCs w:val="24"/>
        </w:rPr>
        <w:t xml:space="preserve">; </w:t>
      </w:r>
      <w:r>
        <w:rPr>
          <w:rFonts w:ascii="Calibri" w:hAnsi="Calibri" w:cs="Calibri"/>
          <w:color w:val="000000" w:themeColor="text1"/>
          <w:sz w:val="24"/>
          <w:szCs w:val="24"/>
        </w:rPr>
        <w:t>los</w:t>
      </w:r>
      <w:r w:rsidRPr="00371B75">
        <w:rPr>
          <w:rFonts w:ascii="Calibri" w:hAnsi="Calibri" w:cs="Calibri"/>
          <w:color w:val="000000" w:themeColor="text1"/>
          <w:sz w:val="24"/>
          <w:szCs w:val="24"/>
        </w:rPr>
        <w:t xml:space="preserve"> indicadores reflejan una gran desigualdad tanto en lo geográfico, como en lo poblacional (PEG</w:t>
      </w:r>
      <w:r>
        <w:rPr>
          <w:rFonts w:ascii="Calibri" w:hAnsi="Calibri" w:cs="Calibri"/>
          <w:color w:val="000000" w:themeColor="text1"/>
          <w:sz w:val="24"/>
          <w:szCs w:val="24"/>
        </w:rPr>
        <w:t>, 2019-2024</w:t>
      </w:r>
      <w:r w:rsidRPr="00371B75">
        <w:rPr>
          <w:rFonts w:ascii="Calibri" w:hAnsi="Calibri" w:cs="Calibri"/>
          <w:color w:val="000000" w:themeColor="text1"/>
          <w:sz w:val="24"/>
          <w:szCs w:val="24"/>
        </w:rPr>
        <w:t xml:space="preserve">). Para el año 2018, </w:t>
      </w:r>
      <w:r>
        <w:rPr>
          <w:rFonts w:ascii="Calibri" w:hAnsi="Calibri" w:cs="Calibri"/>
          <w:color w:val="000000" w:themeColor="text1"/>
          <w:sz w:val="24"/>
          <w:szCs w:val="24"/>
        </w:rPr>
        <w:t>a nivel</w:t>
      </w:r>
      <w:r w:rsidRPr="00371B75">
        <w:rPr>
          <w:rFonts w:ascii="Calibri" w:hAnsi="Calibri" w:cs="Calibri"/>
          <w:color w:val="000000" w:themeColor="text1"/>
          <w:sz w:val="24"/>
          <w:szCs w:val="24"/>
        </w:rPr>
        <w:t xml:space="preserve"> nacional </w:t>
      </w:r>
      <w:r>
        <w:rPr>
          <w:rFonts w:ascii="Calibri" w:hAnsi="Calibri" w:cs="Calibri"/>
          <w:color w:val="000000" w:themeColor="text1"/>
          <w:sz w:val="24"/>
          <w:szCs w:val="24"/>
        </w:rPr>
        <w:t>la</w:t>
      </w:r>
      <w:r w:rsidRPr="00371B75">
        <w:rPr>
          <w:rFonts w:ascii="Calibri" w:hAnsi="Calibri" w:cs="Calibri"/>
          <w:color w:val="000000" w:themeColor="text1"/>
          <w:sz w:val="24"/>
          <w:szCs w:val="24"/>
        </w:rPr>
        <w:t xml:space="preserve"> pobreza multidimensional alcanzaba el 19.0%, </w:t>
      </w:r>
      <w:r>
        <w:rPr>
          <w:rFonts w:ascii="Calibri" w:hAnsi="Calibri" w:cs="Calibri"/>
          <w:color w:val="000000" w:themeColor="text1"/>
          <w:sz w:val="24"/>
          <w:szCs w:val="24"/>
        </w:rPr>
        <w:t xml:space="preserve">mientras que </w:t>
      </w:r>
      <w:r w:rsidRPr="00371B75">
        <w:rPr>
          <w:rFonts w:ascii="Calibri" w:hAnsi="Calibri" w:cs="Calibri"/>
          <w:color w:val="000000" w:themeColor="text1"/>
          <w:sz w:val="24"/>
          <w:szCs w:val="24"/>
        </w:rPr>
        <w:t xml:space="preserve">en las comarcas la pobreza </w:t>
      </w:r>
      <w:r>
        <w:rPr>
          <w:rFonts w:ascii="Calibri" w:hAnsi="Calibri" w:cs="Calibri"/>
          <w:color w:val="000000" w:themeColor="text1"/>
          <w:sz w:val="24"/>
          <w:szCs w:val="24"/>
        </w:rPr>
        <w:t>fue de</w:t>
      </w:r>
      <w:r w:rsidRPr="00371B75">
        <w:rPr>
          <w:rFonts w:ascii="Calibri" w:hAnsi="Calibri" w:cs="Calibri"/>
          <w:color w:val="000000" w:themeColor="text1"/>
          <w:sz w:val="24"/>
          <w:szCs w:val="24"/>
        </w:rPr>
        <w:t xml:space="preserve"> hasta 4 veces </w:t>
      </w:r>
      <w:r>
        <w:rPr>
          <w:rFonts w:ascii="Calibri" w:hAnsi="Calibri" w:cs="Calibri"/>
          <w:color w:val="000000" w:themeColor="text1"/>
          <w:sz w:val="24"/>
          <w:szCs w:val="24"/>
        </w:rPr>
        <w:t xml:space="preserve">mayor </w:t>
      </w:r>
      <w:r w:rsidRPr="00371B75">
        <w:rPr>
          <w:rFonts w:ascii="Calibri" w:hAnsi="Calibri" w:cs="Calibri"/>
          <w:color w:val="000000" w:themeColor="text1"/>
          <w:sz w:val="24"/>
          <w:szCs w:val="24"/>
        </w:rPr>
        <w:t>(MEF</w:t>
      </w:r>
      <w:r>
        <w:rPr>
          <w:rFonts w:ascii="Calibri" w:hAnsi="Calibri" w:cs="Calibri"/>
          <w:color w:val="000000" w:themeColor="text1"/>
          <w:sz w:val="24"/>
          <w:szCs w:val="24"/>
        </w:rPr>
        <w:t xml:space="preserve">, </w:t>
      </w:r>
      <w:r w:rsidRPr="00371B75">
        <w:rPr>
          <w:rFonts w:ascii="Calibri" w:hAnsi="Calibri" w:cs="Calibri"/>
          <w:color w:val="000000" w:themeColor="text1"/>
          <w:sz w:val="24"/>
          <w:szCs w:val="24"/>
        </w:rPr>
        <w:t>2018).</w:t>
      </w:r>
      <w:r>
        <w:rPr>
          <w:rFonts w:ascii="Calibri" w:hAnsi="Calibri" w:cs="Calibri"/>
          <w:color w:val="000000" w:themeColor="text1"/>
          <w:sz w:val="24"/>
          <w:szCs w:val="24"/>
        </w:rPr>
        <w:t xml:space="preserve"> </w:t>
      </w:r>
    </w:p>
    <w:p w14:paraId="7E2061F4" w14:textId="77777777" w:rsidR="000C171B" w:rsidRPr="00371B75" w:rsidRDefault="000C171B" w:rsidP="000C171B">
      <w:pPr>
        <w:spacing w:after="0" w:line="240" w:lineRule="auto"/>
        <w:jc w:val="both"/>
        <w:rPr>
          <w:rFonts w:ascii="Calibri" w:hAnsi="Calibri" w:cs="Calibri"/>
          <w:color w:val="000000" w:themeColor="text1"/>
          <w:sz w:val="24"/>
          <w:szCs w:val="24"/>
        </w:rPr>
      </w:pPr>
    </w:p>
    <w:p w14:paraId="3B5AD2F0" w14:textId="77777777" w:rsidR="000C171B" w:rsidRDefault="000C171B" w:rsidP="000C171B">
      <w:pPr>
        <w:spacing w:after="0" w:line="240" w:lineRule="auto"/>
        <w:jc w:val="both"/>
        <w:rPr>
          <w:color w:val="000000" w:themeColor="text1"/>
          <w:sz w:val="24"/>
          <w:szCs w:val="24"/>
        </w:rPr>
      </w:pPr>
      <w:r w:rsidRPr="00371B75">
        <w:rPr>
          <w:rFonts w:cstheme="minorHAnsi"/>
          <w:color w:val="000000" w:themeColor="text1"/>
          <w:sz w:val="24"/>
          <w:szCs w:val="24"/>
        </w:rPr>
        <w:t xml:space="preserve">Panamá </w:t>
      </w:r>
      <w:r w:rsidRPr="00371B75">
        <w:rPr>
          <w:color w:val="000000" w:themeColor="text1"/>
          <w:sz w:val="24"/>
          <w:szCs w:val="24"/>
        </w:rPr>
        <w:t>tiene un índice de desarrollo humano alto (0.795/posición 67)</w:t>
      </w:r>
      <w:r>
        <w:rPr>
          <w:color w:val="000000" w:themeColor="text1"/>
          <w:sz w:val="24"/>
          <w:szCs w:val="24"/>
        </w:rPr>
        <w:t>; al mismo tiempo que</w:t>
      </w:r>
      <w:r w:rsidRPr="00371B75">
        <w:rPr>
          <w:color w:val="000000" w:themeColor="text1"/>
          <w:sz w:val="24"/>
          <w:szCs w:val="24"/>
        </w:rPr>
        <w:t xml:space="preserve"> ocupa la posición 108 en el Índice de Desigualdad de género</w:t>
      </w:r>
      <w:r>
        <w:rPr>
          <w:color w:val="000000" w:themeColor="text1"/>
          <w:sz w:val="24"/>
          <w:szCs w:val="24"/>
        </w:rPr>
        <w:t xml:space="preserve"> </w:t>
      </w:r>
      <w:r w:rsidRPr="00371B75">
        <w:rPr>
          <w:color w:val="000000" w:themeColor="text1"/>
          <w:sz w:val="24"/>
          <w:szCs w:val="24"/>
        </w:rPr>
        <w:t>(IDH</w:t>
      </w:r>
      <w:r>
        <w:rPr>
          <w:color w:val="000000" w:themeColor="text1"/>
          <w:sz w:val="24"/>
          <w:szCs w:val="24"/>
        </w:rPr>
        <w:t>,</w:t>
      </w:r>
      <w:r w:rsidRPr="00371B75">
        <w:rPr>
          <w:color w:val="000000" w:themeColor="text1"/>
          <w:sz w:val="24"/>
          <w:szCs w:val="24"/>
        </w:rPr>
        <w:t xml:space="preserve"> 2020)</w:t>
      </w:r>
      <w:r>
        <w:rPr>
          <w:color w:val="000000" w:themeColor="text1"/>
          <w:sz w:val="24"/>
          <w:szCs w:val="24"/>
        </w:rPr>
        <w:t xml:space="preserve">; y </w:t>
      </w:r>
      <w:r w:rsidRPr="00371B75">
        <w:rPr>
          <w:rFonts w:cstheme="minorHAnsi"/>
          <w:color w:val="000000" w:themeColor="text1"/>
          <w:sz w:val="24"/>
          <w:szCs w:val="24"/>
        </w:rPr>
        <w:t xml:space="preserve">en el puesto 23 de 25 países de la región </w:t>
      </w:r>
      <w:r>
        <w:rPr>
          <w:rFonts w:cstheme="minorHAnsi"/>
          <w:color w:val="000000" w:themeColor="text1"/>
          <w:sz w:val="24"/>
          <w:szCs w:val="24"/>
        </w:rPr>
        <w:t>sobre el</w:t>
      </w:r>
      <w:r w:rsidRPr="00371B75">
        <w:rPr>
          <w:rFonts w:cstheme="minorHAnsi"/>
          <w:color w:val="000000" w:themeColor="text1"/>
          <w:sz w:val="24"/>
          <w:szCs w:val="24"/>
        </w:rPr>
        <w:t xml:space="preserve"> compromiso con la reducción de la Desigualdad (CRI)</w:t>
      </w:r>
      <w:r>
        <w:rPr>
          <w:rFonts w:cstheme="minorHAnsi"/>
          <w:color w:val="000000" w:themeColor="text1"/>
          <w:sz w:val="24"/>
          <w:szCs w:val="24"/>
        </w:rPr>
        <w:t>; o</w:t>
      </w:r>
      <w:r w:rsidRPr="00371B75">
        <w:rPr>
          <w:rFonts w:cstheme="minorHAnsi"/>
          <w:color w:val="000000" w:themeColor="text1"/>
          <w:sz w:val="24"/>
          <w:szCs w:val="24"/>
        </w:rPr>
        <w:t xml:space="preserve">cupa la posición 69 en derechos laborales, 126 en políticas fiscales y 138 en gasto social. Estas </w:t>
      </w:r>
      <w:r w:rsidRPr="00371B75">
        <w:rPr>
          <w:color w:val="000000" w:themeColor="text1"/>
          <w:sz w:val="24"/>
          <w:szCs w:val="24"/>
        </w:rPr>
        <w:t>desigualdades</w:t>
      </w:r>
      <w:r>
        <w:rPr>
          <w:color w:val="000000" w:themeColor="text1"/>
          <w:sz w:val="24"/>
          <w:szCs w:val="24"/>
        </w:rPr>
        <w:t xml:space="preserve"> </w:t>
      </w:r>
      <w:r w:rsidRPr="00371B75">
        <w:rPr>
          <w:rFonts w:cstheme="minorHAnsi"/>
          <w:color w:val="000000" w:themeColor="text1"/>
          <w:sz w:val="24"/>
          <w:szCs w:val="24"/>
        </w:rPr>
        <w:t xml:space="preserve">provocan que el país </w:t>
      </w:r>
      <w:r w:rsidRPr="00371B75">
        <w:rPr>
          <w:color w:val="000000" w:themeColor="text1"/>
          <w:sz w:val="24"/>
          <w:szCs w:val="24"/>
        </w:rPr>
        <w:t xml:space="preserve">pierda 21% (13 lugares) de su desarrollo humano </w:t>
      </w:r>
      <w:r w:rsidRPr="00371B75">
        <w:rPr>
          <w:rFonts w:cstheme="minorHAnsi"/>
          <w:color w:val="000000" w:themeColor="text1"/>
          <w:sz w:val="24"/>
          <w:szCs w:val="24"/>
        </w:rPr>
        <w:t>(IDH</w:t>
      </w:r>
      <w:r>
        <w:rPr>
          <w:rFonts w:cstheme="minorHAnsi"/>
          <w:color w:val="000000" w:themeColor="text1"/>
          <w:sz w:val="24"/>
          <w:szCs w:val="24"/>
        </w:rPr>
        <w:t>,</w:t>
      </w:r>
      <w:r w:rsidRPr="00371B75">
        <w:rPr>
          <w:rFonts w:cstheme="minorHAnsi"/>
          <w:color w:val="000000" w:themeColor="text1"/>
          <w:sz w:val="24"/>
          <w:szCs w:val="24"/>
        </w:rPr>
        <w:t xml:space="preserve"> 2019)</w:t>
      </w:r>
      <w:r w:rsidRPr="00371B75">
        <w:rPr>
          <w:color w:val="000000" w:themeColor="text1"/>
          <w:sz w:val="24"/>
          <w:szCs w:val="24"/>
        </w:rPr>
        <w:t xml:space="preserve">. </w:t>
      </w:r>
    </w:p>
    <w:p w14:paraId="265B206C" w14:textId="77777777" w:rsidR="000C171B" w:rsidRDefault="000C171B" w:rsidP="000C171B">
      <w:pPr>
        <w:spacing w:after="0" w:line="240" w:lineRule="auto"/>
        <w:jc w:val="both"/>
        <w:rPr>
          <w:color w:val="000000" w:themeColor="text1"/>
          <w:sz w:val="24"/>
          <w:szCs w:val="24"/>
        </w:rPr>
      </w:pPr>
    </w:p>
    <w:p w14:paraId="10F7A3E8" w14:textId="5FF5B360" w:rsidR="000C171B" w:rsidRDefault="000C171B" w:rsidP="000C171B">
      <w:pPr>
        <w:spacing w:after="0" w:line="240" w:lineRule="auto"/>
        <w:jc w:val="both"/>
        <w:rPr>
          <w:rFonts w:ascii="Calibri" w:hAnsi="Calibri" w:cs="Calibri"/>
          <w:color w:val="000000" w:themeColor="text1"/>
          <w:sz w:val="24"/>
          <w:szCs w:val="24"/>
        </w:rPr>
      </w:pPr>
      <w:r w:rsidRPr="00371B75">
        <w:rPr>
          <w:rFonts w:ascii="Calibri" w:hAnsi="Calibri" w:cs="Calibri"/>
          <w:color w:val="000000" w:themeColor="text1"/>
          <w:sz w:val="24"/>
          <w:szCs w:val="24"/>
        </w:rPr>
        <w:t xml:space="preserve">Panamá acogió la Agenda 2030 como una prioridad nacional.  Según el Decreto 399, </w:t>
      </w:r>
      <w:r w:rsidRPr="00371B75">
        <w:rPr>
          <w:rFonts w:ascii="Calibri" w:hAnsi="Calibri" w:cs="Calibri"/>
          <w:color w:val="000000" w:themeColor="text1"/>
          <w:sz w:val="24"/>
          <w:szCs w:val="24"/>
          <w:lang w:val="es-CO"/>
        </w:rPr>
        <w:t xml:space="preserve">el logro de los </w:t>
      </w:r>
      <w:r w:rsidRPr="00371B75">
        <w:rPr>
          <w:rFonts w:ascii="Calibri" w:hAnsi="Calibri" w:cs="Calibri"/>
          <w:color w:val="000000" w:themeColor="text1"/>
          <w:sz w:val="24"/>
          <w:szCs w:val="24"/>
        </w:rPr>
        <w:t xml:space="preserve">Objetivos de Desarrollo Sostenible (ODS) </w:t>
      </w:r>
      <w:r w:rsidRPr="00371B75">
        <w:rPr>
          <w:rFonts w:ascii="Calibri" w:hAnsi="Calibri" w:cs="Calibri"/>
          <w:color w:val="000000" w:themeColor="text1"/>
          <w:sz w:val="24"/>
          <w:szCs w:val="24"/>
          <w:lang w:val="es-CO"/>
        </w:rPr>
        <w:t>debe contribuir a la realización de los derechos humanos de todas las personas</w:t>
      </w:r>
      <w:r>
        <w:rPr>
          <w:rFonts w:ascii="Calibri" w:hAnsi="Calibri" w:cs="Calibri"/>
          <w:color w:val="000000" w:themeColor="text1"/>
          <w:sz w:val="24"/>
          <w:szCs w:val="24"/>
          <w:lang w:val="es-CO"/>
        </w:rPr>
        <w:t>,</w:t>
      </w:r>
      <w:r w:rsidRPr="00371B75">
        <w:rPr>
          <w:rFonts w:ascii="Calibri" w:hAnsi="Calibri" w:cs="Calibri"/>
          <w:color w:val="000000" w:themeColor="text1"/>
          <w:sz w:val="24"/>
          <w:szCs w:val="24"/>
          <w:lang w:val="es-CO"/>
        </w:rPr>
        <w:t xml:space="preserve"> </w:t>
      </w:r>
      <w:r w:rsidRPr="00371B75">
        <w:rPr>
          <w:rFonts w:ascii="Calibri" w:hAnsi="Calibri" w:cs="Calibri"/>
          <w:color w:val="000000" w:themeColor="text1"/>
          <w:sz w:val="24"/>
          <w:szCs w:val="24"/>
        </w:rPr>
        <w:t>articulando políticas, estrategias, programas y proyectos</w:t>
      </w:r>
      <w:r>
        <w:rPr>
          <w:rFonts w:ascii="Calibri" w:hAnsi="Calibri" w:cs="Calibri"/>
          <w:color w:val="000000" w:themeColor="text1"/>
          <w:sz w:val="24"/>
          <w:szCs w:val="24"/>
        </w:rPr>
        <w:t>.</w:t>
      </w:r>
      <w:r w:rsidRPr="00371B75">
        <w:rPr>
          <w:rFonts w:ascii="Calibri" w:hAnsi="Calibri" w:cs="Calibri"/>
          <w:color w:val="000000" w:themeColor="text1"/>
          <w:sz w:val="24"/>
          <w:szCs w:val="24"/>
        </w:rPr>
        <w:t xml:space="preserve"> </w:t>
      </w:r>
      <w:r>
        <w:rPr>
          <w:rFonts w:ascii="Calibri" w:hAnsi="Calibri" w:cs="Calibri"/>
          <w:color w:val="000000" w:themeColor="text1"/>
          <w:sz w:val="24"/>
          <w:szCs w:val="24"/>
        </w:rPr>
        <w:t>E</w:t>
      </w:r>
      <w:r w:rsidRPr="00371B75">
        <w:rPr>
          <w:rFonts w:ascii="Calibri" w:hAnsi="Calibri" w:cs="Calibri"/>
          <w:color w:val="000000" w:themeColor="text1"/>
          <w:sz w:val="24"/>
          <w:szCs w:val="24"/>
        </w:rPr>
        <w:t>l Pla</w:t>
      </w:r>
      <w:r>
        <w:rPr>
          <w:rFonts w:ascii="Calibri" w:hAnsi="Calibri" w:cs="Calibri"/>
          <w:color w:val="000000" w:themeColor="text1"/>
          <w:sz w:val="24"/>
          <w:szCs w:val="24"/>
        </w:rPr>
        <w:t>n</w:t>
      </w:r>
      <w:r w:rsidRPr="00371B75">
        <w:rPr>
          <w:rFonts w:ascii="Calibri" w:hAnsi="Calibri" w:cs="Calibri"/>
          <w:color w:val="000000" w:themeColor="text1"/>
          <w:sz w:val="24"/>
          <w:szCs w:val="24"/>
        </w:rPr>
        <w:t xml:space="preserve"> Estratégico de Gobierno (PEG</w:t>
      </w:r>
      <w:r>
        <w:rPr>
          <w:rFonts w:ascii="Calibri" w:hAnsi="Calibri" w:cs="Calibri"/>
          <w:color w:val="000000" w:themeColor="text1"/>
          <w:sz w:val="24"/>
          <w:szCs w:val="24"/>
        </w:rPr>
        <w:t>,</w:t>
      </w:r>
      <w:r w:rsidRPr="00371B75">
        <w:rPr>
          <w:rFonts w:ascii="Calibri" w:hAnsi="Calibri" w:cs="Calibri"/>
          <w:color w:val="000000" w:themeColor="text1"/>
          <w:sz w:val="24"/>
          <w:szCs w:val="24"/>
        </w:rPr>
        <w:t xml:space="preserve"> 2019-2024)</w:t>
      </w:r>
      <w:r>
        <w:rPr>
          <w:rFonts w:ascii="Calibri" w:hAnsi="Calibri" w:cs="Calibri"/>
          <w:color w:val="000000" w:themeColor="text1"/>
          <w:sz w:val="24"/>
          <w:szCs w:val="24"/>
        </w:rPr>
        <w:t xml:space="preserve"> </w:t>
      </w:r>
      <w:r w:rsidRPr="00371B75">
        <w:rPr>
          <w:rFonts w:ascii="Calibri" w:hAnsi="Calibri" w:cs="Calibri"/>
          <w:color w:val="000000" w:themeColor="text1"/>
          <w:sz w:val="24"/>
          <w:szCs w:val="24"/>
        </w:rPr>
        <w:t>define sus prioridades a partir del Plan Estratégico Nacional con Visión de Estado “</w:t>
      </w:r>
      <w:r w:rsidR="000A0629">
        <w:rPr>
          <w:rFonts w:ascii="Calibri" w:hAnsi="Calibri" w:cs="Calibri"/>
          <w:color w:val="000000" w:themeColor="text1"/>
          <w:sz w:val="24"/>
          <w:szCs w:val="24"/>
        </w:rPr>
        <w:t xml:space="preserve">PEN </w:t>
      </w:r>
      <w:r w:rsidRPr="00371B75">
        <w:rPr>
          <w:rFonts w:ascii="Calibri" w:hAnsi="Calibri" w:cs="Calibri"/>
          <w:color w:val="000000" w:themeColor="text1"/>
          <w:sz w:val="24"/>
          <w:szCs w:val="24"/>
        </w:rPr>
        <w:t>2030” por lo que tiene como metas específicas cumplir con los</w:t>
      </w:r>
      <w:r w:rsidRPr="00075C82">
        <w:rPr>
          <w:rFonts w:ascii="Calibri" w:hAnsi="Calibri" w:cs="Calibri"/>
          <w:color w:val="000000" w:themeColor="text1"/>
          <w:sz w:val="24"/>
          <w:szCs w:val="24"/>
          <w:lang w:val="es-CO"/>
        </w:rPr>
        <w:t xml:space="preserve"> </w:t>
      </w:r>
      <w:r w:rsidRPr="00371B75">
        <w:rPr>
          <w:rFonts w:ascii="Calibri" w:hAnsi="Calibri" w:cs="Calibri"/>
          <w:color w:val="000000" w:themeColor="text1"/>
          <w:sz w:val="24"/>
          <w:szCs w:val="24"/>
          <w:lang w:val="es-CO"/>
        </w:rPr>
        <w:t>ODS</w:t>
      </w:r>
      <w:r>
        <w:rPr>
          <w:rFonts w:ascii="Calibri" w:hAnsi="Calibri" w:cs="Calibri"/>
          <w:color w:val="000000" w:themeColor="text1"/>
          <w:sz w:val="24"/>
          <w:szCs w:val="24"/>
          <w:lang w:val="es-CO"/>
        </w:rPr>
        <w:t xml:space="preserve">, </w:t>
      </w:r>
      <w:r w:rsidRPr="00371B75">
        <w:rPr>
          <w:rFonts w:ascii="Calibri" w:hAnsi="Calibri" w:cs="Calibri"/>
          <w:color w:val="000000" w:themeColor="text1"/>
          <w:sz w:val="24"/>
          <w:szCs w:val="24"/>
        </w:rPr>
        <w:t>potenciando la participación de las autoridades, líderes y comunidades.</w:t>
      </w:r>
    </w:p>
    <w:p w14:paraId="0757B880" w14:textId="77777777" w:rsidR="000C171B" w:rsidRDefault="000C171B" w:rsidP="000C171B">
      <w:pPr>
        <w:spacing w:after="0" w:line="240" w:lineRule="auto"/>
        <w:jc w:val="both"/>
        <w:rPr>
          <w:rFonts w:ascii="Calibri" w:hAnsi="Calibri" w:cs="Calibri"/>
          <w:color w:val="000000" w:themeColor="text1"/>
          <w:sz w:val="24"/>
          <w:szCs w:val="24"/>
        </w:rPr>
      </w:pPr>
    </w:p>
    <w:p w14:paraId="4B4DC956" w14:textId="77777777" w:rsidR="000C171B" w:rsidRDefault="000C171B" w:rsidP="000C171B">
      <w:pPr>
        <w:spacing w:after="0" w:line="240" w:lineRule="auto"/>
        <w:jc w:val="both"/>
        <w:rPr>
          <w:rFonts w:ascii="Calibri" w:hAnsi="Calibri" w:cs="Calibri"/>
          <w:color w:val="000000" w:themeColor="text1"/>
          <w:sz w:val="24"/>
          <w:szCs w:val="24"/>
        </w:rPr>
      </w:pPr>
      <w:r>
        <w:rPr>
          <w:color w:val="000000" w:themeColor="text1"/>
          <w:sz w:val="24"/>
          <w:szCs w:val="24"/>
        </w:rPr>
        <w:t xml:space="preserve">Aun cuando </w:t>
      </w:r>
      <w:r w:rsidRPr="00371B75">
        <w:rPr>
          <w:rFonts w:ascii="Calibri" w:hAnsi="Calibri" w:cs="Calibri"/>
          <w:color w:val="000000" w:themeColor="text1"/>
          <w:sz w:val="24"/>
          <w:szCs w:val="24"/>
        </w:rPr>
        <w:t>Panamá produce una proporción importante de indicadores de nivel 1</w:t>
      </w:r>
      <w:r>
        <w:rPr>
          <w:rFonts w:ascii="Calibri" w:hAnsi="Calibri" w:cs="Calibri"/>
          <w:color w:val="000000" w:themeColor="text1"/>
          <w:sz w:val="24"/>
          <w:szCs w:val="24"/>
        </w:rPr>
        <w:t>, e</w:t>
      </w:r>
      <w:r w:rsidRPr="00371B75">
        <w:rPr>
          <w:rFonts w:ascii="Calibri" w:hAnsi="Calibri" w:cs="Calibri"/>
          <w:color w:val="000000" w:themeColor="text1"/>
          <w:sz w:val="24"/>
          <w:szCs w:val="24"/>
        </w:rPr>
        <w:t xml:space="preserve">l sistema </w:t>
      </w:r>
      <w:r>
        <w:rPr>
          <w:rFonts w:ascii="Calibri" w:hAnsi="Calibri" w:cs="Calibri"/>
          <w:color w:val="000000" w:themeColor="text1"/>
          <w:sz w:val="24"/>
          <w:szCs w:val="24"/>
        </w:rPr>
        <w:t>de información nacional</w:t>
      </w:r>
      <w:r w:rsidRPr="00371B75">
        <w:rPr>
          <w:rFonts w:ascii="Calibri" w:hAnsi="Calibri" w:cs="Calibri"/>
          <w:color w:val="000000" w:themeColor="text1"/>
          <w:sz w:val="24"/>
          <w:szCs w:val="24"/>
        </w:rPr>
        <w:t xml:space="preserve"> no cuenta con </w:t>
      </w:r>
      <w:r>
        <w:rPr>
          <w:rFonts w:ascii="Calibri" w:hAnsi="Calibri" w:cs="Calibri"/>
          <w:color w:val="000000" w:themeColor="text1"/>
          <w:sz w:val="24"/>
          <w:szCs w:val="24"/>
        </w:rPr>
        <w:t>datos</w:t>
      </w:r>
      <w:r w:rsidRPr="00371B75">
        <w:rPr>
          <w:rFonts w:ascii="Calibri" w:hAnsi="Calibri" w:cs="Calibri"/>
          <w:color w:val="000000" w:themeColor="text1"/>
          <w:sz w:val="24"/>
          <w:szCs w:val="24"/>
        </w:rPr>
        <w:t xml:space="preserve"> para producir un tercio de los indicadores de la Agenda 2030</w:t>
      </w:r>
      <w:r>
        <w:rPr>
          <w:rFonts w:ascii="Calibri" w:hAnsi="Calibri" w:cs="Calibri"/>
          <w:color w:val="000000" w:themeColor="text1"/>
          <w:sz w:val="24"/>
          <w:szCs w:val="24"/>
        </w:rPr>
        <w:t xml:space="preserve"> o con los niveles de desagregación necesarios para identificar a los grupos más rezagados</w:t>
      </w:r>
      <w:r w:rsidRPr="00371B75">
        <w:rPr>
          <w:rFonts w:ascii="Calibri" w:hAnsi="Calibri" w:cs="Calibri"/>
          <w:color w:val="000000" w:themeColor="text1"/>
          <w:sz w:val="24"/>
          <w:szCs w:val="24"/>
        </w:rPr>
        <w:t xml:space="preserve">. </w:t>
      </w:r>
      <w:r>
        <w:rPr>
          <w:rFonts w:ascii="Calibri" w:hAnsi="Calibri" w:cs="Calibri"/>
          <w:color w:val="000000" w:themeColor="text1"/>
          <w:sz w:val="24"/>
          <w:szCs w:val="24"/>
          <w:lang w:val="es-CO"/>
        </w:rPr>
        <w:t xml:space="preserve">Estos </w:t>
      </w:r>
      <w:r w:rsidRPr="00371B75">
        <w:rPr>
          <w:rFonts w:cs="Arial"/>
          <w:color w:val="000000" w:themeColor="text1"/>
          <w:sz w:val="24"/>
          <w:szCs w:val="24"/>
          <w:lang w:val="es-ES"/>
        </w:rPr>
        <w:t xml:space="preserve">grupos </w:t>
      </w:r>
      <w:r>
        <w:rPr>
          <w:rFonts w:ascii="Calibri" w:hAnsi="Calibri" w:cs="Calibri"/>
          <w:color w:val="000000" w:themeColor="text1"/>
          <w:sz w:val="24"/>
          <w:szCs w:val="24"/>
          <w:lang w:val="es-CO"/>
        </w:rPr>
        <w:t xml:space="preserve">se han identificado a través de las </w:t>
      </w:r>
      <w:r w:rsidRPr="00371B75">
        <w:rPr>
          <w:color w:val="000000" w:themeColor="text1"/>
          <w:sz w:val="24"/>
          <w:szCs w:val="24"/>
        </w:rPr>
        <w:t xml:space="preserve">recomendaciones </w:t>
      </w:r>
      <w:r>
        <w:rPr>
          <w:color w:val="000000" w:themeColor="text1"/>
          <w:sz w:val="24"/>
          <w:szCs w:val="24"/>
        </w:rPr>
        <w:t>de</w:t>
      </w:r>
      <w:r w:rsidRPr="00371B75">
        <w:rPr>
          <w:color w:val="000000" w:themeColor="text1"/>
          <w:sz w:val="24"/>
          <w:szCs w:val="24"/>
        </w:rPr>
        <w:t xml:space="preserve"> los órganos de tratados y procedimientos especiales</w:t>
      </w:r>
      <w:r>
        <w:rPr>
          <w:rFonts w:cs="Arial"/>
          <w:color w:val="000000" w:themeColor="text1"/>
          <w:sz w:val="24"/>
          <w:szCs w:val="24"/>
          <w:lang w:val="es-ES"/>
        </w:rPr>
        <w:t xml:space="preserve">, y se concentran principalmente entre </w:t>
      </w:r>
      <w:r>
        <w:rPr>
          <w:color w:val="000000" w:themeColor="text1"/>
          <w:sz w:val="24"/>
          <w:szCs w:val="24"/>
        </w:rPr>
        <w:t>los</w:t>
      </w:r>
      <w:r w:rsidRPr="00371B75">
        <w:rPr>
          <w:color w:val="000000" w:themeColor="text1"/>
          <w:sz w:val="24"/>
          <w:szCs w:val="24"/>
        </w:rPr>
        <w:t xml:space="preserve"> pueblos indígenas,</w:t>
      </w:r>
      <w:r>
        <w:rPr>
          <w:color w:val="000000" w:themeColor="text1"/>
          <w:sz w:val="24"/>
          <w:szCs w:val="24"/>
        </w:rPr>
        <w:t xml:space="preserve"> afrodescendientes,</w:t>
      </w:r>
      <w:r w:rsidRPr="00371B75">
        <w:rPr>
          <w:color w:val="000000" w:themeColor="text1"/>
          <w:sz w:val="24"/>
          <w:szCs w:val="24"/>
        </w:rPr>
        <w:t xml:space="preserve"> </w:t>
      </w:r>
      <w:r>
        <w:rPr>
          <w:color w:val="000000" w:themeColor="text1"/>
          <w:sz w:val="24"/>
          <w:szCs w:val="24"/>
        </w:rPr>
        <w:t xml:space="preserve">refugiados, </w:t>
      </w:r>
      <w:r w:rsidRPr="00371B75">
        <w:rPr>
          <w:color w:val="000000" w:themeColor="text1"/>
          <w:sz w:val="24"/>
          <w:szCs w:val="24"/>
        </w:rPr>
        <w:t xml:space="preserve">migrantes, </w:t>
      </w:r>
      <w:r>
        <w:rPr>
          <w:color w:val="000000" w:themeColor="text1"/>
          <w:sz w:val="24"/>
          <w:szCs w:val="24"/>
        </w:rPr>
        <w:t xml:space="preserve">mujeres, </w:t>
      </w:r>
      <w:r w:rsidRPr="00371B75">
        <w:rPr>
          <w:color w:val="000000" w:themeColor="text1"/>
          <w:sz w:val="24"/>
          <w:szCs w:val="24"/>
        </w:rPr>
        <w:t>niños, niñas y adolescentes</w:t>
      </w:r>
      <w:r>
        <w:rPr>
          <w:color w:val="000000" w:themeColor="text1"/>
          <w:sz w:val="24"/>
          <w:szCs w:val="24"/>
        </w:rPr>
        <w:t xml:space="preserve">, personas viviendo con VIH </w:t>
      </w:r>
      <w:r w:rsidRPr="00371B75">
        <w:rPr>
          <w:color w:val="000000" w:themeColor="text1"/>
          <w:sz w:val="24"/>
          <w:szCs w:val="24"/>
        </w:rPr>
        <w:t xml:space="preserve">y </w:t>
      </w:r>
      <w:r w:rsidRPr="000A0629">
        <w:rPr>
          <w:color w:val="000000" w:themeColor="text1"/>
          <w:sz w:val="24"/>
          <w:szCs w:val="24"/>
        </w:rPr>
        <w:t xml:space="preserve">poblacionales </w:t>
      </w:r>
      <w:proofErr w:type="spellStart"/>
      <w:r w:rsidRPr="000A0629">
        <w:rPr>
          <w:color w:val="000000" w:themeColor="text1"/>
          <w:sz w:val="24"/>
          <w:szCs w:val="24"/>
        </w:rPr>
        <w:t>lgbtiq</w:t>
      </w:r>
      <w:proofErr w:type="spellEnd"/>
      <w:r w:rsidRPr="000A0629">
        <w:rPr>
          <w:color w:val="000000" w:themeColor="text1"/>
          <w:sz w:val="24"/>
          <w:szCs w:val="24"/>
        </w:rPr>
        <w:t xml:space="preserve">+. </w:t>
      </w:r>
    </w:p>
    <w:p w14:paraId="0231C2FC" w14:textId="77777777" w:rsidR="000C171B" w:rsidRDefault="000C171B" w:rsidP="000C171B">
      <w:pPr>
        <w:spacing w:after="0" w:line="240" w:lineRule="auto"/>
        <w:jc w:val="both"/>
        <w:rPr>
          <w:rFonts w:ascii="Calibri" w:hAnsi="Calibri" w:cs="Calibri"/>
          <w:color w:val="000000" w:themeColor="text1"/>
          <w:sz w:val="24"/>
          <w:szCs w:val="24"/>
        </w:rPr>
      </w:pPr>
    </w:p>
    <w:p w14:paraId="4A11EFC0" w14:textId="293598E8" w:rsidR="000C171B" w:rsidRPr="00371B75" w:rsidRDefault="000C171B" w:rsidP="000C171B">
      <w:pPr>
        <w:spacing w:after="0" w:line="240" w:lineRule="auto"/>
        <w:jc w:val="both"/>
        <w:rPr>
          <w:rFonts w:ascii="Calibri" w:hAnsi="Calibri" w:cs="Calibri"/>
          <w:color w:val="000000" w:themeColor="text1"/>
          <w:sz w:val="24"/>
          <w:szCs w:val="24"/>
        </w:rPr>
      </w:pPr>
      <w:r>
        <w:rPr>
          <w:rFonts w:ascii="Calibri" w:hAnsi="Calibri" w:cs="Calibri"/>
          <w:color w:val="000000" w:themeColor="text1"/>
          <w:sz w:val="24"/>
          <w:szCs w:val="24"/>
        </w:rPr>
        <w:t>La ausencia de datos desagregados de estos grupos e</w:t>
      </w:r>
      <w:r w:rsidRPr="00371B75">
        <w:rPr>
          <w:rFonts w:ascii="Calibri" w:hAnsi="Calibri" w:cs="Calibri"/>
          <w:color w:val="000000" w:themeColor="text1"/>
          <w:sz w:val="24"/>
          <w:szCs w:val="24"/>
        </w:rPr>
        <w:t xml:space="preserve">s provocada por la ausencia de demanda del indicador, </w:t>
      </w:r>
      <w:r>
        <w:rPr>
          <w:rFonts w:ascii="Calibri" w:hAnsi="Calibri" w:cs="Calibri"/>
          <w:color w:val="000000" w:themeColor="text1"/>
          <w:sz w:val="24"/>
          <w:szCs w:val="24"/>
        </w:rPr>
        <w:t xml:space="preserve">la </w:t>
      </w:r>
      <w:r w:rsidRPr="00371B75">
        <w:rPr>
          <w:rFonts w:ascii="Calibri" w:hAnsi="Calibri" w:cs="Calibri"/>
          <w:color w:val="000000" w:themeColor="text1"/>
          <w:sz w:val="24"/>
          <w:szCs w:val="24"/>
        </w:rPr>
        <w:t>falta de capacidad técnica, escasez de recursos económicos, carencia de metodologías para el cálculo (CEPAL</w:t>
      </w:r>
      <w:r>
        <w:rPr>
          <w:rFonts w:ascii="Calibri" w:hAnsi="Calibri" w:cs="Calibri"/>
          <w:color w:val="000000" w:themeColor="text1"/>
          <w:sz w:val="24"/>
          <w:szCs w:val="24"/>
        </w:rPr>
        <w:t>,</w:t>
      </w:r>
      <w:r w:rsidRPr="00371B75">
        <w:rPr>
          <w:rFonts w:ascii="Calibri" w:hAnsi="Calibri" w:cs="Calibri"/>
          <w:color w:val="000000" w:themeColor="text1"/>
          <w:sz w:val="24"/>
          <w:szCs w:val="24"/>
        </w:rPr>
        <w:t xml:space="preserve"> 2019)</w:t>
      </w:r>
      <w:r>
        <w:rPr>
          <w:rFonts w:ascii="Calibri" w:hAnsi="Calibri" w:cs="Calibri"/>
          <w:color w:val="000000" w:themeColor="text1"/>
          <w:sz w:val="24"/>
          <w:szCs w:val="24"/>
        </w:rPr>
        <w:t>,</w:t>
      </w:r>
      <w:r w:rsidRPr="00371B75">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al mismo tiempo que </w:t>
      </w:r>
      <w:r w:rsidRPr="00371B75">
        <w:rPr>
          <w:rFonts w:ascii="Calibri" w:hAnsi="Calibri" w:cs="Calibri"/>
          <w:color w:val="000000" w:themeColor="text1"/>
          <w:sz w:val="24"/>
          <w:szCs w:val="24"/>
        </w:rPr>
        <w:t>modificaciones en la agenda</w:t>
      </w:r>
      <w:r w:rsidR="00053833">
        <w:rPr>
          <w:rFonts w:ascii="Calibri" w:hAnsi="Calibri" w:cs="Calibri"/>
          <w:color w:val="000000" w:themeColor="text1"/>
          <w:sz w:val="24"/>
          <w:szCs w:val="24"/>
        </w:rPr>
        <w:t>,</w:t>
      </w:r>
      <w:r>
        <w:rPr>
          <w:rFonts w:ascii="Calibri" w:hAnsi="Calibri" w:cs="Calibri"/>
          <w:color w:val="000000" w:themeColor="text1"/>
          <w:sz w:val="24"/>
          <w:szCs w:val="24"/>
        </w:rPr>
        <w:t xml:space="preserve">  prioridades estatales y </w:t>
      </w:r>
      <w:r w:rsidRPr="00371B75">
        <w:rPr>
          <w:rFonts w:ascii="Calibri" w:hAnsi="Calibri" w:cs="Calibri"/>
          <w:color w:val="000000" w:themeColor="text1"/>
          <w:sz w:val="24"/>
          <w:szCs w:val="24"/>
        </w:rPr>
        <w:t>reemplazo de servidores públicos</w:t>
      </w:r>
      <w:r w:rsidRPr="00456CA5">
        <w:rPr>
          <w:rFonts w:ascii="Calibri" w:hAnsi="Calibri" w:cs="Calibri"/>
          <w:color w:val="000000" w:themeColor="text1"/>
          <w:sz w:val="24"/>
          <w:szCs w:val="24"/>
        </w:rPr>
        <w:t xml:space="preserve"> </w:t>
      </w:r>
      <w:r w:rsidRPr="00371B75">
        <w:rPr>
          <w:rFonts w:ascii="Calibri" w:hAnsi="Calibri" w:cs="Calibri"/>
          <w:color w:val="000000" w:themeColor="text1"/>
          <w:sz w:val="24"/>
          <w:szCs w:val="24"/>
        </w:rPr>
        <w:t>(IDH</w:t>
      </w:r>
      <w:r>
        <w:rPr>
          <w:rFonts w:ascii="Calibri" w:hAnsi="Calibri" w:cs="Calibri"/>
          <w:color w:val="000000" w:themeColor="text1"/>
          <w:sz w:val="24"/>
          <w:szCs w:val="24"/>
        </w:rPr>
        <w:t xml:space="preserve">, </w:t>
      </w:r>
      <w:r w:rsidRPr="00371B75">
        <w:rPr>
          <w:rFonts w:ascii="Calibri" w:hAnsi="Calibri" w:cs="Calibri"/>
          <w:color w:val="000000" w:themeColor="text1"/>
          <w:sz w:val="24"/>
          <w:szCs w:val="24"/>
        </w:rPr>
        <w:t>2019)</w:t>
      </w:r>
      <w:r>
        <w:rPr>
          <w:rFonts w:ascii="Calibri" w:hAnsi="Calibri" w:cs="Calibri"/>
          <w:color w:val="000000" w:themeColor="text1"/>
          <w:sz w:val="24"/>
          <w:szCs w:val="24"/>
        </w:rPr>
        <w:t>; o la ausencia de mecanismos de cumplimiento de las leyes existentes, la persistencia en la discriminación y exclusión.</w:t>
      </w:r>
    </w:p>
    <w:p w14:paraId="2D27670E" w14:textId="77777777" w:rsidR="000C171B" w:rsidRPr="00371B75" w:rsidRDefault="000C171B" w:rsidP="000C171B">
      <w:pPr>
        <w:spacing w:after="0" w:line="240" w:lineRule="auto"/>
        <w:jc w:val="both"/>
        <w:rPr>
          <w:rFonts w:ascii="Calibri" w:hAnsi="Calibri" w:cs="Calibri"/>
          <w:color w:val="000000" w:themeColor="text1"/>
          <w:sz w:val="24"/>
          <w:szCs w:val="24"/>
        </w:rPr>
      </w:pPr>
    </w:p>
    <w:p w14:paraId="5BA94772" w14:textId="0837C2DE" w:rsidR="000C171B" w:rsidRPr="00371B75" w:rsidRDefault="000C171B" w:rsidP="000C171B">
      <w:pPr>
        <w:spacing w:after="0" w:line="240" w:lineRule="auto"/>
        <w:jc w:val="both"/>
        <w:rPr>
          <w:rFonts w:eastAsia="Verdana" w:cstheme="minorHAnsi"/>
          <w:color w:val="000000" w:themeColor="text1"/>
          <w:sz w:val="24"/>
          <w:szCs w:val="24"/>
        </w:rPr>
      </w:pPr>
      <w:r w:rsidRPr="00371B75">
        <w:rPr>
          <w:rFonts w:eastAsia="Verdana" w:cstheme="minorHAnsi"/>
          <w:color w:val="000000" w:themeColor="text1"/>
          <w:sz w:val="24"/>
          <w:szCs w:val="24"/>
        </w:rPr>
        <w:t>Panamá</w:t>
      </w:r>
      <w:r>
        <w:rPr>
          <w:rFonts w:eastAsia="Verdana" w:cstheme="minorHAnsi"/>
          <w:color w:val="000000" w:themeColor="text1"/>
          <w:sz w:val="24"/>
          <w:szCs w:val="24"/>
        </w:rPr>
        <w:t xml:space="preserve">, como </w:t>
      </w:r>
      <w:r w:rsidRPr="00FB1A19">
        <w:rPr>
          <w:rFonts w:eastAsia="Verdana" w:cstheme="minorHAnsi"/>
          <w:color w:val="000000" w:themeColor="text1"/>
          <w:sz w:val="24"/>
          <w:szCs w:val="24"/>
        </w:rPr>
        <w:t xml:space="preserve">economía dolarizada y </w:t>
      </w:r>
      <w:r>
        <w:rPr>
          <w:rFonts w:eastAsia="Verdana" w:cstheme="minorHAnsi"/>
          <w:color w:val="000000" w:themeColor="text1"/>
          <w:sz w:val="24"/>
          <w:szCs w:val="24"/>
        </w:rPr>
        <w:t>ocupando los primeros lugares</w:t>
      </w:r>
      <w:r w:rsidR="002C49EF">
        <w:rPr>
          <w:rFonts w:eastAsia="Verdana" w:cstheme="minorHAnsi"/>
          <w:color w:val="000000" w:themeColor="text1"/>
          <w:sz w:val="24"/>
          <w:szCs w:val="24"/>
        </w:rPr>
        <w:t xml:space="preserve"> de </w:t>
      </w:r>
      <w:r w:rsidRPr="00FB1A19">
        <w:rPr>
          <w:rFonts w:eastAsia="Verdana" w:cstheme="minorHAnsi"/>
          <w:color w:val="000000" w:themeColor="text1"/>
          <w:sz w:val="24"/>
          <w:szCs w:val="24"/>
        </w:rPr>
        <w:t>crecimiento económico de la región</w:t>
      </w:r>
      <w:r>
        <w:rPr>
          <w:rFonts w:eastAsia="Verdana" w:cstheme="minorHAnsi"/>
          <w:color w:val="000000" w:themeColor="text1"/>
          <w:sz w:val="24"/>
          <w:szCs w:val="24"/>
        </w:rPr>
        <w:t>,</w:t>
      </w:r>
      <w:r w:rsidRPr="00FB1A19">
        <w:rPr>
          <w:rFonts w:eastAsia="Verdana" w:cstheme="minorHAnsi"/>
          <w:color w:val="000000" w:themeColor="text1"/>
          <w:sz w:val="24"/>
          <w:szCs w:val="24"/>
        </w:rPr>
        <w:t xml:space="preserve"> </w:t>
      </w:r>
      <w:r>
        <w:rPr>
          <w:rFonts w:eastAsia="Verdana" w:cstheme="minorHAnsi"/>
          <w:color w:val="000000" w:themeColor="text1"/>
          <w:sz w:val="24"/>
          <w:szCs w:val="24"/>
        </w:rPr>
        <w:t xml:space="preserve">atrae </w:t>
      </w:r>
      <w:r w:rsidRPr="00371B75">
        <w:rPr>
          <w:rFonts w:eastAsia="Verdana" w:cstheme="minorHAnsi"/>
          <w:color w:val="000000" w:themeColor="text1"/>
          <w:sz w:val="24"/>
          <w:szCs w:val="24"/>
        </w:rPr>
        <w:t xml:space="preserve">importantes </w:t>
      </w:r>
      <w:r>
        <w:rPr>
          <w:rFonts w:eastAsia="Verdana" w:cstheme="minorHAnsi"/>
          <w:color w:val="000000" w:themeColor="text1"/>
          <w:sz w:val="24"/>
          <w:szCs w:val="24"/>
        </w:rPr>
        <w:t>movimientos de refugiados y</w:t>
      </w:r>
      <w:r w:rsidRPr="00371B75">
        <w:rPr>
          <w:rFonts w:eastAsia="Verdana" w:cstheme="minorHAnsi"/>
          <w:color w:val="000000" w:themeColor="text1"/>
          <w:sz w:val="24"/>
          <w:szCs w:val="24"/>
        </w:rPr>
        <w:t xml:space="preserve"> migrantes. Se estima que el 10% de la población residente en Panamá es extranjera. En el año 2017, por </w:t>
      </w:r>
      <w:r w:rsidR="00053833">
        <w:rPr>
          <w:rFonts w:eastAsia="Verdana" w:cstheme="minorHAnsi"/>
          <w:color w:val="000000" w:themeColor="text1"/>
          <w:sz w:val="24"/>
          <w:szCs w:val="24"/>
        </w:rPr>
        <w:t xml:space="preserve">la </w:t>
      </w:r>
      <w:r w:rsidRPr="00371B75">
        <w:rPr>
          <w:rFonts w:eastAsia="Verdana" w:cstheme="minorHAnsi"/>
          <w:color w:val="000000" w:themeColor="text1"/>
          <w:sz w:val="24"/>
          <w:szCs w:val="24"/>
        </w:rPr>
        <w:t xml:space="preserve">frontera </w:t>
      </w:r>
      <w:r w:rsidRPr="00371B75">
        <w:rPr>
          <w:rFonts w:eastAsia="Verdana" w:cstheme="minorHAnsi"/>
          <w:color w:val="000000" w:themeColor="text1"/>
          <w:sz w:val="24"/>
          <w:szCs w:val="24"/>
        </w:rPr>
        <w:lastRenderedPageBreak/>
        <w:t xml:space="preserve">con Colombia, sólo el 1% de los </w:t>
      </w:r>
      <w:r>
        <w:rPr>
          <w:rFonts w:eastAsia="Verdana" w:cstheme="minorHAnsi"/>
          <w:color w:val="000000" w:themeColor="text1"/>
          <w:sz w:val="24"/>
          <w:szCs w:val="24"/>
        </w:rPr>
        <w:t xml:space="preserve">integrantes de los movimientos mixtos de refugiados y </w:t>
      </w:r>
      <w:r w:rsidRPr="00371B75">
        <w:rPr>
          <w:rFonts w:eastAsia="Verdana" w:cstheme="minorHAnsi"/>
          <w:color w:val="000000" w:themeColor="text1"/>
          <w:sz w:val="24"/>
          <w:szCs w:val="24"/>
        </w:rPr>
        <w:t>migrantes era menor de 18 años, mientras que para el año 2019 alcanzó el 15% (UNICEF</w:t>
      </w:r>
      <w:r>
        <w:rPr>
          <w:rFonts w:eastAsia="Verdana" w:cstheme="minorHAnsi"/>
          <w:color w:val="000000" w:themeColor="text1"/>
          <w:sz w:val="24"/>
          <w:szCs w:val="24"/>
        </w:rPr>
        <w:t>,</w:t>
      </w:r>
      <w:r w:rsidRPr="00371B75">
        <w:rPr>
          <w:rFonts w:eastAsia="Verdana" w:cstheme="minorHAnsi"/>
          <w:color w:val="000000" w:themeColor="text1"/>
          <w:sz w:val="24"/>
          <w:szCs w:val="24"/>
        </w:rPr>
        <w:t xml:space="preserve"> 2019).</w:t>
      </w:r>
    </w:p>
    <w:p w14:paraId="0826C592" w14:textId="77777777" w:rsidR="000C171B" w:rsidRPr="00C44E24" w:rsidRDefault="000C171B" w:rsidP="000C171B">
      <w:pPr>
        <w:spacing w:after="0" w:line="240" w:lineRule="auto"/>
        <w:jc w:val="both"/>
        <w:rPr>
          <w:rFonts w:ascii="Calibri" w:hAnsi="Calibri" w:cs="Calibri"/>
          <w:color w:val="000000" w:themeColor="text1"/>
          <w:sz w:val="24"/>
          <w:szCs w:val="24"/>
        </w:rPr>
      </w:pPr>
    </w:p>
    <w:p w14:paraId="52762DC2" w14:textId="77777777" w:rsidR="000C171B" w:rsidRDefault="000C171B" w:rsidP="000C171B">
      <w:pPr>
        <w:spacing w:after="0" w:line="240" w:lineRule="auto"/>
        <w:jc w:val="both"/>
        <w:rPr>
          <w:rFonts w:ascii="Calibri" w:hAnsi="Calibri" w:cs="Calibri"/>
          <w:color w:val="000000" w:themeColor="text1"/>
          <w:sz w:val="24"/>
          <w:szCs w:val="24"/>
        </w:rPr>
      </w:pPr>
      <w:r>
        <w:rPr>
          <w:rFonts w:ascii="Calibri" w:hAnsi="Calibri" w:cs="Calibri"/>
          <w:color w:val="000000" w:themeColor="text1"/>
          <w:sz w:val="24"/>
          <w:szCs w:val="24"/>
        </w:rPr>
        <w:t xml:space="preserve">La inversión pública en infraestructura es el motor de la actividad económica de Panamá y podría disminuir debido a una reducción </w:t>
      </w:r>
      <w:r w:rsidRPr="00C44E24">
        <w:rPr>
          <w:rFonts w:ascii="Calibri" w:hAnsi="Calibri" w:cs="Calibri"/>
          <w:color w:val="000000" w:themeColor="text1"/>
          <w:sz w:val="24"/>
          <w:szCs w:val="24"/>
        </w:rPr>
        <w:t>de</w:t>
      </w:r>
      <w:r>
        <w:rPr>
          <w:rFonts w:ascii="Calibri" w:hAnsi="Calibri" w:cs="Calibri"/>
          <w:color w:val="000000" w:themeColor="text1"/>
          <w:sz w:val="24"/>
          <w:szCs w:val="24"/>
        </w:rPr>
        <w:t>l</w:t>
      </w:r>
      <w:r w:rsidRPr="00C44E24">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3% de la </w:t>
      </w:r>
      <w:r w:rsidRPr="00C44E24">
        <w:rPr>
          <w:rFonts w:ascii="Calibri" w:hAnsi="Calibri" w:cs="Calibri"/>
          <w:color w:val="000000" w:themeColor="text1"/>
          <w:sz w:val="24"/>
          <w:szCs w:val="24"/>
        </w:rPr>
        <w:t>carga tributaria</w:t>
      </w:r>
      <w:r>
        <w:rPr>
          <w:rFonts w:ascii="Calibri" w:hAnsi="Calibri" w:cs="Calibri"/>
          <w:color w:val="000000" w:themeColor="text1"/>
          <w:sz w:val="24"/>
          <w:szCs w:val="24"/>
        </w:rPr>
        <w:t>, lo que</w:t>
      </w:r>
      <w:r w:rsidRPr="00C44E24">
        <w:rPr>
          <w:rFonts w:ascii="Calibri" w:hAnsi="Calibri" w:cs="Calibri"/>
          <w:color w:val="000000" w:themeColor="text1"/>
          <w:sz w:val="24"/>
          <w:szCs w:val="24"/>
        </w:rPr>
        <w:t xml:space="preserve"> ha provocado el incremento</w:t>
      </w:r>
      <w:r>
        <w:rPr>
          <w:rFonts w:ascii="Calibri" w:hAnsi="Calibri" w:cs="Calibri"/>
          <w:color w:val="000000" w:themeColor="text1"/>
          <w:sz w:val="24"/>
          <w:szCs w:val="24"/>
        </w:rPr>
        <w:t xml:space="preserve"> en 5%</w:t>
      </w:r>
      <w:r w:rsidRPr="00C44E24">
        <w:rPr>
          <w:rFonts w:ascii="Calibri" w:hAnsi="Calibri" w:cs="Calibri"/>
          <w:color w:val="000000" w:themeColor="text1"/>
          <w:sz w:val="24"/>
          <w:szCs w:val="24"/>
        </w:rPr>
        <w:t xml:space="preserve"> de la deuda del sector público</w:t>
      </w:r>
      <w:r>
        <w:rPr>
          <w:rFonts w:ascii="Calibri" w:hAnsi="Calibri" w:cs="Calibri"/>
          <w:color w:val="000000" w:themeColor="text1"/>
          <w:sz w:val="24"/>
          <w:szCs w:val="24"/>
        </w:rPr>
        <w:t xml:space="preserve"> </w:t>
      </w:r>
      <w:r w:rsidRPr="00C44E24">
        <w:rPr>
          <w:rFonts w:ascii="Calibri" w:hAnsi="Calibri" w:cs="Calibri"/>
          <w:color w:val="000000" w:themeColor="text1"/>
          <w:sz w:val="24"/>
          <w:szCs w:val="24"/>
        </w:rPr>
        <w:t>(ICEF</w:t>
      </w:r>
      <w:r>
        <w:rPr>
          <w:rFonts w:ascii="Calibri" w:hAnsi="Calibri" w:cs="Calibri"/>
          <w:color w:val="000000" w:themeColor="text1"/>
          <w:sz w:val="24"/>
          <w:szCs w:val="24"/>
        </w:rPr>
        <w:t>I,</w:t>
      </w:r>
      <w:r w:rsidRPr="00C44E24">
        <w:rPr>
          <w:rFonts w:ascii="Calibri" w:hAnsi="Calibri" w:cs="Calibri"/>
          <w:color w:val="000000" w:themeColor="text1"/>
          <w:sz w:val="24"/>
          <w:szCs w:val="24"/>
        </w:rPr>
        <w:t xml:space="preserve"> 2019). </w:t>
      </w:r>
      <w:r>
        <w:rPr>
          <w:rFonts w:ascii="Calibri" w:hAnsi="Calibri" w:cs="Calibri"/>
          <w:color w:val="000000" w:themeColor="text1"/>
          <w:sz w:val="24"/>
          <w:szCs w:val="24"/>
        </w:rPr>
        <w:t xml:space="preserve">Esto </w:t>
      </w:r>
      <w:r w:rsidRPr="00C44E24">
        <w:rPr>
          <w:rFonts w:ascii="Calibri" w:hAnsi="Calibri" w:cs="Calibri"/>
          <w:color w:val="000000" w:themeColor="text1"/>
          <w:sz w:val="24"/>
          <w:szCs w:val="24"/>
        </w:rPr>
        <w:t xml:space="preserve">podría </w:t>
      </w:r>
      <w:r>
        <w:rPr>
          <w:rFonts w:ascii="Calibri" w:hAnsi="Calibri" w:cs="Calibri"/>
          <w:color w:val="000000" w:themeColor="text1"/>
          <w:sz w:val="24"/>
          <w:szCs w:val="24"/>
        </w:rPr>
        <w:t xml:space="preserve">impactar </w:t>
      </w:r>
      <w:r w:rsidRPr="00C44E24">
        <w:rPr>
          <w:rFonts w:ascii="Calibri" w:hAnsi="Calibri" w:cs="Calibri"/>
          <w:color w:val="000000" w:themeColor="text1"/>
          <w:sz w:val="24"/>
          <w:szCs w:val="24"/>
        </w:rPr>
        <w:t>el cumplimiento de la Agenda 2030</w:t>
      </w:r>
      <w:r>
        <w:rPr>
          <w:rFonts w:ascii="Calibri" w:hAnsi="Calibri" w:cs="Calibri"/>
          <w:color w:val="000000" w:themeColor="text1"/>
          <w:sz w:val="24"/>
          <w:szCs w:val="24"/>
        </w:rPr>
        <w:t xml:space="preserve"> ya que </w:t>
      </w:r>
      <w:r w:rsidRPr="00C44E24">
        <w:rPr>
          <w:color w:val="000000" w:themeColor="text1"/>
          <w:sz w:val="24"/>
          <w:szCs w:val="24"/>
        </w:rPr>
        <w:t xml:space="preserve">Panamá debe incrementar el gasto público en lo social debe pasar de </w:t>
      </w:r>
      <w:r w:rsidRPr="00C44E24">
        <w:rPr>
          <w:rFonts w:ascii="Calibri" w:hAnsi="Calibri" w:cs="Calibri"/>
          <w:color w:val="000000" w:themeColor="text1"/>
          <w:sz w:val="24"/>
          <w:szCs w:val="24"/>
        </w:rPr>
        <w:t>17.6 en el 2018 al 23.0 en el 2030 (ICEFI</w:t>
      </w:r>
      <w:r>
        <w:rPr>
          <w:rFonts w:ascii="Calibri" w:hAnsi="Calibri" w:cs="Calibri"/>
          <w:color w:val="000000" w:themeColor="text1"/>
          <w:sz w:val="24"/>
          <w:szCs w:val="24"/>
        </w:rPr>
        <w:t>,</w:t>
      </w:r>
      <w:r w:rsidRPr="00C44E24">
        <w:rPr>
          <w:rFonts w:ascii="Calibri" w:hAnsi="Calibri" w:cs="Calibri"/>
          <w:color w:val="000000" w:themeColor="text1"/>
          <w:sz w:val="24"/>
          <w:szCs w:val="24"/>
        </w:rPr>
        <w:t xml:space="preserve"> 2019)</w:t>
      </w:r>
      <w:r>
        <w:rPr>
          <w:rFonts w:ascii="Calibri" w:hAnsi="Calibri" w:cs="Calibri"/>
          <w:color w:val="000000" w:themeColor="text1"/>
          <w:sz w:val="24"/>
          <w:szCs w:val="24"/>
        </w:rPr>
        <w:t xml:space="preserve">. </w:t>
      </w:r>
    </w:p>
    <w:p w14:paraId="1AC63C67" w14:textId="77777777" w:rsidR="000C171B" w:rsidRDefault="000C171B" w:rsidP="000C171B">
      <w:pPr>
        <w:spacing w:after="0" w:line="240" w:lineRule="auto"/>
        <w:jc w:val="both"/>
        <w:rPr>
          <w:rFonts w:ascii="Calibri" w:hAnsi="Calibri" w:cs="Calibri"/>
          <w:color w:val="000000" w:themeColor="text1"/>
          <w:sz w:val="24"/>
          <w:szCs w:val="24"/>
        </w:rPr>
      </w:pPr>
    </w:p>
    <w:p w14:paraId="4207F57D" w14:textId="6FEF57B8" w:rsidR="000C171B" w:rsidRPr="00C44E24" w:rsidRDefault="000C171B" w:rsidP="000C171B">
      <w:pPr>
        <w:spacing w:after="0" w:line="240" w:lineRule="auto"/>
        <w:jc w:val="both"/>
        <w:rPr>
          <w:rFonts w:ascii="Calibri" w:hAnsi="Calibri" w:cs="Calibri"/>
          <w:color w:val="000000" w:themeColor="text1"/>
          <w:sz w:val="24"/>
          <w:szCs w:val="24"/>
        </w:rPr>
      </w:pPr>
      <w:r w:rsidRPr="00264FE8">
        <w:rPr>
          <w:rFonts w:ascii="Calibri" w:hAnsi="Calibri" w:cs="Calibri"/>
          <w:color w:val="000000" w:themeColor="text1"/>
          <w:sz w:val="24"/>
          <w:szCs w:val="24"/>
        </w:rPr>
        <w:t>El rediseño de la gestión pública</w:t>
      </w:r>
      <w:r>
        <w:rPr>
          <w:rFonts w:ascii="Calibri" w:hAnsi="Calibri" w:cs="Calibri"/>
          <w:color w:val="000000" w:themeColor="text1"/>
          <w:sz w:val="24"/>
          <w:szCs w:val="24"/>
        </w:rPr>
        <w:t xml:space="preserve"> en el marco del cumplimiento de la Agenda 2030,</w:t>
      </w:r>
      <w:r w:rsidRPr="00264FE8">
        <w:rPr>
          <w:rFonts w:ascii="Calibri" w:hAnsi="Calibri" w:cs="Calibri"/>
          <w:color w:val="000000" w:themeColor="text1"/>
          <w:sz w:val="24"/>
          <w:szCs w:val="24"/>
        </w:rPr>
        <w:t xml:space="preserve"> supone la revisión de gastos e inversiones; la verificación de los procesos administrativos de gobernanza de la política pública; </w:t>
      </w:r>
      <w:r>
        <w:rPr>
          <w:rFonts w:ascii="Calibri" w:hAnsi="Calibri" w:cs="Calibri"/>
          <w:color w:val="000000" w:themeColor="text1"/>
          <w:sz w:val="24"/>
          <w:szCs w:val="24"/>
        </w:rPr>
        <w:t>y</w:t>
      </w:r>
      <w:r w:rsidRPr="00264FE8">
        <w:rPr>
          <w:rFonts w:ascii="Calibri" w:hAnsi="Calibri" w:cs="Calibri"/>
          <w:color w:val="000000" w:themeColor="text1"/>
          <w:sz w:val="24"/>
          <w:szCs w:val="24"/>
        </w:rPr>
        <w:t xml:space="preserve"> la medición de los impactos directos e indirectos.  </w:t>
      </w:r>
      <w:r w:rsidRPr="00C44E24">
        <w:rPr>
          <w:rFonts w:ascii="Calibri" w:hAnsi="Calibri" w:cs="Calibri"/>
          <w:color w:val="000000" w:themeColor="text1"/>
          <w:sz w:val="24"/>
          <w:szCs w:val="24"/>
        </w:rPr>
        <w:t>En ese contexto, la revisión de la ca</w:t>
      </w:r>
      <w:r>
        <w:rPr>
          <w:rFonts w:ascii="Calibri" w:hAnsi="Calibri" w:cs="Calibri"/>
          <w:color w:val="000000" w:themeColor="text1"/>
          <w:sz w:val="24"/>
          <w:szCs w:val="24"/>
        </w:rPr>
        <w:t>r</w:t>
      </w:r>
      <w:r w:rsidRPr="00C44E24">
        <w:rPr>
          <w:rFonts w:ascii="Calibri" w:hAnsi="Calibri" w:cs="Calibri"/>
          <w:color w:val="000000" w:themeColor="text1"/>
          <w:sz w:val="24"/>
          <w:szCs w:val="24"/>
        </w:rPr>
        <w:t>tera de financiamiento con organismos internacionales focalizando las prioridades en función de los ODS, la adecuación del marco fiscal del gobierno central y las entidades descentralizadas</w:t>
      </w:r>
      <w:r>
        <w:rPr>
          <w:rFonts w:ascii="Calibri" w:hAnsi="Calibri" w:cs="Calibri"/>
          <w:color w:val="000000" w:themeColor="text1"/>
          <w:sz w:val="24"/>
          <w:szCs w:val="24"/>
        </w:rPr>
        <w:t xml:space="preserve"> </w:t>
      </w:r>
      <w:r w:rsidRPr="00C44E24">
        <w:rPr>
          <w:rFonts w:ascii="Calibri" w:hAnsi="Calibri" w:cs="Calibri"/>
          <w:color w:val="000000" w:themeColor="text1"/>
          <w:sz w:val="24"/>
          <w:szCs w:val="24"/>
        </w:rPr>
        <w:t xml:space="preserve">parecen ser una vía para acelerar el cumplimiento de las metas ODS. </w:t>
      </w:r>
      <w:r>
        <w:rPr>
          <w:rFonts w:ascii="Calibri" w:hAnsi="Calibri" w:cs="Calibri"/>
          <w:color w:val="000000" w:themeColor="text1"/>
          <w:sz w:val="24"/>
          <w:szCs w:val="24"/>
        </w:rPr>
        <w:t>E</w:t>
      </w:r>
      <w:r w:rsidRPr="00C44E24">
        <w:rPr>
          <w:rFonts w:ascii="Calibri" w:hAnsi="Calibri" w:cs="Calibri"/>
          <w:color w:val="000000" w:themeColor="text1"/>
          <w:sz w:val="24"/>
          <w:szCs w:val="24"/>
        </w:rPr>
        <w:t xml:space="preserve">l desarrollo local emerge como la manera </w:t>
      </w:r>
      <w:r>
        <w:rPr>
          <w:rFonts w:ascii="Calibri" w:hAnsi="Calibri" w:cs="Calibri"/>
          <w:color w:val="000000" w:themeColor="text1"/>
          <w:sz w:val="24"/>
          <w:szCs w:val="24"/>
        </w:rPr>
        <w:t>para</w:t>
      </w:r>
      <w:r w:rsidRPr="00C44E24">
        <w:rPr>
          <w:rFonts w:ascii="Calibri" w:hAnsi="Calibri" w:cs="Calibri"/>
          <w:color w:val="000000" w:themeColor="text1"/>
          <w:sz w:val="24"/>
          <w:szCs w:val="24"/>
        </w:rPr>
        <w:t xml:space="preserve"> la realización plena de los derechos de las personas</w:t>
      </w:r>
      <w:r>
        <w:rPr>
          <w:rFonts w:ascii="Calibri" w:hAnsi="Calibri" w:cs="Calibri"/>
          <w:color w:val="000000" w:themeColor="text1"/>
          <w:sz w:val="24"/>
          <w:szCs w:val="24"/>
        </w:rPr>
        <w:t xml:space="preserve"> y</w:t>
      </w:r>
      <w:r w:rsidRPr="00C44E24">
        <w:rPr>
          <w:rFonts w:ascii="Calibri" w:hAnsi="Calibri" w:cs="Calibri"/>
          <w:color w:val="000000" w:themeColor="text1"/>
          <w:sz w:val="24"/>
          <w:szCs w:val="24"/>
        </w:rPr>
        <w:t xml:space="preserve"> el punto de partida para el fomento del capital social</w:t>
      </w:r>
      <w:r>
        <w:rPr>
          <w:rFonts w:ascii="Calibri" w:hAnsi="Calibri" w:cs="Calibri"/>
          <w:color w:val="000000" w:themeColor="text1"/>
          <w:sz w:val="24"/>
          <w:szCs w:val="24"/>
        </w:rPr>
        <w:t xml:space="preserve"> y</w:t>
      </w:r>
      <w:r w:rsidRPr="00C44E24">
        <w:rPr>
          <w:rFonts w:ascii="Calibri" w:hAnsi="Calibri" w:cs="Calibri"/>
          <w:color w:val="000000" w:themeColor="text1"/>
          <w:sz w:val="24"/>
          <w:szCs w:val="24"/>
        </w:rPr>
        <w:t xml:space="preserve"> el desarrollo de capacidades, para la creación de redes de colaboración y la acción social. El Plan Colmena</w:t>
      </w:r>
      <w:r>
        <w:rPr>
          <w:rFonts w:ascii="Calibri" w:hAnsi="Calibri" w:cs="Calibri"/>
          <w:color w:val="000000" w:themeColor="text1"/>
          <w:sz w:val="24"/>
          <w:szCs w:val="24"/>
        </w:rPr>
        <w:t xml:space="preserve">, cuyo objetivo es organizar territorialmente la implementación integral de la política pública a través de la oferta multisectorial articulada que garantice a la población el derecho al desarrollo, </w:t>
      </w:r>
      <w:r w:rsidRPr="00C44E24">
        <w:rPr>
          <w:rFonts w:ascii="Calibri" w:hAnsi="Calibri" w:cs="Calibri"/>
          <w:color w:val="000000" w:themeColor="text1"/>
          <w:sz w:val="24"/>
          <w:szCs w:val="24"/>
        </w:rPr>
        <w:t xml:space="preserve">es el primer paso en esa dirección. </w:t>
      </w:r>
    </w:p>
    <w:p w14:paraId="46618D7C" w14:textId="77777777" w:rsidR="000C171B" w:rsidRDefault="000C171B" w:rsidP="000C171B">
      <w:pPr>
        <w:spacing w:after="0" w:line="240" w:lineRule="auto"/>
        <w:jc w:val="both"/>
        <w:rPr>
          <w:rFonts w:ascii="Calibri" w:hAnsi="Calibri" w:cs="Calibri"/>
          <w:color w:val="000000" w:themeColor="text1"/>
          <w:sz w:val="24"/>
          <w:szCs w:val="24"/>
        </w:rPr>
      </w:pPr>
    </w:p>
    <w:p w14:paraId="277D960E" w14:textId="77777777" w:rsidR="000C171B" w:rsidRDefault="000C171B" w:rsidP="000C171B">
      <w:pPr>
        <w:spacing w:after="0" w:line="240" w:lineRule="auto"/>
        <w:jc w:val="both"/>
        <w:rPr>
          <w:rFonts w:cstheme="minorHAnsi"/>
          <w:color w:val="000000" w:themeColor="text1"/>
          <w:sz w:val="24"/>
          <w:szCs w:val="24"/>
        </w:rPr>
      </w:pPr>
      <w:r>
        <w:rPr>
          <w:rFonts w:cstheme="minorHAnsi"/>
          <w:color w:val="000000" w:themeColor="text1"/>
          <w:sz w:val="24"/>
          <w:szCs w:val="24"/>
        </w:rPr>
        <w:t>S</w:t>
      </w:r>
      <w:r w:rsidRPr="00371B75">
        <w:rPr>
          <w:rFonts w:cstheme="minorHAnsi"/>
          <w:color w:val="000000" w:themeColor="text1"/>
          <w:sz w:val="24"/>
          <w:szCs w:val="24"/>
        </w:rPr>
        <w:t xml:space="preserve">e observan algunos </w:t>
      </w:r>
      <w:r>
        <w:rPr>
          <w:rFonts w:cstheme="minorHAnsi"/>
          <w:color w:val="000000" w:themeColor="text1"/>
          <w:sz w:val="24"/>
          <w:szCs w:val="24"/>
        </w:rPr>
        <w:t xml:space="preserve">escenarios </w:t>
      </w:r>
      <w:r w:rsidRPr="00371B75">
        <w:rPr>
          <w:rFonts w:cstheme="minorHAnsi"/>
          <w:color w:val="000000" w:themeColor="text1"/>
          <w:sz w:val="24"/>
          <w:szCs w:val="24"/>
        </w:rPr>
        <w:t>emergentes</w:t>
      </w:r>
      <w:r>
        <w:rPr>
          <w:rFonts w:cstheme="minorHAnsi"/>
          <w:color w:val="000000" w:themeColor="text1"/>
          <w:sz w:val="24"/>
          <w:szCs w:val="24"/>
        </w:rPr>
        <w:t xml:space="preserve"> que pueden constituirse en riesgos y/o amenazas</w:t>
      </w:r>
      <w:r w:rsidRPr="00371B75">
        <w:rPr>
          <w:rFonts w:cstheme="minorHAnsi"/>
          <w:color w:val="000000" w:themeColor="text1"/>
          <w:sz w:val="24"/>
          <w:szCs w:val="24"/>
        </w:rPr>
        <w:t>: (i) la reducción del crecimiento del país como resultado de la gestión y proyección incorrecta del gasto y la inversión pública</w:t>
      </w:r>
      <w:r>
        <w:rPr>
          <w:rFonts w:cstheme="minorHAnsi"/>
          <w:color w:val="000000" w:themeColor="text1"/>
          <w:sz w:val="24"/>
          <w:szCs w:val="24"/>
        </w:rPr>
        <w:t xml:space="preserve"> c</w:t>
      </w:r>
      <w:r w:rsidRPr="00371B75">
        <w:rPr>
          <w:rFonts w:cstheme="minorHAnsi"/>
          <w:color w:val="000000" w:themeColor="text1"/>
          <w:sz w:val="24"/>
          <w:szCs w:val="24"/>
        </w:rPr>
        <w:t>on efectos en los programas de protección social no contributiva orientados hacia las personas y hogares en situación de pobreza y vulnerabilidad</w:t>
      </w:r>
      <w:r>
        <w:rPr>
          <w:rFonts w:cstheme="minorHAnsi"/>
          <w:color w:val="000000" w:themeColor="text1"/>
          <w:sz w:val="24"/>
          <w:szCs w:val="24"/>
        </w:rPr>
        <w:t xml:space="preserve"> y </w:t>
      </w:r>
      <w:r w:rsidRPr="00371B75">
        <w:rPr>
          <w:rFonts w:cstheme="minorHAnsi"/>
          <w:color w:val="000000" w:themeColor="text1"/>
          <w:sz w:val="24"/>
          <w:szCs w:val="24"/>
        </w:rPr>
        <w:t>la inversión económica, ambiental y social; (</w:t>
      </w:r>
      <w:proofErr w:type="spellStart"/>
      <w:r w:rsidRPr="00371B75">
        <w:rPr>
          <w:rFonts w:cstheme="minorHAnsi"/>
          <w:color w:val="000000" w:themeColor="text1"/>
          <w:sz w:val="24"/>
          <w:szCs w:val="24"/>
        </w:rPr>
        <w:t>ii</w:t>
      </w:r>
      <w:proofErr w:type="spellEnd"/>
      <w:r w:rsidRPr="00371B75">
        <w:rPr>
          <w:rFonts w:cstheme="minorHAnsi"/>
          <w:color w:val="000000" w:themeColor="text1"/>
          <w:sz w:val="24"/>
          <w:szCs w:val="24"/>
        </w:rPr>
        <w:t>) el manejo gubernamental de las calificaciones internacionales de inversión y riesgo con efectos directos en la competitividad, en la dinámica del sector financiero y en el desarrollo logístico del país; (</w:t>
      </w:r>
      <w:proofErr w:type="spellStart"/>
      <w:r w:rsidRPr="00371B75">
        <w:rPr>
          <w:rFonts w:cstheme="minorHAnsi"/>
          <w:color w:val="000000" w:themeColor="text1"/>
          <w:sz w:val="24"/>
          <w:szCs w:val="24"/>
        </w:rPr>
        <w:t>iii</w:t>
      </w:r>
      <w:proofErr w:type="spellEnd"/>
      <w:r w:rsidRPr="00371B75">
        <w:rPr>
          <w:rFonts w:cstheme="minorHAnsi"/>
          <w:color w:val="000000" w:themeColor="text1"/>
          <w:sz w:val="24"/>
          <w:szCs w:val="24"/>
        </w:rPr>
        <w:t xml:space="preserve">) la ausencia de capacidad para la </w:t>
      </w:r>
      <w:r w:rsidRPr="00371B75">
        <w:rPr>
          <w:rFonts w:ascii="Calibri" w:hAnsi="Calibri" w:cs="Calibri"/>
          <w:color w:val="000000" w:themeColor="text1"/>
          <w:sz w:val="24"/>
          <w:szCs w:val="24"/>
        </w:rPr>
        <w:t>mitigación y adaptación al cambio climático ,</w:t>
      </w:r>
      <w:r>
        <w:rPr>
          <w:rFonts w:ascii="Calibri" w:hAnsi="Calibri" w:cs="Calibri"/>
          <w:color w:val="000000" w:themeColor="text1"/>
          <w:sz w:val="24"/>
          <w:szCs w:val="24"/>
        </w:rPr>
        <w:t xml:space="preserve"> aumenta el impacto y la frecuencia de los </w:t>
      </w:r>
      <w:r w:rsidRPr="00371B75">
        <w:rPr>
          <w:rFonts w:ascii="Calibri" w:hAnsi="Calibri" w:cs="Calibri"/>
          <w:color w:val="000000" w:themeColor="text1"/>
          <w:sz w:val="24"/>
          <w:szCs w:val="24"/>
        </w:rPr>
        <w:t>desastres, pérdida de biodiversidad y colapso de ecosistemas, desastres ambientales causados por la intervención humana</w:t>
      </w:r>
      <w:r w:rsidRPr="00371B75">
        <w:rPr>
          <w:rStyle w:val="FootnoteReference"/>
          <w:rFonts w:ascii="Calibri" w:hAnsi="Calibri" w:cs="Calibri"/>
          <w:color w:val="000000" w:themeColor="text1"/>
          <w:sz w:val="24"/>
          <w:szCs w:val="24"/>
        </w:rPr>
        <w:footnoteReference w:id="2"/>
      </w:r>
      <w:r w:rsidRPr="00371B75">
        <w:rPr>
          <w:rFonts w:ascii="Calibri" w:hAnsi="Calibri" w:cs="Calibri"/>
          <w:color w:val="000000" w:themeColor="text1"/>
          <w:sz w:val="24"/>
          <w:szCs w:val="24"/>
        </w:rPr>
        <w:t xml:space="preserve"> que provocan desigualdades</w:t>
      </w:r>
      <w:r w:rsidRPr="00371B75">
        <w:rPr>
          <w:rStyle w:val="FootnoteReference"/>
          <w:rFonts w:ascii="Calibri" w:hAnsi="Calibri" w:cs="Calibri"/>
          <w:color w:val="000000" w:themeColor="text1"/>
          <w:sz w:val="24"/>
          <w:szCs w:val="24"/>
        </w:rPr>
        <w:footnoteReference w:id="3"/>
      </w:r>
      <w:r w:rsidRPr="00371B75">
        <w:rPr>
          <w:rFonts w:ascii="Calibri" w:hAnsi="Calibri" w:cs="Calibri"/>
          <w:color w:val="000000" w:themeColor="text1"/>
          <w:sz w:val="24"/>
          <w:szCs w:val="24"/>
        </w:rPr>
        <w:t xml:space="preserve"> según </w:t>
      </w:r>
      <w:r w:rsidRPr="00371B75">
        <w:rPr>
          <w:rFonts w:cstheme="minorHAnsi"/>
          <w:color w:val="000000" w:themeColor="text1"/>
          <w:sz w:val="24"/>
          <w:szCs w:val="24"/>
        </w:rPr>
        <w:t>etnia, ubicación geográfica, sexo y edad; (</w:t>
      </w:r>
      <w:proofErr w:type="spellStart"/>
      <w:r w:rsidRPr="00371B75">
        <w:rPr>
          <w:rFonts w:cstheme="minorHAnsi"/>
          <w:color w:val="000000" w:themeColor="text1"/>
          <w:sz w:val="24"/>
          <w:szCs w:val="24"/>
        </w:rPr>
        <w:t>iv</w:t>
      </w:r>
      <w:proofErr w:type="spellEnd"/>
      <w:r w:rsidRPr="00371B75">
        <w:rPr>
          <w:rFonts w:cstheme="minorHAnsi"/>
          <w:color w:val="000000" w:themeColor="text1"/>
          <w:sz w:val="24"/>
          <w:szCs w:val="24"/>
        </w:rPr>
        <w:t>) la frágil institucionalidad púb</w:t>
      </w:r>
      <w:r>
        <w:rPr>
          <w:rFonts w:cstheme="minorHAnsi"/>
          <w:color w:val="000000" w:themeColor="text1"/>
          <w:sz w:val="24"/>
          <w:szCs w:val="24"/>
        </w:rPr>
        <w:t>l</w:t>
      </w:r>
      <w:r w:rsidRPr="00371B75">
        <w:rPr>
          <w:rFonts w:cstheme="minorHAnsi"/>
          <w:color w:val="000000" w:themeColor="text1"/>
          <w:sz w:val="24"/>
          <w:szCs w:val="24"/>
        </w:rPr>
        <w:t xml:space="preserve">ica con limitadas capacidades para dar respuestas a las necesidades de la población; (v) el escaso nivel de participación de la población en los mecanismos de gobernanza local; </w:t>
      </w:r>
      <w:r>
        <w:rPr>
          <w:rFonts w:cstheme="minorHAnsi"/>
          <w:color w:val="000000" w:themeColor="text1"/>
          <w:sz w:val="24"/>
          <w:szCs w:val="24"/>
        </w:rPr>
        <w:t xml:space="preserve">(vi) </w:t>
      </w:r>
      <w:r w:rsidRPr="00371B75">
        <w:rPr>
          <w:rFonts w:cstheme="minorHAnsi"/>
          <w:color w:val="000000" w:themeColor="text1"/>
          <w:sz w:val="24"/>
          <w:szCs w:val="24"/>
        </w:rPr>
        <w:t>las crecientes protestas  motivadas por la corrupción, los cambios constitucionales inconsultos, la  discriminación de género y la creciente polarización social.</w:t>
      </w:r>
    </w:p>
    <w:p w14:paraId="17F25FEB" w14:textId="77777777" w:rsidR="000C171B" w:rsidRDefault="000C171B" w:rsidP="000C171B">
      <w:pPr>
        <w:spacing w:after="0" w:line="240" w:lineRule="auto"/>
        <w:jc w:val="both"/>
        <w:rPr>
          <w:rFonts w:cstheme="minorHAnsi"/>
          <w:color w:val="000000" w:themeColor="text1"/>
          <w:sz w:val="24"/>
          <w:szCs w:val="24"/>
        </w:rPr>
      </w:pPr>
    </w:p>
    <w:p w14:paraId="48568320" w14:textId="668F0D36" w:rsidR="000C171B" w:rsidRDefault="000C171B" w:rsidP="000C171B">
      <w:pPr>
        <w:spacing w:after="0" w:line="240" w:lineRule="auto"/>
        <w:jc w:val="both"/>
        <w:rPr>
          <w:rFonts w:ascii="Calibri" w:hAnsi="Calibri" w:cs="Calibri"/>
          <w:color w:val="000000" w:themeColor="text1"/>
          <w:sz w:val="24"/>
          <w:szCs w:val="24"/>
        </w:rPr>
      </w:pPr>
      <w:r w:rsidRPr="00371B75">
        <w:rPr>
          <w:rFonts w:ascii="Calibri" w:hAnsi="Calibri" w:cs="Calibri"/>
          <w:color w:val="000000" w:themeColor="text1"/>
          <w:sz w:val="24"/>
          <w:szCs w:val="24"/>
        </w:rPr>
        <w:t>En un contexto donde, por un lado, competitividad, educación, calidad institucional, cohesión social y cambio climático determinarán la dinámica, énfasis y resultados de la política pública</w:t>
      </w:r>
      <w:r>
        <w:rPr>
          <w:rFonts w:ascii="Calibri" w:hAnsi="Calibri" w:cs="Calibri"/>
          <w:color w:val="000000" w:themeColor="text1"/>
          <w:sz w:val="24"/>
          <w:szCs w:val="24"/>
        </w:rPr>
        <w:t xml:space="preserve"> </w:t>
      </w:r>
      <w:r>
        <w:rPr>
          <w:rFonts w:ascii="Calibri" w:hAnsi="Calibri" w:cs="Calibri"/>
          <w:color w:val="000000" w:themeColor="text1"/>
          <w:sz w:val="24"/>
          <w:szCs w:val="24"/>
        </w:rPr>
        <w:lastRenderedPageBreak/>
        <w:t>(BID, 2019)</w:t>
      </w:r>
      <w:r w:rsidRPr="00371B75">
        <w:rPr>
          <w:rFonts w:ascii="Calibri" w:hAnsi="Calibri" w:cs="Calibri"/>
          <w:color w:val="000000" w:themeColor="text1"/>
          <w:sz w:val="24"/>
          <w:szCs w:val="24"/>
        </w:rPr>
        <w:t>; mientras que</w:t>
      </w:r>
      <w:r>
        <w:rPr>
          <w:rFonts w:ascii="Calibri" w:hAnsi="Calibri" w:cs="Calibri"/>
          <w:color w:val="000000" w:themeColor="text1"/>
          <w:sz w:val="24"/>
          <w:szCs w:val="24"/>
        </w:rPr>
        <w:t>,</w:t>
      </w:r>
      <w:r w:rsidRPr="00371B75">
        <w:rPr>
          <w:rFonts w:ascii="Calibri" w:hAnsi="Calibri" w:cs="Calibri"/>
          <w:color w:val="000000" w:themeColor="text1"/>
          <w:sz w:val="24"/>
          <w:szCs w:val="24"/>
        </w:rPr>
        <w:t xml:space="preserve"> por el otro, la estructura y el funcionamiento de la administración pública serán más que esenciales </w:t>
      </w:r>
      <w:r>
        <w:rPr>
          <w:rFonts w:ascii="Calibri" w:hAnsi="Calibri" w:cs="Calibri"/>
          <w:color w:val="000000" w:themeColor="text1"/>
          <w:sz w:val="24"/>
          <w:szCs w:val="24"/>
        </w:rPr>
        <w:t xml:space="preserve">para </w:t>
      </w:r>
      <w:r w:rsidRPr="00371B75">
        <w:rPr>
          <w:rFonts w:ascii="Calibri" w:hAnsi="Calibri" w:cs="Calibri"/>
          <w:color w:val="000000" w:themeColor="text1"/>
          <w:sz w:val="24"/>
          <w:szCs w:val="24"/>
        </w:rPr>
        <w:t>desarrollar políticas públicas integrales, orientadas hacia el cumplimiento de la Agenda 2030 (IDH</w:t>
      </w:r>
      <w:r>
        <w:rPr>
          <w:rFonts w:ascii="Calibri" w:hAnsi="Calibri" w:cs="Calibri"/>
          <w:color w:val="000000" w:themeColor="text1"/>
          <w:sz w:val="24"/>
          <w:szCs w:val="24"/>
        </w:rPr>
        <w:t>,</w:t>
      </w:r>
      <w:r w:rsidRPr="00371B75">
        <w:rPr>
          <w:rFonts w:ascii="Calibri" w:hAnsi="Calibri" w:cs="Calibri"/>
          <w:color w:val="000000" w:themeColor="text1"/>
          <w:sz w:val="24"/>
          <w:szCs w:val="24"/>
        </w:rPr>
        <w:t xml:space="preserve"> 2019).</w:t>
      </w:r>
    </w:p>
    <w:p w14:paraId="3738C02C" w14:textId="77777777" w:rsidR="00DA419A" w:rsidRDefault="00DA419A" w:rsidP="000C171B">
      <w:pPr>
        <w:spacing w:after="0" w:line="240" w:lineRule="auto"/>
        <w:jc w:val="both"/>
        <w:rPr>
          <w:rFonts w:ascii="Calibri" w:hAnsi="Calibri" w:cs="Calibri"/>
          <w:color w:val="000000" w:themeColor="text1"/>
          <w:sz w:val="24"/>
          <w:szCs w:val="24"/>
        </w:rPr>
      </w:pPr>
    </w:p>
    <w:p w14:paraId="2432E26D" w14:textId="77777777" w:rsidR="000C171B" w:rsidRPr="00586FF3" w:rsidRDefault="000C171B" w:rsidP="000C171B">
      <w:pPr>
        <w:pStyle w:val="ListParagraph"/>
        <w:spacing w:after="0" w:line="240" w:lineRule="auto"/>
        <w:ind w:left="0"/>
        <w:rPr>
          <w:rFonts w:ascii="Calibri" w:hAnsi="Calibri" w:cs="Calibri"/>
          <w:b/>
          <w:bCs/>
          <w:color w:val="4472C4" w:themeColor="accent1"/>
          <w:sz w:val="24"/>
          <w:szCs w:val="24"/>
        </w:rPr>
      </w:pPr>
      <w:r>
        <w:rPr>
          <w:rFonts w:ascii="Calibri" w:hAnsi="Calibri" w:cs="Calibri"/>
          <w:b/>
          <w:bCs/>
          <w:color w:val="4472C4" w:themeColor="accent1"/>
          <w:sz w:val="24"/>
          <w:szCs w:val="24"/>
        </w:rPr>
        <w:t>1</w:t>
      </w:r>
      <w:r w:rsidRPr="00586FF3">
        <w:rPr>
          <w:rFonts w:ascii="Calibri" w:hAnsi="Calibri" w:cs="Calibri"/>
          <w:b/>
          <w:bCs/>
          <w:color w:val="4472C4" w:themeColor="accent1"/>
          <w:sz w:val="24"/>
          <w:szCs w:val="24"/>
        </w:rPr>
        <w:t>. CONTEXTO DEL PAÍS.</w:t>
      </w:r>
    </w:p>
    <w:p w14:paraId="4F2538A7" w14:textId="77777777" w:rsidR="000C171B" w:rsidRPr="00586FF3" w:rsidRDefault="000C171B" w:rsidP="000C171B">
      <w:pPr>
        <w:pStyle w:val="ListParagraph"/>
        <w:spacing w:after="0" w:line="240" w:lineRule="auto"/>
        <w:ind w:left="0"/>
        <w:rPr>
          <w:rFonts w:ascii="Calibri" w:hAnsi="Calibri" w:cs="Calibri"/>
          <w:b/>
          <w:bCs/>
          <w:color w:val="4472C4" w:themeColor="accent1"/>
          <w:sz w:val="24"/>
          <w:szCs w:val="24"/>
        </w:rPr>
      </w:pPr>
      <w:r w:rsidRPr="00586FF3">
        <w:rPr>
          <w:rFonts w:ascii="Calibri" w:hAnsi="Calibri" w:cs="Calibri"/>
          <w:b/>
          <w:bCs/>
          <w:color w:val="4472C4" w:themeColor="accent1"/>
          <w:sz w:val="24"/>
          <w:szCs w:val="24"/>
        </w:rPr>
        <w:tab/>
      </w:r>
    </w:p>
    <w:p w14:paraId="61FB3C54" w14:textId="77777777" w:rsidR="000C171B" w:rsidRDefault="000C171B" w:rsidP="000C171B">
      <w:pPr>
        <w:spacing w:after="0" w:line="240" w:lineRule="auto"/>
        <w:jc w:val="both"/>
        <w:rPr>
          <w:rFonts w:eastAsia="Verdana" w:cstheme="minorHAnsi"/>
          <w:color w:val="000000" w:themeColor="text1"/>
          <w:sz w:val="24"/>
          <w:szCs w:val="24"/>
        </w:rPr>
      </w:pPr>
      <w:r w:rsidRPr="004F3680">
        <w:rPr>
          <w:rFonts w:eastAsia="Verdana" w:cstheme="minorHAnsi"/>
          <w:color w:val="000000" w:themeColor="text1"/>
          <w:sz w:val="24"/>
          <w:szCs w:val="24"/>
        </w:rPr>
        <w:t>Con una población de 4,158.8 millones de habitantes en el 2018, una superficie total de 75,319.8</w:t>
      </w:r>
      <w:r>
        <w:rPr>
          <w:rFonts w:eastAsia="Verdana" w:cstheme="minorHAnsi"/>
          <w:color w:val="000000" w:themeColor="text1"/>
          <w:sz w:val="24"/>
          <w:szCs w:val="24"/>
        </w:rPr>
        <w:t xml:space="preserve"> </w:t>
      </w:r>
      <w:r w:rsidRPr="004F3680">
        <w:rPr>
          <w:rFonts w:eastAsia="Verdana" w:cstheme="minorHAnsi"/>
          <w:color w:val="000000" w:themeColor="text1"/>
          <w:sz w:val="24"/>
          <w:szCs w:val="24"/>
        </w:rPr>
        <w:t>km2, un producto interno bruto (PIB) de $65.0 mil millones en valores corrientes, un PIB per</w:t>
      </w:r>
      <w:r>
        <w:rPr>
          <w:rFonts w:eastAsia="Verdana" w:cstheme="minorHAnsi"/>
          <w:color w:val="000000" w:themeColor="text1"/>
          <w:sz w:val="24"/>
          <w:szCs w:val="24"/>
        </w:rPr>
        <w:t xml:space="preserve"> </w:t>
      </w:r>
      <w:r w:rsidRPr="004F3680">
        <w:rPr>
          <w:rFonts w:eastAsia="Verdana" w:cstheme="minorHAnsi"/>
          <w:color w:val="000000" w:themeColor="text1"/>
          <w:sz w:val="24"/>
          <w:szCs w:val="24"/>
        </w:rPr>
        <w:t>cápita de $15,642.8 en valores corrientes y exportaciones por $13,595.5 millones en el 2018</w:t>
      </w:r>
      <w:r>
        <w:rPr>
          <w:rFonts w:eastAsia="Verdana" w:cstheme="minorHAnsi"/>
          <w:color w:val="000000" w:themeColor="text1"/>
          <w:sz w:val="24"/>
          <w:szCs w:val="24"/>
        </w:rPr>
        <w:t xml:space="preserve">, </w:t>
      </w:r>
      <w:r w:rsidRPr="004F3680">
        <w:rPr>
          <w:rFonts w:eastAsia="Verdana" w:cstheme="minorHAnsi"/>
          <w:color w:val="000000" w:themeColor="text1"/>
          <w:sz w:val="24"/>
          <w:szCs w:val="24"/>
        </w:rPr>
        <w:t>de</w:t>
      </w:r>
      <w:r>
        <w:rPr>
          <w:rFonts w:eastAsia="Verdana" w:cstheme="minorHAnsi"/>
          <w:color w:val="000000" w:themeColor="text1"/>
          <w:sz w:val="24"/>
          <w:szCs w:val="24"/>
        </w:rPr>
        <w:t xml:space="preserve"> </w:t>
      </w:r>
      <w:r w:rsidRPr="004F3680">
        <w:rPr>
          <w:rFonts w:eastAsia="Verdana" w:cstheme="minorHAnsi"/>
          <w:color w:val="000000" w:themeColor="text1"/>
          <w:sz w:val="24"/>
          <w:szCs w:val="24"/>
        </w:rPr>
        <w:t>los cuales $672.3 millones corresponden a bienes y $12,923.2 a servicios (SOKOL</w:t>
      </w:r>
      <w:r>
        <w:rPr>
          <w:rFonts w:eastAsia="Verdana" w:cstheme="minorHAnsi"/>
          <w:color w:val="000000" w:themeColor="text1"/>
          <w:sz w:val="24"/>
          <w:szCs w:val="24"/>
        </w:rPr>
        <w:t>,</w:t>
      </w:r>
      <w:r w:rsidRPr="004F3680">
        <w:rPr>
          <w:rFonts w:eastAsia="Verdana" w:cstheme="minorHAnsi"/>
          <w:color w:val="000000" w:themeColor="text1"/>
          <w:sz w:val="24"/>
          <w:szCs w:val="24"/>
        </w:rPr>
        <w:t xml:space="preserve"> 2019)</w:t>
      </w:r>
      <w:r>
        <w:rPr>
          <w:rFonts w:eastAsia="Verdana" w:cstheme="minorHAnsi"/>
          <w:color w:val="000000" w:themeColor="text1"/>
          <w:sz w:val="24"/>
          <w:szCs w:val="24"/>
        </w:rPr>
        <w:t xml:space="preserve">, </w:t>
      </w:r>
      <w:r w:rsidRPr="00C65A5A">
        <w:rPr>
          <w:rFonts w:eastAsia="Verdana" w:cstheme="minorHAnsi"/>
          <w:color w:val="000000" w:themeColor="text1"/>
          <w:sz w:val="24"/>
          <w:szCs w:val="24"/>
        </w:rPr>
        <w:t xml:space="preserve">Panamá es </w:t>
      </w:r>
      <w:r>
        <w:rPr>
          <w:rFonts w:eastAsia="Verdana" w:cstheme="minorHAnsi"/>
          <w:color w:val="000000" w:themeColor="text1"/>
          <w:sz w:val="24"/>
          <w:szCs w:val="24"/>
        </w:rPr>
        <w:t xml:space="preserve">un </w:t>
      </w:r>
      <w:r w:rsidRPr="00C65A5A">
        <w:rPr>
          <w:rFonts w:eastAsia="Verdana" w:cstheme="minorHAnsi"/>
          <w:color w:val="000000" w:themeColor="text1"/>
          <w:sz w:val="24"/>
          <w:szCs w:val="24"/>
        </w:rPr>
        <w:t xml:space="preserve">país de altos ingresos. </w:t>
      </w:r>
      <w:r>
        <w:rPr>
          <w:rFonts w:eastAsia="Verdana" w:cstheme="minorHAnsi"/>
          <w:color w:val="000000" w:themeColor="text1"/>
          <w:sz w:val="24"/>
          <w:szCs w:val="24"/>
        </w:rPr>
        <w:t xml:space="preserve">En los últimos años el país </w:t>
      </w:r>
      <w:r w:rsidRPr="00C65A5A">
        <w:rPr>
          <w:rFonts w:eastAsia="Verdana" w:cstheme="minorHAnsi"/>
          <w:color w:val="000000" w:themeColor="text1"/>
          <w:sz w:val="24"/>
          <w:szCs w:val="24"/>
        </w:rPr>
        <w:t>mant</w:t>
      </w:r>
      <w:r>
        <w:rPr>
          <w:rFonts w:eastAsia="Verdana" w:cstheme="minorHAnsi"/>
          <w:color w:val="000000" w:themeColor="text1"/>
          <w:sz w:val="24"/>
          <w:szCs w:val="24"/>
        </w:rPr>
        <w:t xml:space="preserve">uvo altas </w:t>
      </w:r>
      <w:r w:rsidRPr="00C65A5A">
        <w:rPr>
          <w:rFonts w:eastAsia="Verdana" w:cstheme="minorHAnsi"/>
          <w:color w:val="000000" w:themeColor="text1"/>
          <w:sz w:val="24"/>
          <w:szCs w:val="24"/>
        </w:rPr>
        <w:t>tasas de crecimiento econ</w:t>
      </w:r>
      <w:r w:rsidRPr="00603C05">
        <w:rPr>
          <w:rFonts w:eastAsia="Verdana" w:cstheme="minorHAnsi"/>
          <w:color w:val="000000" w:themeColor="text1"/>
          <w:sz w:val="24"/>
          <w:szCs w:val="24"/>
        </w:rPr>
        <w:t>ómico en sectores como transporte, logística y servicios financieros</w:t>
      </w:r>
      <w:r>
        <w:rPr>
          <w:rFonts w:eastAsia="Verdana" w:cstheme="minorHAnsi"/>
          <w:color w:val="000000" w:themeColor="text1"/>
          <w:sz w:val="24"/>
          <w:szCs w:val="24"/>
        </w:rPr>
        <w:t xml:space="preserve">, como resultado de </w:t>
      </w:r>
      <w:r w:rsidRPr="006F5B5C">
        <w:rPr>
          <w:rFonts w:eastAsia="Verdana" w:cstheme="minorHAnsi"/>
          <w:color w:val="000000" w:themeColor="text1"/>
          <w:sz w:val="24"/>
          <w:szCs w:val="24"/>
        </w:rPr>
        <w:t>la expansión del</w:t>
      </w:r>
      <w:r>
        <w:rPr>
          <w:rFonts w:eastAsia="Verdana" w:cstheme="minorHAnsi"/>
          <w:color w:val="000000" w:themeColor="text1"/>
          <w:sz w:val="24"/>
          <w:szCs w:val="24"/>
        </w:rPr>
        <w:t xml:space="preserve"> </w:t>
      </w:r>
      <w:r w:rsidRPr="006F5B5C">
        <w:rPr>
          <w:rFonts w:eastAsia="Verdana" w:cstheme="minorHAnsi"/>
          <w:color w:val="000000" w:themeColor="text1"/>
          <w:sz w:val="24"/>
          <w:szCs w:val="24"/>
        </w:rPr>
        <w:t>Canal,</w:t>
      </w:r>
      <w:r>
        <w:rPr>
          <w:rFonts w:eastAsia="Verdana" w:cstheme="minorHAnsi"/>
          <w:color w:val="000000" w:themeColor="text1"/>
          <w:sz w:val="24"/>
          <w:szCs w:val="24"/>
        </w:rPr>
        <w:t xml:space="preserve"> el sostenido crecimiento de la </w:t>
      </w:r>
      <w:r w:rsidRPr="006F5B5C">
        <w:rPr>
          <w:rFonts w:eastAsia="Verdana" w:cstheme="minorHAnsi"/>
          <w:color w:val="000000" w:themeColor="text1"/>
          <w:sz w:val="24"/>
          <w:szCs w:val="24"/>
        </w:rPr>
        <w:t>industria de la construcción, Zona Libre de</w:t>
      </w:r>
      <w:r>
        <w:rPr>
          <w:rFonts w:eastAsia="Verdana" w:cstheme="minorHAnsi"/>
          <w:color w:val="000000" w:themeColor="text1"/>
          <w:sz w:val="24"/>
          <w:szCs w:val="24"/>
        </w:rPr>
        <w:t xml:space="preserve"> </w:t>
      </w:r>
      <w:r w:rsidRPr="006F5B5C">
        <w:rPr>
          <w:rFonts w:eastAsia="Verdana" w:cstheme="minorHAnsi"/>
          <w:color w:val="000000" w:themeColor="text1"/>
          <w:sz w:val="24"/>
          <w:szCs w:val="24"/>
        </w:rPr>
        <w:t>Colón (ZLC) y Panamá Pacífico</w:t>
      </w:r>
      <w:r>
        <w:rPr>
          <w:rFonts w:eastAsia="Verdana" w:cstheme="minorHAnsi"/>
          <w:color w:val="000000" w:themeColor="text1"/>
          <w:sz w:val="24"/>
          <w:szCs w:val="24"/>
        </w:rPr>
        <w:t xml:space="preserve"> (PEG, 2019-2024)</w:t>
      </w:r>
      <w:r w:rsidRPr="00DD270A">
        <w:rPr>
          <w:rFonts w:eastAsia="Verdana" w:cstheme="minorHAnsi"/>
          <w:color w:val="000000" w:themeColor="text1"/>
          <w:sz w:val="24"/>
          <w:szCs w:val="24"/>
        </w:rPr>
        <w:t>.</w:t>
      </w:r>
      <w:r w:rsidRPr="006F5B5C">
        <w:rPr>
          <w:rFonts w:eastAsia="Verdana" w:cstheme="minorHAnsi"/>
          <w:color w:val="000000" w:themeColor="text1"/>
          <w:sz w:val="24"/>
          <w:szCs w:val="24"/>
        </w:rPr>
        <w:t xml:space="preserve"> </w:t>
      </w:r>
      <w:r>
        <w:rPr>
          <w:rFonts w:eastAsia="Verdana" w:cstheme="minorHAnsi"/>
          <w:color w:val="000000" w:themeColor="text1"/>
          <w:sz w:val="24"/>
          <w:szCs w:val="24"/>
        </w:rPr>
        <w:t xml:space="preserve">El crecimiento fue sostenido, pero no prolongado. </w:t>
      </w:r>
    </w:p>
    <w:p w14:paraId="7E463E4D" w14:textId="77777777" w:rsidR="000C171B" w:rsidRDefault="000C171B" w:rsidP="000C171B">
      <w:pPr>
        <w:spacing w:after="0" w:line="240" w:lineRule="auto"/>
        <w:jc w:val="both"/>
        <w:rPr>
          <w:rFonts w:eastAsia="Verdana" w:cstheme="minorHAnsi"/>
          <w:color w:val="000000" w:themeColor="text1"/>
          <w:sz w:val="24"/>
          <w:szCs w:val="24"/>
        </w:rPr>
      </w:pPr>
    </w:p>
    <w:p w14:paraId="67D0FD5E" w14:textId="77777777" w:rsidR="000C171B" w:rsidRDefault="000C171B" w:rsidP="000C171B">
      <w:pPr>
        <w:spacing w:after="0" w:line="240" w:lineRule="auto"/>
        <w:jc w:val="both"/>
        <w:rPr>
          <w:rFonts w:eastAsia="Verdana" w:cstheme="minorHAnsi"/>
          <w:color w:val="000000" w:themeColor="text1"/>
          <w:sz w:val="24"/>
          <w:szCs w:val="24"/>
        </w:rPr>
      </w:pPr>
      <w:r>
        <w:rPr>
          <w:rFonts w:eastAsia="Verdana" w:cstheme="minorHAnsi"/>
          <w:color w:val="000000" w:themeColor="text1"/>
          <w:sz w:val="24"/>
          <w:szCs w:val="24"/>
        </w:rPr>
        <w:t xml:space="preserve">Recientemente </w:t>
      </w:r>
      <w:r w:rsidRPr="00DD270A">
        <w:rPr>
          <w:rFonts w:eastAsia="Verdana" w:cstheme="minorHAnsi"/>
          <w:color w:val="000000" w:themeColor="text1"/>
          <w:sz w:val="24"/>
          <w:szCs w:val="24"/>
        </w:rPr>
        <w:t>la</w:t>
      </w:r>
      <w:r>
        <w:rPr>
          <w:rFonts w:eastAsia="Verdana" w:cstheme="minorHAnsi"/>
          <w:color w:val="000000" w:themeColor="text1"/>
          <w:sz w:val="24"/>
          <w:szCs w:val="24"/>
        </w:rPr>
        <w:t xml:space="preserve"> </w:t>
      </w:r>
      <w:r w:rsidRPr="00DD270A">
        <w:rPr>
          <w:rFonts w:eastAsia="Verdana" w:cstheme="minorHAnsi"/>
          <w:color w:val="000000" w:themeColor="text1"/>
          <w:sz w:val="24"/>
          <w:szCs w:val="24"/>
        </w:rPr>
        <w:t>economía panameña se ha desacelerado (al tercer</w:t>
      </w:r>
      <w:r>
        <w:rPr>
          <w:rFonts w:eastAsia="Verdana" w:cstheme="minorHAnsi"/>
          <w:color w:val="000000" w:themeColor="text1"/>
          <w:sz w:val="24"/>
          <w:szCs w:val="24"/>
        </w:rPr>
        <w:t xml:space="preserve"> </w:t>
      </w:r>
      <w:r w:rsidRPr="00DD270A">
        <w:rPr>
          <w:rFonts w:eastAsia="Verdana" w:cstheme="minorHAnsi"/>
          <w:color w:val="000000" w:themeColor="text1"/>
          <w:sz w:val="24"/>
          <w:szCs w:val="24"/>
        </w:rPr>
        <w:t xml:space="preserve">trimestre </w:t>
      </w:r>
      <w:r>
        <w:rPr>
          <w:rFonts w:eastAsia="Verdana" w:cstheme="minorHAnsi"/>
          <w:color w:val="000000" w:themeColor="text1"/>
          <w:sz w:val="24"/>
          <w:szCs w:val="24"/>
        </w:rPr>
        <w:t xml:space="preserve">2019, </w:t>
      </w:r>
      <w:r w:rsidRPr="00DD270A">
        <w:rPr>
          <w:rFonts w:eastAsia="Verdana" w:cstheme="minorHAnsi"/>
          <w:color w:val="000000" w:themeColor="text1"/>
          <w:sz w:val="24"/>
          <w:szCs w:val="24"/>
        </w:rPr>
        <w:t>creció</w:t>
      </w:r>
      <w:r>
        <w:rPr>
          <w:rFonts w:eastAsia="Verdana" w:cstheme="minorHAnsi"/>
          <w:color w:val="000000" w:themeColor="text1"/>
          <w:sz w:val="24"/>
          <w:szCs w:val="24"/>
        </w:rPr>
        <w:t xml:space="preserve"> </w:t>
      </w:r>
      <w:r w:rsidRPr="00DD270A">
        <w:rPr>
          <w:rFonts w:eastAsia="Verdana" w:cstheme="minorHAnsi"/>
          <w:color w:val="000000" w:themeColor="text1"/>
          <w:sz w:val="24"/>
          <w:szCs w:val="24"/>
        </w:rPr>
        <w:t xml:space="preserve">2.9%), </w:t>
      </w:r>
      <w:r>
        <w:rPr>
          <w:rFonts w:eastAsia="Verdana" w:cstheme="minorHAnsi"/>
          <w:color w:val="000000" w:themeColor="text1"/>
          <w:sz w:val="24"/>
          <w:szCs w:val="24"/>
        </w:rPr>
        <w:t xml:space="preserve">la </w:t>
      </w:r>
      <w:r w:rsidRPr="00DD270A">
        <w:rPr>
          <w:rFonts w:eastAsia="Verdana" w:cstheme="minorHAnsi"/>
          <w:color w:val="000000" w:themeColor="text1"/>
          <w:sz w:val="24"/>
          <w:szCs w:val="24"/>
        </w:rPr>
        <w:t>competitividad se ha</w:t>
      </w:r>
      <w:r>
        <w:rPr>
          <w:rFonts w:eastAsia="Verdana" w:cstheme="minorHAnsi"/>
          <w:color w:val="000000" w:themeColor="text1"/>
          <w:sz w:val="24"/>
          <w:szCs w:val="24"/>
        </w:rPr>
        <w:t xml:space="preserve"> </w:t>
      </w:r>
      <w:r w:rsidRPr="00DD270A">
        <w:rPr>
          <w:rFonts w:eastAsia="Verdana" w:cstheme="minorHAnsi"/>
          <w:color w:val="000000" w:themeColor="text1"/>
          <w:sz w:val="24"/>
          <w:szCs w:val="24"/>
        </w:rPr>
        <w:t>reducido</w:t>
      </w:r>
      <w:r>
        <w:rPr>
          <w:rFonts w:eastAsia="Verdana" w:cstheme="minorHAnsi"/>
          <w:color w:val="000000" w:themeColor="text1"/>
          <w:sz w:val="24"/>
          <w:szCs w:val="24"/>
        </w:rPr>
        <w:t>,</w:t>
      </w:r>
      <w:r w:rsidRPr="00DD270A">
        <w:rPr>
          <w:rFonts w:eastAsia="Verdana" w:cstheme="minorHAnsi"/>
          <w:color w:val="000000" w:themeColor="text1"/>
          <w:sz w:val="24"/>
          <w:szCs w:val="24"/>
        </w:rPr>
        <w:t xml:space="preserve"> </w:t>
      </w:r>
      <w:r>
        <w:rPr>
          <w:rFonts w:eastAsia="Verdana" w:cstheme="minorHAnsi"/>
          <w:color w:val="000000" w:themeColor="text1"/>
          <w:sz w:val="24"/>
          <w:szCs w:val="24"/>
        </w:rPr>
        <w:t xml:space="preserve">mientras que </w:t>
      </w:r>
      <w:r w:rsidRPr="00DD270A">
        <w:rPr>
          <w:rFonts w:eastAsia="Verdana" w:cstheme="minorHAnsi"/>
          <w:color w:val="000000" w:themeColor="text1"/>
          <w:sz w:val="24"/>
          <w:szCs w:val="24"/>
        </w:rPr>
        <w:t>la tasa de desempleo (7.1%</w:t>
      </w:r>
      <w:r>
        <w:rPr>
          <w:rFonts w:eastAsia="Verdana" w:cstheme="minorHAnsi"/>
          <w:color w:val="000000" w:themeColor="text1"/>
          <w:sz w:val="24"/>
          <w:szCs w:val="24"/>
        </w:rPr>
        <w:t xml:space="preserve"> </w:t>
      </w:r>
      <w:r w:rsidRPr="00DD270A">
        <w:rPr>
          <w:rFonts w:eastAsia="Verdana" w:cstheme="minorHAnsi"/>
          <w:color w:val="000000" w:themeColor="text1"/>
          <w:sz w:val="24"/>
          <w:szCs w:val="24"/>
        </w:rPr>
        <w:t>en 2019)</w:t>
      </w:r>
      <w:r>
        <w:rPr>
          <w:rFonts w:eastAsia="Verdana" w:cstheme="minorHAnsi"/>
          <w:color w:val="000000" w:themeColor="text1"/>
          <w:sz w:val="24"/>
          <w:szCs w:val="24"/>
        </w:rPr>
        <w:t xml:space="preserve">, </w:t>
      </w:r>
      <w:r w:rsidRPr="00DD270A">
        <w:rPr>
          <w:rFonts w:eastAsia="Verdana" w:cstheme="minorHAnsi"/>
          <w:color w:val="000000" w:themeColor="text1"/>
          <w:sz w:val="24"/>
          <w:szCs w:val="24"/>
        </w:rPr>
        <w:t>la informalidad (44.9% en 2019) han</w:t>
      </w:r>
      <w:r>
        <w:rPr>
          <w:rFonts w:eastAsia="Verdana" w:cstheme="minorHAnsi"/>
          <w:color w:val="000000" w:themeColor="text1"/>
          <w:sz w:val="24"/>
          <w:szCs w:val="24"/>
        </w:rPr>
        <w:t xml:space="preserve"> </w:t>
      </w:r>
      <w:r w:rsidRPr="00DD270A">
        <w:rPr>
          <w:rFonts w:eastAsia="Verdana" w:cstheme="minorHAnsi"/>
          <w:color w:val="000000" w:themeColor="text1"/>
          <w:sz w:val="24"/>
          <w:szCs w:val="24"/>
        </w:rPr>
        <w:t>aumentado</w:t>
      </w:r>
      <w:r>
        <w:rPr>
          <w:rFonts w:eastAsia="Verdana" w:cstheme="minorHAnsi"/>
          <w:color w:val="000000" w:themeColor="text1"/>
          <w:sz w:val="24"/>
          <w:szCs w:val="24"/>
        </w:rPr>
        <w:t xml:space="preserve"> y</w:t>
      </w:r>
      <w:r w:rsidRPr="00DD270A">
        <w:rPr>
          <w:rFonts w:eastAsia="Verdana" w:cstheme="minorHAnsi"/>
          <w:color w:val="000000" w:themeColor="text1"/>
          <w:sz w:val="24"/>
          <w:szCs w:val="24"/>
        </w:rPr>
        <w:t xml:space="preserve"> las desigualdades siguen afectando a la</w:t>
      </w:r>
      <w:r>
        <w:rPr>
          <w:rFonts w:eastAsia="Verdana" w:cstheme="minorHAnsi"/>
          <w:color w:val="000000" w:themeColor="text1"/>
          <w:sz w:val="24"/>
          <w:szCs w:val="24"/>
        </w:rPr>
        <w:t xml:space="preserve"> </w:t>
      </w:r>
      <w:r w:rsidRPr="00DD270A">
        <w:rPr>
          <w:rFonts w:eastAsia="Verdana" w:cstheme="minorHAnsi"/>
          <w:color w:val="000000" w:themeColor="text1"/>
          <w:sz w:val="24"/>
          <w:szCs w:val="24"/>
        </w:rPr>
        <w:t xml:space="preserve">población. </w:t>
      </w:r>
      <w:r>
        <w:rPr>
          <w:rFonts w:eastAsia="Verdana" w:cstheme="minorHAnsi"/>
          <w:color w:val="000000" w:themeColor="text1"/>
          <w:sz w:val="24"/>
          <w:szCs w:val="24"/>
        </w:rPr>
        <w:t>Por lo que, por un lado, l</w:t>
      </w:r>
      <w:r w:rsidRPr="00DD270A">
        <w:rPr>
          <w:rFonts w:eastAsia="Verdana" w:cstheme="minorHAnsi"/>
          <w:color w:val="000000" w:themeColor="text1"/>
          <w:sz w:val="24"/>
          <w:szCs w:val="24"/>
        </w:rPr>
        <w:t>a calidad y cobertura de los servicios</w:t>
      </w:r>
      <w:r>
        <w:rPr>
          <w:rFonts w:eastAsia="Verdana" w:cstheme="minorHAnsi"/>
          <w:color w:val="000000" w:themeColor="text1"/>
          <w:sz w:val="24"/>
          <w:szCs w:val="24"/>
        </w:rPr>
        <w:t xml:space="preserve"> </w:t>
      </w:r>
      <w:r w:rsidRPr="00DD270A">
        <w:rPr>
          <w:rFonts w:eastAsia="Verdana" w:cstheme="minorHAnsi"/>
          <w:color w:val="000000" w:themeColor="text1"/>
          <w:sz w:val="24"/>
          <w:szCs w:val="24"/>
        </w:rPr>
        <w:t>públicos prestados, especialmente a los más</w:t>
      </w:r>
      <w:r>
        <w:rPr>
          <w:rFonts w:eastAsia="Verdana" w:cstheme="minorHAnsi"/>
          <w:color w:val="000000" w:themeColor="text1"/>
          <w:sz w:val="24"/>
          <w:szCs w:val="24"/>
        </w:rPr>
        <w:t xml:space="preserve"> </w:t>
      </w:r>
      <w:r w:rsidRPr="00DD270A">
        <w:rPr>
          <w:rFonts w:eastAsia="Verdana" w:cstheme="minorHAnsi"/>
          <w:color w:val="000000" w:themeColor="text1"/>
          <w:sz w:val="24"/>
          <w:szCs w:val="24"/>
        </w:rPr>
        <w:t>vulnerables, son deficientes</w:t>
      </w:r>
      <w:r>
        <w:rPr>
          <w:rFonts w:eastAsia="Verdana" w:cstheme="minorHAnsi"/>
          <w:color w:val="000000" w:themeColor="text1"/>
          <w:sz w:val="24"/>
          <w:szCs w:val="24"/>
        </w:rPr>
        <w:t xml:space="preserve"> (PEG, 2019-2024); mientras que, por el otro, la </w:t>
      </w:r>
      <w:r w:rsidRPr="00603C05">
        <w:rPr>
          <w:rFonts w:eastAsia="Verdana" w:cstheme="minorHAnsi"/>
          <w:color w:val="000000" w:themeColor="text1"/>
          <w:sz w:val="24"/>
          <w:szCs w:val="24"/>
        </w:rPr>
        <w:t>severas desigualdades verticales y horizontales con una particular exclusión de las</w:t>
      </w:r>
      <w:r>
        <w:rPr>
          <w:rFonts w:eastAsia="Verdana" w:cstheme="minorHAnsi"/>
          <w:color w:val="000000" w:themeColor="text1"/>
          <w:sz w:val="24"/>
          <w:szCs w:val="24"/>
        </w:rPr>
        <w:t xml:space="preserve"> niños, niñas, adolescentes y mujeres jóvenes, </w:t>
      </w:r>
      <w:r w:rsidRPr="00C8079C">
        <w:rPr>
          <w:rFonts w:eastAsia="Verdana" w:cstheme="minorHAnsi"/>
          <w:color w:val="000000" w:themeColor="text1"/>
          <w:sz w:val="24"/>
          <w:szCs w:val="24"/>
        </w:rPr>
        <w:t>rurales, afro e indígenas</w:t>
      </w:r>
      <w:r>
        <w:rPr>
          <w:rFonts w:eastAsia="Verdana" w:cstheme="minorHAnsi"/>
          <w:color w:val="000000" w:themeColor="text1"/>
          <w:sz w:val="24"/>
          <w:szCs w:val="24"/>
        </w:rPr>
        <w:t>,</w:t>
      </w:r>
      <w:r w:rsidRPr="00C8079C">
        <w:rPr>
          <w:rFonts w:eastAsia="Verdana" w:cstheme="minorHAnsi"/>
          <w:color w:val="000000" w:themeColor="text1"/>
          <w:sz w:val="24"/>
          <w:szCs w:val="24"/>
        </w:rPr>
        <w:t xml:space="preserve"> </w:t>
      </w:r>
      <w:r>
        <w:rPr>
          <w:rFonts w:eastAsia="Verdana" w:cstheme="minorHAnsi"/>
          <w:color w:val="000000" w:themeColor="text1"/>
          <w:sz w:val="24"/>
          <w:szCs w:val="24"/>
        </w:rPr>
        <w:t>con altas cargas de cuidado doméstico no remunerado en zonas</w:t>
      </w:r>
      <w:r w:rsidRPr="00F06DC2">
        <w:rPr>
          <w:rFonts w:eastAsia="Verdana" w:cstheme="minorHAnsi"/>
          <w:color w:val="000000" w:themeColor="text1"/>
          <w:sz w:val="24"/>
          <w:szCs w:val="24"/>
        </w:rPr>
        <w:t xml:space="preserve"> rurales</w:t>
      </w:r>
      <w:r>
        <w:rPr>
          <w:rFonts w:eastAsia="Verdana" w:cstheme="minorHAnsi"/>
          <w:color w:val="000000" w:themeColor="text1"/>
          <w:sz w:val="24"/>
          <w:szCs w:val="24"/>
        </w:rPr>
        <w:t>, indígenas y vulnerables</w:t>
      </w:r>
      <w:r w:rsidRPr="00C65A5A">
        <w:rPr>
          <w:rFonts w:eastAsia="Verdana" w:cstheme="minorHAnsi"/>
          <w:color w:val="000000" w:themeColor="text1"/>
          <w:sz w:val="24"/>
          <w:szCs w:val="24"/>
        </w:rPr>
        <w:t xml:space="preserve">. Asimismo, como país de tránsito, </w:t>
      </w:r>
      <w:r>
        <w:rPr>
          <w:rFonts w:eastAsia="Verdana" w:cstheme="minorHAnsi"/>
          <w:color w:val="000000" w:themeColor="text1"/>
          <w:sz w:val="24"/>
          <w:szCs w:val="24"/>
        </w:rPr>
        <w:t xml:space="preserve">registra </w:t>
      </w:r>
      <w:r w:rsidRPr="00603C05">
        <w:rPr>
          <w:rFonts w:eastAsia="Verdana" w:cstheme="minorHAnsi"/>
          <w:color w:val="000000" w:themeColor="text1"/>
          <w:sz w:val="24"/>
          <w:szCs w:val="24"/>
        </w:rPr>
        <w:t>importantes flujos de refugiados</w:t>
      </w:r>
      <w:r>
        <w:rPr>
          <w:rFonts w:eastAsia="Verdana" w:cstheme="minorHAnsi"/>
          <w:color w:val="000000" w:themeColor="text1"/>
          <w:sz w:val="24"/>
          <w:szCs w:val="24"/>
        </w:rPr>
        <w:t xml:space="preserve"> y</w:t>
      </w:r>
      <w:r w:rsidRPr="00603C05">
        <w:rPr>
          <w:rFonts w:eastAsia="Verdana" w:cstheme="minorHAnsi"/>
          <w:color w:val="000000" w:themeColor="text1"/>
          <w:sz w:val="24"/>
          <w:szCs w:val="24"/>
        </w:rPr>
        <w:t xml:space="preserve"> migrantes</w:t>
      </w:r>
      <w:r w:rsidRPr="0038011B">
        <w:rPr>
          <w:rFonts w:eastAsia="Verdana" w:cstheme="minorHAnsi"/>
          <w:color w:val="000000" w:themeColor="text1"/>
          <w:sz w:val="24"/>
          <w:szCs w:val="24"/>
        </w:rPr>
        <w:t xml:space="preserve"> (</w:t>
      </w:r>
      <w:r w:rsidRPr="00A05DCC">
        <w:rPr>
          <w:rFonts w:eastAsia="Verdana" w:cstheme="minorHAnsi"/>
          <w:color w:val="000000" w:themeColor="text1"/>
          <w:sz w:val="24"/>
          <w:szCs w:val="24"/>
        </w:rPr>
        <w:t>U</w:t>
      </w:r>
      <w:r w:rsidRPr="00591829">
        <w:rPr>
          <w:rFonts w:eastAsia="Verdana" w:cstheme="minorHAnsi"/>
          <w:color w:val="000000" w:themeColor="text1"/>
          <w:sz w:val="24"/>
          <w:szCs w:val="24"/>
        </w:rPr>
        <w:t>NICEF</w:t>
      </w:r>
      <w:r>
        <w:rPr>
          <w:rFonts w:eastAsia="Verdana" w:cstheme="minorHAnsi"/>
          <w:color w:val="000000" w:themeColor="text1"/>
          <w:sz w:val="24"/>
          <w:szCs w:val="24"/>
        </w:rPr>
        <w:t>,</w:t>
      </w:r>
      <w:r w:rsidRPr="00591829">
        <w:rPr>
          <w:rFonts w:eastAsia="Verdana" w:cstheme="minorHAnsi"/>
          <w:color w:val="000000" w:themeColor="text1"/>
          <w:sz w:val="24"/>
          <w:szCs w:val="24"/>
        </w:rPr>
        <w:t xml:space="preserve"> 20</w:t>
      </w:r>
      <w:r w:rsidRPr="001B432E">
        <w:rPr>
          <w:rFonts w:eastAsia="Verdana" w:cstheme="minorHAnsi"/>
          <w:color w:val="000000" w:themeColor="text1"/>
          <w:sz w:val="24"/>
          <w:szCs w:val="24"/>
        </w:rPr>
        <w:t>19).</w:t>
      </w:r>
    </w:p>
    <w:p w14:paraId="5794E07B" w14:textId="77777777" w:rsidR="000C171B" w:rsidRPr="00056CB8" w:rsidRDefault="000C171B" w:rsidP="000C171B">
      <w:pPr>
        <w:spacing w:after="0" w:line="240" w:lineRule="auto"/>
        <w:jc w:val="both"/>
        <w:rPr>
          <w:rFonts w:eastAsia="Verdana" w:cstheme="minorHAnsi"/>
          <w:color w:val="000000" w:themeColor="text1"/>
          <w:sz w:val="24"/>
          <w:szCs w:val="24"/>
        </w:rPr>
      </w:pPr>
    </w:p>
    <w:p w14:paraId="0574A6A7" w14:textId="77777777" w:rsidR="000C171B" w:rsidRDefault="000C171B" w:rsidP="000C171B">
      <w:pPr>
        <w:spacing w:after="0" w:line="240" w:lineRule="auto"/>
        <w:jc w:val="both"/>
        <w:rPr>
          <w:rFonts w:eastAsia="Verdana" w:cstheme="minorHAnsi"/>
          <w:color w:val="000000" w:themeColor="text1"/>
          <w:sz w:val="24"/>
          <w:szCs w:val="24"/>
        </w:rPr>
      </w:pPr>
      <w:r>
        <w:rPr>
          <w:rFonts w:eastAsia="Verdana" w:cstheme="minorHAnsi"/>
          <w:color w:val="000000" w:themeColor="text1"/>
          <w:sz w:val="24"/>
          <w:szCs w:val="24"/>
        </w:rPr>
        <w:t>Situaciones</w:t>
      </w:r>
      <w:r w:rsidRPr="00DD270A">
        <w:rPr>
          <w:rFonts w:eastAsia="Verdana" w:cstheme="minorHAnsi"/>
          <w:color w:val="000000" w:themeColor="text1"/>
          <w:sz w:val="24"/>
          <w:szCs w:val="24"/>
        </w:rPr>
        <w:t xml:space="preserve"> que el país no controla están</w:t>
      </w:r>
      <w:r>
        <w:rPr>
          <w:rFonts w:eastAsia="Verdana" w:cstheme="minorHAnsi"/>
          <w:color w:val="000000" w:themeColor="text1"/>
          <w:sz w:val="24"/>
          <w:szCs w:val="24"/>
        </w:rPr>
        <w:t xml:space="preserve"> </w:t>
      </w:r>
      <w:r w:rsidRPr="00DD270A">
        <w:rPr>
          <w:rFonts w:eastAsia="Verdana" w:cstheme="minorHAnsi"/>
          <w:color w:val="000000" w:themeColor="text1"/>
          <w:sz w:val="24"/>
          <w:szCs w:val="24"/>
        </w:rPr>
        <w:t>presionando las variables macroeconómicas y, por</w:t>
      </w:r>
      <w:r>
        <w:rPr>
          <w:rFonts w:eastAsia="Verdana" w:cstheme="minorHAnsi"/>
          <w:color w:val="000000" w:themeColor="text1"/>
          <w:sz w:val="24"/>
          <w:szCs w:val="24"/>
        </w:rPr>
        <w:t xml:space="preserve"> </w:t>
      </w:r>
      <w:r w:rsidRPr="00DD270A">
        <w:rPr>
          <w:rFonts w:eastAsia="Verdana" w:cstheme="minorHAnsi"/>
          <w:color w:val="000000" w:themeColor="text1"/>
          <w:sz w:val="24"/>
          <w:szCs w:val="24"/>
        </w:rPr>
        <w:t>lo tanto, las finanzas públicas y la balanza de pagos</w:t>
      </w:r>
      <w:r>
        <w:rPr>
          <w:rFonts w:eastAsia="Verdana" w:cstheme="minorHAnsi"/>
          <w:color w:val="000000" w:themeColor="text1"/>
          <w:sz w:val="24"/>
          <w:szCs w:val="24"/>
        </w:rPr>
        <w:t>. Por ejemplo, como resultado de la guerra comercial entre Estados Unidos y China, e</w:t>
      </w:r>
      <w:r w:rsidRPr="00C76290">
        <w:rPr>
          <w:rFonts w:eastAsia="Verdana" w:cstheme="minorHAnsi"/>
          <w:color w:val="000000" w:themeColor="text1"/>
          <w:sz w:val="24"/>
          <w:szCs w:val="24"/>
        </w:rPr>
        <w:t>l volumen de mercaderías transportadas por</w:t>
      </w:r>
      <w:r>
        <w:rPr>
          <w:rFonts w:eastAsia="Verdana" w:cstheme="minorHAnsi"/>
          <w:color w:val="000000" w:themeColor="text1"/>
          <w:sz w:val="24"/>
          <w:szCs w:val="24"/>
        </w:rPr>
        <w:t xml:space="preserve"> </w:t>
      </w:r>
      <w:r w:rsidRPr="00C76290">
        <w:rPr>
          <w:rFonts w:eastAsia="Verdana" w:cstheme="minorHAnsi"/>
          <w:color w:val="000000" w:themeColor="text1"/>
          <w:sz w:val="24"/>
          <w:szCs w:val="24"/>
        </w:rPr>
        <w:t xml:space="preserve">el Canal de Panamá se </w:t>
      </w:r>
      <w:r>
        <w:rPr>
          <w:rFonts w:eastAsia="Verdana" w:cstheme="minorHAnsi"/>
          <w:color w:val="000000" w:themeColor="text1"/>
          <w:sz w:val="24"/>
          <w:szCs w:val="24"/>
        </w:rPr>
        <w:t xml:space="preserve">afectará </w:t>
      </w:r>
      <w:r w:rsidRPr="00C76290">
        <w:rPr>
          <w:rFonts w:eastAsia="Verdana" w:cstheme="minorHAnsi"/>
          <w:color w:val="000000" w:themeColor="text1"/>
          <w:sz w:val="24"/>
          <w:szCs w:val="24"/>
        </w:rPr>
        <w:t xml:space="preserve">por el </w:t>
      </w:r>
      <w:r>
        <w:rPr>
          <w:rFonts w:eastAsia="Verdana" w:cstheme="minorHAnsi"/>
          <w:color w:val="000000" w:themeColor="text1"/>
          <w:sz w:val="24"/>
          <w:szCs w:val="24"/>
        </w:rPr>
        <w:t>cambio en las rutas comerciales y cierres de mercados</w:t>
      </w:r>
      <w:r w:rsidRPr="00C76290">
        <w:rPr>
          <w:rFonts w:eastAsia="Verdana" w:cstheme="minorHAnsi"/>
          <w:color w:val="000000" w:themeColor="text1"/>
          <w:sz w:val="24"/>
          <w:szCs w:val="24"/>
        </w:rPr>
        <w:t>.</w:t>
      </w:r>
      <w:r>
        <w:rPr>
          <w:rFonts w:eastAsia="Verdana" w:cstheme="minorHAnsi"/>
          <w:color w:val="000000" w:themeColor="text1"/>
          <w:sz w:val="24"/>
          <w:szCs w:val="24"/>
        </w:rPr>
        <w:t xml:space="preserve"> De igual manera, el lento crecimiento en la zona euro y en Latinoamérica provoca la</w:t>
      </w:r>
      <w:r w:rsidRPr="009E5675">
        <w:rPr>
          <w:rFonts w:eastAsia="Verdana" w:cstheme="minorHAnsi"/>
          <w:color w:val="000000" w:themeColor="text1"/>
          <w:sz w:val="24"/>
          <w:szCs w:val="24"/>
        </w:rPr>
        <w:t xml:space="preserve"> </w:t>
      </w:r>
      <w:r w:rsidRPr="0062576E">
        <w:rPr>
          <w:rFonts w:eastAsia="Verdana" w:cstheme="minorHAnsi"/>
          <w:color w:val="000000" w:themeColor="text1"/>
          <w:sz w:val="24"/>
          <w:szCs w:val="24"/>
        </w:rPr>
        <w:t>disminuci</w:t>
      </w:r>
      <w:r>
        <w:rPr>
          <w:rFonts w:eastAsia="Verdana" w:cstheme="minorHAnsi"/>
          <w:color w:val="000000" w:themeColor="text1"/>
          <w:sz w:val="24"/>
          <w:szCs w:val="24"/>
        </w:rPr>
        <w:t xml:space="preserve">ón de las </w:t>
      </w:r>
      <w:r w:rsidRPr="0062576E">
        <w:rPr>
          <w:rFonts w:eastAsia="Verdana" w:cstheme="minorHAnsi"/>
          <w:color w:val="000000" w:themeColor="text1"/>
          <w:sz w:val="24"/>
          <w:szCs w:val="24"/>
        </w:rPr>
        <w:t>inversiones</w:t>
      </w:r>
      <w:r>
        <w:rPr>
          <w:rFonts w:eastAsia="Verdana" w:cstheme="minorHAnsi"/>
          <w:color w:val="000000" w:themeColor="text1"/>
          <w:sz w:val="24"/>
          <w:szCs w:val="24"/>
        </w:rPr>
        <w:t xml:space="preserve"> </w:t>
      </w:r>
      <w:r w:rsidRPr="0062576E">
        <w:rPr>
          <w:rFonts w:eastAsia="Verdana" w:cstheme="minorHAnsi"/>
          <w:color w:val="000000" w:themeColor="text1"/>
          <w:sz w:val="24"/>
          <w:szCs w:val="24"/>
        </w:rPr>
        <w:t>y exportaciones</w:t>
      </w:r>
      <w:r>
        <w:rPr>
          <w:rFonts w:eastAsia="Verdana" w:cstheme="minorHAnsi"/>
          <w:color w:val="000000" w:themeColor="text1"/>
          <w:sz w:val="24"/>
          <w:szCs w:val="24"/>
        </w:rPr>
        <w:t xml:space="preserve">, lo que plantea la necesidad de estimular el </w:t>
      </w:r>
      <w:r w:rsidRPr="0088765B">
        <w:rPr>
          <w:rFonts w:eastAsia="Verdana" w:cstheme="minorHAnsi"/>
          <w:color w:val="000000" w:themeColor="text1"/>
          <w:sz w:val="24"/>
          <w:szCs w:val="24"/>
        </w:rPr>
        <w:t xml:space="preserve">crecimiento </w:t>
      </w:r>
      <w:r>
        <w:rPr>
          <w:rFonts w:eastAsia="Verdana" w:cstheme="minorHAnsi"/>
          <w:color w:val="000000" w:themeColor="text1"/>
          <w:sz w:val="24"/>
          <w:szCs w:val="24"/>
        </w:rPr>
        <w:t xml:space="preserve">a través de </w:t>
      </w:r>
      <w:r w:rsidRPr="0088765B">
        <w:rPr>
          <w:rFonts w:eastAsia="Verdana" w:cstheme="minorHAnsi"/>
          <w:color w:val="000000" w:themeColor="text1"/>
          <w:sz w:val="24"/>
          <w:szCs w:val="24"/>
        </w:rPr>
        <w:t xml:space="preserve">políticas públicas y la acción del Estado encaminadas a </w:t>
      </w:r>
      <w:r>
        <w:rPr>
          <w:rFonts w:eastAsia="Verdana" w:cstheme="minorHAnsi"/>
          <w:color w:val="000000" w:themeColor="text1"/>
          <w:sz w:val="24"/>
          <w:szCs w:val="24"/>
        </w:rPr>
        <w:t xml:space="preserve">estimular el </w:t>
      </w:r>
      <w:r w:rsidRPr="0088765B">
        <w:rPr>
          <w:rFonts w:eastAsia="Verdana" w:cstheme="minorHAnsi"/>
          <w:color w:val="000000" w:themeColor="text1"/>
          <w:sz w:val="24"/>
          <w:szCs w:val="24"/>
        </w:rPr>
        <w:t>ingreso de aportes</w:t>
      </w:r>
      <w:r>
        <w:rPr>
          <w:rFonts w:eastAsia="Verdana" w:cstheme="minorHAnsi"/>
          <w:color w:val="000000" w:themeColor="text1"/>
          <w:sz w:val="24"/>
          <w:szCs w:val="24"/>
        </w:rPr>
        <w:t xml:space="preserve"> </w:t>
      </w:r>
      <w:r w:rsidRPr="0088765B">
        <w:rPr>
          <w:rFonts w:eastAsia="Verdana" w:cstheme="minorHAnsi"/>
          <w:color w:val="000000" w:themeColor="text1"/>
          <w:sz w:val="24"/>
          <w:szCs w:val="24"/>
        </w:rPr>
        <w:t xml:space="preserve">de capital y generar empleos </w:t>
      </w:r>
      <w:r>
        <w:rPr>
          <w:rFonts w:eastAsia="Verdana" w:cstheme="minorHAnsi"/>
          <w:color w:val="000000" w:themeColor="text1"/>
          <w:sz w:val="24"/>
          <w:szCs w:val="24"/>
        </w:rPr>
        <w:t>(PEG, 2019-2024)</w:t>
      </w:r>
      <w:r w:rsidRPr="00DD270A">
        <w:rPr>
          <w:rFonts w:eastAsia="Verdana" w:cstheme="minorHAnsi"/>
          <w:color w:val="000000" w:themeColor="text1"/>
          <w:sz w:val="24"/>
          <w:szCs w:val="24"/>
        </w:rPr>
        <w:t>.</w:t>
      </w:r>
    </w:p>
    <w:p w14:paraId="672A1195" w14:textId="77777777" w:rsidR="000C171B" w:rsidRDefault="000C171B" w:rsidP="000C171B">
      <w:pPr>
        <w:spacing w:after="0" w:line="240" w:lineRule="auto"/>
        <w:jc w:val="both"/>
        <w:rPr>
          <w:rFonts w:eastAsia="Verdana" w:cstheme="minorHAnsi"/>
          <w:color w:val="000000" w:themeColor="text1"/>
          <w:sz w:val="24"/>
          <w:szCs w:val="24"/>
        </w:rPr>
      </w:pPr>
    </w:p>
    <w:p w14:paraId="53F174D1" w14:textId="77777777" w:rsidR="000C171B" w:rsidRPr="00F06DC2" w:rsidRDefault="000C171B" w:rsidP="000C171B">
      <w:pPr>
        <w:spacing w:after="0" w:line="240" w:lineRule="auto"/>
        <w:jc w:val="both"/>
        <w:rPr>
          <w:rFonts w:eastAsia="Verdana" w:cstheme="minorHAnsi"/>
          <w:color w:val="000000" w:themeColor="text1"/>
          <w:sz w:val="24"/>
          <w:szCs w:val="24"/>
        </w:rPr>
      </w:pPr>
      <w:r>
        <w:rPr>
          <w:rFonts w:eastAsia="Verdana" w:cstheme="minorHAnsi"/>
          <w:color w:val="000000" w:themeColor="text1"/>
          <w:sz w:val="24"/>
          <w:szCs w:val="24"/>
        </w:rPr>
        <w:t>P</w:t>
      </w:r>
      <w:r w:rsidRPr="00F06DC2">
        <w:rPr>
          <w:rFonts w:eastAsia="Verdana" w:cstheme="minorHAnsi"/>
          <w:color w:val="000000" w:themeColor="text1"/>
          <w:sz w:val="24"/>
          <w:szCs w:val="24"/>
        </w:rPr>
        <w:t xml:space="preserve">arte </w:t>
      </w:r>
      <w:r>
        <w:rPr>
          <w:rFonts w:eastAsia="Verdana" w:cstheme="minorHAnsi"/>
          <w:color w:val="000000" w:themeColor="text1"/>
          <w:sz w:val="24"/>
          <w:szCs w:val="24"/>
        </w:rPr>
        <w:t>d</w:t>
      </w:r>
      <w:r w:rsidRPr="00F06DC2">
        <w:rPr>
          <w:rFonts w:eastAsia="Verdana" w:cstheme="minorHAnsi"/>
          <w:color w:val="000000" w:themeColor="text1"/>
          <w:sz w:val="24"/>
          <w:szCs w:val="24"/>
        </w:rPr>
        <w:t>el problema es que el esfuerzo fiscal de</w:t>
      </w:r>
      <w:r>
        <w:rPr>
          <w:rFonts w:eastAsia="Verdana" w:cstheme="minorHAnsi"/>
          <w:color w:val="000000" w:themeColor="text1"/>
          <w:sz w:val="24"/>
          <w:szCs w:val="24"/>
        </w:rPr>
        <w:t xml:space="preserve">l país </w:t>
      </w:r>
      <w:r w:rsidRPr="00F06DC2">
        <w:rPr>
          <w:rFonts w:eastAsia="Verdana" w:cstheme="minorHAnsi"/>
          <w:color w:val="000000" w:themeColor="text1"/>
          <w:sz w:val="24"/>
          <w:szCs w:val="24"/>
        </w:rPr>
        <w:t>sigue rezag</w:t>
      </w:r>
      <w:r>
        <w:rPr>
          <w:rFonts w:eastAsia="Verdana" w:cstheme="minorHAnsi"/>
          <w:color w:val="000000" w:themeColor="text1"/>
          <w:sz w:val="24"/>
          <w:szCs w:val="24"/>
        </w:rPr>
        <w:t xml:space="preserve">ado </w:t>
      </w:r>
      <w:r w:rsidRPr="00F06DC2">
        <w:rPr>
          <w:rFonts w:eastAsia="Verdana" w:cstheme="minorHAnsi"/>
          <w:color w:val="000000" w:themeColor="text1"/>
          <w:sz w:val="24"/>
          <w:szCs w:val="24"/>
        </w:rPr>
        <w:t>con respecto al promedio latinoamericano</w:t>
      </w:r>
      <w:r>
        <w:rPr>
          <w:rFonts w:eastAsia="Verdana" w:cstheme="minorHAnsi"/>
          <w:color w:val="000000" w:themeColor="text1"/>
          <w:sz w:val="24"/>
          <w:szCs w:val="24"/>
        </w:rPr>
        <w:t xml:space="preserve"> (</w:t>
      </w:r>
      <w:r w:rsidRPr="000E3375">
        <w:rPr>
          <w:rFonts w:eastAsia="Verdana" w:cstheme="minorHAnsi"/>
          <w:color w:val="000000" w:themeColor="text1"/>
          <w:sz w:val="24"/>
          <w:szCs w:val="24"/>
        </w:rPr>
        <w:t>ICEFI</w:t>
      </w:r>
      <w:r>
        <w:rPr>
          <w:rFonts w:eastAsia="Verdana" w:cstheme="minorHAnsi"/>
          <w:color w:val="000000" w:themeColor="text1"/>
          <w:sz w:val="24"/>
          <w:szCs w:val="24"/>
        </w:rPr>
        <w:t>, 2019</w:t>
      </w:r>
      <w:r w:rsidRPr="000E3375">
        <w:rPr>
          <w:rFonts w:eastAsia="Verdana" w:cstheme="minorHAnsi"/>
          <w:color w:val="000000" w:themeColor="text1"/>
          <w:sz w:val="24"/>
          <w:szCs w:val="24"/>
        </w:rPr>
        <w:t>)</w:t>
      </w:r>
      <w:r w:rsidRPr="00F06DC2">
        <w:rPr>
          <w:rFonts w:eastAsia="Verdana" w:cstheme="minorHAnsi"/>
          <w:color w:val="000000" w:themeColor="text1"/>
          <w:sz w:val="24"/>
          <w:szCs w:val="24"/>
        </w:rPr>
        <w:t xml:space="preserve">, y afecta el acceso </w:t>
      </w:r>
      <w:r>
        <w:rPr>
          <w:rFonts w:eastAsia="Verdana" w:cstheme="minorHAnsi"/>
          <w:color w:val="000000" w:themeColor="text1"/>
          <w:sz w:val="24"/>
          <w:szCs w:val="24"/>
        </w:rPr>
        <w:t>y disfrute de los derechos a la</w:t>
      </w:r>
      <w:r w:rsidRPr="00F06DC2">
        <w:rPr>
          <w:rFonts w:eastAsia="Verdana" w:cstheme="minorHAnsi"/>
          <w:color w:val="000000" w:themeColor="text1"/>
          <w:sz w:val="24"/>
          <w:szCs w:val="24"/>
        </w:rPr>
        <w:t xml:space="preserve"> salud, nutrición, educa</w:t>
      </w:r>
      <w:r>
        <w:rPr>
          <w:rFonts w:eastAsia="Verdana" w:cstheme="minorHAnsi"/>
          <w:color w:val="000000" w:themeColor="text1"/>
          <w:sz w:val="24"/>
          <w:szCs w:val="24"/>
        </w:rPr>
        <w:t>ción</w:t>
      </w:r>
      <w:r w:rsidRPr="00F06DC2">
        <w:rPr>
          <w:rFonts w:eastAsia="Verdana" w:cstheme="minorHAnsi"/>
          <w:color w:val="000000" w:themeColor="text1"/>
          <w:sz w:val="24"/>
          <w:szCs w:val="24"/>
        </w:rPr>
        <w:t xml:space="preserve">, </w:t>
      </w:r>
      <w:r>
        <w:rPr>
          <w:rFonts w:eastAsia="Verdana" w:cstheme="minorHAnsi"/>
          <w:color w:val="000000" w:themeColor="text1"/>
          <w:sz w:val="24"/>
          <w:szCs w:val="24"/>
        </w:rPr>
        <w:t>ausencia de un sistema integral de cuidados,</w:t>
      </w:r>
      <w:r w:rsidRPr="00F06DC2">
        <w:rPr>
          <w:rFonts w:eastAsia="Verdana" w:cstheme="minorHAnsi"/>
          <w:color w:val="000000" w:themeColor="text1"/>
          <w:sz w:val="24"/>
          <w:szCs w:val="24"/>
        </w:rPr>
        <w:t xml:space="preserve"> así como las transferencias sociales, la seguridad social y las pensiones no contributiv</w:t>
      </w:r>
      <w:r>
        <w:rPr>
          <w:rFonts w:eastAsia="Verdana" w:cstheme="minorHAnsi"/>
          <w:color w:val="000000" w:themeColor="text1"/>
          <w:sz w:val="24"/>
          <w:szCs w:val="24"/>
        </w:rPr>
        <w:t>a</w:t>
      </w:r>
      <w:r w:rsidRPr="00F06DC2">
        <w:rPr>
          <w:rFonts w:eastAsia="Verdana" w:cstheme="minorHAnsi"/>
          <w:color w:val="000000" w:themeColor="text1"/>
          <w:sz w:val="24"/>
          <w:szCs w:val="24"/>
        </w:rPr>
        <w:t xml:space="preserve">s. </w:t>
      </w:r>
      <w:r>
        <w:rPr>
          <w:rFonts w:eastAsia="Verdana" w:cstheme="minorHAnsi"/>
          <w:color w:val="000000" w:themeColor="text1"/>
          <w:sz w:val="24"/>
          <w:szCs w:val="24"/>
        </w:rPr>
        <w:t xml:space="preserve">Combinado con el hecho que </w:t>
      </w:r>
      <w:r w:rsidRPr="00F06DC2">
        <w:rPr>
          <w:rFonts w:eastAsia="Verdana" w:cstheme="minorHAnsi"/>
          <w:color w:val="000000" w:themeColor="text1"/>
          <w:sz w:val="24"/>
          <w:szCs w:val="24"/>
        </w:rPr>
        <w:t xml:space="preserve">las instituciones, los programas y los proyectos de protección social </w:t>
      </w:r>
      <w:r>
        <w:rPr>
          <w:rFonts w:eastAsia="Verdana" w:cstheme="minorHAnsi"/>
          <w:color w:val="000000" w:themeColor="text1"/>
          <w:sz w:val="24"/>
          <w:szCs w:val="24"/>
        </w:rPr>
        <w:t xml:space="preserve">muestran resultados e impactos </w:t>
      </w:r>
      <w:r w:rsidRPr="00F06DC2">
        <w:rPr>
          <w:rFonts w:eastAsia="Verdana" w:cstheme="minorHAnsi"/>
          <w:color w:val="000000" w:themeColor="text1"/>
          <w:sz w:val="24"/>
          <w:szCs w:val="24"/>
        </w:rPr>
        <w:t xml:space="preserve">débiles. </w:t>
      </w:r>
      <w:r>
        <w:rPr>
          <w:rFonts w:eastAsia="Verdana" w:cstheme="minorHAnsi"/>
          <w:color w:val="000000" w:themeColor="text1"/>
          <w:sz w:val="24"/>
          <w:szCs w:val="24"/>
        </w:rPr>
        <w:t xml:space="preserve">Lo que </w:t>
      </w:r>
      <w:r w:rsidRPr="00F06DC2">
        <w:rPr>
          <w:rFonts w:eastAsia="Verdana" w:cstheme="minorHAnsi"/>
          <w:color w:val="000000" w:themeColor="text1"/>
          <w:sz w:val="24"/>
          <w:szCs w:val="24"/>
        </w:rPr>
        <w:t xml:space="preserve">tiene un efecto amplificador sobre las desigualdades </w:t>
      </w:r>
      <w:r>
        <w:rPr>
          <w:rFonts w:eastAsia="Verdana" w:cstheme="minorHAnsi"/>
          <w:color w:val="000000" w:themeColor="text1"/>
          <w:sz w:val="24"/>
          <w:szCs w:val="24"/>
        </w:rPr>
        <w:t>y discriminación p</w:t>
      </w:r>
      <w:r w:rsidRPr="00F06DC2">
        <w:rPr>
          <w:rFonts w:eastAsia="Verdana" w:cstheme="minorHAnsi"/>
          <w:color w:val="000000" w:themeColor="text1"/>
          <w:sz w:val="24"/>
          <w:szCs w:val="24"/>
        </w:rPr>
        <w:t xml:space="preserve">ersistentes </w:t>
      </w:r>
      <w:r>
        <w:rPr>
          <w:rFonts w:eastAsia="Verdana" w:cstheme="minorHAnsi"/>
          <w:color w:val="000000" w:themeColor="text1"/>
          <w:sz w:val="24"/>
          <w:szCs w:val="24"/>
        </w:rPr>
        <w:t xml:space="preserve">por ubicación </w:t>
      </w:r>
      <w:r w:rsidRPr="005B3081">
        <w:rPr>
          <w:rFonts w:eastAsia="Verdana" w:cstheme="minorHAnsi"/>
          <w:color w:val="000000" w:themeColor="text1"/>
          <w:sz w:val="24"/>
          <w:szCs w:val="24"/>
        </w:rPr>
        <w:t>geográfica, por niveles de ingresos, por sexo, por edad, por condición de migra</w:t>
      </w:r>
      <w:r>
        <w:rPr>
          <w:rFonts w:eastAsia="Verdana" w:cstheme="minorHAnsi"/>
          <w:color w:val="000000" w:themeColor="text1"/>
          <w:sz w:val="24"/>
          <w:szCs w:val="24"/>
        </w:rPr>
        <w:t>toria</w:t>
      </w:r>
      <w:r w:rsidRPr="005B3081">
        <w:rPr>
          <w:rFonts w:eastAsia="Verdana" w:cstheme="minorHAnsi"/>
          <w:color w:val="000000" w:themeColor="text1"/>
          <w:sz w:val="24"/>
          <w:szCs w:val="24"/>
        </w:rPr>
        <w:t xml:space="preserve"> o de discapacidad. Tal es el caso de las mujeres de ingreso bajo, las mujeres en zonas rurales, </w:t>
      </w:r>
      <w:r w:rsidRPr="005B3081">
        <w:rPr>
          <w:rFonts w:eastAsia="Verdana" w:cstheme="minorHAnsi"/>
          <w:color w:val="000000" w:themeColor="text1"/>
          <w:sz w:val="24"/>
          <w:szCs w:val="24"/>
        </w:rPr>
        <w:lastRenderedPageBreak/>
        <w:t xml:space="preserve">las mujeres afro panameñas, indígenas y </w:t>
      </w:r>
      <w:r>
        <w:rPr>
          <w:rFonts w:eastAsia="Verdana" w:cstheme="minorHAnsi"/>
          <w:color w:val="000000" w:themeColor="text1"/>
          <w:sz w:val="24"/>
          <w:szCs w:val="24"/>
        </w:rPr>
        <w:t>solicitantes de asilo</w:t>
      </w:r>
      <w:r w:rsidRPr="005B3081">
        <w:rPr>
          <w:rFonts w:eastAsia="Verdana" w:cstheme="minorHAnsi"/>
          <w:color w:val="000000" w:themeColor="text1"/>
          <w:sz w:val="24"/>
          <w:szCs w:val="24"/>
        </w:rPr>
        <w:t xml:space="preserve"> y las mujeres con discapacidad y los niños, niñas y adolescentes.</w:t>
      </w:r>
    </w:p>
    <w:p w14:paraId="711B6125" w14:textId="77777777" w:rsidR="000C171B" w:rsidRDefault="000C171B" w:rsidP="000C171B">
      <w:pPr>
        <w:spacing w:after="0" w:line="240" w:lineRule="auto"/>
        <w:jc w:val="both"/>
        <w:rPr>
          <w:rFonts w:eastAsia="Verdana" w:cstheme="minorHAnsi"/>
          <w:color w:val="000000" w:themeColor="text1"/>
          <w:sz w:val="24"/>
          <w:szCs w:val="24"/>
        </w:rPr>
      </w:pPr>
    </w:p>
    <w:p w14:paraId="426AC5DF" w14:textId="77777777" w:rsidR="000C171B" w:rsidRPr="006E627A" w:rsidRDefault="000C171B" w:rsidP="000C171B">
      <w:pPr>
        <w:spacing w:after="0" w:line="240" w:lineRule="auto"/>
        <w:jc w:val="both"/>
        <w:rPr>
          <w:rFonts w:cstheme="minorHAnsi"/>
          <w:color w:val="000000" w:themeColor="text1"/>
          <w:sz w:val="24"/>
          <w:szCs w:val="24"/>
        </w:rPr>
      </w:pPr>
      <w:r w:rsidRPr="006E627A">
        <w:rPr>
          <w:rFonts w:cstheme="minorHAnsi"/>
          <w:color w:val="000000" w:themeColor="text1"/>
          <w:sz w:val="24"/>
          <w:szCs w:val="24"/>
        </w:rPr>
        <w:t>En las elecciones generales de mayo 2019,</w:t>
      </w:r>
      <w:r>
        <w:rPr>
          <w:rFonts w:cstheme="minorHAnsi"/>
          <w:color w:val="000000" w:themeColor="text1"/>
          <w:sz w:val="24"/>
          <w:szCs w:val="24"/>
        </w:rPr>
        <w:t xml:space="preserve"> </w:t>
      </w:r>
      <w:r w:rsidRPr="006E627A">
        <w:rPr>
          <w:rFonts w:cstheme="minorHAnsi"/>
          <w:color w:val="000000" w:themeColor="text1"/>
          <w:sz w:val="24"/>
          <w:szCs w:val="24"/>
        </w:rPr>
        <w:t xml:space="preserve">Laurentino </w:t>
      </w:r>
      <w:proofErr w:type="spellStart"/>
      <w:r w:rsidRPr="006E627A">
        <w:rPr>
          <w:rFonts w:cstheme="minorHAnsi"/>
          <w:color w:val="000000" w:themeColor="text1"/>
          <w:sz w:val="24"/>
          <w:szCs w:val="24"/>
        </w:rPr>
        <w:t>Cortizo</w:t>
      </w:r>
      <w:proofErr w:type="spellEnd"/>
      <w:r w:rsidRPr="006E627A">
        <w:rPr>
          <w:rFonts w:cstheme="minorHAnsi"/>
          <w:color w:val="000000" w:themeColor="text1"/>
          <w:sz w:val="24"/>
          <w:szCs w:val="24"/>
        </w:rPr>
        <w:t xml:space="preserve"> Cohen, fue electo como presidente de la República. </w:t>
      </w:r>
      <w:r>
        <w:rPr>
          <w:rFonts w:cstheme="minorHAnsi"/>
          <w:color w:val="000000" w:themeColor="text1"/>
          <w:sz w:val="24"/>
          <w:szCs w:val="24"/>
        </w:rPr>
        <w:t xml:space="preserve">En el </w:t>
      </w:r>
      <w:r w:rsidRPr="006E627A">
        <w:rPr>
          <w:rFonts w:cstheme="minorHAnsi"/>
          <w:color w:val="000000" w:themeColor="text1"/>
          <w:sz w:val="24"/>
          <w:szCs w:val="24"/>
        </w:rPr>
        <w:t xml:space="preserve">Plan de Gobierno (2019-2024), la Alianza Uniendo Fuerzas propuso tres metas estratégicas: garantizar el estado de derecho y mejorar la transparencia; combatir la pobreza y la desigualdad; aumentar la competitividad de la economía y generar empleos.  </w:t>
      </w:r>
    </w:p>
    <w:p w14:paraId="1535D88D" w14:textId="77777777" w:rsidR="000C171B" w:rsidRPr="006E627A" w:rsidRDefault="000C171B" w:rsidP="000C171B">
      <w:pPr>
        <w:spacing w:after="0" w:line="240" w:lineRule="auto"/>
        <w:jc w:val="both"/>
        <w:rPr>
          <w:rFonts w:cstheme="minorHAnsi"/>
          <w:color w:val="000000" w:themeColor="text1"/>
          <w:sz w:val="24"/>
          <w:szCs w:val="24"/>
        </w:rPr>
      </w:pPr>
    </w:p>
    <w:p w14:paraId="4DC15936" w14:textId="77777777" w:rsidR="000C171B" w:rsidRDefault="000C171B" w:rsidP="000C171B">
      <w:pPr>
        <w:spacing w:after="0" w:line="240" w:lineRule="auto"/>
        <w:jc w:val="both"/>
        <w:rPr>
          <w:rFonts w:cstheme="minorHAnsi"/>
          <w:sz w:val="24"/>
          <w:szCs w:val="24"/>
        </w:rPr>
      </w:pPr>
      <w:r w:rsidRPr="006E627A">
        <w:rPr>
          <w:rFonts w:cstheme="minorHAnsi"/>
          <w:color w:val="000000" w:themeColor="text1"/>
          <w:sz w:val="24"/>
          <w:szCs w:val="24"/>
        </w:rPr>
        <w:t xml:space="preserve">Para el logro de las metas estratégicas, el Plan de Gobierno (2019-2024) </w:t>
      </w:r>
      <w:r>
        <w:rPr>
          <w:rFonts w:cstheme="minorHAnsi"/>
          <w:color w:val="000000" w:themeColor="text1"/>
          <w:sz w:val="24"/>
          <w:szCs w:val="24"/>
        </w:rPr>
        <w:t xml:space="preserve">identificó </w:t>
      </w:r>
      <w:r w:rsidRPr="006E627A">
        <w:rPr>
          <w:rFonts w:cstheme="minorHAnsi"/>
          <w:color w:val="000000" w:themeColor="text1"/>
          <w:sz w:val="24"/>
          <w:szCs w:val="24"/>
        </w:rPr>
        <w:t>125 acciones prioritarias</w:t>
      </w:r>
      <w:r>
        <w:rPr>
          <w:rFonts w:cstheme="minorHAnsi"/>
          <w:color w:val="000000" w:themeColor="text1"/>
          <w:sz w:val="24"/>
          <w:szCs w:val="24"/>
        </w:rPr>
        <w:t xml:space="preserve"> incluidas en la Estrategia económica y social del Plan Estratégico de Gobierno (2019-2024)</w:t>
      </w:r>
      <w:r w:rsidRPr="006E627A">
        <w:rPr>
          <w:rFonts w:cstheme="minorHAnsi"/>
          <w:color w:val="000000" w:themeColor="text1"/>
          <w:sz w:val="24"/>
          <w:szCs w:val="24"/>
        </w:rPr>
        <w:t xml:space="preserve">. De ellas, el 49.6% se orientan hacia el área de reducción de la pobreza, mientras que 33.6% hacia el área de economía competitiva. Según sus énfasis, el 32.8% de las acciones tienen relación con la infraestructura, el 28.8% de las acciones se relacionan con la planificación, el 20% de las acciones buscan el desarrollo institucional, mientras que el 22.4% de las acciones son multisectoriales. El Plan </w:t>
      </w:r>
      <w:r>
        <w:rPr>
          <w:rFonts w:cstheme="minorHAnsi"/>
          <w:color w:val="000000" w:themeColor="text1"/>
          <w:sz w:val="24"/>
          <w:szCs w:val="24"/>
        </w:rPr>
        <w:t xml:space="preserve">Estratégico de </w:t>
      </w:r>
      <w:r w:rsidRPr="006E627A">
        <w:rPr>
          <w:rFonts w:cstheme="minorHAnsi"/>
          <w:color w:val="000000" w:themeColor="text1"/>
          <w:sz w:val="24"/>
          <w:szCs w:val="24"/>
        </w:rPr>
        <w:t>Gobierno (2019-2024), establece las prioridades considerando los lineamientos del Plan Estratégico Nacional (PEN 2030): educación, tecnología e inversión regional. En un contexto donde competitividad, educación, calidad institucional, cohesión social y cambio climático (BID</w:t>
      </w:r>
      <w:r>
        <w:rPr>
          <w:rFonts w:cstheme="minorHAnsi"/>
          <w:color w:val="000000" w:themeColor="text1"/>
          <w:sz w:val="24"/>
          <w:szCs w:val="24"/>
        </w:rPr>
        <w:t>,</w:t>
      </w:r>
      <w:r w:rsidRPr="006E627A">
        <w:rPr>
          <w:rFonts w:cstheme="minorHAnsi"/>
          <w:color w:val="000000" w:themeColor="text1"/>
          <w:sz w:val="24"/>
          <w:szCs w:val="24"/>
        </w:rPr>
        <w:t xml:space="preserve"> 2019) determinarán la dinámica, énfasis y resultados de la política pública.  </w:t>
      </w:r>
    </w:p>
    <w:p w14:paraId="0D884B1B" w14:textId="77777777" w:rsidR="000C171B" w:rsidRPr="00F06DC2" w:rsidRDefault="000C171B" w:rsidP="000C171B">
      <w:pPr>
        <w:spacing w:after="0" w:line="240" w:lineRule="auto"/>
        <w:jc w:val="both"/>
        <w:rPr>
          <w:rFonts w:eastAsia="Verdana" w:cstheme="minorHAnsi"/>
          <w:color w:val="000000" w:themeColor="text1"/>
          <w:sz w:val="24"/>
          <w:szCs w:val="24"/>
        </w:rPr>
      </w:pPr>
    </w:p>
    <w:p w14:paraId="40B60028" w14:textId="77777777" w:rsidR="000C171B" w:rsidRPr="00586FF3" w:rsidRDefault="000C171B" w:rsidP="000C171B">
      <w:pPr>
        <w:spacing w:after="0" w:line="240" w:lineRule="auto"/>
        <w:rPr>
          <w:rFonts w:ascii="Calibri" w:hAnsi="Calibri" w:cs="Calibri"/>
          <w:b/>
          <w:bCs/>
          <w:color w:val="4472C4" w:themeColor="accent1"/>
          <w:sz w:val="24"/>
          <w:szCs w:val="24"/>
        </w:rPr>
      </w:pPr>
      <w:r w:rsidRPr="00586FF3">
        <w:rPr>
          <w:rFonts w:ascii="Calibri" w:hAnsi="Calibri" w:cs="Calibri"/>
          <w:b/>
          <w:bCs/>
          <w:color w:val="4472C4" w:themeColor="accent1"/>
          <w:sz w:val="24"/>
          <w:szCs w:val="24"/>
        </w:rPr>
        <w:t>1.1. Situación del país.</w:t>
      </w:r>
    </w:p>
    <w:p w14:paraId="2130E4F6" w14:textId="77777777" w:rsidR="000C171B" w:rsidRPr="00327C1C" w:rsidRDefault="000C171B" w:rsidP="000C171B">
      <w:pPr>
        <w:spacing w:after="0" w:line="240" w:lineRule="auto"/>
        <w:rPr>
          <w:rFonts w:ascii="Calibri" w:hAnsi="Calibri" w:cs="Calibri"/>
          <w:b/>
          <w:bCs/>
          <w:color w:val="000000" w:themeColor="text1"/>
          <w:sz w:val="24"/>
          <w:szCs w:val="24"/>
        </w:rPr>
      </w:pPr>
    </w:p>
    <w:p w14:paraId="6BCC7074" w14:textId="77777777" w:rsidR="000C171B" w:rsidRDefault="000C171B" w:rsidP="000C171B">
      <w:pPr>
        <w:spacing w:after="0" w:line="240" w:lineRule="auto"/>
        <w:jc w:val="both"/>
        <w:rPr>
          <w:rFonts w:cstheme="minorHAnsi"/>
          <w:sz w:val="24"/>
          <w:szCs w:val="24"/>
        </w:rPr>
      </w:pPr>
      <w:r w:rsidRPr="005875C0">
        <w:rPr>
          <w:rFonts w:cstheme="minorHAnsi"/>
          <w:sz w:val="24"/>
          <w:szCs w:val="24"/>
        </w:rPr>
        <w:t xml:space="preserve">Entre las décadas del </w:t>
      </w:r>
      <w:r>
        <w:rPr>
          <w:rFonts w:cstheme="minorHAnsi"/>
          <w:sz w:val="24"/>
          <w:szCs w:val="24"/>
        </w:rPr>
        <w:t>90</w:t>
      </w:r>
      <w:r w:rsidRPr="005875C0">
        <w:rPr>
          <w:rFonts w:cstheme="minorHAnsi"/>
          <w:sz w:val="24"/>
          <w:szCs w:val="24"/>
        </w:rPr>
        <w:t xml:space="preserve"> y </w:t>
      </w:r>
      <w:r>
        <w:rPr>
          <w:rFonts w:cstheme="minorHAnsi"/>
          <w:sz w:val="24"/>
          <w:szCs w:val="24"/>
        </w:rPr>
        <w:t>2000</w:t>
      </w:r>
      <w:r w:rsidRPr="005875C0">
        <w:rPr>
          <w:rFonts w:cstheme="minorHAnsi"/>
          <w:sz w:val="24"/>
          <w:szCs w:val="24"/>
        </w:rPr>
        <w:t>, el 58.4% de la reducción de la pobreza se produce como resultado del crecimiento económico. Sólo el 41.6% de la reducción de la pobreza se logra mediante las políticas públicas de redistribución de la renta. Pero aún y con la reducción de la pobreza, persisten las desigualdades que interactúan con el crecimiento económico, la inserción laboral, la escolaridad de la población económicamente activa, las políticas de protección social, la calidad de los puestos de trabajo, la productividad del trabajo, la profundidad, severidad y dispersión de la pobreza, además de la migración interna, resultado de la</w:t>
      </w:r>
      <w:r>
        <w:rPr>
          <w:rFonts w:cstheme="minorHAnsi"/>
          <w:sz w:val="24"/>
          <w:szCs w:val="24"/>
        </w:rPr>
        <w:t>s</w:t>
      </w:r>
      <w:r w:rsidRPr="005875C0">
        <w:rPr>
          <w:rFonts w:cstheme="minorHAnsi"/>
          <w:sz w:val="24"/>
          <w:szCs w:val="24"/>
        </w:rPr>
        <w:t xml:space="preserve"> políticas públicas de enclave y sus promesas de calidad de vida. </w:t>
      </w:r>
    </w:p>
    <w:p w14:paraId="1D031019" w14:textId="77777777" w:rsidR="000C171B" w:rsidRDefault="000C171B" w:rsidP="000C171B">
      <w:pPr>
        <w:spacing w:after="0" w:line="240" w:lineRule="auto"/>
        <w:jc w:val="both"/>
        <w:rPr>
          <w:rFonts w:cstheme="minorHAnsi"/>
          <w:b/>
          <w:bCs/>
          <w:sz w:val="24"/>
          <w:szCs w:val="24"/>
        </w:rPr>
      </w:pPr>
    </w:p>
    <w:p w14:paraId="5D33631E" w14:textId="79A84370" w:rsidR="00744E07" w:rsidRDefault="000C171B" w:rsidP="000C171B">
      <w:pPr>
        <w:spacing w:after="0" w:line="240" w:lineRule="auto"/>
        <w:jc w:val="both"/>
        <w:rPr>
          <w:rFonts w:ascii="Calibri" w:hAnsi="Calibri" w:cs="Calibri"/>
          <w:color w:val="000000" w:themeColor="text1"/>
          <w:sz w:val="24"/>
          <w:szCs w:val="24"/>
        </w:rPr>
      </w:pPr>
      <w:r w:rsidRPr="00DC7418">
        <w:rPr>
          <w:rFonts w:ascii="Calibri" w:hAnsi="Calibri" w:cs="Calibri"/>
          <w:color w:val="000000" w:themeColor="text1"/>
          <w:sz w:val="24"/>
          <w:szCs w:val="24"/>
        </w:rPr>
        <w:t>Actualmente existen condiciones políticas, sociales e institucionales para redefinir y adecuar una serie de intervenciones que permiten vincular fácil y ágilmente las políticas públicas con las perspectivas ciudadanas</w:t>
      </w:r>
      <w:r>
        <w:rPr>
          <w:rFonts w:ascii="Calibri" w:hAnsi="Calibri" w:cs="Calibri"/>
          <w:color w:val="000000" w:themeColor="text1"/>
          <w:sz w:val="24"/>
          <w:szCs w:val="24"/>
        </w:rPr>
        <w:t xml:space="preserve"> y sobre todo con las aspiraciones de las personas</w:t>
      </w:r>
      <w:r w:rsidRPr="00DC7418">
        <w:rPr>
          <w:rFonts w:ascii="Calibri" w:hAnsi="Calibri" w:cs="Calibri"/>
          <w:color w:val="000000" w:themeColor="text1"/>
          <w:sz w:val="24"/>
          <w:szCs w:val="24"/>
        </w:rPr>
        <w:t xml:space="preserve">. La larga transición democrática, la acelerada transición demográfica, la gradual concentración urbana de la población, la diversidad de las desigualdades, en su conjunto, definen un escenario propicio para el desarrollo de una serie de estrategias sectoriales con mirada </w:t>
      </w:r>
      <w:r>
        <w:rPr>
          <w:rFonts w:ascii="Calibri" w:hAnsi="Calibri" w:cs="Calibri"/>
          <w:color w:val="000000" w:themeColor="text1"/>
          <w:sz w:val="24"/>
          <w:szCs w:val="24"/>
        </w:rPr>
        <w:t>integral</w:t>
      </w:r>
      <w:r w:rsidRPr="00DC7418">
        <w:rPr>
          <w:rFonts w:ascii="Calibri" w:hAnsi="Calibri" w:cs="Calibri"/>
          <w:color w:val="000000" w:themeColor="text1"/>
          <w:sz w:val="24"/>
          <w:szCs w:val="24"/>
        </w:rPr>
        <w:t>.</w:t>
      </w:r>
    </w:p>
    <w:p w14:paraId="4FFC9696" w14:textId="17312623" w:rsidR="00EB3AB3" w:rsidRDefault="00EB3AB3" w:rsidP="000C171B">
      <w:pPr>
        <w:spacing w:after="0" w:line="240" w:lineRule="auto"/>
        <w:jc w:val="both"/>
        <w:rPr>
          <w:rFonts w:cstheme="minorHAnsi"/>
          <w:b/>
          <w:bCs/>
          <w:color w:val="4472C4" w:themeColor="accent1"/>
          <w:sz w:val="24"/>
          <w:szCs w:val="24"/>
        </w:rPr>
      </w:pPr>
    </w:p>
    <w:p w14:paraId="5390D180" w14:textId="664F9FF3" w:rsidR="00DA419A" w:rsidRDefault="00DA419A" w:rsidP="000C171B">
      <w:pPr>
        <w:spacing w:after="0" w:line="240" w:lineRule="auto"/>
        <w:jc w:val="both"/>
        <w:rPr>
          <w:rFonts w:cstheme="minorHAnsi"/>
          <w:b/>
          <w:bCs/>
          <w:color w:val="4472C4" w:themeColor="accent1"/>
          <w:sz w:val="24"/>
          <w:szCs w:val="24"/>
        </w:rPr>
      </w:pPr>
    </w:p>
    <w:p w14:paraId="17B81D73" w14:textId="0D4E7509" w:rsidR="00D84637" w:rsidRDefault="00D84637" w:rsidP="000C171B">
      <w:pPr>
        <w:spacing w:after="0" w:line="240" w:lineRule="auto"/>
        <w:jc w:val="both"/>
        <w:rPr>
          <w:rFonts w:cstheme="minorHAnsi"/>
          <w:b/>
          <w:bCs/>
          <w:color w:val="4472C4" w:themeColor="accent1"/>
          <w:sz w:val="24"/>
          <w:szCs w:val="24"/>
        </w:rPr>
      </w:pPr>
    </w:p>
    <w:p w14:paraId="15EC8CD9" w14:textId="77777777" w:rsidR="00D84637" w:rsidRDefault="00D84637" w:rsidP="000C171B">
      <w:pPr>
        <w:spacing w:after="0" w:line="240" w:lineRule="auto"/>
        <w:jc w:val="both"/>
        <w:rPr>
          <w:rFonts w:cstheme="minorHAnsi"/>
          <w:b/>
          <w:bCs/>
          <w:color w:val="4472C4" w:themeColor="accent1"/>
          <w:sz w:val="24"/>
          <w:szCs w:val="24"/>
        </w:rPr>
      </w:pPr>
    </w:p>
    <w:p w14:paraId="2B782D17" w14:textId="77777777" w:rsidR="00DA419A" w:rsidRPr="00586FF3" w:rsidRDefault="00DA419A" w:rsidP="000C171B">
      <w:pPr>
        <w:spacing w:after="0" w:line="240" w:lineRule="auto"/>
        <w:jc w:val="both"/>
        <w:rPr>
          <w:rFonts w:cstheme="minorHAnsi"/>
          <w:b/>
          <w:bCs/>
          <w:color w:val="4472C4" w:themeColor="accent1"/>
          <w:sz w:val="24"/>
          <w:szCs w:val="24"/>
        </w:rPr>
      </w:pPr>
    </w:p>
    <w:p w14:paraId="7FAAC3AC" w14:textId="77777777" w:rsidR="000C171B" w:rsidRPr="00586FF3" w:rsidRDefault="000C171B" w:rsidP="000C171B">
      <w:pPr>
        <w:spacing w:after="0" w:line="240" w:lineRule="auto"/>
        <w:jc w:val="both"/>
        <w:rPr>
          <w:rFonts w:cstheme="minorHAnsi"/>
          <w:b/>
          <w:bCs/>
          <w:color w:val="4472C4" w:themeColor="accent1"/>
          <w:sz w:val="24"/>
          <w:szCs w:val="24"/>
        </w:rPr>
      </w:pPr>
      <w:r w:rsidRPr="00586FF3">
        <w:rPr>
          <w:rFonts w:cstheme="minorHAnsi"/>
          <w:b/>
          <w:bCs/>
          <w:color w:val="4472C4" w:themeColor="accent1"/>
          <w:sz w:val="24"/>
          <w:szCs w:val="24"/>
        </w:rPr>
        <w:lastRenderedPageBreak/>
        <w:t>1.2. Examen de las tres dimensiones del Desarrollo Sostenible</w:t>
      </w:r>
      <w:r>
        <w:rPr>
          <w:rFonts w:cstheme="minorHAnsi"/>
          <w:b/>
          <w:bCs/>
          <w:color w:val="4472C4" w:themeColor="accent1"/>
          <w:sz w:val="24"/>
          <w:szCs w:val="24"/>
        </w:rPr>
        <w:t xml:space="preserve">: </w:t>
      </w:r>
      <w:r w:rsidRPr="00586FF3">
        <w:rPr>
          <w:rFonts w:cstheme="minorHAnsi"/>
          <w:b/>
          <w:bCs/>
          <w:color w:val="4472C4" w:themeColor="accent1"/>
          <w:sz w:val="24"/>
          <w:szCs w:val="24"/>
        </w:rPr>
        <w:t>económico, social y ambiental.</w:t>
      </w:r>
    </w:p>
    <w:p w14:paraId="552190A6" w14:textId="77777777" w:rsidR="000C171B" w:rsidRPr="00E23597" w:rsidRDefault="000C171B" w:rsidP="000C171B">
      <w:pPr>
        <w:spacing w:after="0" w:line="240" w:lineRule="auto"/>
        <w:jc w:val="both"/>
        <w:rPr>
          <w:rFonts w:cstheme="minorHAnsi"/>
          <w:sz w:val="24"/>
          <w:szCs w:val="24"/>
        </w:rPr>
      </w:pPr>
    </w:p>
    <w:p w14:paraId="03B71131" w14:textId="77777777" w:rsidR="000C171B" w:rsidRPr="00E23597" w:rsidRDefault="000C171B" w:rsidP="000C171B">
      <w:pPr>
        <w:spacing w:after="0" w:line="240" w:lineRule="auto"/>
        <w:jc w:val="both"/>
        <w:rPr>
          <w:rFonts w:cstheme="minorHAnsi"/>
          <w:sz w:val="24"/>
          <w:szCs w:val="24"/>
        </w:rPr>
      </w:pPr>
      <w:r w:rsidRPr="00E23597">
        <w:rPr>
          <w:rFonts w:cstheme="minorHAnsi"/>
          <w:sz w:val="24"/>
          <w:szCs w:val="24"/>
        </w:rPr>
        <w:t xml:space="preserve">La Agenda 2030 tiene tres componentes que se entrelazan entre sí.  En el caso de Panamá, una revisión de la dinámica </w:t>
      </w:r>
      <w:r>
        <w:rPr>
          <w:rFonts w:cstheme="minorHAnsi"/>
          <w:sz w:val="24"/>
          <w:szCs w:val="24"/>
        </w:rPr>
        <w:t>entre las dimensiones económicas, sociales y ambientales</w:t>
      </w:r>
      <w:r w:rsidRPr="00E23597">
        <w:rPr>
          <w:rFonts w:cstheme="minorHAnsi"/>
          <w:sz w:val="24"/>
          <w:szCs w:val="24"/>
        </w:rPr>
        <w:t xml:space="preserve"> permite caracterizar el estilo de desarrollo en el cual se inscriben las acciones y agenda país.</w:t>
      </w:r>
    </w:p>
    <w:p w14:paraId="0239F214" w14:textId="77777777" w:rsidR="003878C7" w:rsidRDefault="003878C7" w:rsidP="000C171B">
      <w:pPr>
        <w:spacing w:after="0" w:line="240" w:lineRule="auto"/>
        <w:jc w:val="both"/>
        <w:rPr>
          <w:rFonts w:cstheme="minorHAnsi"/>
          <w:b/>
          <w:bCs/>
          <w:color w:val="4472C4" w:themeColor="accent1"/>
          <w:sz w:val="24"/>
          <w:szCs w:val="24"/>
        </w:rPr>
      </w:pPr>
    </w:p>
    <w:p w14:paraId="0C078E98" w14:textId="1C7710B9" w:rsidR="000C171B" w:rsidRPr="00586FF3" w:rsidRDefault="000C171B" w:rsidP="000C171B">
      <w:pPr>
        <w:spacing w:after="0" w:line="240" w:lineRule="auto"/>
        <w:jc w:val="both"/>
        <w:rPr>
          <w:rFonts w:cstheme="minorHAnsi"/>
          <w:b/>
          <w:bCs/>
          <w:color w:val="4472C4" w:themeColor="accent1"/>
          <w:sz w:val="24"/>
          <w:szCs w:val="24"/>
        </w:rPr>
      </w:pPr>
      <w:r w:rsidRPr="00586FF3">
        <w:rPr>
          <w:rFonts w:cstheme="minorHAnsi"/>
          <w:b/>
          <w:bCs/>
          <w:color w:val="4472C4" w:themeColor="accent1"/>
          <w:sz w:val="24"/>
          <w:szCs w:val="24"/>
        </w:rPr>
        <w:t xml:space="preserve">1.2.1. Dimensión Económica. </w:t>
      </w:r>
    </w:p>
    <w:p w14:paraId="18F61677" w14:textId="77777777" w:rsidR="000C171B" w:rsidRDefault="000C171B" w:rsidP="000C171B">
      <w:pPr>
        <w:spacing w:after="0" w:line="240" w:lineRule="auto"/>
        <w:jc w:val="both"/>
        <w:rPr>
          <w:rFonts w:cstheme="minorHAnsi"/>
          <w:sz w:val="24"/>
          <w:szCs w:val="24"/>
        </w:rPr>
      </w:pPr>
    </w:p>
    <w:p w14:paraId="33C8A461" w14:textId="77777777" w:rsidR="000C171B" w:rsidRDefault="000C171B" w:rsidP="000C171B">
      <w:pPr>
        <w:spacing w:after="0" w:line="240" w:lineRule="auto"/>
        <w:jc w:val="both"/>
        <w:rPr>
          <w:rFonts w:eastAsia="Verdana" w:cstheme="minorHAnsi"/>
          <w:color w:val="000000" w:themeColor="text1"/>
          <w:sz w:val="24"/>
          <w:szCs w:val="24"/>
        </w:rPr>
      </w:pPr>
      <w:r>
        <w:rPr>
          <w:rFonts w:cstheme="minorHAnsi"/>
          <w:sz w:val="24"/>
          <w:szCs w:val="24"/>
        </w:rPr>
        <w:t xml:space="preserve">Panamá es una economía abierta que tiene entre sus pilares </w:t>
      </w:r>
      <w:r w:rsidRPr="00693DD1">
        <w:rPr>
          <w:rFonts w:cstheme="minorHAnsi"/>
          <w:sz w:val="24"/>
          <w:szCs w:val="24"/>
        </w:rPr>
        <w:t>un sistema monetario</w:t>
      </w:r>
      <w:r>
        <w:rPr>
          <w:rFonts w:cstheme="minorHAnsi"/>
          <w:sz w:val="24"/>
          <w:szCs w:val="24"/>
        </w:rPr>
        <w:t xml:space="preserve"> </w:t>
      </w:r>
      <w:r w:rsidRPr="00693DD1">
        <w:rPr>
          <w:rFonts w:cstheme="minorHAnsi"/>
          <w:sz w:val="24"/>
          <w:szCs w:val="24"/>
        </w:rPr>
        <w:t>dolarizado sin banco central, un centro bancario integrado al sistema internacional, la apertura</w:t>
      </w:r>
      <w:r>
        <w:rPr>
          <w:rFonts w:cstheme="minorHAnsi"/>
          <w:sz w:val="24"/>
          <w:szCs w:val="24"/>
        </w:rPr>
        <w:t xml:space="preserve"> </w:t>
      </w:r>
      <w:r w:rsidRPr="00693DD1">
        <w:rPr>
          <w:rFonts w:cstheme="minorHAnsi"/>
          <w:sz w:val="24"/>
          <w:szCs w:val="24"/>
        </w:rPr>
        <w:t>comercial internacional, un sistema tributario territorial con impuestos bajos, una ley de</w:t>
      </w:r>
      <w:r>
        <w:rPr>
          <w:rFonts w:cstheme="minorHAnsi"/>
          <w:sz w:val="24"/>
          <w:szCs w:val="24"/>
        </w:rPr>
        <w:t xml:space="preserve"> </w:t>
      </w:r>
      <w:r w:rsidRPr="00693DD1">
        <w:rPr>
          <w:rFonts w:cstheme="minorHAnsi"/>
          <w:sz w:val="24"/>
          <w:szCs w:val="24"/>
        </w:rPr>
        <w:t>sociedades anónimas, un trato igualitario ante la ley al inversionista extranjero,</w:t>
      </w:r>
      <w:r>
        <w:rPr>
          <w:rFonts w:cstheme="minorHAnsi"/>
          <w:sz w:val="24"/>
          <w:szCs w:val="24"/>
        </w:rPr>
        <w:t xml:space="preserve"> </w:t>
      </w:r>
      <w:r w:rsidRPr="00693DD1">
        <w:rPr>
          <w:rFonts w:cstheme="minorHAnsi"/>
          <w:sz w:val="24"/>
          <w:szCs w:val="24"/>
        </w:rPr>
        <w:t>así como diversos incentivos fiscales (SOKOL</w:t>
      </w:r>
      <w:r>
        <w:rPr>
          <w:rFonts w:cstheme="minorHAnsi"/>
          <w:sz w:val="24"/>
          <w:szCs w:val="24"/>
        </w:rPr>
        <w:t>,</w:t>
      </w:r>
      <w:r w:rsidRPr="00693DD1">
        <w:rPr>
          <w:rFonts w:cstheme="minorHAnsi"/>
          <w:sz w:val="24"/>
          <w:szCs w:val="24"/>
        </w:rPr>
        <w:t xml:space="preserve"> 2019).</w:t>
      </w:r>
      <w:r>
        <w:rPr>
          <w:rFonts w:cstheme="minorHAnsi"/>
          <w:sz w:val="24"/>
          <w:szCs w:val="24"/>
        </w:rPr>
        <w:t xml:space="preserve"> Por lo que, </w:t>
      </w:r>
      <w:r>
        <w:rPr>
          <w:rFonts w:eastAsia="Verdana" w:cstheme="minorHAnsi"/>
          <w:color w:val="000000" w:themeColor="text1"/>
          <w:sz w:val="24"/>
          <w:szCs w:val="24"/>
        </w:rPr>
        <w:t xml:space="preserve">en los últimos años, el país </w:t>
      </w:r>
      <w:r w:rsidRPr="003571C5">
        <w:rPr>
          <w:rFonts w:eastAsia="Verdana" w:cstheme="minorHAnsi"/>
          <w:color w:val="000000" w:themeColor="text1"/>
          <w:sz w:val="24"/>
          <w:szCs w:val="24"/>
        </w:rPr>
        <w:t xml:space="preserve">se ha convertido en la sede regional de 159 empresas multinacionales </w:t>
      </w:r>
      <w:r>
        <w:rPr>
          <w:rFonts w:eastAsia="Verdana" w:cstheme="minorHAnsi"/>
          <w:color w:val="000000" w:themeColor="text1"/>
          <w:sz w:val="24"/>
          <w:szCs w:val="24"/>
        </w:rPr>
        <w:t xml:space="preserve">como </w:t>
      </w:r>
      <w:r w:rsidRPr="0058297F">
        <w:rPr>
          <w:rFonts w:eastAsia="Verdana" w:cstheme="minorHAnsi"/>
          <w:color w:val="000000" w:themeColor="text1"/>
          <w:sz w:val="24"/>
          <w:szCs w:val="24"/>
        </w:rPr>
        <w:t>Procter &amp; Gamble</w:t>
      </w:r>
      <w:r w:rsidRPr="003571C5">
        <w:rPr>
          <w:rFonts w:eastAsia="Verdana" w:cstheme="minorHAnsi"/>
          <w:color w:val="000000" w:themeColor="text1"/>
          <w:sz w:val="24"/>
          <w:szCs w:val="24"/>
        </w:rPr>
        <w:t>, Hewlett Packard, 3M, Bosch</w:t>
      </w:r>
      <w:r>
        <w:rPr>
          <w:rFonts w:eastAsia="Verdana" w:cstheme="minorHAnsi"/>
          <w:color w:val="000000" w:themeColor="text1"/>
          <w:sz w:val="24"/>
          <w:szCs w:val="24"/>
        </w:rPr>
        <w:t xml:space="preserve">, entre otras. Esto </w:t>
      </w:r>
      <w:r w:rsidRPr="003571C5">
        <w:rPr>
          <w:rFonts w:eastAsia="Verdana" w:cstheme="minorHAnsi"/>
          <w:color w:val="000000" w:themeColor="text1"/>
          <w:sz w:val="24"/>
          <w:szCs w:val="24"/>
        </w:rPr>
        <w:t>le ha permitido a la economía panameña</w:t>
      </w:r>
      <w:r>
        <w:rPr>
          <w:rFonts w:eastAsia="Verdana" w:cstheme="minorHAnsi"/>
          <w:color w:val="000000" w:themeColor="text1"/>
          <w:sz w:val="24"/>
          <w:szCs w:val="24"/>
        </w:rPr>
        <w:t xml:space="preserve"> </w:t>
      </w:r>
      <w:r w:rsidRPr="003571C5">
        <w:rPr>
          <w:rFonts w:eastAsia="Verdana" w:cstheme="minorHAnsi"/>
          <w:color w:val="000000" w:themeColor="text1"/>
          <w:sz w:val="24"/>
          <w:szCs w:val="24"/>
        </w:rPr>
        <w:t>crecer más rápidamente que muchas otras globalmente (SOKOL</w:t>
      </w:r>
      <w:r>
        <w:rPr>
          <w:rFonts w:eastAsia="Verdana" w:cstheme="minorHAnsi"/>
          <w:color w:val="000000" w:themeColor="text1"/>
          <w:sz w:val="24"/>
          <w:szCs w:val="24"/>
        </w:rPr>
        <w:t>,</w:t>
      </w:r>
      <w:r w:rsidRPr="003571C5">
        <w:rPr>
          <w:rFonts w:eastAsia="Verdana" w:cstheme="minorHAnsi"/>
          <w:color w:val="000000" w:themeColor="text1"/>
          <w:sz w:val="24"/>
          <w:szCs w:val="24"/>
        </w:rPr>
        <w:t xml:space="preserve"> 2019).</w:t>
      </w:r>
    </w:p>
    <w:p w14:paraId="3356EC37" w14:textId="77777777" w:rsidR="000C171B" w:rsidRDefault="000C171B" w:rsidP="000C171B">
      <w:pPr>
        <w:spacing w:after="0" w:line="240" w:lineRule="auto"/>
        <w:jc w:val="both"/>
        <w:rPr>
          <w:rFonts w:eastAsia="Verdana" w:cstheme="minorHAnsi"/>
          <w:color w:val="000000" w:themeColor="text1"/>
          <w:sz w:val="24"/>
          <w:szCs w:val="24"/>
        </w:rPr>
      </w:pPr>
    </w:p>
    <w:p w14:paraId="28B0BEB1" w14:textId="77777777" w:rsidR="000C171B" w:rsidRPr="0024710F" w:rsidRDefault="000C171B" w:rsidP="000C171B">
      <w:pPr>
        <w:spacing w:after="0" w:line="240" w:lineRule="auto"/>
        <w:jc w:val="both"/>
        <w:rPr>
          <w:rFonts w:cstheme="minorHAnsi"/>
          <w:color w:val="000000" w:themeColor="text1"/>
          <w:sz w:val="24"/>
          <w:szCs w:val="24"/>
        </w:rPr>
      </w:pPr>
      <w:r w:rsidRPr="0024710F">
        <w:rPr>
          <w:rFonts w:cstheme="minorHAnsi"/>
          <w:color w:val="000000" w:themeColor="text1"/>
          <w:sz w:val="24"/>
          <w:szCs w:val="24"/>
        </w:rPr>
        <w:t>En la última década, como resultado del crecimiento económico sostenido, Panamá ingresó al grupo de las ochenta economías de altos ingresos</w:t>
      </w:r>
      <w:r w:rsidRPr="0024710F">
        <w:rPr>
          <w:rStyle w:val="FootnoteReference"/>
          <w:rFonts w:cstheme="minorHAnsi"/>
          <w:color w:val="000000" w:themeColor="text1"/>
          <w:sz w:val="24"/>
          <w:szCs w:val="24"/>
        </w:rPr>
        <w:footnoteReference w:id="4"/>
      </w:r>
      <w:r>
        <w:rPr>
          <w:rFonts w:cstheme="minorHAnsi"/>
          <w:color w:val="000000" w:themeColor="text1"/>
          <w:sz w:val="24"/>
          <w:szCs w:val="24"/>
        </w:rPr>
        <w:t xml:space="preserve"> (</w:t>
      </w:r>
      <w:r w:rsidRPr="0024710F">
        <w:rPr>
          <w:rFonts w:cstheme="minorHAnsi"/>
          <w:color w:val="000000" w:themeColor="text1"/>
          <w:sz w:val="24"/>
          <w:szCs w:val="24"/>
        </w:rPr>
        <w:t>UNFPA</w:t>
      </w:r>
      <w:r>
        <w:rPr>
          <w:rFonts w:cstheme="minorHAnsi"/>
          <w:color w:val="000000" w:themeColor="text1"/>
          <w:sz w:val="24"/>
          <w:szCs w:val="24"/>
        </w:rPr>
        <w:t>,</w:t>
      </w:r>
      <w:r w:rsidRPr="0024710F">
        <w:rPr>
          <w:rFonts w:cstheme="minorHAnsi"/>
          <w:color w:val="000000" w:themeColor="text1"/>
          <w:sz w:val="24"/>
          <w:szCs w:val="24"/>
        </w:rPr>
        <w:t xml:space="preserve"> 2019). Estos resultados se han sustentado en un marco macroeconómico estable impulsado por las actividades vinculadas con la construcción, los bienes inmuebles y el comercio mayorista y minorista (OCDE, 2017). Pero, aunque el crecimiento económico ha conseguido elevar los ingresos de distintos segmentos de la población, la desigualdad de ingresos, medida por el coeficiente de Gini (0.48), se mantuvo superior a la media de la OCDE (0.32). (SOKOL, 2019).</w:t>
      </w:r>
    </w:p>
    <w:p w14:paraId="1F90556F" w14:textId="77777777" w:rsidR="000C171B" w:rsidRDefault="000C171B" w:rsidP="000C171B">
      <w:pPr>
        <w:spacing w:after="0" w:line="240" w:lineRule="auto"/>
        <w:jc w:val="both"/>
        <w:rPr>
          <w:rFonts w:cstheme="minorHAnsi"/>
          <w:color w:val="000000" w:themeColor="text1"/>
          <w:sz w:val="24"/>
          <w:szCs w:val="24"/>
        </w:rPr>
      </w:pPr>
    </w:p>
    <w:p w14:paraId="7F2A4196" w14:textId="77777777" w:rsidR="000C171B" w:rsidRPr="00E82EE9" w:rsidRDefault="000C171B" w:rsidP="000C171B">
      <w:pPr>
        <w:pStyle w:val="NormalWeb"/>
        <w:shd w:val="clear" w:color="auto" w:fill="FFFFFF" w:themeFill="background1"/>
        <w:spacing w:before="0" w:beforeAutospacing="0" w:after="0" w:afterAutospacing="0"/>
        <w:jc w:val="both"/>
        <w:rPr>
          <w:rFonts w:asciiTheme="minorHAnsi" w:hAnsiTheme="minorHAnsi" w:cstheme="minorHAnsi"/>
          <w:noProof/>
          <w:lang w:val="es-PA"/>
        </w:rPr>
      </w:pPr>
      <w:r>
        <w:rPr>
          <w:rFonts w:asciiTheme="minorHAnsi" w:hAnsiTheme="minorHAnsi" w:cstheme="minorHAnsi"/>
          <w:noProof/>
          <w:color w:val="000000" w:themeColor="text1"/>
          <w:lang w:val="es-PA"/>
        </w:rPr>
        <w:t>Esto lo explica el estilo de desarrollo a través de la relación crecimiento e inversión.</w:t>
      </w:r>
      <w:r>
        <w:rPr>
          <w:rFonts w:asciiTheme="minorHAnsi" w:hAnsiTheme="minorHAnsi" w:cstheme="minorHAnsi"/>
          <w:noProof/>
          <w:lang w:val="es-PA"/>
        </w:rPr>
        <w:t xml:space="preserve"> </w:t>
      </w:r>
      <w:r w:rsidRPr="00E82EE9">
        <w:rPr>
          <w:rFonts w:asciiTheme="minorHAnsi" w:hAnsiTheme="minorHAnsi" w:cstheme="minorHAnsi"/>
          <w:noProof/>
          <w:lang w:val="es-PA"/>
        </w:rPr>
        <w:t xml:space="preserve">A nivel nacional, más de 90% de la composición porcentual anual del PIB se concentra en las provincias de Panamá, Colón, Chiriquí y Panamá Oeste. Tres de esas cuatro provincias comparten sus actividades económicas con la cuenca del Canal (Panamá, Colón y Panamá Oeste). Sólo una provincia, Chiriquí, realiza sus actividades fuera de la cuenca del Canal de Panamá. La concentración de las actividades económicas en la región interoceámica fragmenta la dinámica del crecimiento económico. Por un lado, las actividades económicas vinculadas con zona de tránsito interoceánico, inserta </w:t>
      </w:r>
      <w:r>
        <w:rPr>
          <w:rFonts w:asciiTheme="minorHAnsi" w:hAnsiTheme="minorHAnsi" w:cstheme="minorHAnsi"/>
          <w:noProof/>
          <w:lang w:val="es-PA"/>
        </w:rPr>
        <w:t xml:space="preserve">a Panamá </w:t>
      </w:r>
      <w:r w:rsidRPr="00E82EE9">
        <w:rPr>
          <w:rFonts w:asciiTheme="minorHAnsi" w:hAnsiTheme="minorHAnsi" w:cstheme="minorHAnsi"/>
          <w:noProof/>
          <w:lang w:val="es-PA"/>
        </w:rPr>
        <w:t>en la economía mundial. Por el otro, las regiones occidental y oriental del país, desarticuladas de la economía mundial pero sensibles a las inversiones en servicios públicos locales</w:t>
      </w:r>
      <w:r>
        <w:rPr>
          <w:rFonts w:asciiTheme="minorHAnsi" w:hAnsiTheme="minorHAnsi" w:cstheme="minorHAnsi"/>
          <w:noProof/>
          <w:lang w:val="es-PA"/>
        </w:rPr>
        <w:t xml:space="preserve"> para garantizar los derechos de las personas.</w:t>
      </w:r>
      <w:r w:rsidRPr="00E82EE9">
        <w:rPr>
          <w:rFonts w:asciiTheme="minorHAnsi" w:hAnsiTheme="minorHAnsi" w:cstheme="minorHAnsi"/>
          <w:noProof/>
          <w:lang w:val="es-PA"/>
        </w:rPr>
        <w:t xml:space="preserve"> </w:t>
      </w:r>
    </w:p>
    <w:p w14:paraId="13231586" w14:textId="77777777" w:rsidR="000C171B" w:rsidRDefault="000C171B" w:rsidP="000C171B">
      <w:pPr>
        <w:pStyle w:val="NormalWeb"/>
        <w:shd w:val="clear" w:color="auto" w:fill="FFFFFF" w:themeFill="background1"/>
        <w:spacing w:before="0" w:beforeAutospacing="0" w:after="0" w:afterAutospacing="0"/>
        <w:jc w:val="both"/>
        <w:rPr>
          <w:rFonts w:asciiTheme="minorHAnsi" w:hAnsiTheme="minorHAnsi" w:cstheme="minorHAnsi"/>
          <w:noProof/>
          <w:color w:val="000000" w:themeColor="text1"/>
          <w:lang w:val="es-PA"/>
        </w:rPr>
      </w:pPr>
    </w:p>
    <w:p w14:paraId="43FD7D3C" w14:textId="77777777" w:rsidR="000C171B" w:rsidRPr="00156D88" w:rsidRDefault="000C171B" w:rsidP="000C171B">
      <w:pPr>
        <w:pStyle w:val="NormalWeb"/>
        <w:shd w:val="clear" w:color="auto" w:fill="FFFFFF" w:themeFill="background1"/>
        <w:spacing w:before="0" w:beforeAutospacing="0" w:after="0" w:afterAutospacing="0"/>
        <w:jc w:val="both"/>
        <w:rPr>
          <w:rFonts w:asciiTheme="minorHAnsi" w:hAnsiTheme="minorHAnsi" w:cstheme="minorHAnsi"/>
          <w:noProof/>
          <w:color w:val="FF0000"/>
          <w:lang w:val="es-PA"/>
        </w:rPr>
      </w:pPr>
      <w:r>
        <w:rPr>
          <w:rFonts w:asciiTheme="minorHAnsi" w:hAnsiTheme="minorHAnsi" w:cstheme="minorHAnsi"/>
          <w:noProof/>
          <w:color w:val="000000" w:themeColor="text1"/>
          <w:lang w:val="es-PA"/>
        </w:rPr>
        <w:t>L</w:t>
      </w:r>
      <w:r w:rsidRPr="00E82EE9">
        <w:rPr>
          <w:rFonts w:asciiTheme="minorHAnsi" w:hAnsiTheme="minorHAnsi" w:cstheme="minorHAnsi"/>
          <w:noProof/>
          <w:color w:val="000000" w:themeColor="text1"/>
          <w:lang w:val="es-PA"/>
        </w:rPr>
        <w:t xml:space="preserve">a composición porcentual anual del PIB por provincias </w:t>
      </w:r>
      <w:r w:rsidRPr="00E82EE9">
        <w:rPr>
          <w:rFonts w:asciiTheme="minorHAnsi" w:hAnsiTheme="minorHAnsi" w:cstheme="minorHAnsi"/>
          <w:noProof/>
          <w:lang w:val="es-PA"/>
        </w:rPr>
        <w:t>muestra</w:t>
      </w:r>
      <w:r>
        <w:rPr>
          <w:rFonts w:asciiTheme="minorHAnsi" w:hAnsiTheme="minorHAnsi" w:cstheme="minorHAnsi"/>
          <w:noProof/>
          <w:lang w:val="es-PA"/>
        </w:rPr>
        <w:t xml:space="preserve">, tanto </w:t>
      </w:r>
      <w:r w:rsidRPr="00E82EE9">
        <w:rPr>
          <w:rFonts w:asciiTheme="minorHAnsi" w:hAnsiTheme="minorHAnsi" w:cstheme="minorHAnsi"/>
          <w:noProof/>
          <w:lang w:val="es-PA"/>
        </w:rPr>
        <w:t xml:space="preserve">la </w:t>
      </w:r>
      <w:r>
        <w:rPr>
          <w:rFonts w:asciiTheme="minorHAnsi" w:hAnsiTheme="minorHAnsi" w:cstheme="minorHAnsi"/>
          <w:noProof/>
          <w:lang w:val="es-PA"/>
        </w:rPr>
        <w:t xml:space="preserve">dinámica de la </w:t>
      </w:r>
      <w:r w:rsidRPr="00E82EE9">
        <w:rPr>
          <w:rFonts w:asciiTheme="minorHAnsi" w:hAnsiTheme="minorHAnsi" w:cstheme="minorHAnsi"/>
          <w:noProof/>
          <w:lang w:val="es-PA"/>
        </w:rPr>
        <w:t>concentración de la actividad económica</w:t>
      </w:r>
      <w:r>
        <w:rPr>
          <w:rFonts w:asciiTheme="minorHAnsi" w:hAnsiTheme="minorHAnsi" w:cstheme="minorHAnsi"/>
          <w:noProof/>
          <w:lang w:val="es-PA"/>
        </w:rPr>
        <w:t xml:space="preserve">, como de la </w:t>
      </w:r>
      <w:r w:rsidRPr="00E82EE9">
        <w:rPr>
          <w:rFonts w:asciiTheme="minorHAnsi" w:hAnsiTheme="minorHAnsi" w:cstheme="minorHAnsi"/>
          <w:noProof/>
          <w:lang w:val="es-PA"/>
        </w:rPr>
        <w:t xml:space="preserve">producción de bienes y servicios. Entre los años 2014 y 2017, más del 80% de la composición porcentual anual del PIB se concentra en la región interoceánica. En el año 2014, el 80.4% del Producto Interno Bruto se concentraba en </w:t>
      </w:r>
      <w:r w:rsidRPr="00E82EE9">
        <w:rPr>
          <w:rFonts w:asciiTheme="minorHAnsi" w:hAnsiTheme="minorHAnsi" w:cstheme="minorHAnsi"/>
          <w:noProof/>
          <w:lang w:val="es-PA"/>
        </w:rPr>
        <w:lastRenderedPageBreak/>
        <w:t xml:space="preserve">las provincias de Panamá (70.2%) y Colón (10.2%). </w:t>
      </w:r>
      <w:r w:rsidRPr="00F20478">
        <w:rPr>
          <w:rFonts w:asciiTheme="minorHAnsi" w:hAnsiTheme="minorHAnsi" w:cstheme="minorHAnsi"/>
          <w:noProof/>
          <w:lang w:val="es-PA"/>
        </w:rPr>
        <w:t xml:space="preserve">Para el año 2017, </w:t>
      </w:r>
      <w:r>
        <w:rPr>
          <w:rFonts w:asciiTheme="minorHAnsi" w:hAnsiTheme="minorHAnsi" w:cstheme="minorHAnsi"/>
          <w:noProof/>
          <w:lang w:val="es-PA"/>
        </w:rPr>
        <w:t>la</w:t>
      </w:r>
      <w:r w:rsidRPr="00F20478">
        <w:rPr>
          <w:rFonts w:asciiTheme="minorHAnsi" w:hAnsiTheme="minorHAnsi" w:cstheme="minorHAnsi"/>
          <w:noProof/>
          <w:lang w:val="es-PA"/>
        </w:rPr>
        <w:t xml:space="preserve"> composición porcentual anual del PIB se incrementa (81.6%), pero al mismo tiempo, disminuye en la provincia de Panamá (63.3%), y </w:t>
      </w:r>
      <w:r>
        <w:rPr>
          <w:rFonts w:asciiTheme="minorHAnsi" w:hAnsiTheme="minorHAnsi" w:cstheme="minorHAnsi"/>
          <w:noProof/>
          <w:lang w:val="es-PA"/>
        </w:rPr>
        <w:t>aumenta</w:t>
      </w:r>
      <w:r w:rsidRPr="00F20478">
        <w:rPr>
          <w:rFonts w:asciiTheme="minorHAnsi" w:hAnsiTheme="minorHAnsi" w:cstheme="minorHAnsi"/>
          <w:noProof/>
          <w:lang w:val="es-PA"/>
        </w:rPr>
        <w:t xml:space="preserve"> en la provincia de Colón (18.3%). </w:t>
      </w:r>
    </w:p>
    <w:p w14:paraId="6EBA528B" w14:textId="77777777" w:rsidR="000C171B" w:rsidRPr="0024710F" w:rsidRDefault="000C171B" w:rsidP="000C171B">
      <w:pPr>
        <w:spacing w:after="0" w:line="240" w:lineRule="auto"/>
        <w:jc w:val="both"/>
        <w:rPr>
          <w:rFonts w:cstheme="minorHAnsi"/>
          <w:color w:val="000000" w:themeColor="text1"/>
          <w:sz w:val="24"/>
          <w:szCs w:val="24"/>
        </w:rPr>
      </w:pPr>
    </w:p>
    <w:p w14:paraId="7CFD7FF9" w14:textId="77777777" w:rsidR="000C171B" w:rsidRPr="00A72870" w:rsidRDefault="000C171B" w:rsidP="000C171B">
      <w:pPr>
        <w:spacing w:after="0" w:line="240" w:lineRule="auto"/>
        <w:jc w:val="both"/>
        <w:rPr>
          <w:rFonts w:cstheme="minorHAnsi"/>
          <w:color w:val="000000" w:themeColor="text1"/>
          <w:sz w:val="24"/>
          <w:szCs w:val="24"/>
        </w:rPr>
      </w:pPr>
      <w:r w:rsidRPr="0024710F">
        <w:rPr>
          <w:rFonts w:cstheme="minorHAnsi"/>
          <w:color w:val="000000" w:themeColor="text1"/>
          <w:sz w:val="24"/>
          <w:szCs w:val="24"/>
        </w:rPr>
        <w:t xml:space="preserve">Los contrastes </w:t>
      </w:r>
      <w:r>
        <w:rPr>
          <w:rFonts w:cstheme="minorHAnsi"/>
          <w:color w:val="000000" w:themeColor="text1"/>
          <w:sz w:val="24"/>
          <w:szCs w:val="24"/>
        </w:rPr>
        <w:t xml:space="preserve">del crecimiento económico en las provincias </w:t>
      </w:r>
      <w:r w:rsidRPr="0024710F">
        <w:rPr>
          <w:rFonts w:cstheme="minorHAnsi"/>
          <w:color w:val="000000" w:themeColor="text1"/>
          <w:sz w:val="24"/>
          <w:szCs w:val="24"/>
        </w:rPr>
        <w:t>muestran que no existe una sola economía. Según ingresos, productividad, empleo, educación, salud y aprovisionamiento de otros servicios públicos podrían identificarse hasta tres dinámicas económicas con características dispares entre ellas (SOKO</w:t>
      </w:r>
      <w:r>
        <w:rPr>
          <w:rFonts w:cstheme="minorHAnsi"/>
          <w:color w:val="000000" w:themeColor="text1"/>
          <w:sz w:val="24"/>
          <w:szCs w:val="24"/>
        </w:rPr>
        <w:t>L</w:t>
      </w:r>
      <w:r w:rsidRPr="0024710F">
        <w:rPr>
          <w:rFonts w:cstheme="minorHAnsi"/>
          <w:color w:val="000000" w:themeColor="text1"/>
          <w:sz w:val="24"/>
          <w:szCs w:val="24"/>
        </w:rPr>
        <w:t xml:space="preserve">, 2019). </w:t>
      </w:r>
      <w:r>
        <w:rPr>
          <w:rFonts w:cstheme="minorHAnsi"/>
          <w:color w:val="000000" w:themeColor="text1"/>
          <w:sz w:val="24"/>
          <w:szCs w:val="24"/>
        </w:rPr>
        <w:t>Porque s</w:t>
      </w:r>
      <w:r w:rsidRPr="0024710F">
        <w:rPr>
          <w:rFonts w:cstheme="minorHAnsi"/>
          <w:color w:val="000000" w:themeColor="text1"/>
          <w:sz w:val="24"/>
          <w:szCs w:val="24"/>
        </w:rPr>
        <w:t>i bien algunas actividades de la construcción y la plataforma de servicios de la economía han crecido</w:t>
      </w:r>
      <w:r>
        <w:rPr>
          <w:rFonts w:cstheme="minorHAnsi"/>
          <w:color w:val="000000" w:themeColor="text1"/>
          <w:sz w:val="24"/>
          <w:szCs w:val="24"/>
        </w:rPr>
        <w:t xml:space="preserve"> significativamente</w:t>
      </w:r>
      <w:r w:rsidRPr="0024710F">
        <w:rPr>
          <w:rFonts w:cstheme="minorHAnsi"/>
          <w:color w:val="000000" w:themeColor="text1"/>
          <w:sz w:val="24"/>
          <w:szCs w:val="24"/>
        </w:rPr>
        <w:t xml:space="preserve">, la agricultura ha permanecido estancada. </w:t>
      </w:r>
      <w:r>
        <w:rPr>
          <w:rFonts w:cstheme="minorHAnsi"/>
          <w:color w:val="000000" w:themeColor="text1"/>
          <w:sz w:val="24"/>
          <w:szCs w:val="24"/>
        </w:rPr>
        <w:t xml:space="preserve">El </w:t>
      </w:r>
      <w:r w:rsidRPr="00F151CC">
        <w:rPr>
          <w:rFonts w:cstheme="minorHAnsi"/>
          <w:color w:val="000000" w:themeColor="text1"/>
          <w:sz w:val="24"/>
          <w:szCs w:val="24"/>
        </w:rPr>
        <w:t xml:space="preserve">crecimiento per cápita </w:t>
      </w:r>
      <w:r>
        <w:rPr>
          <w:rFonts w:cstheme="minorHAnsi"/>
          <w:color w:val="000000" w:themeColor="text1"/>
          <w:sz w:val="24"/>
          <w:szCs w:val="24"/>
        </w:rPr>
        <w:t xml:space="preserve">reciente </w:t>
      </w:r>
      <w:r w:rsidRPr="00F151CC">
        <w:rPr>
          <w:rFonts w:cstheme="minorHAnsi"/>
          <w:color w:val="000000" w:themeColor="text1"/>
          <w:sz w:val="24"/>
          <w:szCs w:val="24"/>
        </w:rPr>
        <w:t xml:space="preserve">se concentró hasta trece veces más en la provincia de Panamá que Darién, seis veces más que Bocas del Toro y Chiriquí, cinco veces más que la provincia de Veraguas. Estas disparidades no sólo expresan el estilo de crecimiento concentrado, sino también en una política de inversión </w:t>
      </w:r>
      <w:r w:rsidRPr="00A72870">
        <w:rPr>
          <w:rFonts w:cstheme="minorHAnsi"/>
          <w:color w:val="000000" w:themeColor="text1"/>
          <w:sz w:val="24"/>
          <w:szCs w:val="24"/>
        </w:rPr>
        <w:t>pública orientada hacia enclaves productivos en torno a</w:t>
      </w:r>
      <w:r>
        <w:rPr>
          <w:rFonts w:cstheme="minorHAnsi"/>
          <w:color w:val="000000" w:themeColor="text1"/>
          <w:sz w:val="24"/>
          <w:szCs w:val="24"/>
        </w:rPr>
        <w:t xml:space="preserve"> la región interoceánica</w:t>
      </w:r>
      <w:r w:rsidRPr="00A72870">
        <w:rPr>
          <w:rFonts w:cstheme="minorHAnsi"/>
          <w:color w:val="000000" w:themeColor="text1"/>
          <w:sz w:val="24"/>
          <w:szCs w:val="24"/>
        </w:rPr>
        <w:t xml:space="preserve"> (FUNTRAB, 2018). </w:t>
      </w:r>
    </w:p>
    <w:p w14:paraId="24237FCD" w14:textId="77777777" w:rsidR="000C171B" w:rsidRPr="00A72870" w:rsidRDefault="000C171B" w:rsidP="000C171B">
      <w:pPr>
        <w:spacing w:after="0" w:line="240" w:lineRule="auto"/>
        <w:jc w:val="both"/>
        <w:rPr>
          <w:rFonts w:cstheme="minorHAnsi"/>
          <w:color w:val="000000" w:themeColor="text1"/>
          <w:sz w:val="24"/>
          <w:szCs w:val="24"/>
        </w:rPr>
      </w:pPr>
    </w:p>
    <w:p w14:paraId="00EA9732" w14:textId="77777777" w:rsidR="000C171B" w:rsidRPr="0024710F" w:rsidRDefault="000C171B" w:rsidP="000C171B">
      <w:pPr>
        <w:pStyle w:val="CommentText"/>
        <w:spacing w:after="0"/>
        <w:jc w:val="both"/>
        <w:rPr>
          <w:rFonts w:cstheme="minorHAnsi"/>
          <w:color w:val="000000" w:themeColor="text1"/>
          <w:sz w:val="24"/>
          <w:szCs w:val="24"/>
        </w:rPr>
      </w:pPr>
      <w:r w:rsidRPr="0024710F">
        <w:rPr>
          <w:rFonts w:cstheme="minorHAnsi"/>
          <w:color w:val="000000" w:themeColor="text1"/>
          <w:sz w:val="24"/>
          <w:szCs w:val="24"/>
        </w:rPr>
        <w:t xml:space="preserve">A nivel subnacional, </w:t>
      </w:r>
      <w:r w:rsidRPr="0024710F">
        <w:rPr>
          <w:rFonts w:cstheme="minorHAnsi"/>
          <w:color w:val="000000" w:themeColor="text1"/>
          <w:sz w:val="24"/>
          <w:szCs w:val="24"/>
          <w:lang w:val="es-ES"/>
        </w:rPr>
        <w:t xml:space="preserve">la distribución desigual de los presupuestos e inversiones acentúa las diferencias entre </w:t>
      </w:r>
      <w:r w:rsidRPr="00F151CC">
        <w:rPr>
          <w:rFonts w:cstheme="minorHAnsi"/>
          <w:color w:val="000000" w:themeColor="text1"/>
          <w:sz w:val="24"/>
          <w:szCs w:val="24"/>
          <w:lang w:val="es-ES"/>
        </w:rPr>
        <w:t xml:space="preserve">territorios y regiones. La inversión pública a nivel subnacional se dirige hacia las provincias donde existen servicios de calidad y las necesidades básicas satisfechas. Esta asimetría, provocada por la forma como se distribuyen y asignan los recursos, </w:t>
      </w:r>
      <w:r>
        <w:rPr>
          <w:rFonts w:cstheme="minorHAnsi"/>
          <w:color w:val="000000" w:themeColor="text1"/>
          <w:sz w:val="24"/>
          <w:szCs w:val="24"/>
          <w:lang w:val="es-ES"/>
        </w:rPr>
        <w:t xml:space="preserve">genera </w:t>
      </w:r>
      <w:r w:rsidRPr="00F151CC">
        <w:rPr>
          <w:rFonts w:cstheme="minorHAnsi"/>
          <w:color w:val="000000" w:themeColor="text1"/>
          <w:sz w:val="24"/>
          <w:szCs w:val="24"/>
          <w:lang w:val="es-ES"/>
        </w:rPr>
        <w:t xml:space="preserve">cuatro </w:t>
      </w:r>
      <w:r>
        <w:rPr>
          <w:rFonts w:cstheme="minorHAnsi"/>
          <w:color w:val="000000" w:themeColor="text1"/>
          <w:sz w:val="24"/>
          <w:szCs w:val="24"/>
          <w:lang w:val="es-ES"/>
        </w:rPr>
        <w:t>grupos</w:t>
      </w:r>
      <w:r w:rsidRPr="00F151CC">
        <w:rPr>
          <w:rFonts w:cstheme="minorHAnsi"/>
          <w:color w:val="000000" w:themeColor="text1"/>
          <w:sz w:val="24"/>
          <w:szCs w:val="24"/>
          <w:lang w:val="es-ES"/>
        </w:rPr>
        <w:t xml:space="preserve"> en el desarrollo territorial, según PIB per cápita y distribución de los ingresos: (i) provincias de Panamá, Chiriquí y Los Santos; (</w:t>
      </w:r>
      <w:proofErr w:type="spellStart"/>
      <w:r w:rsidRPr="00F151CC">
        <w:rPr>
          <w:rFonts w:cstheme="minorHAnsi"/>
          <w:color w:val="000000" w:themeColor="text1"/>
          <w:sz w:val="24"/>
          <w:szCs w:val="24"/>
          <w:lang w:val="es-ES"/>
        </w:rPr>
        <w:t>ii</w:t>
      </w:r>
      <w:proofErr w:type="spellEnd"/>
      <w:r w:rsidRPr="00F151CC">
        <w:rPr>
          <w:rFonts w:cstheme="minorHAnsi"/>
          <w:color w:val="000000" w:themeColor="text1"/>
          <w:sz w:val="24"/>
          <w:szCs w:val="24"/>
          <w:lang w:val="es-ES"/>
        </w:rPr>
        <w:t>) Bocas del Toro, Colón y Herrera; (</w:t>
      </w:r>
      <w:proofErr w:type="spellStart"/>
      <w:r w:rsidRPr="00F151CC">
        <w:rPr>
          <w:rFonts w:cstheme="minorHAnsi"/>
          <w:color w:val="000000" w:themeColor="text1"/>
          <w:sz w:val="24"/>
          <w:szCs w:val="24"/>
          <w:lang w:val="es-ES"/>
        </w:rPr>
        <w:t>iii</w:t>
      </w:r>
      <w:proofErr w:type="spellEnd"/>
      <w:r w:rsidRPr="00F151CC">
        <w:rPr>
          <w:rFonts w:cstheme="minorHAnsi"/>
          <w:color w:val="000000" w:themeColor="text1"/>
          <w:sz w:val="24"/>
          <w:szCs w:val="24"/>
          <w:lang w:val="es-ES"/>
        </w:rPr>
        <w:t>) Veraguas y Coclé; (</w:t>
      </w:r>
      <w:proofErr w:type="spellStart"/>
      <w:r w:rsidRPr="00F151CC">
        <w:rPr>
          <w:rFonts w:cstheme="minorHAnsi"/>
          <w:color w:val="000000" w:themeColor="text1"/>
          <w:sz w:val="24"/>
          <w:szCs w:val="24"/>
          <w:lang w:val="es-ES"/>
        </w:rPr>
        <w:t>iv</w:t>
      </w:r>
      <w:proofErr w:type="spellEnd"/>
      <w:r w:rsidRPr="00F151CC">
        <w:rPr>
          <w:rFonts w:cstheme="minorHAnsi"/>
          <w:color w:val="000000" w:themeColor="text1"/>
          <w:sz w:val="24"/>
          <w:szCs w:val="24"/>
          <w:lang w:val="es-ES"/>
        </w:rPr>
        <w:t xml:space="preserve">) Darién, Guna Yala, Emberá Wounaán y Ngäbe Buglé (PNUD, 2017).  </w:t>
      </w:r>
      <w:r>
        <w:rPr>
          <w:rFonts w:cstheme="minorHAnsi"/>
          <w:color w:val="000000" w:themeColor="text1"/>
          <w:sz w:val="24"/>
          <w:szCs w:val="24"/>
          <w:lang w:val="es-ES"/>
        </w:rPr>
        <w:t>En este último grupo se</w:t>
      </w:r>
      <w:r w:rsidRPr="0024710F">
        <w:rPr>
          <w:rFonts w:cstheme="minorHAnsi"/>
          <w:color w:val="000000" w:themeColor="text1"/>
          <w:sz w:val="24"/>
          <w:szCs w:val="24"/>
          <w:lang w:val="es-ES"/>
        </w:rPr>
        <w:t xml:space="preserve"> quedan atrás territorios</w:t>
      </w:r>
      <w:r>
        <w:rPr>
          <w:rFonts w:cstheme="minorHAnsi"/>
          <w:color w:val="000000" w:themeColor="text1"/>
          <w:sz w:val="24"/>
          <w:szCs w:val="24"/>
          <w:lang w:val="es-ES"/>
        </w:rPr>
        <w:t xml:space="preserve"> rurales</w:t>
      </w:r>
      <w:r w:rsidRPr="0024710F">
        <w:rPr>
          <w:rFonts w:cstheme="minorHAnsi"/>
          <w:color w:val="000000" w:themeColor="text1"/>
          <w:sz w:val="24"/>
          <w:szCs w:val="24"/>
          <w:lang w:val="es-ES"/>
        </w:rPr>
        <w:t xml:space="preserve"> y regiones con mayor presencia de población indígena </w:t>
      </w:r>
      <w:r w:rsidRPr="0024710F">
        <w:rPr>
          <w:rFonts w:cstheme="minorHAnsi"/>
          <w:color w:val="000000" w:themeColor="text1"/>
          <w:sz w:val="24"/>
          <w:szCs w:val="24"/>
        </w:rPr>
        <w:t xml:space="preserve">(OCDE, 2018). </w:t>
      </w:r>
    </w:p>
    <w:p w14:paraId="42B703B9" w14:textId="77777777" w:rsidR="000C171B" w:rsidRDefault="000C171B" w:rsidP="000C171B">
      <w:pPr>
        <w:pStyle w:val="CommentText"/>
        <w:spacing w:after="0"/>
        <w:jc w:val="both"/>
        <w:rPr>
          <w:rFonts w:cstheme="minorHAnsi"/>
          <w:color w:val="000000" w:themeColor="text1"/>
          <w:sz w:val="24"/>
          <w:szCs w:val="24"/>
        </w:rPr>
      </w:pPr>
    </w:p>
    <w:p w14:paraId="0216B0A5" w14:textId="47300C2F" w:rsidR="000C171B" w:rsidRPr="002E18E0" w:rsidRDefault="000C171B" w:rsidP="000C171B">
      <w:pPr>
        <w:pStyle w:val="CommentText"/>
        <w:spacing w:after="0"/>
        <w:jc w:val="both"/>
        <w:rPr>
          <w:sz w:val="24"/>
          <w:szCs w:val="24"/>
        </w:rPr>
      </w:pPr>
      <w:r w:rsidRPr="00FD0E5E">
        <w:rPr>
          <w:rFonts w:cstheme="minorHAnsi"/>
          <w:color w:val="000000" w:themeColor="text1"/>
          <w:sz w:val="24"/>
          <w:szCs w:val="24"/>
        </w:rPr>
        <w:t>Es decir,</w:t>
      </w:r>
      <w:r w:rsidRPr="00FD0E5E">
        <w:rPr>
          <w:rStyle w:val="CommentReference"/>
          <w:sz w:val="24"/>
          <w:szCs w:val="24"/>
        </w:rPr>
        <w:t xml:space="preserve"> la inversión pública está concentrada en las provincias más desarrolladas, perpetuando así la desigualdad </w:t>
      </w:r>
      <w:r>
        <w:rPr>
          <w:rStyle w:val="CommentReference"/>
          <w:sz w:val="24"/>
          <w:szCs w:val="24"/>
        </w:rPr>
        <w:t>y distribución</w:t>
      </w:r>
      <w:r w:rsidRPr="00FD0E5E">
        <w:rPr>
          <w:rStyle w:val="CommentReference"/>
          <w:sz w:val="24"/>
          <w:szCs w:val="24"/>
        </w:rPr>
        <w:t xml:space="preserve"> de poblaciones que se están quedando atrás </w:t>
      </w:r>
      <w:r>
        <w:rPr>
          <w:rStyle w:val="CommentReference"/>
          <w:sz w:val="24"/>
          <w:szCs w:val="24"/>
        </w:rPr>
        <w:t>en</w:t>
      </w:r>
      <w:r w:rsidRPr="00FD0E5E">
        <w:rPr>
          <w:rStyle w:val="CommentReference"/>
          <w:sz w:val="24"/>
          <w:szCs w:val="24"/>
        </w:rPr>
        <w:t xml:space="preserve"> zonas geográficas vulnerables en las áreas indígenas y rurales. </w:t>
      </w:r>
      <w:r>
        <w:rPr>
          <w:sz w:val="24"/>
          <w:szCs w:val="24"/>
        </w:rPr>
        <w:t>Por esto,</w:t>
      </w:r>
      <w:r w:rsidRPr="00FD0E5E">
        <w:rPr>
          <w:sz w:val="24"/>
          <w:szCs w:val="24"/>
        </w:rPr>
        <w:t xml:space="preserve"> la</w:t>
      </w:r>
      <w:r>
        <w:rPr>
          <w:sz w:val="24"/>
          <w:szCs w:val="24"/>
        </w:rPr>
        <w:t>s</w:t>
      </w:r>
      <w:r w:rsidRPr="00FD0E5E">
        <w:rPr>
          <w:sz w:val="24"/>
          <w:szCs w:val="24"/>
        </w:rPr>
        <w:t xml:space="preserve"> estrategia</w:t>
      </w:r>
      <w:r>
        <w:rPr>
          <w:sz w:val="24"/>
          <w:szCs w:val="24"/>
        </w:rPr>
        <w:t>s</w:t>
      </w:r>
      <w:r w:rsidRPr="00FD0E5E">
        <w:rPr>
          <w:sz w:val="24"/>
          <w:szCs w:val="24"/>
        </w:rPr>
        <w:t xml:space="preserve"> debería</w:t>
      </w:r>
      <w:r>
        <w:rPr>
          <w:sz w:val="24"/>
          <w:szCs w:val="24"/>
        </w:rPr>
        <w:t>n</w:t>
      </w:r>
      <w:r w:rsidRPr="00FD0E5E">
        <w:rPr>
          <w:sz w:val="24"/>
          <w:szCs w:val="24"/>
        </w:rPr>
        <w:t xml:space="preserve"> referirse también a la redistribución de riqueza y reducción de la desigualdad </w:t>
      </w:r>
      <w:r>
        <w:rPr>
          <w:sz w:val="24"/>
          <w:szCs w:val="24"/>
        </w:rPr>
        <w:t xml:space="preserve">territorial </w:t>
      </w:r>
      <w:r w:rsidRPr="00FD0E5E">
        <w:rPr>
          <w:sz w:val="24"/>
          <w:szCs w:val="24"/>
        </w:rPr>
        <w:t xml:space="preserve">a través de la inversión pública. </w:t>
      </w:r>
      <w:r>
        <w:rPr>
          <w:sz w:val="24"/>
          <w:szCs w:val="24"/>
        </w:rPr>
        <w:t xml:space="preserve">El coeficiente de Gini muestra </w:t>
      </w:r>
      <w:r w:rsidRPr="002E18E0">
        <w:rPr>
          <w:sz w:val="24"/>
          <w:szCs w:val="24"/>
        </w:rPr>
        <w:t>la multidimensionalidad de las desigualdades</w:t>
      </w:r>
      <w:r>
        <w:rPr>
          <w:sz w:val="24"/>
          <w:szCs w:val="24"/>
        </w:rPr>
        <w:t xml:space="preserve"> y nos permite vincular </w:t>
      </w:r>
      <w:r w:rsidRPr="002E18E0">
        <w:rPr>
          <w:sz w:val="24"/>
          <w:szCs w:val="24"/>
        </w:rPr>
        <w:t>los grados de desarrollo territorial</w:t>
      </w:r>
      <w:r>
        <w:rPr>
          <w:sz w:val="24"/>
          <w:szCs w:val="24"/>
        </w:rPr>
        <w:t xml:space="preserve">; </w:t>
      </w:r>
      <w:r w:rsidRPr="002E18E0">
        <w:rPr>
          <w:sz w:val="24"/>
          <w:szCs w:val="24"/>
        </w:rPr>
        <w:t xml:space="preserve">por ejemplo, los Distritos de </w:t>
      </w:r>
      <w:proofErr w:type="spellStart"/>
      <w:r w:rsidRPr="002E18E0">
        <w:rPr>
          <w:sz w:val="24"/>
          <w:szCs w:val="24"/>
        </w:rPr>
        <w:t>Mironó</w:t>
      </w:r>
      <w:proofErr w:type="spellEnd"/>
      <w:r w:rsidRPr="002E18E0">
        <w:rPr>
          <w:sz w:val="24"/>
          <w:szCs w:val="24"/>
        </w:rPr>
        <w:t xml:space="preserve">, </w:t>
      </w:r>
      <w:proofErr w:type="spellStart"/>
      <w:r w:rsidRPr="002E18E0">
        <w:rPr>
          <w:sz w:val="24"/>
          <w:szCs w:val="24"/>
        </w:rPr>
        <w:t>Besikó</w:t>
      </w:r>
      <w:proofErr w:type="spellEnd"/>
      <w:r w:rsidRPr="002E18E0">
        <w:rPr>
          <w:sz w:val="24"/>
          <w:szCs w:val="24"/>
        </w:rPr>
        <w:t xml:space="preserve"> y </w:t>
      </w:r>
      <w:proofErr w:type="spellStart"/>
      <w:r w:rsidRPr="002E18E0">
        <w:rPr>
          <w:sz w:val="24"/>
          <w:szCs w:val="24"/>
        </w:rPr>
        <w:t>Ñurum</w:t>
      </w:r>
      <w:proofErr w:type="spellEnd"/>
      <w:r w:rsidRPr="002E18E0">
        <w:rPr>
          <w:sz w:val="24"/>
          <w:szCs w:val="24"/>
        </w:rPr>
        <w:t xml:space="preserve"> (Comarca Ngäbe Buglé) tienen el mismo coeficiente de desigualdad (0.42) que el Distrito de Colón (Provincia de Colón). Asimismo, los Distritos de </w:t>
      </w:r>
      <w:proofErr w:type="spellStart"/>
      <w:r w:rsidRPr="002E18E0">
        <w:rPr>
          <w:sz w:val="24"/>
          <w:szCs w:val="24"/>
        </w:rPr>
        <w:t>Müná</w:t>
      </w:r>
      <w:proofErr w:type="spellEnd"/>
      <w:r w:rsidRPr="002E18E0">
        <w:rPr>
          <w:sz w:val="24"/>
          <w:szCs w:val="24"/>
        </w:rPr>
        <w:t xml:space="preserve"> (Comarca Ngäbe Buglé) y Santa </w:t>
      </w:r>
      <w:r w:rsidR="003925B1" w:rsidRPr="002E18E0">
        <w:rPr>
          <w:sz w:val="24"/>
          <w:szCs w:val="24"/>
        </w:rPr>
        <w:t>Fe</w:t>
      </w:r>
      <w:r w:rsidRPr="002E18E0">
        <w:rPr>
          <w:sz w:val="24"/>
          <w:szCs w:val="24"/>
        </w:rPr>
        <w:t xml:space="preserve"> (Veraguas) tienen el mismo coeficiente de desigualdad (0.45) que los Distritos de San Miguelito (Provincia de Panamá) y Santiago (Provincia de Veraguas) (MEF, 2015). </w:t>
      </w:r>
    </w:p>
    <w:p w14:paraId="3B83601D" w14:textId="77777777" w:rsidR="000C171B" w:rsidRDefault="000C171B" w:rsidP="000C171B">
      <w:pPr>
        <w:pStyle w:val="NormalWeb"/>
        <w:shd w:val="clear" w:color="auto" w:fill="FFFFFF" w:themeFill="background1"/>
        <w:spacing w:before="0" w:beforeAutospacing="0" w:after="0" w:afterAutospacing="0"/>
        <w:jc w:val="both"/>
        <w:rPr>
          <w:rFonts w:asciiTheme="minorHAnsi" w:hAnsiTheme="minorHAnsi" w:cstheme="minorHAnsi"/>
          <w:lang w:val="es-ES"/>
        </w:rPr>
      </w:pPr>
    </w:p>
    <w:p w14:paraId="3A0B1EE4" w14:textId="77777777" w:rsidR="000C171B" w:rsidRPr="0024710F" w:rsidRDefault="000C171B" w:rsidP="000C171B">
      <w:pPr>
        <w:spacing w:after="0" w:line="240" w:lineRule="auto"/>
        <w:jc w:val="both"/>
        <w:rPr>
          <w:color w:val="000000" w:themeColor="text1"/>
          <w:sz w:val="24"/>
          <w:szCs w:val="24"/>
        </w:rPr>
      </w:pPr>
      <w:r>
        <w:rPr>
          <w:color w:val="000000" w:themeColor="text1"/>
          <w:sz w:val="24"/>
          <w:szCs w:val="24"/>
        </w:rPr>
        <w:t>De igual manera, se mantiene l</w:t>
      </w:r>
      <w:r w:rsidRPr="0024710F">
        <w:rPr>
          <w:color w:val="000000" w:themeColor="text1"/>
          <w:sz w:val="24"/>
          <w:szCs w:val="24"/>
        </w:rPr>
        <w:t>a desigualdad de ingresos</w:t>
      </w:r>
      <w:r>
        <w:rPr>
          <w:color w:val="000000" w:themeColor="text1"/>
          <w:sz w:val="24"/>
          <w:szCs w:val="24"/>
        </w:rPr>
        <w:t>, mientras que d</w:t>
      </w:r>
      <w:r w:rsidRPr="0024710F">
        <w:rPr>
          <w:color w:val="000000" w:themeColor="text1"/>
          <w:sz w:val="24"/>
          <w:szCs w:val="24"/>
        </w:rPr>
        <w:t xml:space="preserve">esde </w:t>
      </w:r>
      <w:r>
        <w:rPr>
          <w:color w:val="000000" w:themeColor="text1"/>
          <w:sz w:val="24"/>
          <w:szCs w:val="24"/>
        </w:rPr>
        <w:t xml:space="preserve">el </w:t>
      </w:r>
      <w:r w:rsidRPr="0024710F">
        <w:rPr>
          <w:color w:val="000000" w:themeColor="text1"/>
          <w:sz w:val="24"/>
          <w:szCs w:val="24"/>
        </w:rPr>
        <w:t xml:space="preserve">2005 la proporción de </w:t>
      </w:r>
      <w:r>
        <w:rPr>
          <w:color w:val="000000" w:themeColor="text1"/>
          <w:sz w:val="24"/>
          <w:szCs w:val="24"/>
        </w:rPr>
        <w:t xml:space="preserve">los </w:t>
      </w:r>
      <w:r w:rsidRPr="0024710F">
        <w:rPr>
          <w:color w:val="000000" w:themeColor="text1"/>
          <w:sz w:val="24"/>
          <w:szCs w:val="24"/>
        </w:rPr>
        <w:t xml:space="preserve">ingresos </w:t>
      </w:r>
      <w:r>
        <w:rPr>
          <w:color w:val="000000" w:themeColor="text1"/>
          <w:sz w:val="24"/>
          <w:szCs w:val="24"/>
        </w:rPr>
        <w:t>de</w:t>
      </w:r>
      <w:r w:rsidRPr="0024710F">
        <w:rPr>
          <w:color w:val="000000" w:themeColor="text1"/>
          <w:sz w:val="24"/>
          <w:szCs w:val="24"/>
        </w:rPr>
        <w:t>l 10% de la población más rica ha sido alto (cerca del 40%) (OCDE, 2017 B</w:t>
      </w:r>
      <w:r>
        <w:rPr>
          <w:color w:val="000000" w:themeColor="text1"/>
          <w:sz w:val="24"/>
          <w:szCs w:val="24"/>
        </w:rPr>
        <w:t>)</w:t>
      </w:r>
      <w:r w:rsidRPr="0024710F">
        <w:rPr>
          <w:color w:val="000000" w:themeColor="text1"/>
          <w:sz w:val="24"/>
          <w:szCs w:val="24"/>
        </w:rPr>
        <w:t>, los ingresos agregados de los hogares del 40% más pobre disminuyó entre 1991 y 2017. Para el año en 1991, los ingresos del 40% más pobre</w:t>
      </w:r>
      <w:r>
        <w:rPr>
          <w:color w:val="000000" w:themeColor="text1"/>
          <w:sz w:val="24"/>
          <w:szCs w:val="24"/>
        </w:rPr>
        <w:t>s</w:t>
      </w:r>
      <w:r w:rsidRPr="0024710F">
        <w:rPr>
          <w:color w:val="000000" w:themeColor="text1"/>
          <w:sz w:val="24"/>
          <w:szCs w:val="24"/>
        </w:rPr>
        <w:t xml:space="preserve"> fueron el 18.0% del total de los ingresos</w:t>
      </w:r>
      <w:r>
        <w:rPr>
          <w:color w:val="000000" w:themeColor="text1"/>
          <w:sz w:val="24"/>
          <w:szCs w:val="24"/>
        </w:rPr>
        <w:t xml:space="preserve"> y en </w:t>
      </w:r>
      <w:r w:rsidRPr="0024710F">
        <w:rPr>
          <w:color w:val="000000" w:themeColor="text1"/>
          <w:sz w:val="24"/>
          <w:szCs w:val="24"/>
        </w:rPr>
        <w:t xml:space="preserve">el 2017, </w:t>
      </w:r>
      <w:r>
        <w:rPr>
          <w:color w:val="000000" w:themeColor="text1"/>
          <w:sz w:val="24"/>
          <w:szCs w:val="24"/>
        </w:rPr>
        <w:t>disminuyeron a</w:t>
      </w:r>
      <w:r w:rsidRPr="0024710F">
        <w:rPr>
          <w:color w:val="000000" w:themeColor="text1"/>
          <w:sz w:val="24"/>
          <w:szCs w:val="24"/>
        </w:rPr>
        <w:t xml:space="preserve"> 11.1% del total de los ingresos.  Un reto importante en este sentido lo representa </w:t>
      </w:r>
      <w:r>
        <w:rPr>
          <w:color w:val="000000" w:themeColor="text1"/>
          <w:sz w:val="24"/>
          <w:szCs w:val="24"/>
        </w:rPr>
        <w:t xml:space="preserve">la </w:t>
      </w:r>
      <w:r w:rsidRPr="0024710F">
        <w:rPr>
          <w:color w:val="000000" w:themeColor="text1"/>
          <w:sz w:val="24"/>
          <w:szCs w:val="24"/>
        </w:rPr>
        <w:t>desagrega</w:t>
      </w:r>
      <w:r>
        <w:rPr>
          <w:color w:val="000000" w:themeColor="text1"/>
          <w:sz w:val="24"/>
          <w:szCs w:val="24"/>
        </w:rPr>
        <w:t>ción de</w:t>
      </w:r>
      <w:r w:rsidRPr="0024710F">
        <w:rPr>
          <w:color w:val="000000" w:themeColor="text1"/>
          <w:sz w:val="24"/>
          <w:szCs w:val="24"/>
        </w:rPr>
        <w:t xml:space="preserve"> la composición de </w:t>
      </w:r>
      <w:r>
        <w:rPr>
          <w:color w:val="000000" w:themeColor="text1"/>
          <w:sz w:val="24"/>
          <w:szCs w:val="24"/>
        </w:rPr>
        <w:t xml:space="preserve">los ingresos, </w:t>
      </w:r>
      <w:r w:rsidRPr="0024710F">
        <w:rPr>
          <w:color w:val="000000" w:themeColor="text1"/>
          <w:sz w:val="24"/>
          <w:szCs w:val="24"/>
        </w:rPr>
        <w:t xml:space="preserve">los hogares y sus jefaturas </w:t>
      </w:r>
      <w:r w:rsidRPr="0024710F">
        <w:rPr>
          <w:color w:val="000000" w:themeColor="text1"/>
          <w:sz w:val="24"/>
          <w:szCs w:val="24"/>
        </w:rPr>
        <w:lastRenderedPageBreak/>
        <w:t>con la finalidad de adecuar las políticas públicas a las dinámicas y condiciones sociales emergentes</w:t>
      </w:r>
      <w:r>
        <w:rPr>
          <w:color w:val="000000" w:themeColor="text1"/>
          <w:sz w:val="24"/>
          <w:szCs w:val="24"/>
        </w:rPr>
        <w:t xml:space="preserve"> </w:t>
      </w:r>
      <w:r w:rsidRPr="0024710F">
        <w:rPr>
          <w:color w:val="000000" w:themeColor="text1"/>
          <w:sz w:val="24"/>
          <w:szCs w:val="24"/>
        </w:rPr>
        <w:t xml:space="preserve">(Rodríguez Mojica, 2018). </w:t>
      </w:r>
    </w:p>
    <w:p w14:paraId="57ACDFF4" w14:textId="77777777" w:rsidR="000C171B" w:rsidRPr="0024710F" w:rsidRDefault="000C171B" w:rsidP="000C171B">
      <w:pPr>
        <w:spacing w:after="0" w:line="240" w:lineRule="auto"/>
        <w:jc w:val="both"/>
        <w:rPr>
          <w:color w:val="000000" w:themeColor="text1"/>
          <w:sz w:val="24"/>
          <w:szCs w:val="24"/>
        </w:rPr>
      </w:pPr>
    </w:p>
    <w:p w14:paraId="1E18664A" w14:textId="77777777" w:rsidR="000C171B" w:rsidRDefault="000C171B" w:rsidP="000C171B">
      <w:pPr>
        <w:pStyle w:val="NormalWeb"/>
        <w:shd w:val="clear" w:color="auto" w:fill="FFFFFF" w:themeFill="background1"/>
        <w:spacing w:before="0" w:beforeAutospacing="0" w:after="0" w:afterAutospacing="0"/>
        <w:jc w:val="both"/>
        <w:rPr>
          <w:rFonts w:asciiTheme="minorHAnsi" w:hAnsiTheme="minorHAnsi" w:cstheme="minorHAnsi"/>
          <w:color w:val="000000" w:themeColor="text1"/>
          <w:lang w:val="es-ES"/>
        </w:rPr>
      </w:pPr>
      <w:r>
        <w:rPr>
          <w:rFonts w:asciiTheme="minorHAnsi" w:hAnsiTheme="minorHAnsi" w:cstheme="minorHAnsi"/>
          <w:color w:val="000000" w:themeColor="text1"/>
          <w:lang w:val="es-ES"/>
        </w:rPr>
        <w:t>L</w:t>
      </w:r>
      <w:r w:rsidRPr="00F8537C">
        <w:rPr>
          <w:rFonts w:asciiTheme="minorHAnsi" w:hAnsiTheme="minorHAnsi" w:cstheme="minorHAnsi"/>
          <w:color w:val="000000" w:themeColor="text1"/>
          <w:lang w:val="es-ES"/>
        </w:rPr>
        <w:t>os actuales motores del crecimiento del país, dependientes en gran medida de la actividad del Canal, así como</w:t>
      </w:r>
      <w:r w:rsidRPr="00A72870">
        <w:rPr>
          <w:rFonts w:asciiTheme="minorHAnsi" w:hAnsiTheme="minorHAnsi" w:cstheme="minorHAnsi"/>
          <w:color w:val="000000" w:themeColor="text1"/>
          <w:lang w:val="es-ES"/>
        </w:rPr>
        <w:t xml:space="preserve"> del sector financiero y de la construcción, parecen incapaces</w:t>
      </w:r>
      <w:r>
        <w:rPr>
          <w:rFonts w:asciiTheme="minorHAnsi" w:hAnsiTheme="minorHAnsi" w:cstheme="minorHAnsi"/>
          <w:color w:val="000000" w:themeColor="text1"/>
          <w:lang w:val="es-ES"/>
        </w:rPr>
        <w:t>,</w:t>
      </w:r>
      <w:r w:rsidRPr="00A72870">
        <w:rPr>
          <w:rFonts w:asciiTheme="minorHAnsi" w:hAnsiTheme="minorHAnsi" w:cstheme="minorHAnsi"/>
          <w:color w:val="000000" w:themeColor="text1"/>
          <w:lang w:val="es-ES"/>
        </w:rPr>
        <w:t xml:space="preserve"> por sí solos, de impulsar cambios socioeconómicos e inclusión</w:t>
      </w:r>
      <w:r>
        <w:rPr>
          <w:rFonts w:asciiTheme="minorHAnsi" w:hAnsiTheme="minorHAnsi" w:cstheme="minorHAnsi"/>
          <w:color w:val="000000" w:themeColor="text1"/>
          <w:lang w:val="es-ES"/>
        </w:rPr>
        <w:t xml:space="preserve"> (</w:t>
      </w:r>
      <w:r w:rsidRPr="00F8537C">
        <w:rPr>
          <w:rFonts w:asciiTheme="minorHAnsi" w:hAnsiTheme="minorHAnsi" w:cstheme="minorHAnsi"/>
          <w:color w:val="000000" w:themeColor="text1"/>
          <w:lang w:val="es-ES"/>
        </w:rPr>
        <w:t>OCDE</w:t>
      </w:r>
      <w:r>
        <w:rPr>
          <w:rFonts w:asciiTheme="minorHAnsi" w:hAnsiTheme="minorHAnsi" w:cstheme="minorHAnsi"/>
          <w:color w:val="000000" w:themeColor="text1"/>
          <w:lang w:val="es-ES"/>
        </w:rPr>
        <w:t xml:space="preserve">, </w:t>
      </w:r>
      <w:r w:rsidRPr="00F8537C">
        <w:rPr>
          <w:rFonts w:asciiTheme="minorHAnsi" w:hAnsiTheme="minorHAnsi" w:cstheme="minorHAnsi"/>
          <w:color w:val="000000" w:themeColor="text1"/>
          <w:lang w:val="es-ES"/>
        </w:rPr>
        <w:t>2017)</w:t>
      </w:r>
      <w:r>
        <w:rPr>
          <w:rFonts w:asciiTheme="minorHAnsi" w:hAnsiTheme="minorHAnsi" w:cstheme="minorHAnsi"/>
          <w:color w:val="000000" w:themeColor="text1"/>
          <w:lang w:val="es-ES"/>
        </w:rPr>
        <w:t xml:space="preserve"> que permitan disminuir la desigualdad</w:t>
      </w:r>
      <w:r w:rsidRPr="00F8537C">
        <w:rPr>
          <w:rFonts w:asciiTheme="minorHAnsi" w:hAnsiTheme="minorHAnsi" w:cstheme="minorHAnsi"/>
          <w:color w:val="000000" w:themeColor="text1"/>
          <w:lang w:val="es-ES"/>
        </w:rPr>
        <w:t>.</w:t>
      </w:r>
      <w:r>
        <w:rPr>
          <w:rFonts w:asciiTheme="minorHAnsi" w:hAnsiTheme="minorHAnsi" w:cstheme="minorHAnsi"/>
          <w:color w:val="000000" w:themeColor="text1"/>
          <w:lang w:val="es-ES"/>
        </w:rPr>
        <w:t xml:space="preserve"> Se requiere </w:t>
      </w:r>
      <w:r w:rsidRPr="00C26FE3">
        <w:rPr>
          <w:rFonts w:asciiTheme="minorHAnsi" w:hAnsiTheme="minorHAnsi" w:cstheme="minorHAnsi"/>
          <w:color w:val="000000" w:themeColor="text1"/>
          <w:lang w:val="es-ES"/>
        </w:rPr>
        <w:t xml:space="preserve">avanzar hacia un crecimiento </w:t>
      </w:r>
      <w:r>
        <w:rPr>
          <w:rFonts w:asciiTheme="minorHAnsi" w:hAnsiTheme="minorHAnsi" w:cstheme="minorHAnsi"/>
          <w:color w:val="000000" w:themeColor="text1"/>
          <w:lang w:val="es-ES"/>
        </w:rPr>
        <w:t xml:space="preserve">económico </w:t>
      </w:r>
      <w:r w:rsidRPr="00C26FE3">
        <w:rPr>
          <w:rFonts w:asciiTheme="minorHAnsi" w:hAnsiTheme="minorHAnsi" w:cstheme="minorHAnsi"/>
          <w:color w:val="000000" w:themeColor="text1"/>
          <w:lang w:val="es-ES"/>
        </w:rPr>
        <w:t>basado en la innovación</w:t>
      </w:r>
      <w:r>
        <w:rPr>
          <w:rFonts w:asciiTheme="minorHAnsi" w:hAnsiTheme="minorHAnsi" w:cstheme="minorHAnsi"/>
          <w:color w:val="000000" w:themeColor="text1"/>
          <w:lang w:val="es-ES"/>
        </w:rPr>
        <w:t>,</w:t>
      </w:r>
      <w:r w:rsidRPr="00C26FE3">
        <w:rPr>
          <w:rFonts w:asciiTheme="minorHAnsi" w:hAnsiTheme="minorHAnsi" w:cstheme="minorHAnsi"/>
          <w:color w:val="000000" w:themeColor="text1"/>
          <w:lang w:val="es-ES"/>
        </w:rPr>
        <w:t xml:space="preserve"> con mejoras en la </w:t>
      </w:r>
      <w:r w:rsidRPr="00C858EB">
        <w:rPr>
          <w:rFonts w:asciiTheme="minorHAnsi" w:hAnsiTheme="minorHAnsi" w:cstheme="minorHAnsi"/>
          <w:color w:val="000000" w:themeColor="text1"/>
          <w:lang w:val="es-ES"/>
        </w:rPr>
        <w:t>productividad laboral entre regiones y sectores económicos</w:t>
      </w:r>
      <w:r>
        <w:rPr>
          <w:rFonts w:asciiTheme="minorHAnsi" w:hAnsiTheme="minorHAnsi" w:cstheme="minorHAnsi"/>
          <w:color w:val="000000" w:themeColor="text1"/>
          <w:lang w:val="es-ES"/>
        </w:rPr>
        <w:t>;</w:t>
      </w:r>
      <w:r w:rsidRPr="00897721">
        <w:rPr>
          <w:rFonts w:asciiTheme="minorHAnsi" w:hAnsiTheme="minorHAnsi" w:cstheme="minorHAnsi"/>
          <w:color w:val="000000" w:themeColor="text1"/>
          <w:lang w:val="es-ES"/>
        </w:rPr>
        <w:t xml:space="preserve"> </w:t>
      </w:r>
      <w:r>
        <w:rPr>
          <w:rFonts w:asciiTheme="minorHAnsi" w:hAnsiTheme="minorHAnsi" w:cstheme="minorHAnsi"/>
          <w:color w:val="000000" w:themeColor="text1"/>
          <w:lang w:val="es-ES"/>
        </w:rPr>
        <w:t>y las políticas orientadas a promover la mayor participación laboral de los jóvenes y las mujeres con empleos decentes y en sectores de mayor productividad</w:t>
      </w:r>
      <w:r w:rsidRPr="00A72870">
        <w:rPr>
          <w:rFonts w:asciiTheme="minorHAnsi" w:hAnsiTheme="minorHAnsi" w:cstheme="minorHAnsi"/>
          <w:color w:val="000000" w:themeColor="text1"/>
          <w:lang w:val="es-ES"/>
        </w:rPr>
        <w:t xml:space="preserve">. </w:t>
      </w:r>
    </w:p>
    <w:p w14:paraId="2918E5C6" w14:textId="77777777" w:rsidR="000C171B" w:rsidRDefault="000C171B" w:rsidP="000C171B">
      <w:pPr>
        <w:pStyle w:val="NormalWeb"/>
        <w:shd w:val="clear" w:color="auto" w:fill="FFFFFF" w:themeFill="background1"/>
        <w:spacing w:before="0" w:beforeAutospacing="0" w:after="0" w:afterAutospacing="0"/>
        <w:jc w:val="both"/>
        <w:rPr>
          <w:rFonts w:asciiTheme="minorHAnsi" w:hAnsiTheme="minorHAnsi" w:cstheme="minorHAnsi"/>
          <w:color w:val="000000" w:themeColor="text1"/>
          <w:lang w:val="es-ES"/>
        </w:rPr>
      </w:pPr>
    </w:p>
    <w:p w14:paraId="3B339BF2" w14:textId="77777777" w:rsidR="000C171B" w:rsidRDefault="000C171B" w:rsidP="000C171B">
      <w:pPr>
        <w:pStyle w:val="NormalWeb"/>
        <w:shd w:val="clear" w:color="auto" w:fill="FFFFFF" w:themeFill="background1"/>
        <w:spacing w:before="0" w:beforeAutospacing="0" w:after="0" w:afterAutospacing="0"/>
        <w:jc w:val="both"/>
        <w:rPr>
          <w:rFonts w:asciiTheme="minorHAnsi" w:hAnsiTheme="minorHAnsi" w:cstheme="minorHAnsi"/>
          <w:color w:val="000000" w:themeColor="text1"/>
          <w:lang w:val="es-ES"/>
        </w:rPr>
      </w:pPr>
      <w:r w:rsidRPr="00A72870">
        <w:rPr>
          <w:rFonts w:asciiTheme="minorHAnsi" w:hAnsiTheme="minorHAnsi" w:cstheme="minorHAnsi"/>
          <w:color w:val="000000" w:themeColor="text1"/>
          <w:lang w:val="es-ES"/>
        </w:rPr>
        <w:t>En es</w:t>
      </w:r>
      <w:r>
        <w:rPr>
          <w:rFonts w:asciiTheme="minorHAnsi" w:hAnsiTheme="minorHAnsi" w:cstheme="minorHAnsi"/>
          <w:color w:val="000000" w:themeColor="text1"/>
          <w:lang w:val="es-ES"/>
        </w:rPr>
        <w:t>t</w:t>
      </w:r>
      <w:r w:rsidRPr="00A72870">
        <w:rPr>
          <w:rFonts w:asciiTheme="minorHAnsi" w:hAnsiTheme="minorHAnsi" w:cstheme="minorHAnsi"/>
          <w:color w:val="000000" w:themeColor="text1"/>
          <w:lang w:val="es-ES"/>
        </w:rPr>
        <w:t xml:space="preserve">e escenario, una desaceleración económica, y un incremento en la vulnerabilidad climática, podría revertir los logros obtenidos en materia de reducción de la pobreza y los avances en educación, salud, </w:t>
      </w:r>
      <w:r>
        <w:rPr>
          <w:rFonts w:asciiTheme="minorHAnsi" w:hAnsiTheme="minorHAnsi" w:cstheme="minorHAnsi"/>
          <w:color w:val="000000" w:themeColor="text1"/>
          <w:lang w:val="es-ES"/>
        </w:rPr>
        <w:t xml:space="preserve">incluyendo la salud sexual y reproductiva, </w:t>
      </w:r>
      <w:r w:rsidRPr="00A72870">
        <w:rPr>
          <w:rFonts w:asciiTheme="minorHAnsi" w:hAnsiTheme="minorHAnsi" w:cstheme="minorHAnsi"/>
          <w:color w:val="000000" w:themeColor="text1"/>
          <w:lang w:val="es-ES"/>
        </w:rPr>
        <w:t>vivienda, ambiente y transporte.</w:t>
      </w:r>
      <w:r w:rsidRPr="00FD0E5E">
        <w:rPr>
          <w:rStyle w:val="FootnoteReference"/>
          <w:rFonts w:asciiTheme="minorHAnsi" w:eastAsiaTheme="minorEastAsia" w:hAnsiTheme="minorHAnsi" w:cstheme="minorHAnsi"/>
          <w:color w:val="000000" w:themeColor="text1"/>
          <w:lang w:val="es-ES"/>
        </w:rPr>
        <w:footnoteReference w:id="5"/>
      </w:r>
    </w:p>
    <w:p w14:paraId="45F26389" w14:textId="77777777" w:rsidR="000C171B" w:rsidRDefault="000C171B" w:rsidP="000C171B">
      <w:pPr>
        <w:spacing w:after="0" w:line="240" w:lineRule="auto"/>
        <w:rPr>
          <w:rFonts w:cstheme="minorHAnsi"/>
          <w:b/>
          <w:bCs/>
          <w:sz w:val="24"/>
          <w:szCs w:val="24"/>
        </w:rPr>
      </w:pPr>
    </w:p>
    <w:p w14:paraId="7EE169B0" w14:textId="77777777" w:rsidR="000C171B" w:rsidRPr="00586FF3" w:rsidRDefault="000C171B" w:rsidP="000C171B">
      <w:pPr>
        <w:spacing w:after="0" w:line="240" w:lineRule="auto"/>
        <w:rPr>
          <w:rFonts w:ascii="Calibri" w:hAnsi="Calibri" w:cs="Calibri"/>
          <w:b/>
          <w:bCs/>
          <w:color w:val="4472C4" w:themeColor="accent1"/>
          <w:sz w:val="24"/>
          <w:szCs w:val="24"/>
        </w:rPr>
      </w:pPr>
      <w:r w:rsidRPr="00586FF3">
        <w:rPr>
          <w:rFonts w:cstheme="minorHAnsi"/>
          <w:b/>
          <w:bCs/>
          <w:color w:val="4472C4" w:themeColor="accent1"/>
          <w:sz w:val="24"/>
          <w:szCs w:val="24"/>
        </w:rPr>
        <w:t xml:space="preserve">1.2.2. Dimensión Social. </w:t>
      </w:r>
    </w:p>
    <w:p w14:paraId="28A08CDC" w14:textId="77777777" w:rsidR="000C171B" w:rsidRPr="006F0F38" w:rsidRDefault="000C171B" w:rsidP="000C171B">
      <w:pPr>
        <w:spacing w:after="0" w:line="240" w:lineRule="auto"/>
        <w:jc w:val="both"/>
        <w:rPr>
          <w:rFonts w:ascii="Calibri" w:hAnsi="Calibri" w:cs="Calibri"/>
          <w:color w:val="FF0000"/>
          <w:sz w:val="24"/>
          <w:szCs w:val="24"/>
        </w:rPr>
      </w:pPr>
    </w:p>
    <w:p w14:paraId="32489A95" w14:textId="77777777" w:rsidR="000C171B" w:rsidRPr="0089536B" w:rsidRDefault="000C171B" w:rsidP="000C171B">
      <w:pPr>
        <w:spacing w:after="0" w:line="240" w:lineRule="auto"/>
        <w:jc w:val="both"/>
        <w:rPr>
          <w:sz w:val="24"/>
          <w:szCs w:val="24"/>
        </w:rPr>
      </w:pPr>
      <w:r>
        <w:rPr>
          <w:sz w:val="24"/>
          <w:szCs w:val="24"/>
        </w:rPr>
        <w:t>L</w:t>
      </w:r>
      <w:r w:rsidRPr="00AE44FD">
        <w:rPr>
          <w:sz w:val="24"/>
          <w:szCs w:val="24"/>
        </w:rPr>
        <w:t>a pobreza muestra lo estructural de las desigualdades</w:t>
      </w:r>
      <w:r>
        <w:rPr>
          <w:sz w:val="24"/>
          <w:szCs w:val="24"/>
        </w:rPr>
        <w:t>; p</w:t>
      </w:r>
      <w:r w:rsidRPr="00AE44FD">
        <w:rPr>
          <w:sz w:val="24"/>
          <w:szCs w:val="24"/>
        </w:rPr>
        <w:t xml:space="preserve">or ello, las mediciones de la pobreza multidimensional, es un primer paso en el acceso y realización de los derechos de las personas. </w:t>
      </w:r>
      <w:r>
        <w:rPr>
          <w:sz w:val="24"/>
          <w:szCs w:val="24"/>
        </w:rPr>
        <w:t>L</w:t>
      </w:r>
      <w:r w:rsidRPr="00AE44FD">
        <w:rPr>
          <w:sz w:val="24"/>
          <w:szCs w:val="24"/>
        </w:rPr>
        <w:t xml:space="preserve">a pobreza multidimensional supone una negación de derechos </w:t>
      </w:r>
      <w:r>
        <w:rPr>
          <w:sz w:val="24"/>
          <w:szCs w:val="24"/>
        </w:rPr>
        <w:t>ya que considera de manera</w:t>
      </w:r>
      <w:r w:rsidRPr="00AE44FD">
        <w:rPr>
          <w:sz w:val="24"/>
          <w:szCs w:val="24"/>
        </w:rPr>
        <w:t xml:space="preserve"> integral las múltiples privaciones y carencias que experimentan las personas y los hogares en </w:t>
      </w:r>
      <w:r>
        <w:rPr>
          <w:sz w:val="24"/>
          <w:szCs w:val="24"/>
        </w:rPr>
        <w:t xml:space="preserve">las distintas </w:t>
      </w:r>
      <w:r w:rsidRPr="00AE44FD">
        <w:rPr>
          <w:sz w:val="24"/>
          <w:szCs w:val="24"/>
        </w:rPr>
        <w:t>dimensiones del bienestar, tales como: (i) educación, (</w:t>
      </w:r>
      <w:proofErr w:type="spellStart"/>
      <w:r w:rsidRPr="00AE44FD">
        <w:rPr>
          <w:sz w:val="24"/>
          <w:szCs w:val="24"/>
        </w:rPr>
        <w:t>ii</w:t>
      </w:r>
      <w:proofErr w:type="spellEnd"/>
      <w:r w:rsidRPr="00AE44FD">
        <w:rPr>
          <w:sz w:val="24"/>
          <w:szCs w:val="24"/>
        </w:rPr>
        <w:t>) viviendas, servicios básicos y acceso de internet, (</w:t>
      </w:r>
      <w:proofErr w:type="spellStart"/>
      <w:r w:rsidRPr="00AE44FD">
        <w:rPr>
          <w:sz w:val="24"/>
          <w:szCs w:val="24"/>
        </w:rPr>
        <w:t>iii</w:t>
      </w:r>
      <w:proofErr w:type="spellEnd"/>
      <w:r w:rsidRPr="00AE44FD">
        <w:rPr>
          <w:sz w:val="24"/>
          <w:szCs w:val="24"/>
        </w:rPr>
        <w:t>) ambiente, entorno y saneamiento, (</w:t>
      </w:r>
      <w:proofErr w:type="spellStart"/>
      <w:r w:rsidRPr="00AE44FD">
        <w:rPr>
          <w:sz w:val="24"/>
          <w:szCs w:val="24"/>
        </w:rPr>
        <w:t>iv</w:t>
      </w:r>
      <w:proofErr w:type="spellEnd"/>
      <w:r w:rsidRPr="00AE44FD">
        <w:rPr>
          <w:sz w:val="24"/>
          <w:szCs w:val="24"/>
        </w:rPr>
        <w:t xml:space="preserve">) trabajo, (v) salud. </w:t>
      </w:r>
      <w:r w:rsidRPr="0089536B">
        <w:rPr>
          <w:sz w:val="24"/>
          <w:szCs w:val="24"/>
        </w:rPr>
        <w:t>Es decir, se busca identificar y medir la incidencia e intensidad de las</w:t>
      </w:r>
      <w:r w:rsidRPr="009C0B1B">
        <w:rPr>
          <w:sz w:val="24"/>
          <w:szCs w:val="24"/>
        </w:rPr>
        <w:t xml:space="preserve"> principales carencias o privaciones no monetarias que afectan las condiciones de vida de los panameños, y emplearlas como criterio complementario a la medición de pobreza por ingreso en la reorientación de la política social, para lograr una efectiva reducción de la pobreza de modo integral (MEF, 2017</w:t>
      </w:r>
      <w:r>
        <w:rPr>
          <w:sz w:val="24"/>
          <w:szCs w:val="24"/>
        </w:rPr>
        <w:t>; MEF 2018</w:t>
      </w:r>
      <w:r w:rsidRPr="0089536B">
        <w:rPr>
          <w:sz w:val="24"/>
          <w:szCs w:val="24"/>
        </w:rPr>
        <w:t>).</w:t>
      </w:r>
    </w:p>
    <w:p w14:paraId="265F049F" w14:textId="77777777" w:rsidR="000C171B" w:rsidRDefault="000C171B" w:rsidP="000C171B">
      <w:pPr>
        <w:spacing w:after="0" w:line="240" w:lineRule="auto"/>
        <w:jc w:val="both"/>
        <w:rPr>
          <w:rFonts w:ascii="Calibri" w:hAnsi="Calibri" w:cs="Calibri"/>
          <w:color w:val="FF0000"/>
          <w:sz w:val="24"/>
          <w:szCs w:val="24"/>
        </w:rPr>
      </w:pPr>
    </w:p>
    <w:p w14:paraId="26410DF9" w14:textId="77777777" w:rsidR="000C171B" w:rsidRPr="009C0B1B" w:rsidRDefault="000C171B" w:rsidP="000C171B">
      <w:pPr>
        <w:spacing w:after="0" w:line="240" w:lineRule="auto"/>
        <w:jc w:val="both"/>
        <w:rPr>
          <w:rFonts w:cstheme="minorHAnsi"/>
          <w:sz w:val="24"/>
          <w:szCs w:val="24"/>
        </w:rPr>
      </w:pPr>
      <w:r w:rsidRPr="009C0B1B">
        <w:rPr>
          <w:rFonts w:cstheme="minorHAnsi"/>
          <w:sz w:val="24"/>
          <w:szCs w:val="24"/>
        </w:rPr>
        <w:t>Desde la perspectiva multidimensional, la dinámica de la pobreza muestra un conjunto de brechas: (i) según sexo, la pobreza multidimensional, a nivel nacional, afecta más a los hombres que a las mujeres; (</w:t>
      </w:r>
      <w:proofErr w:type="spellStart"/>
      <w:r w:rsidRPr="009C0B1B">
        <w:rPr>
          <w:rFonts w:cstheme="minorHAnsi"/>
          <w:sz w:val="24"/>
          <w:szCs w:val="24"/>
        </w:rPr>
        <w:t>ii</w:t>
      </w:r>
      <w:proofErr w:type="spellEnd"/>
      <w:r w:rsidRPr="009C0B1B">
        <w:rPr>
          <w:rFonts w:cstheme="minorHAnsi"/>
          <w:sz w:val="24"/>
          <w:szCs w:val="24"/>
        </w:rPr>
        <w:t>) según áreas, la pobreza multidimensional, es cuatro veces más en las áreas rurales, que en las áreas urbanas, siendo el caso comarcas Ngäbe Buglé, Guna Yala y Emberá Wounaán, donde el valor del promedio comarcal es más de 4 veces superior al valor del promedio nacional; (</w:t>
      </w:r>
      <w:proofErr w:type="spellStart"/>
      <w:r w:rsidRPr="009C0B1B">
        <w:rPr>
          <w:rFonts w:cstheme="minorHAnsi"/>
          <w:sz w:val="24"/>
          <w:szCs w:val="24"/>
        </w:rPr>
        <w:t>iii</w:t>
      </w:r>
      <w:proofErr w:type="spellEnd"/>
      <w:r w:rsidRPr="009C0B1B">
        <w:rPr>
          <w:rFonts w:cstheme="minorHAnsi"/>
          <w:sz w:val="24"/>
          <w:szCs w:val="24"/>
        </w:rPr>
        <w:t xml:space="preserve">) según grupos poblacionales, la personas con edades entre los 6 y 11 años, los 12 y 17 años, 18 y 24 años, son las más afectas por la pobreza multidimensional. Es decir, las privaciones y la exclusión según la medición multidimensional, afecta mayormente a los grupos población que integran el bono demográfico del país, lo que supone, en el corto plazo, tanto un replanteamiento completo del diseño y evaluación de las políticas públicas </w:t>
      </w:r>
      <w:r w:rsidRPr="009C0B1B">
        <w:rPr>
          <w:rFonts w:cstheme="minorHAnsi"/>
          <w:sz w:val="24"/>
          <w:szCs w:val="24"/>
        </w:rPr>
        <w:lastRenderedPageBreak/>
        <w:t>como el cambio en las formas de focalización e intervención en los territorios (MEF, 2017; MEF, 2018).</w:t>
      </w:r>
    </w:p>
    <w:p w14:paraId="28C1C481" w14:textId="77777777" w:rsidR="000C171B" w:rsidRPr="009C0B1B" w:rsidRDefault="000C171B" w:rsidP="000C171B">
      <w:pPr>
        <w:spacing w:after="0" w:line="240" w:lineRule="auto"/>
        <w:jc w:val="both"/>
        <w:rPr>
          <w:rFonts w:cstheme="minorHAnsi"/>
          <w:sz w:val="24"/>
          <w:szCs w:val="24"/>
        </w:rPr>
      </w:pPr>
    </w:p>
    <w:p w14:paraId="2C9C4170" w14:textId="2DD8FA40" w:rsidR="000C171B" w:rsidRPr="009C0B1B" w:rsidRDefault="000C171B" w:rsidP="000C171B">
      <w:pPr>
        <w:spacing w:after="0" w:line="240" w:lineRule="auto"/>
        <w:jc w:val="both"/>
        <w:rPr>
          <w:rFonts w:cstheme="minorHAnsi"/>
          <w:sz w:val="24"/>
          <w:szCs w:val="24"/>
        </w:rPr>
      </w:pPr>
      <w:r w:rsidRPr="009C0B1B">
        <w:rPr>
          <w:rFonts w:cstheme="minorHAnsi"/>
          <w:sz w:val="24"/>
          <w:szCs w:val="24"/>
        </w:rPr>
        <w:t>A partir de la inversión sistemática en transferencias condicionadas, el país ha logrado avances significativos en la lucha contra el hambre y la malnutrición en todas sus formas. Según el Estado de la seguridad alimentaria y la nutrición en el mundo 2019, la prevalencia de subalimentación en el país se redujo desde el 22,9 por ciento en 2004-2006, al 10% entre el 2014-2018. Sin embargo, en el país existen aún 400 mil personas que no logran cubrir sus demandas alimentarias y con ello no logran la realización de su derecho a una subsistencia digna. Según disponibilidad, acceso, estabilidad y utilización biológica de los alimentos, los indígenas son la población con mayor inseguridad alimentaria y nutricional, considerando que una alta proporción de ellos no tiene siquiera la capacidad económica para cubrir sus requerimientos mínimos alimenticios</w:t>
      </w:r>
      <w:r w:rsidR="00896344">
        <w:rPr>
          <w:rFonts w:cstheme="minorHAnsi"/>
          <w:sz w:val="24"/>
          <w:szCs w:val="24"/>
        </w:rPr>
        <w:t xml:space="preserve"> (Ver Cuadro 1)</w:t>
      </w:r>
      <w:r w:rsidRPr="009C0B1B">
        <w:rPr>
          <w:rFonts w:cstheme="minorHAnsi"/>
          <w:sz w:val="24"/>
          <w:szCs w:val="24"/>
        </w:rPr>
        <w:t xml:space="preserve">. </w:t>
      </w:r>
    </w:p>
    <w:p w14:paraId="01871E7D" w14:textId="77777777" w:rsidR="000C171B" w:rsidRDefault="000C171B" w:rsidP="000C171B">
      <w:pPr>
        <w:spacing w:after="0" w:line="240" w:lineRule="auto"/>
        <w:jc w:val="both"/>
        <w:rPr>
          <w:rFonts w:ascii="Calibri" w:hAnsi="Calibri" w:cs="Calibri"/>
          <w:color w:val="FF0000"/>
          <w:sz w:val="24"/>
          <w:szCs w:val="24"/>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0"/>
        <w:gridCol w:w="2760"/>
        <w:gridCol w:w="2760"/>
      </w:tblGrid>
      <w:tr w:rsidR="000C171B" w:rsidRPr="000F008C" w14:paraId="7458AF16" w14:textId="77777777" w:rsidTr="002C49EF">
        <w:trPr>
          <w:trHeight w:val="288"/>
          <w:tblHeader/>
        </w:trPr>
        <w:tc>
          <w:tcPr>
            <w:tcW w:w="9720" w:type="dxa"/>
            <w:gridSpan w:val="3"/>
            <w:tcBorders>
              <w:top w:val="nil"/>
              <w:left w:val="nil"/>
              <w:right w:val="nil"/>
            </w:tcBorders>
            <w:shd w:val="clear" w:color="auto" w:fill="auto"/>
            <w:vAlign w:val="center"/>
          </w:tcPr>
          <w:p w14:paraId="37A948C0" w14:textId="2DCFDA09" w:rsidR="000C171B" w:rsidRPr="005A3845" w:rsidRDefault="00896344" w:rsidP="002C49EF">
            <w:pPr>
              <w:spacing w:after="0" w:line="240" w:lineRule="auto"/>
              <w:jc w:val="center"/>
              <w:rPr>
                <w:rFonts w:eastAsia="Times New Roman" w:cstheme="minorHAnsi"/>
                <w:b/>
                <w:bCs/>
                <w:color w:val="000000"/>
                <w:sz w:val="20"/>
                <w:szCs w:val="20"/>
                <w:lang w:eastAsia="es-PA"/>
              </w:rPr>
            </w:pPr>
            <w:r>
              <w:rPr>
                <w:rFonts w:eastAsia="Times New Roman" w:cstheme="minorHAnsi"/>
                <w:b/>
                <w:bCs/>
                <w:color w:val="000000"/>
                <w:sz w:val="20"/>
                <w:szCs w:val="20"/>
                <w:lang w:eastAsia="es-PA"/>
              </w:rPr>
              <w:t xml:space="preserve">Cuadro 1: </w:t>
            </w:r>
            <w:r w:rsidR="000C171B" w:rsidRPr="005A3845">
              <w:rPr>
                <w:rFonts w:eastAsia="Times New Roman" w:cstheme="minorHAnsi"/>
                <w:b/>
                <w:bCs/>
                <w:color w:val="000000"/>
                <w:sz w:val="20"/>
                <w:szCs w:val="20"/>
                <w:lang w:eastAsia="es-PA"/>
              </w:rPr>
              <w:t>Proporción de la evolución de la pobreza multidimensional de la población en la República de Panamá, según sexo, áreas, provincias, comarcas indígenas y grupos de edad (en porcentaje). Marzo de 2017 y 2018.</w:t>
            </w:r>
          </w:p>
        </w:tc>
      </w:tr>
      <w:tr w:rsidR="000C171B" w:rsidRPr="000F008C" w14:paraId="3CA5D756" w14:textId="77777777" w:rsidTr="002C49EF">
        <w:trPr>
          <w:trHeight w:val="65"/>
          <w:tblHeader/>
        </w:trPr>
        <w:tc>
          <w:tcPr>
            <w:tcW w:w="4200" w:type="dxa"/>
            <w:tcBorders>
              <w:left w:val="nil"/>
            </w:tcBorders>
            <w:shd w:val="clear" w:color="auto" w:fill="auto"/>
            <w:vAlign w:val="center"/>
            <w:hideMark/>
          </w:tcPr>
          <w:p w14:paraId="0941D349" w14:textId="77777777" w:rsidR="000C171B" w:rsidRPr="005A3845" w:rsidRDefault="000C171B" w:rsidP="002C49EF">
            <w:pPr>
              <w:spacing w:after="0" w:line="240" w:lineRule="auto"/>
              <w:jc w:val="center"/>
              <w:rPr>
                <w:rFonts w:eastAsia="Times New Roman" w:cstheme="minorHAnsi"/>
                <w:b/>
                <w:bCs/>
                <w:sz w:val="20"/>
                <w:szCs w:val="20"/>
                <w:lang w:eastAsia="es-PA"/>
              </w:rPr>
            </w:pPr>
            <w:r w:rsidRPr="005A3845">
              <w:rPr>
                <w:rFonts w:eastAsia="Times New Roman" w:cstheme="minorHAnsi"/>
                <w:b/>
                <w:bCs/>
                <w:sz w:val="20"/>
                <w:szCs w:val="20"/>
                <w:lang w:eastAsia="es-PA"/>
              </w:rPr>
              <w:t>Sexo, áreas, provincias y comarcas indígenas</w:t>
            </w:r>
          </w:p>
        </w:tc>
        <w:tc>
          <w:tcPr>
            <w:tcW w:w="2760" w:type="dxa"/>
            <w:tcBorders>
              <w:right w:val="nil"/>
            </w:tcBorders>
            <w:shd w:val="clear" w:color="auto" w:fill="auto"/>
            <w:vAlign w:val="center"/>
            <w:hideMark/>
          </w:tcPr>
          <w:p w14:paraId="3D534766" w14:textId="77777777" w:rsidR="000C171B" w:rsidRPr="005A3845" w:rsidRDefault="000C171B" w:rsidP="002C49EF">
            <w:pPr>
              <w:spacing w:after="0" w:line="240" w:lineRule="auto"/>
              <w:jc w:val="center"/>
              <w:rPr>
                <w:rFonts w:eastAsia="Times New Roman" w:cstheme="minorHAnsi"/>
                <w:b/>
                <w:bCs/>
                <w:color w:val="000000"/>
                <w:sz w:val="20"/>
                <w:szCs w:val="20"/>
                <w:lang w:eastAsia="es-PA"/>
              </w:rPr>
            </w:pPr>
            <w:r w:rsidRPr="005A3845">
              <w:rPr>
                <w:rFonts w:eastAsia="Times New Roman" w:cstheme="minorHAnsi"/>
                <w:b/>
                <w:bCs/>
                <w:color w:val="000000"/>
                <w:sz w:val="20"/>
                <w:szCs w:val="20"/>
                <w:lang w:eastAsia="es-PA"/>
              </w:rPr>
              <w:t>2017</w:t>
            </w:r>
          </w:p>
        </w:tc>
        <w:tc>
          <w:tcPr>
            <w:tcW w:w="2760" w:type="dxa"/>
            <w:tcBorders>
              <w:right w:val="nil"/>
            </w:tcBorders>
            <w:shd w:val="clear" w:color="auto" w:fill="auto"/>
            <w:vAlign w:val="center"/>
          </w:tcPr>
          <w:p w14:paraId="3EE6F084" w14:textId="77777777" w:rsidR="000C171B" w:rsidRPr="005A3845" w:rsidRDefault="000C171B" w:rsidP="002C49EF">
            <w:pPr>
              <w:spacing w:after="0" w:line="240" w:lineRule="auto"/>
              <w:jc w:val="center"/>
              <w:rPr>
                <w:rFonts w:eastAsia="Times New Roman" w:cstheme="minorHAnsi"/>
                <w:b/>
                <w:bCs/>
                <w:color w:val="000000"/>
                <w:sz w:val="20"/>
                <w:szCs w:val="20"/>
                <w:lang w:eastAsia="es-PA"/>
              </w:rPr>
            </w:pPr>
            <w:r w:rsidRPr="005A3845">
              <w:rPr>
                <w:rFonts w:eastAsia="Times New Roman" w:cstheme="minorHAnsi"/>
                <w:b/>
                <w:bCs/>
                <w:color w:val="000000"/>
                <w:sz w:val="20"/>
                <w:szCs w:val="20"/>
                <w:lang w:eastAsia="es-PA"/>
              </w:rPr>
              <w:t>2018</w:t>
            </w:r>
          </w:p>
        </w:tc>
      </w:tr>
      <w:tr w:rsidR="000C171B" w:rsidRPr="000F008C" w14:paraId="6C7B83BB" w14:textId="77777777" w:rsidTr="002C49EF">
        <w:trPr>
          <w:trHeight w:val="276"/>
        </w:trPr>
        <w:tc>
          <w:tcPr>
            <w:tcW w:w="4200" w:type="dxa"/>
            <w:tcBorders>
              <w:left w:val="nil"/>
              <w:bottom w:val="nil"/>
            </w:tcBorders>
            <w:shd w:val="clear" w:color="auto" w:fill="auto"/>
            <w:vAlign w:val="center"/>
            <w:hideMark/>
          </w:tcPr>
          <w:p w14:paraId="4142E0D9" w14:textId="77777777" w:rsidR="000C171B" w:rsidRPr="000F008C" w:rsidRDefault="000C171B" w:rsidP="002C49EF">
            <w:pPr>
              <w:spacing w:after="0" w:line="240" w:lineRule="auto"/>
              <w:rPr>
                <w:rFonts w:eastAsia="Times New Roman" w:cstheme="minorHAnsi"/>
                <w:b/>
                <w:bCs/>
                <w:color w:val="000000"/>
                <w:sz w:val="16"/>
                <w:szCs w:val="16"/>
                <w:lang w:eastAsia="es-PA"/>
              </w:rPr>
            </w:pPr>
            <w:r w:rsidRPr="000F008C">
              <w:rPr>
                <w:rFonts w:eastAsia="Times New Roman" w:cstheme="minorHAnsi"/>
                <w:b/>
                <w:bCs/>
                <w:color w:val="000000"/>
                <w:sz w:val="16"/>
                <w:szCs w:val="16"/>
                <w:lang w:eastAsia="es-PA"/>
              </w:rPr>
              <w:t>Total</w:t>
            </w:r>
          </w:p>
        </w:tc>
        <w:tc>
          <w:tcPr>
            <w:tcW w:w="2760" w:type="dxa"/>
            <w:tcBorders>
              <w:bottom w:val="nil"/>
            </w:tcBorders>
            <w:shd w:val="clear" w:color="auto" w:fill="auto"/>
            <w:noWrap/>
            <w:vAlign w:val="center"/>
            <w:hideMark/>
          </w:tcPr>
          <w:p w14:paraId="3DB8C02C" w14:textId="77777777" w:rsidR="000C171B" w:rsidRPr="000F008C" w:rsidRDefault="000C171B" w:rsidP="002C49EF">
            <w:pPr>
              <w:spacing w:after="0" w:line="240" w:lineRule="auto"/>
              <w:jc w:val="center"/>
              <w:rPr>
                <w:rFonts w:eastAsia="Times New Roman" w:cstheme="minorHAnsi"/>
                <w:b/>
                <w:bCs/>
                <w:color w:val="000000"/>
                <w:sz w:val="16"/>
                <w:szCs w:val="16"/>
                <w:lang w:eastAsia="es-PA"/>
              </w:rPr>
            </w:pPr>
            <w:r w:rsidRPr="000F008C">
              <w:rPr>
                <w:rFonts w:eastAsia="Times New Roman" w:cstheme="minorHAnsi"/>
                <w:b/>
                <w:bCs/>
                <w:color w:val="000000"/>
                <w:sz w:val="16"/>
                <w:szCs w:val="16"/>
                <w:lang w:eastAsia="es-PA"/>
              </w:rPr>
              <w:t>19.1</w:t>
            </w:r>
          </w:p>
        </w:tc>
        <w:tc>
          <w:tcPr>
            <w:tcW w:w="2760" w:type="dxa"/>
            <w:tcBorders>
              <w:bottom w:val="nil"/>
              <w:right w:val="nil"/>
            </w:tcBorders>
            <w:shd w:val="clear" w:color="auto" w:fill="auto"/>
            <w:noWrap/>
            <w:vAlign w:val="center"/>
            <w:hideMark/>
          </w:tcPr>
          <w:p w14:paraId="73B11B91" w14:textId="77777777" w:rsidR="000C171B" w:rsidRPr="000F008C" w:rsidRDefault="000C171B" w:rsidP="002C49EF">
            <w:pPr>
              <w:spacing w:after="0" w:line="240" w:lineRule="auto"/>
              <w:jc w:val="center"/>
              <w:rPr>
                <w:rFonts w:eastAsia="Times New Roman" w:cstheme="minorHAnsi"/>
                <w:b/>
                <w:bCs/>
                <w:color w:val="000000"/>
                <w:sz w:val="16"/>
                <w:szCs w:val="16"/>
                <w:lang w:eastAsia="es-PA"/>
              </w:rPr>
            </w:pPr>
            <w:r w:rsidRPr="000F008C">
              <w:rPr>
                <w:rFonts w:eastAsia="Times New Roman" w:cstheme="minorHAnsi"/>
                <w:b/>
                <w:bCs/>
                <w:color w:val="000000"/>
                <w:sz w:val="16"/>
                <w:szCs w:val="16"/>
                <w:lang w:eastAsia="es-PA"/>
              </w:rPr>
              <w:t>19.0</w:t>
            </w:r>
          </w:p>
        </w:tc>
      </w:tr>
      <w:tr w:rsidR="000C171B" w:rsidRPr="000F008C" w14:paraId="7C572439" w14:textId="77777777" w:rsidTr="002C49EF">
        <w:trPr>
          <w:trHeight w:val="276"/>
        </w:trPr>
        <w:tc>
          <w:tcPr>
            <w:tcW w:w="4200" w:type="dxa"/>
            <w:tcBorders>
              <w:top w:val="nil"/>
              <w:left w:val="nil"/>
              <w:bottom w:val="nil"/>
            </w:tcBorders>
            <w:shd w:val="clear" w:color="auto" w:fill="auto"/>
            <w:vAlign w:val="center"/>
            <w:hideMark/>
          </w:tcPr>
          <w:p w14:paraId="59799917" w14:textId="77777777" w:rsidR="000C171B" w:rsidRPr="000F008C" w:rsidRDefault="000C171B" w:rsidP="002C49EF">
            <w:pPr>
              <w:spacing w:after="0" w:line="240" w:lineRule="auto"/>
              <w:rPr>
                <w:rFonts w:eastAsia="Times New Roman" w:cstheme="minorHAnsi"/>
                <w:b/>
                <w:bCs/>
                <w:color w:val="000000"/>
                <w:sz w:val="16"/>
                <w:szCs w:val="16"/>
                <w:lang w:eastAsia="es-PA"/>
              </w:rPr>
            </w:pPr>
            <w:r w:rsidRPr="000F008C">
              <w:rPr>
                <w:rFonts w:eastAsia="Times New Roman" w:cstheme="minorHAnsi"/>
                <w:b/>
                <w:bCs/>
                <w:color w:val="000000"/>
                <w:sz w:val="16"/>
                <w:szCs w:val="16"/>
                <w:lang w:eastAsia="es-PA"/>
              </w:rPr>
              <w:t>Sexo</w:t>
            </w:r>
          </w:p>
        </w:tc>
        <w:tc>
          <w:tcPr>
            <w:tcW w:w="2760" w:type="dxa"/>
            <w:tcBorders>
              <w:top w:val="nil"/>
              <w:bottom w:val="nil"/>
            </w:tcBorders>
            <w:shd w:val="clear" w:color="auto" w:fill="auto"/>
            <w:noWrap/>
            <w:vAlign w:val="center"/>
            <w:hideMark/>
          </w:tcPr>
          <w:p w14:paraId="28F2E072"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 </w:t>
            </w:r>
          </w:p>
        </w:tc>
        <w:tc>
          <w:tcPr>
            <w:tcW w:w="2760" w:type="dxa"/>
            <w:tcBorders>
              <w:top w:val="nil"/>
              <w:bottom w:val="nil"/>
              <w:right w:val="nil"/>
            </w:tcBorders>
            <w:shd w:val="clear" w:color="auto" w:fill="auto"/>
            <w:noWrap/>
            <w:vAlign w:val="center"/>
            <w:hideMark/>
          </w:tcPr>
          <w:p w14:paraId="08994E22"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 </w:t>
            </w:r>
          </w:p>
        </w:tc>
      </w:tr>
      <w:tr w:rsidR="000C171B" w:rsidRPr="000F008C" w14:paraId="673AF883" w14:textId="77777777" w:rsidTr="002C49EF">
        <w:trPr>
          <w:trHeight w:val="276"/>
        </w:trPr>
        <w:tc>
          <w:tcPr>
            <w:tcW w:w="4200" w:type="dxa"/>
            <w:tcBorders>
              <w:top w:val="nil"/>
              <w:left w:val="nil"/>
              <w:bottom w:val="nil"/>
            </w:tcBorders>
            <w:shd w:val="clear" w:color="auto" w:fill="auto"/>
            <w:vAlign w:val="center"/>
            <w:hideMark/>
          </w:tcPr>
          <w:p w14:paraId="36158F8D"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Hombre</w:t>
            </w:r>
          </w:p>
        </w:tc>
        <w:tc>
          <w:tcPr>
            <w:tcW w:w="2760" w:type="dxa"/>
            <w:tcBorders>
              <w:top w:val="nil"/>
              <w:bottom w:val="nil"/>
            </w:tcBorders>
            <w:shd w:val="clear" w:color="auto" w:fill="auto"/>
            <w:noWrap/>
            <w:vAlign w:val="center"/>
            <w:hideMark/>
          </w:tcPr>
          <w:p w14:paraId="7430DCFA"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19.7</w:t>
            </w:r>
          </w:p>
        </w:tc>
        <w:tc>
          <w:tcPr>
            <w:tcW w:w="2760" w:type="dxa"/>
            <w:tcBorders>
              <w:top w:val="nil"/>
              <w:bottom w:val="nil"/>
              <w:right w:val="nil"/>
            </w:tcBorders>
            <w:shd w:val="clear" w:color="auto" w:fill="auto"/>
            <w:noWrap/>
            <w:vAlign w:val="center"/>
            <w:hideMark/>
          </w:tcPr>
          <w:p w14:paraId="119A4AF9"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19.5</w:t>
            </w:r>
          </w:p>
        </w:tc>
      </w:tr>
      <w:tr w:rsidR="000C171B" w:rsidRPr="000F008C" w14:paraId="231DD355" w14:textId="77777777" w:rsidTr="002C49EF">
        <w:trPr>
          <w:trHeight w:val="75"/>
        </w:trPr>
        <w:tc>
          <w:tcPr>
            <w:tcW w:w="4200" w:type="dxa"/>
            <w:tcBorders>
              <w:top w:val="nil"/>
              <w:left w:val="nil"/>
              <w:bottom w:val="single" w:sz="4" w:space="0" w:color="auto"/>
            </w:tcBorders>
            <w:shd w:val="clear" w:color="auto" w:fill="auto"/>
            <w:vAlign w:val="center"/>
            <w:hideMark/>
          </w:tcPr>
          <w:p w14:paraId="5C5CB36C"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Mujer</w:t>
            </w:r>
          </w:p>
        </w:tc>
        <w:tc>
          <w:tcPr>
            <w:tcW w:w="2760" w:type="dxa"/>
            <w:tcBorders>
              <w:top w:val="nil"/>
              <w:bottom w:val="single" w:sz="4" w:space="0" w:color="auto"/>
            </w:tcBorders>
            <w:shd w:val="clear" w:color="auto" w:fill="auto"/>
            <w:noWrap/>
            <w:vAlign w:val="center"/>
            <w:hideMark/>
          </w:tcPr>
          <w:p w14:paraId="6B5C1D69"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18.5</w:t>
            </w:r>
          </w:p>
        </w:tc>
        <w:tc>
          <w:tcPr>
            <w:tcW w:w="2760" w:type="dxa"/>
            <w:tcBorders>
              <w:top w:val="nil"/>
              <w:bottom w:val="single" w:sz="4" w:space="0" w:color="auto"/>
              <w:right w:val="nil"/>
            </w:tcBorders>
            <w:shd w:val="clear" w:color="auto" w:fill="auto"/>
            <w:noWrap/>
            <w:vAlign w:val="center"/>
            <w:hideMark/>
          </w:tcPr>
          <w:p w14:paraId="47E1238E"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18.6</w:t>
            </w:r>
          </w:p>
        </w:tc>
      </w:tr>
      <w:tr w:rsidR="000C171B" w:rsidRPr="000F008C" w14:paraId="072CA599" w14:textId="77777777" w:rsidTr="002C49EF">
        <w:trPr>
          <w:trHeight w:val="276"/>
        </w:trPr>
        <w:tc>
          <w:tcPr>
            <w:tcW w:w="4200" w:type="dxa"/>
            <w:tcBorders>
              <w:top w:val="single" w:sz="4" w:space="0" w:color="auto"/>
              <w:left w:val="nil"/>
              <w:bottom w:val="nil"/>
            </w:tcBorders>
            <w:shd w:val="clear" w:color="auto" w:fill="auto"/>
            <w:vAlign w:val="center"/>
            <w:hideMark/>
          </w:tcPr>
          <w:p w14:paraId="4A412810" w14:textId="77777777" w:rsidR="000C171B" w:rsidRPr="000F008C" w:rsidRDefault="000C171B" w:rsidP="002C49EF">
            <w:pPr>
              <w:spacing w:after="0" w:line="240" w:lineRule="auto"/>
              <w:rPr>
                <w:rFonts w:eastAsia="Times New Roman" w:cstheme="minorHAnsi"/>
                <w:b/>
                <w:bCs/>
                <w:color w:val="000000"/>
                <w:sz w:val="16"/>
                <w:szCs w:val="16"/>
                <w:lang w:eastAsia="es-PA"/>
              </w:rPr>
            </w:pPr>
            <w:r w:rsidRPr="000F008C">
              <w:rPr>
                <w:rFonts w:eastAsia="Times New Roman" w:cstheme="minorHAnsi"/>
                <w:b/>
                <w:bCs/>
                <w:color w:val="000000"/>
                <w:sz w:val="16"/>
                <w:szCs w:val="16"/>
                <w:lang w:eastAsia="es-PA"/>
              </w:rPr>
              <w:t>Áreas</w:t>
            </w:r>
          </w:p>
        </w:tc>
        <w:tc>
          <w:tcPr>
            <w:tcW w:w="2760" w:type="dxa"/>
            <w:tcBorders>
              <w:top w:val="single" w:sz="4" w:space="0" w:color="auto"/>
              <w:bottom w:val="nil"/>
            </w:tcBorders>
            <w:shd w:val="clear" w:color="auto" w:fill="auto"/>
            <w:noWrap/>
            <w:vAlign w:val="center"/>
            <w:hideMark/>
          </w:tcPr>
          <w:p w14:paraId="40AAD2E4"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 </w:t>
            </w:r>
          </w:p>
        </w:tc>
        <w:tc>
          <w:tcPr>
            <w:tcW w:w="2760" w:type="dxa"/>
            <w:tcBorders>
              <w:top w:val="single" w:sz="4" w:space="0" w:color="auto"/>
              <w:bottom w:val="nil"/>
              <w:right w:val="nil"/>
            </w:tcBorders>
            <w:shd w:val="clear" w:color="auto" w:fill="auto"/>
            <w:noWrap/>
            <w:vAlign w:val="center"/>
            <w:hideMark/>
          </w:tcPr>
          <w:p w14:paraId="74694FF0"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 </w:t>
            </w:r>
          </w:p>
        </w:tc>
      </w:tr>
      <w:tr w:rsidR="000C171B" w:rsidRPr="000F008C" w14:paraId="2DF01F00" w14:textId="77777777" w:rsidTr="002C49EF">
        <w:trPr>
          <w:trHeight w:val="276"/>
        </w:trPr>
        <w:tc>
          <w:tcPr>
            <w:tcW w:w="4200" w:type="dxa"/>
            <w:tcBorders>
              <w:top w:val="nil"/>
              <w:left w:val="nil"/>
              <w:bottom w:val="nil"/>
            </w:tcBorders>
            <w:shd w:val="clear" w:color="auto" w:fill="auto"/>
            <w:vAlign w:val="center"/>
            <w:hideMark/>
          </w:tcPr>
          <w:p w14:paraId="56D9985A"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Urbana</w:t>
            </w:r>
          </w:p>
        </w:tc>
        <w:tc>
          <w:tcPr>
            <w:tcW w:w="2760" w:type="dxa"/>
            <w:tcBorders>
              <w:top w:val="nil"/>
              <w:bottom w:val="nil"/>
            </w:tcBorders>
            <w:shd w:val="clear" w:color="auto" w:fill="auto"/>
            <w:noWrap/>
            <w:vAlign w:val="center"/>
            <w:hideMark/>
          </w:tcPr>
          <w:p w14:paraId="74B69041"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9.3</w:t>
            </w:r>
          </w:p>
        </w:tc>
        <w:tc>
          <w:tcPr>
            <w:tcW w:w="2760" w:type="dxa"/>
            <w:tcBorders>
              <w:top w:val="nil"/>
              <w:bottom w:val="nil"/>
              <w:right w:val="nil"/>
            </w:tcBorders>
            <w:shd w:val="clear" w:color="auto" w:fill="auto"/>
            <w:noWrap/>
            <w:vAlign w:val="center"/>
            <w:hideMark/>
          </w:tcPr>
          <w:p w14:paraId="1AC90C78"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10.4</w:t>
            </w:r>
          </w:p>
        </w:tc>
      </w:tr>
      <w:tr w:rsidR="000C171B" w:rsidRPr="000F008C" w14:paraId="34243E6B" w14:textId="77777777" w:rsidTr="002C49EF">
        <w:trPr>
          <w:trHeight w:val="276"/>
        </w:trPr>
        <w:tc>
          <w:tcPr>
            <w:tcW w:w="4200" w:type="dxa"/>
            <w:tcBorders>
              <w:top w:val="nil"/>
              <w:left w:val="nil"/>
              <w:bottom w:val="single" w:sz="4" w:space="0" w:color="auto"/>
            </w:tcBorders>
            <w:shd w:val="clear" w:color="auto" w:fill="auto"/>
            <w:vAlign w:val="center"/>
            <w:hideMark/>
          </w:tcPr>
          <w:p w14:paraId="6FE220CF"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Rural total</w:t>
            </w:r>
          </w:p>
        </w:tc>
        <w:tc>
          <w:tcPr>
            <w:tcW w:w="2760" w:type="dxa"/>
            <w:tcBorders>
              <w:top w:val="nil"/>
              <w:bottom w:val="single" w:sz="4" w:space="0" w:color="auto"/>
            </w:tcBorders>
            <w:shd w:val="clear" w:color="auto" w:fill="auto"/>
            <w:noWrap/>
            <w:vAlign w:val="center"/>
            <w:hideMark/>
          </w:tcPr>
          <w:p w14:paraId="51118EEC"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39.8</w:t>
            </w:r>
          </w:p>
        </w:tc>
        <w:tc>
          <w:tcPr>
            <w:tcW w:w="2760" w:type="dxa"/>
            <w:tcBorders>
              <w:top w:val="nil"/>
              <w:bottom w:val="single" w:sz="4" w:space="0" w:color="auto"/>
              <w:right w:val="nil"/>
            </w:tcBorders>
            <w:shd w:val="clear" w:color="auto" w:fill="auto"/>
            <w:noWrap/>
            <w:vAlign w:val="center"/>
            <w:hideMark/>
          </w:tcPr>
          <w:p w14:paraId="29A4D8F7"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37.8</w:t>
            </w:r>
          </w:p>
        </w:tc>
      </w:tr>
      <w:tr w:rsidR="000C171B" w:rsidRPr="000F008C" w14:paraId="7B87F3DF" w14:textId="77777777" w:rsidTr="002C49EF">
        <w:trPr>
          <w:trHeight w:val="276"/>
        </w:trPr>
        <w:tc>
          <w:tcPr>
            <w:tcW w:w="4200" w:type="dxa"/>
            <w:tcBorders>
              <w:top w:val="single" w:sz="4" w:space="0" w:color="auto"/>
              <w:left w:val="nil"/>
              <w:bottom w:val="nil"/>
            </w:tcBorders>
            <w:shd w:val="clear" w:color="auto" w:fill="auto"/>
            <w:vAlign w:val="center"/>
            <w:hideMark/>
          </w:tcPr>
          <w:p w14:paraId="6D7B5BAC" w14:textId="77777777" w:rsidR="000C171B" w:rsidRPr="000F008C" w:rsidRDefault="000C171B" w:rsidP="002C49EF">
            <w:pPr>
              <w:spacing w:after="0" w:line="240" w:lineRule="auto"/>
              <w:rPr>
                <w:rFonts w:eastAsia="Times New Roman" w:cstheme="minorHAnsi"/>
                <w:b/>
                <w:bCs/>
                <w:color w:val="000000"/>
                <w:sz w:val="16"/>
                <w:szCs w:val="16"/>
                <w:lang w:eastAsia="es-PA"/>
              </w:rPr>
            </w:pPr>
            <w:r w:rsidRPr="000F008C">
              <w:rPr>
                <w:rFonts w:eastAsia="Times New Roman" w:cstheme="minorHAnsi"/>
                <w:b/>
                <w:bCs/>
                <w:color w:val="000000"/>
                <w:sz w:val="16"/>
                <w:szCs w:val="16"/>
                <w:lang w:eastAsia="es-PA"/>
              </w:rPr>
              <w:t>Provincias</w:t>
            </w:r>
          </w:p>
        </w:tc>
        <w:tc>
          <w:tcPr>
            <w:tcW w:w="2760" w:type="dxa"/>
            <w:tcBorders>
              <w:top w:val="single" w:sz="4" w:space="0" w:color="auto"/>
              <w:bottom w:val="nil"/>
            </w:tcBorders>
            <w:shd w:val="clear" w:color="auto" w:fill="auto"/>
            <w:noWrap/>
            <w:vAlign w:val="center"/>
            <w:hideMark/>
          </w:tcPr>
          <w:p w14:paraId="3078B64B"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 </w:t>
            </w:r>
          </w:p>
        </w:tc>
        <w:tc>
          <w:tcPr>
            <w:tcW w:w="2760" w:type="dxa"/>
            <w:tcBorders>
              <w:top w:val="single" w:sz="4" w:space="0" w:color="auto"/>
              <w:bottom w:val="nil"/>
              <w:right w:val="nil"/>
            </w:tcBorders>
            <w:shd w:val="clear" w:color="auto" w:fill="auto"/>
            <w:noWrap/>
            <w:vAlign w:val="center"/>
            <w:hideMark/>
          </w:tcPr>
          <w:p w14:paraId="21F628CD"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 </w:t>
            </w:r>
          </w:p>
        </w:tc>
      </w:tr>
      <w:tr w:rsidR="000C171B" w:rsidRPr="000F008C" w14:paraId="54FECF9B" w14:textId="77777777" w:rsidTr="002C49EF">
        <w:trPr>
          <w:trHeight w:val="276"/>
        </w:trPr>
        <w:tc>
          <w:tcPr>
            <w:tcW w:w="4200" w:type="dxa"/>
            <w:tcBorders>
              <w:top w:val="nil"/>
              <w:left w:val="nil"/>
              <w:bottom w:val="nil"/>
            </w:tcBorders>
            <w:shd w:val="clear" w:color="auto" w:fill="auto"/>
            <w:vAlign w:val="center"/>
            <w:hideMark/>
          </w:tcPr>
          <w:p w14:paraId="29A3A315"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Bocas del Toro</w:t>
            </w:r>
          </w:p>
        </w:tc>
        <w:tc>
          <w:tcPr>
            <w:tcW w:w="2760" w:type="dxa"/>
            <w:tcBorders>
              <w:top w:val="nil"/>
              <w:bottom w:val="nil"/>
            </w:tcBorders>
            <w:shd w:val="clear" w:color="auto" w:fill="auto"/>
            <w:noWrap/>
            <w:vAlign w:val="center"/>
            <w:hideMark/>
          </w:tcPr>
          <w:p w14:paraId="05B413DB"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44.6</w:t>
            </w:r>
          </w:p>
        </w:tc>
        <w:tc>
          <w:tcPr>
            <w:tcW w:w="2760" w:type="dxa"/>
            <w:tcBorders>
              <w:top w:val="nil"/>
              <w:bottom w:val="nil"/>
              <w:right w:val="nil"/>
            </w:tcBorders>
            <w:shd w:val="clear" w:color="auto" w:fill="auto"/>
            <w:noWrap/>
            <w:vAlign w:val="center"/>
            <w:hideMark/>
          </w:tcPr>
          <w:p w14:paraId="686A6703"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41.1</w:t>
            </w:r>
          </w:p>
        </w:tc>
      </w:tr>
      <w:tr w:rsidR="000C171B" w:rsidRPr="000F008C" w14:paraId="7393129A" w14:textId="77777777" w:rsidTr="002C49EF">
        <w:trPr>
          <w:trHeight w:val="276"/>
        </w:trPr>
        <w:tc>
          <w:tcPr>
            <w:tcW w:w="4200" w:type="dxa"/>
            <w:tcBorders>
              <w:top w:val="nil"/>
              <w:left w:val="nil"/>
              <w:bottom w:val="nil"/>
            </w:tcBorders>
            <w:shd w:val="clear" w:color="auto" w:fill="auto"/>
            <w:vAlign w:val="center"/>
            <w:hideMark/>
          </w:tcPr>
          <w:p w14:paraId="4E6F4E44"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Coclé</w:t>
            </w:r>
          </w:p>
        </w:tc>
        <w:tc>
          <w:tcPr>
            <w:tcW w:w="2760" w:type="dxa"/>
            <w:tcBorders>
              <w:top w:val="nil"/>
              <w:bottom w:val="nil"/>
            </w:tcBorders>
            <w:shd w:val="clear" w:color="auto" w:fill="auto"/>
            <w:noWrap/>
            <w:vAlign w:val="center"/>
            <w:hideMark/>
          </w:tcPr>
          <w:p w14:paraId="1F1A6231"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22.6</w:t>
            </w:r>
          </w:p>
        </w:tc>
        <w:tc>
          <w:tcPr>
            <w:tcW w:w="2760" w:type="dxa"/>
            <w:tcBorders>
              <w:top w:val="nil"/>
              <w:bottom w:val="nil"/>
              <w:right w:val="nil"/>
            </w:tcBorders>
            <w:shd w:val="clear" w:color="auto" w:fill="auto"/>
            <w:noWrap/>
            <w:vAlign w:val="center"/>
            <w:hideMark/>
          </w:tcPr>
          <w:p w14:paraId="5235C352"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19.3</w:t>
            </w:r>
          </w:p>
        </w:tc>
      </w:tr>
      <w:tr w:rsidR="000C171B" w:rsidRPr="000F008C" w14:paraId="00669CE0" w14:textId="77777777" w:rsidTr="002C49EF">
        <w:trPr>
          <w:trHeight w:val="276"/>
        </w:trPr>
        <w:tc>
          <w:tcPr>
            <w:tcW w:w="4200" w:type="dxa"/>
            <w:tcBorders>
              <w:top w:val="nil"/>
              <w:left w:val="nil"/>
              <w:bottom w:val="nil"/>
            </w:tcBorders>
            <w:shd w:val="clear" w:color="auto" w:fill="auto"/>
            <w:vAlign w:val="center"/>
            <w:hideMark/>
          </w:tcPr>
          <w:p w14:paraId="6C3D9AC6"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Colón</w:t>
            </w:r>
          </w:p>
        </w:tc>
        <w:tc>
          <w:tcPr>
            <w:tcW w:w="2760" w:type="dxa"/>
            <w:tcBorders>
              <w:top w:val="nil"/>
              <w:bottom w:val="nil"/>
            </w:tcBorders>
            <w:shd w:val="clear" w:color="auto" w:fill="auto"/>
            <w:noWrap/>
            <w:vAlign w:val="center"/>
            <w:hideMark/>
          </w:tcPr>
          <w:p w14:paraId="12678F73"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16.4</w:t>
            </w:r>
          </w:p>
        </w:tc>
        <w:tc>
          <w:tcPr>
            <w:tcW w:w="2760" w:type="dxa"/>
            <w:tcBorders>
              <w:top w:val="nil"/>
              <w:bottom w:val="nil"/>
              <w:right w:val="nil"/>
            </w:tcBorders>
            <w:shd w:val="clear" w:color="auto" w:fill="auto"/>
            <w:noWrap/>
            <w:vAlign w:val="center"/>
            <w:hideMark/>
          </w:tcPr>
          <w:p w14:paraId="29F6E973"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16.3</w:t>
            </w:r>
          </w:p>
        </w:tc>
      </w:tr>
      <w:tr w:rsidR="000C171B" w:rsidRPr="000F008C" w14:paraId="76C2255D" w14:textId="77777777" w:rsidTr="002C49EF">
        <w:trPr>
          <w:trHeight w:val="276"/>
        </w:trPr>
        <w:tc>
          <w:tcPr>
            <w:tcW w:w="4200" w:type="dxa"/>
            <w:tcBorders>
              <w:top w:val="nil"/>
              <w:left w:val="nil"/>
              <w:bottom w:val="nil"/>
            </w:tcBorders>
            <w:shd w:val="clear" w:color="auto" w:fill="auto"/>
            <w:vAlign w:val="center"/>
            <w:hideMark/>
          </w:tcPr>
          <w:p w14:paraId="7B9CE469"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Chiriquí</w:t>
            </w:r>
          </w:p>
        </w:tc>
        <w:tc>
          <w:tcPr>
            <w:tcW w:w="2760" w:type="dxa"/>
            <w:tcBorders>
              <w:top w:val="nil"/>
              <w:bottom w:val="nil"/>
            </w:tcBorders>
            <w:shd w:val="clear" w:color="auto" w:fill="auto"/>
            <w:noWrap/>
            <w:vAlign w:val="center"/>
            <w:hideMark/>
          </w:tcPr>
          <w:p w14:paraId="4CF38256"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12.4</w:t>
            </w:r>
          </w:p>
        </w:tc>
        <w:tc>
          <w:tcPr>
            <w:tcW w:w="2760" w:type="dxa"/>
            <w:tcBorders>
              <w:top w:val="nil"/>
              <w:bottom w:val="nil"/>
              <w:right w:val="nil"/>
            </w:tcBorders>
            <w:shd w:val="clear" w:color="auto" w:fill="auto"/>
            <w:noWrap/>
            <w:vAlign w:val="center"/>
            <w:hideMark/>
          </w:tcPr>
          <w:p w14:paraId="34DBFE93"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11.9</w:t>
            </w:r>
          </w:p>
        </w:tc>
      </w:tr>
      <w:tr w:rsidR="000C171B" w:rsidRPr="000F008C" w14:paraId="51F1ABFB" w14:textId="77777777" w:rsidTr="002C49EF">
        <w:trPr>
          <w:trHeight w:val="276"/>
        </w:trPr>
        <w:tc>
          <w:tcPr>
            <w:tcW w:w="4200" w:type="dxa"/>
            <w:tcBorders>
              <w:top w:val="nil"/>
              <w:left w:val="nil"/>
              <w:bottom w:val="nil"/>
            </w:tcBorders>
            <w:shd w:val="clear" w:color="auto" w:fill="auto"/>
            <w:vAlign w:val="center"/>
            <w:hideMark/>
          </w:tcPr>
          <w:p w14:paraId="11206A6E"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Darién</w:t>
            </w:r>
          </w:p>
        </w:tc>
        <w:tc>
          <w:tcPr>
            <w:tcW w:w="2760" w:type="dxa"/>
            <w:tcBorders>
              <w:top w:val="nil"/>
              <w:bottom w:val="nil"/>
            </w:tcBorders>
            <w:shd w:val="clear" w:color="auto" w:fill="auto"/>
            <w:noWrap/>
            <w:vAlign w:val="center"/>
            <w:hideMark/>
          </w:tcPr>
          <w:p w14:paraId="239FCB5D"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40.0</w:t>
            </w:r>
          </w:p>
        </w:tc>
        <w:tc>
          <w:tcPr>
            <w:tcW w:w="2760" w:type="dxa"/>
            <w:tcBorders>
              <w:top w:val="nil"/>
              <w:bottom w:val="nil"/>
              <w:right w:val="nil"/>
            </w:tcBorders>
            <w:shd w:val="clear" w:color="auto" w:fill="auto"/>
            <w:noWrap/>
            <w:vAlign w:val="center"/>
            <w:hideMark/>
          </w:tcPr>
          <w:p w14:paraId="44497A9D"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35.9</w:t>
            </w:r>
          </w:p>
        </w:tc>
      </w:tr>
      <w:tr w:rsidR="000C171B" w:rsidRPr="000F008C" w14:paraId="2FD211A0" w14:textId="77777777" w:rsidTr="002C49EF">
        <w:trPr>
          <w:trHeight w:val="276"/>
        </w:trPr>
        <w:tc>
          <w:tcPr>
            <w:tcW w:w="4200" w:type="dxa"/>
            <w:tcBorders>
              <w:top w:val="nil"/>
              <w:left w:val="nil"/>
              <w:bottom w:val="nil"/>
            </w:tcBorders>
            <w:shd w:val="clear" w:color="auto" w:fill="auto"/>
            <w:vAlign w:val="center"/>
            <w:hideMark/>
          </w:tcPr>
          <w:p w14:paraId="3F5F98F2"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Herrera</w:t>
            </w:r>
          </w:p>
        </w:tc>
        <w:tc>
          <w:tcPr>
            <w:tcW w:w="2760" w:type="dxa"/>
            <w:tcBorders>
              <w:top w:val="nil"/>
              <w:bottom w:val="nil"/>
            </w:tcBorders>
            <w:shd w:val="clear" w:color="auto" w:fill="auto"/>
            <w:noWrap/>
            <w:vAlign w:val="center"/>
            <w:hideMark/>
          </w:tcPr>
          <w:p w14:paraId="517B50CF"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7.2</w:t>
            </w:r>
          </w:p>
        </w:tc>
        <w:tc>
          <w:tcPr>
            <w:tcW w:w="2760" w:type="dxa"/>
            <w:tcBorders>
              <w:top w:val="nil"/>
              <w:bottom w:val="nil"/>
              <w:right w:val="nil"/>
            </w:tcBorders>
            <w:shd w:val="clear" w:color="auto" w:fill="auto"/>
            <w:noWrap/>
            <w:vAlign w:val="center"/>
            <w:hideMark/>
          </w:tcPr>
          <w:p w14:paraId="02D7E753"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5.1</w:t>
            </w:r>
          </w:p>
        </w:tc>
      </w:tr>
      <w:tr w:rsidR="000C171B" w:rsidRPr="000F008C" w14:paraId="32E7AA55" w14:textId="77777777" w:rsidTr="002C49EF">
        <w:trPr>
          <w:trHeight w:val="276"/>
        </w:trPr>
        <w:tc>
          <w:tcPr>
            <w:tcW w:w="4200" w:type="dxa"/>
            <w:tcBorders>
              <w:top w:val="nil"/>
              <w:left w:val="nil"/>
              <w:bottom w:val="nil"/>
            </w:tcBorders>
            <w:shd w:val="clear" w:color="auto" w:fill="auto"/>
            <w:vAlign w:val="center"/>
            <w:hideMark/>
          </w:tcPr>
          <w:p w14:paraId="28FB02FE"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Los Santos</w:t>
            </w:r>
          </w:p>
        </w:tc>
        <w:tc>
          <w:tcPr>
            <w:tcW w:w="2760" w:type="dxa"/>
            <w:tcBorders>
              <w:top w:val="nil"/>
              <w:bottom w:val="nil"/>
            </w:tcBorders>
            <w:shd w:val="clear" w:color="auto" w:fill="auto"/>
            <w:noWrap/>
            <w:vAlign w:val="center"/>
            <w:hideMark/>
          </w:tcPr>
          <w:p w14:paraId="40AE88EA"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4.2</w:t>
            </w:r>
          </w:p>
        </w:tc>
        <w:tc>
          <w:tcPr>
            <w:tcW w:w="2760" w:type="dxa"/>
            <w:tcBorders>
              <w:top w:val="nil"/>
              <w:bottom w:val="nil"/>
              <w:right w:val="nil"/>
            </w:tcBorders>
            <w:shd w:val="clear" w:color="auto" w:fill="auto"/>
            <w:noWrap/>
            <w:vAlign w:val="center"/>
            <w:hideMark/>
          </w:tcPr>
          <w:p w14:paraId="02C74D28"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4.0</w:t>
            </w:r>
          </w:p>
        </w:tc>
      </w:tr>
      <w:tr w:rsidR="000C171B" w:rsidRPr="000F008C" w14:paraId="79510350" w14:textId="77777777" w:rsidTr="002C49EF">
        <w:trPr>
          <w:trHeight w:val="276"/>
        </w:trPr>
        <w:tc>
          <w:tcPr>
            <w:tcW w:w="4200" w:type="dxa"/>
            <w:tcBorders>
              <w:top w:val="nil"/>
              <w:left w:val="nil"/>
              <w:bottom w:val="nil"/>
            </w:tcBorders>
            <w:shd w:val="clear" w:color="auto" w:fill="auto"/>
            <w:vAlign w:val="center"/>
            <w:hideMark/>
          </w:tcPr>
          <w:p w14:paraId="7C7E5E90"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Panamá</w:t>
            </w:r>
          </w:p>
        </w:tc>
        <w:tc>
          <w:tcPr>
            <w:tcW w:w="2760" w:type="dxa"/>
            <w:tcBorders>
              <w:top w:val="nil"/>
              <w:bottom w:val="nil"/>
            </w:tcBorders>
            <w:shd w:val="clear" w:color="auto" w:fill="auto"/>
            <w:noWrap/>
            <w:vAlign w:val="center"/>
            <w:hideMark/>
          </w:tcPr>
          <w:p w14:paraId="16FEA96F"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8.5</w:t>
            </w:r>
          </w:p>
        </w:tc>
        <w:tc>
          <w:tcPr>
            <w:tcW w:w="2760" w:type="dxa"/>
            <w:tcBorders>
              <w:top w:val="nil"/>
              <w:bottom w:val="nil"/>
              <w:right w:val="nil"/>
            </w:tcBorders>
            <w:shd w:val="clear" w:color="auto" w:fill="auto"/>
            <w:noWrap/>
            <w:vAlign w:val="center"/>
            <w:hideMark/>
          </w:tcPr>
          <w:p w14:paraId="42B6C930"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10.2</w:t>
            </w:r>
          </w:p>
        </w:tc>
      </w:tr>
      <w:tr w:rsidR="000C171B" w:rsidRPr="000F008C" w14:paraId="110408B8" w14:textId="77777777" w:rsidTr="002C49EF">
        <w:trPr>
          <w:trHeight w:val="276"/>
        </w:trPr>
        <w:tc>
          <w:tcPr>
            <w:tcW w:w="4200" w:type="dxa"/>
            <w:tcBorders>
              <w:top w:val="nil"/>
              <w:left w:val="nil"/>
              <w:bottom w:val="nil"/>
            </w:tcBorders>
            <w:shd w:val="clear" w:color="auto" w:fill="auto"/>
            <w:vAlign w:val="center"/>
            <w:hideMark/>
          </w:tcPr>
          <w:p w14:paraId="33F8FBD7"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Panamá Oeste</w:t>
            </w:r>
          </w:p>
        </w:tc>
        <w:tc>
          <w:tcPr>
            <w:tcW w:w="2760" w:type="dxa"/>
            <w:tcBorders>
              <w:top w:val="nil"/>
              <w:bottom w:val="nil"/>
            </w:tcBorders>
            <w:shd w:val="clear" w:color="auto" w:fill="auto"/>
            <w:noWrap/>
            <w:vAlign w:val="center"/>
            <w:hideMark/>
          </w:tcPr>
          <w:p w14:paraId="71E2309B"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15.6</w:t>
            </w:r>
          </w:p>
        </w:tc>
        <w:tc>
          <w:tcPr>
            <w:tcW w:w="2760" w:type="dxa"/>
            <w:tcBorders>
              <w:top w:val="nil"/>
              <w:bottom w:val="nil"/>
              <w:right w:val="nil"/>
            </w:tcBorders>
            <w:shd w:val="clear" w:color="auto" w:fill="auto"/>
            <w:noWrap/>
            <w:vAlign w:val="center"/>
            <w:hideMark/>
          </w:tcPr>
          <w:p w14:paraId="0D6FB1C8"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15.5</w:t>
            </w:r>
          </w:p>
        </w:tc>
      </w:tr>
      <w:tr w:rsidR="000C171B" w:rsidRPr="000F008C" w14:paraId="65BE5E34" w14:textId="77777777" w:rsidTr="002C49EF">
        <w:trPr>
          <w:trHeight w:val="276"/>
        </w:trPr>
        <w:tc>
          <w:tcPr>
            <w:tcW w:w="4200" w:type="dxa"/>
            <w:tcBorders>
              <w:top w:val="nil"/>
              <w:left w:val="nil"/>
              <w:bottom w:val="single" w:sz="4" w:space="0" w:color="auto"/>
            </w:tcBorders>
            <w:shd w:val="clear" w:color="auto" w:fill="auto"/>
            <w:vAlign w:val="center"/>
            <w:hideMark/>
          </w:tcPr>
          <w:p w14:paraId="62CF441F"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Veraguas</w:t>
            </w:r>
          </w:p>
        </w:tc>
        <w:tc>
          <w:tcPr>
            <w:tcW w:w="2760" w:type="dxa"/>
            <w:tcBorders>
              <w:top w:val="nil"/>
              <w:bottom w:val="single" w:sz="4" w:space="0" w:color="auto"/>
            </w:tcBorders>
            <w:shd w:val="clear" w:color="auto" w:fill="auto"/>
            <w:noWrap/>
            <w:vAlign w:val="center"/>
            <w:hideMark/>
          </w:tcPr>
          <w:p w14:paraId="44754BD4"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19.1</w:t>
            </w:r>
          </w:p>
        </w:tc>
        <w:tc>
          <w:tcPr>
            <w:tcW w:w="2760" w:type="dxa"/>
            <w:tcBorders>
              <w:top w:val="nil"/>
              <w:bottom w:val="single" w:sz="4" w:space="0" w:color="auto"/>
              <w:right w:val="nil"/>
            </w:tcBorders>
            <w:shd w:val="clear" w:color="auto" w:fill="auto"/>
            <w:noWrap/>
            <w:vAlign w:val="center"/>
            <w:hideMark/>
          </w:tcPr>
          <w:p w14:paraId="62EAD370"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17.2</w:t>
            </w:r>
          </w:p>
        </w:tc>
      </w:tr>
      <w:tr w:rsidR="000C171B" w:rsidRPr="000F008C" w14:paraId="020BD8C2" w14:textId="77777777" w:rsidTr="002C49EF">
        <w:trPr>
          <w:trHeight w:val="276"/>
        </w:trPr>
        <w:tc>
          <w:tcPr>
            <w:tcW w:w="4200" w:type="dxa"/>
            <w:tcBorders>
              <w:top w:val="single" w:sz="4" w:space="0" w:color="auto"/>
              <w:left w:val="nil"/>
              <w:bottom w:val="nil"/>
            </w:tcBorders>
            <w:shd w:val="clear" w:color="auto" w:fill="auto"/>
            <w:vAlign w:val="center"/>
            <w:hideMark/>
          </w:tcPr>
          <w:p w14:paraId="5330EE05" w14:textId="77777777" w:rsidR="000C171B" w:rsidRPr="000F008C" w:rsidRDefault="000C171B" w:rsidP="002C49EF">
            <w:pPr>
              <w:spacing w:after="0" w:line="240" w:lineRule="auto"/>
              <w:rPr>
                <w:rFonts w:eastAsia="Times New Roman" w:cstheme="minorHAnsi"/>
                <w:b/>
                <w:bCs/>
                <w:color w:val="000000"/>
                <w:sz w:val="16"/>
                <w:szCs w:val="16"/>
                <w:lang w:eastAsia="es-PA"/>
              </w:rPr>
            </w:pPr>
            <w:r w:rsidRPr="000F008C">
              <w:rPr>
                <w:rFonts w:eastAsia="Times New Roman" w:cstheme="minorHAnsi"/>
                <w:b/>
                <w:bCs/>
                <w:color w:val="000000"/>
                <w:sz w:val="16"/>
                <w:szCs w:val="16"/>
                <w:lang w:eastAsia="es-PA"/>
              </w:rPr>
              <w:t>Comarcas indígenas</w:t>
            </w:r>
          </w:p>
        </w:tc>
        <w:tc>
          <w:tcPr>
            <w:tcW w:w="2760" w:type="dxa"/>
            <w:tcBorders>
              <w:top w:val="single" w:sz="4" w:space="0" w:color="auto"/>
              <w:bottom w:val="nil"/>
            </w:tcBorders>
            <w:shd w:val="clear" w:color="auto" w:fill="auto"/>
            <w:noWrap/>
            <w:vAlign w:val="center"/>
            <w:hideMark/>
          </w:tcPr>
          <w:p w14:paraId="17281CB2"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 </w:t>
            </w:r>
          </w:p>
        </w:tc>
        <w:tc>
          <w:tcPr>
            <w:tcW w:w="2760" w:type="dxa"/>
            <w:tcBorders>
              <w:top w:val="single" w:sz="4" w:space="0" w:color="auto"/>
              <w:bottom w:val="nil"/>
              <w:right w:val="nil"/>
            </w:tcBorders>
            <w:shd w:val="clear" w:color="auto" w:fill="auto"/>
            <w:noWrap/>
            <w:vAlign w:val="center"/>
            <w:hideMark/>
          </w:tcPr>
          <w:p w14:paraId="78E19B32"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 </w:t>
            </w:r>
          </w:p>
        </w:tc>
      </w:tr>
      <w:tr w:rsidR="000C171B" w:rsidRPr="000F008C" w14:paraId="2C967307" w14:textId="77777777" w:rsidTr="002C49EF">
        <w:trPr>
          <w:trHeight w:val="276"/>
        </w:trPr>
        <w:tc>
          <w:tcPr>
            <w:tcW w:w="4200" w:type="dxa"/>
            <w:tcBorders>
              <w:top w:val="nil"/>
              <w:left w:val="nil"/>
              <w:bottom w:val="nil"/>
            </w:tcBorders>
            <w:shd w:val="clear" w:color="auto" w:fill="auto"/>
            <w:vAlign w:val="center"/>
            <w:hideMark/>
          </w:tcPr>
          <w:p w14:paraId="1B874D3D"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Guna Yala</w:t>
            </w:r>
          </w:p>
        </w:tc>
        <w:tc>
          <w:tcPr>
            <w:tcW w:w="2760" w:type="dxa"/>
            <w:tcBorders>
              <w:top w:val="nil"/>
              <w:bottom w:val="nil"/>
            </w:tcBorders>
            <w:shd w:val="clear" w:color="auto" w:fill="auto"/>
            <w:noWrap/>
            <w:vAlign w:val="center"/>
            <w:hideMark/>
          </w:tcPr>
          <w:p w14:paraId="30AAF0EF"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91.4</w:t>
            </w:r>
          </w:p>
        </w:tc>
        <w:tc>
          <w:tcPr>
            <w:tcW w:w="2760" w:type="dxa"/>
            <w:tcBorders>
              <w:top w:val="nil"/>
              <w:bottom w:val="nil"/>
              <w:right w:val="nil"/>
            </w:tcBorders>
            <w:shd w:val="clear" w:color="auto" w:fill="auto"/>
            <w:noWrap/>
            <w:vAlign w:val="center"/>
            <w:hideMark/>
          </w:tcPr>
          <w:p w14:paraId="28E9CE27"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93.8</w:t>
            </w:r>
          </w:p>
        </w:tc>
      </w:tr>
      <w:tr w:rsidR="000C171B" w:rsidRPr="000F008C" w14:paraId="09469704" w14:textId="77777777" w:rsidTr="002C49EF">
        <w:trPr>
          <w:trHeight w:val="276"/>
        </w:trPr>
        <w:tc>
          <w:tcPr>
            <w:tcW w:w="4200" w:type="dxa"/>
            <w:tcBorders>
              <w:top w:val="nil"/>
              <w:left w:val="nil"/>
              <w:bottom w:val="nil"/>
            </w:tcBorders>
            <w:shd w:val="clear" w:color="auto" w:fill="auto"/>
            <w:vAlign w:val="center"/>
            <w:hideMark/>
          </w:tcPr>
          <w:p w14:paraId="22C7AA9D"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Emberá</w:t>
            </w:r>
          </w:p>
        </w:tc>
        <w:tc>
          <w:tcPr>
            <w:tcW w:w="2760" w:type="dxa"/>
            <w:tcBorders>
              <w:top w:val="nil"/>
              <w:bottom w:val="nil"/>
            </w:tcBorders>
            <w:shd w:val="clear" w:color="auto" w:fill="auto"/>
            <w:noWrap/>
            <w:vAlign w:val="center"/>
            <w:hideMark/>
          </w:tcPr>
          <w:p w14:paraId="60E8FF0F"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70.8</w:t>
            </w:r>
          </w:p>
        </w:tc>
        <w:tc>
          <w:tcPr>
            <w:tcW w:w="2760" w:type="dxa"/>
            <w:tcBorders>
              <w:top w:val="nil"/>
              <w:bottom w:val="nil"/>
              <w:right w:val="nil"/>
            </w:tcBorders>
            <w:shd w:val="clear" w:color="auto" w:fill="auto"/>
            <w:noWrap/>
            <w:vAlign w:val="center"/>
            <w:hideMark/>
          </w:tcPr>
          <w:p w14:paraId="658DBADD"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70.8</w:t>
            </w:r>
          </w:p>
        </w:tc>
      </w:tr>
      <w:tr w:rsidR="000C171B" w:rsidRPr="000F008C" w14:paraId="5C91863C" w14:textId="77777777" w:rsidTr="002C49EF">
        <w:trPr>
          <w:trHeight w:val="276"/>
        </w:trPr>
        <w:tc>
          <w:tcPr>
            <w:tcW w:w="4200" w:type="dxa"/>
            <w:tcBorders>
              <w:top w:val="nil"/>
              <w:left w:val="nil"/>
              <w:bottom w:val="single" w:sz="4" w:space="0" w:color="auto"/>
            </w:tcBorders>
            <w:shd w:val="clear" w:color="auto" w:fill="auto"/>
            <w:vAlign w:val="center"/>
            <w:hideMark/>
          </w:tcPr>
          <w:p w14:paraId="741C290D"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Ngäbe Buglé</w:t>
            </w:r>
          </w:p>
        </w:tc>
        <w:tc>
          <w:tcPr>
            <w:tcW w:w="2760" w:type="dxa"/>
            <w:tcBorders>
              <w:top w:val="nil"/>
              <w:bottom w:val="single" w:sz="4" w:space="0" w:color="auto"/>
            </w:tcBorders>
            <w:shd w:val="clear" w:color="auto" w:fill="auto"/>
            <w:noWrap/>
            <w:vAlign w:val="center"/>
            <w:hideMark/>
          </w:tcPr>
          <w:p w14:paraId="775FC531"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93.4</w:t>
            </w:r>
          </w:p>
        </w:tc>
        <w:tc>
          <w:tcPr>
            <w:tcW w:w="2760" w:type="dxa"/>
            <w:tcBorders>
              <w:top w:val="nil"/>
              <w:bottom w:val="single" w:sz="4" w:space="0" w:color="auto"/>
              <w:right w:val="nil"/>
            </w:tcBorders>
            <w:shd w:val="clear" w:color="auto" w:fill="auto"/>
            <w:noWrap/>
            <w:vAlign w:val="center"/>
            <w:hideMark/>
          </w:tcPr>
          <w:p w14:paraId="301CD12D"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91.0</w:t>
            </w:r>
          </w:p>
        </w:tc>
      </w:tr>
      <w:tr w:rsidR="000C171B" w:rsidRPr="000F008C" w14:paraId="5A84220D" w14:textId="77777777" w:rsidTr="002C49EF">
        <w:trPr>
          <w:trHeight w:val="276"/>
        </w:trPr>
        <w:tc>
          <w:tcPr>
            <w:tcW w:w="4200" w:type="dxa"/>
            <w:tcBorders>
              <w:top w:val="single" w:sz="4" w:space="0" w:color="auto"/>
              <w:left w:val="nil"/>
              <w:bottom w:val="nil"/>
            </w:tcBorders>
            <w:shd w:val="clear" w:color="auto" w:fill="auto"/>
            <w:vAlign w:val="center"/>
            <w:hideMark/>
          </w:tcPr>
          <w:p w14:paraId="55D7924C" w14:textId="77777777" w:rsidR="000C171B" w:rsidRPr="000F008C" w:rsidRDefault="000C171B" w:rsidP="002C49EF">
            <w:pPr>
              <w:spacing w:after="0" w:line="240" w:lineRule="auto"/>
              <w:rPr>
                <w:rFonts w:eastAsia="Times New Roman" w:cstheme="minorHAnsi"/>
                <w:b/>
                <w:bCs/>
                <w:color w:val="000000"/>
                <w:sz w:val="16"/>
                <w:szCs w:val="16"/>
                <w:lang w:eastAsia="es-PA"/>
              </w:rPr>
            </w:pPr>
            <w:r w:rsidRPr="000F008C">
              <w:rPr>
                <w:rFonts w:eastAsia="Times New Roman" w:cstheme="minorHAnsi"/>
                <w:b/>
                <w:bCs/>
                <w:color w:val="000000"/>
                <w:sz w:val="16"/>
                <w:szCs w:val="16"/>
                <w:lang w:eastAsia="es-PA"/>
              </w:rPr>
              <w:t>Grupos de edad</w:t>
            </w:r>
          </w:p>
        </w:tc>
        <w:tc>
          <w:tcPr>
            <w:tcW w:w="2760" w:type="dxa"/>
            <w:tcBorders>
              <w:top w:val="single" w:sz="4" w:space="0" w:color="auto"/>
              <w:bottom w:val="nil"/>
            </w:tcBorders>
            <w:shd w:val="clear" w:color="auto" w:fill="auto"/>
            <w:noWrap/>
            <w:vAlign w:val="center"/>
            <w:hideMark/>
          </w:tcPr>
          <w:p w14:paraId="4A145A08"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 </w:t>
            </w:r>
          </w:p>
        </w:tc>
        <w:tc>
          <w:tcPr>
            <w:tcW w:w="2760" w:type="dxa"/>
            <w:tcBorders>
              <w:top w:val="single" w:sz="4" w:space="0" w:color="auto"/>
              <w:bottom w:val="nil"/>
              <w:right w:val="nil"/>
            </w:tcBorders>
            <w:shd w:val="clear" w:color="auto" w:fill="auto"/>
            <w:noWrap/>
            <w:vAlign w:val="center"/>
            <w:hideMark/>
          </w:tcPr>
          <w:p w14:paraId="09CEB861"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 </w:t>
            </w:r>
          </w:p>
        </w:tc>
      </w:tr>
      <w:tr w:rsidR="000C171B" w:rsidRPr="000F008C" w14:paraId="60B498C8" w14:textId="77777777" w:rsidTr="002C49EF">
        <w:trPr>
          <w:trHeight w:val="276"/>
        </w:trPr>
        <w:tc>
          <w:tcPr>
            <w:tcW w:w="4200" w:type="dxa"/>
            <w:tcBorders>
              <w:top w:val="nil"/>
              <w:left w:val="nil"/>
              <w:bottom w:val="nil"/>
            </w:tcBorders>
            <w:shd w:val="clear" w:color="auto" w:fill="auto"/>
            <w:vAlign w:val="center"/>
            <w:hideMark/>
          </w:tcPr>
          <w:p w14:paraId="1A1B2B23"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0 a 5</w:t>
            </w:r>
          </w:p>
        </w:tc>
        <w:tc>
          <w:tcPr>
            <w:tcW w:w="2760" w:type="dxa"/>
            <w:tcBorders>
              <w:top w:val="nil"/>
              <w:bottom w:val="nil"/>
            </w:tcBorders>
            <w:shd w:val="clear" w:color="auto" w:fill="auto"/>
            <w:noWrap/>
            <w:vAlign w:val="center"/>
            <w:hideMark/>
          </w:tcPr>
          <w:p w14:paraId="1F528C19"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29.5</w:t>
            </w:r>
          </w:p>
        </w:tc>
        <w:tc>
          <w:tcPr>
            <w:tcW w:w="2760" w:type="dxa"/>
            <w:tcBorders>
              <w:top w:val="nil"/>
              <w:bottom w:val="nil"/>
              <w:right w:val="nil"/>
            </w:tcBorders>
            <w:shd w:val="clear" w:color="auto" w:fill="auto"/>
            <w:noWrap/>
            <w:vAlign w:val="center"/>
            <w:hideMark/>
          </w:tcPr>
          <w:p w14:paraId="3CD55F44"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30.2</w:t>
            </w:r>
          </w:p>
        </w:tc>
      </w:tr>
      <w:tr w:rsidR="000C171B" w:rsidRPr="000F008C" w14:paraId="19CCFBAE" w14:textId="77777777" w:rsidTr="002C49EF">
        <w:trPr>
          <w:trHeight w:val="276"/>
        </w:trPr>
        <w:tc>
          <w:tcPr>
            <w:tcW w:w="4200" w:type="dxa"/>
            <w:tcBorders>
              <w:top w:val="nil"/>
              <w:left w:val="nil"/>
              <w:bottom w:val="nil"/>
            </w:tcBorders>
            <w:shd w:val="clear" w:color="auto" w:fill="auto"/>
            <w:vAlign w:val="center"/>
            <w:hideMark/>
          </w:tcPr>
          <w:p w14:paraId="0B560BC6"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De 6 a 11</w:t>
            </w:r>
          </w:p>
        </w:tc>
        <w:tc>
          <w:tcPr>
            <w:tcW w:w="2760" w:type="dxa"/>
            <w:tcBorders>
              <w:top w:val="nil"/>
              <w:bottom w:val="nil"/>
            </w:tcBorders>
            <w:shd w:val="clear" w:color="auto" w:fill="auto"/>
            <w:noWrap/>
            <w:vAlign w:val="center"/>
            <w:hideMark/>
          </w:tcPr>
          <w:p w14:paraId="7F0E599B"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28.3</w:t>
            </w:r>
          </w:p>
        </w:tc>
        <w:tc>
          <w:tcPr>
            <w:tcW w:w="2760" w:type="dxa"/>
            <w:tcBorders>
              <w:top w:val="nil"/>
              <w:bottom w:val="nil"/>
              <w:right w:val="nil"/>
            </w:tcBorders>
            <w:shd w:val="clear" w:color="auto" w:fill="auto"/>
            <w:noWrap/>
            <w:vAlign w:val="center"/>
            <w:hideMark/>
          </w:tcPr>
          <w:p w14:paraId="649095BA"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29.2</w:t>
            </w:r>
          </w:p>
        </w:tc>
      </w:tr>
      <w:tr w:rsidR="000C171B" w:rsidRPr="000F008C" w14:paraId="75086540" w14:textId="77777777" w:rsidTr="002C49EF">
        <w:trPr>
          <w:trHeight w:val="276"/>
        </w:trPr>
        <w:tc>
          <w:tcPr>
            <w:tcW w:w="4200" w:type="dxa"/>
            <w:tcBorders>
              <w:top w:val="nil"/>
              <w:left w:val="nil"/>
              <w:bottom w:val="nil"/>
            </w:tcBorders>
            <w:shd w:val="clear" w:color="auto" w:fill="auto"/>
            <w:vAlign w:val="center"/>
            <w:hideMark/>
          </w:tcPr>
          <w:p w14:paraId="67E00665"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De 12 a 17</w:t>
            </w:r>
          </w:p>
        </w:tc>
        <w:tc>
          <w:tcPr>
            <w:tcW w:w="2760" w:type="dxa"/>
            <w:tcBorders>
              <w:top w:val="nil"/>
              <w:bottom w:val="nil"/>
            </w:tcBorders>
            <w:shd w:val="clear" w:color="auto" w:fill="auto"/>
            <w:noWrap/>
            <w:vAlign w:val="center"/>
            <w:hideMark/>
          </w:tcPr>
          <w:p w14:paraId="186235C6"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25.6</w:t>
            </w:r>
          </w:p>
        </w:tc>
        <w:tc>
          <w:tcPr>
            <w:tcW w:w="2760" w:type="dxa"/>
            <w:tcBorders>
              <w:top w:val="nil"/>
              <w:bottom w:val="nil"/>
              <w:right w:val="nil"/>
            </w:tcBorders>
            <w:shd w:val="clear" w:color="auto" w:fill="auto"/>
            <w:noWrap/>
            <w:vAlign w:val="center"/>
            <w:hideMark/>
          </w:tcPr>
          <w:p w14:paraId="0AB5A1AF"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26.0</w:t>
            </w:r>
          </w:p>
        </w:tc>
      </w:tr>
      <w:tr w:rsidR="000C171B" w:rsidRPr="000F008C" w14:paraId="43551A7A" w14:textId="77777777" w:rsidTr="002C49EF">
        <w:trPr>
          <w:trHeight w:val="276"/>
        </w:trPr>
        <w:tc>
          <w:tcPr>
            <w:tcW w:w="4200" w:type="dxa"/>
            <w:tcBorders>
              <w:top w:val="nil"/>
              <w:left w:val="nil"/>
              <w:bottom w:val="nil"/>
            </w:tcBorders>
            <w:shd w:val="clear" w:color="auto" w:fill="auto"/>
            <w:vAlign w:val="center"/>
            <w:hideMark/>
          </w:tcPr>
          <w:p w14:paraId="5E214EAB"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De 18 a 24</w:t>
            </w:r>
          </w:p>
        </w:tc>
        <w:tc>
          <w:tcPr>
            <w:tcW w:w="2760" w:type="dxa"/>
            <w:tcBorders>
              <w:top w:val="nil"/>
              <w:bottom w:val="nil"/>
            </w:tcBorders>
            <w:shd w:val="clear" w:color="auto" w:fill="auto"/>
            <w:noWrap/>
            <w:vAlign w:val="center"/>
            <w:hideMark/>
          </w:tcPr>
          <w:p w14:paraId="3ED3F13B"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21.8</w:t>
            </w:r>
          </w:p>
        </w:tc>
        <w:tc>
          <w:tcPr>
            <w:tcW w:w="2760" w:type="dxa"/>
            <w:tcBorders>
              <w:top w:val="nil"/>
              <w:bottom w:val="nil"/>
              <w:right w:val="nil"/>
            </w:tcBorders>
            <w:shd w:val="clear" w:color="auto" w:fill="auto"/>
            <w:noWrap/>
            <w:vAlign w:val="center"/>
            <w:hideMark/>
          </w:tcPr>
          <w:p w14:paraId="63DA289E"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20.9</w:t>
            </w:r>
          </w:p>
        </w:tc>
      </w:tr>
      <w:tr w:rsidR="000C171B" w:rsidRPr="000F008C" w14:paraId="72457BD8" w14:textId="77777777" w:rsidTr="002C49EF">
        <w:trPr>
          <w:trHeight w:val="276"/>
        </w:trPr>
        <w:tc>
          <w:tcPr>
            <w:tcW w:w="4200" w:type="dxa"/>
            <w:tcBorders>
              <w:top w:val="nil"/>
              <w:left w:val="nil"/>
              <w:bottom w:val="nil"/>
            </w:tcBorders>
            <w:shd w:val="clear" w:color="auto" w:fill="auto"/>
            <w:vAlign w:val="center"/>
            <w:hideMark/>
          </w:tcPr>
          <w:p w14:paraId="32E5956F"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De 25 a 29</w:t>
            </w:r>
          </w:p>
        </w:tc>
        <w:tc>
          <w:tcPr>
            <w:tcW w:w="2760" w:type="dxa"/>
            <w:tcBorders>
              <w:top w:val="nil"/>
              <w:bottom w:val="nil"/>
            </w:tcBorders>
            <w:shd w:val="clear" w:color="auto" w:fill="auto"/>
            <w:noWrap/>
            <w:vAlign w:val="center"/>
            <w:hideMark/>
          </w:tcPr>
          <w:p w14:paraId="2CA2985F"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18.6</w:t>
            </w:r>
          </w:p>
        </w:tc>
        <w:tc>
          <w:tcPr>
            <w:tcW w:w="2760" w:type="dxa"/>
            <w:tcBorders>
              <w:top w:val="nil"/>
              <w:bottom w:val="nil"/>
              <w:right w:val="nil"/>
            </w:tcBorders>
            <w:shd w:val="clear" w:color="auto" w:fill="auto"/>
            <w:noWrap/>
            <w:vAlign w:val="center"/>
            <w:hideMark/>
          </w:tcPr>
          <w:p w14:paraId="74BC2E34"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17.8</w:t>
            </w:r>
          </w:p>
        </w:tc>
      </w:tr>
      <w:tr w:rsidR="000C171B" w:rsidRPr="000F008C" w14:paraId="729E116D" w14:textId="77777777" w:rsidTr="002C49EF">
        <w:trPr>
          <w:trHeight w:val="276"/>
        </w:trPr>
        <w:tc>
          <w:tcPr>
            <w:tcW w:w="4200" w:type="dxa"/>
            <w:tcBorders>
              <w:top w:val="nil"/>
              <w:left w:val="nil"/>
              <w:bottom w:val="nil"/>
            </w:tcBorders>
            <w:shd w:val="clear" w:color="auto" w:fill="auto"/>
            <w:vAlign w:val="center"/>
            <w:hideMark/>
          </w:tcPr>
          <w:p w14:paraId="6EAD1084"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lastRenderedPageBreak/>
              <w:t>De 30 a 39</w:t>
            </w:r>
          </w:p>
        </w:tc>
        <w:tc>
          <w:tcPr>
            <w:tcW w:w="2760" w:type="dxa"/>
            <w:tcBorders>
              <w:top w:val="nil"/>
              <w:bottom w:val="nil"/>
            </w:tcBorders>
            <w:shd w:val="clear" w:color="auto" w:fill="auto"/>
            <w:noWrap/>
            <w:vAlign w:val="center"/>
            <w:hideMark/>
          </w:tcPr>
          <w:p w14:paraId="005F8C52"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15.1</w:t>
            </w:r>
          </w:p>
        </w:tc>
        <w:tc>
          <w:tcPr>
            <w:tcW w:w="2760" w:type="dxa"/>
            <w:tcBorders>
              <w:top w:val="nil"/>
              <w:bottom w:val="nil"/>
              <w:right w:val="nil"/>
            </w:tcBorders>
            <w:shd w:val="clear" w:color="auto" w:fill="auto"/>
            <w:noWrap/>
            <w:vAlign w:val="center"/>
            <w:hideMark/>
          </w:tcPr>
          <w:p w14:paraId="6C96DCB6"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15.5</w:t>
            </w:r>
          </w:p>
        </w:tc>
      </w:tr>
      <w:tr w:rsidR="000C171B" w:rsidRPr="000F008C" w14:paraId="06AB9F7B" w14:textId="77777777" w:rsidTr="002C49EF">
        <w:trPr>
          <w:trHeight w:val="276"/>
        </w:trPr>
        <w:tc>
          <w:tcPr>
            <w:tcW w:w="4200" w:type="dxa"/>
            <w:tcBorders>
              <w:top w:val="nil"/>
              <w:left w:val="nil"/>
              <w:bottom w:val="nil"/>
            </w:tcBorders>
            <w:shd w:val="clear" w:color="auto" w:fill="auto"/>
            <w:vAlign w:val="center"/>
            <w:hideMark/>
          </w:tcPr>
          <w:p w14:paraId="350F6C9F"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De 40 a 49</w:t>
            </w:r>
          </w:p>
        </w:tc>
        <w:tc>
          <w:tcPr>
            <w:tcW w:w="2760" w:type="dxa"/>
            <w:tcBorders>
              <w:top w:val="nil"/>
              <w:bottom w:val="nil"/>
            </w:tcBorders>
            <w:shd w:val="clear" w:color="auto" w:fill="auto"/>
            <w:noWrap/>
            <w:vAlign w:val="center"/>
            <w:hideMark/>
          </w:tcPr>
          <w:p w14:paraId="2BC6EA80"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13.5</w:t>
            </w:r>
          </w:p>
        </w:tc>
        <w:tc>
          <w:tcPr>
            <w:tcW w:w="2760" w:type="dxa"/>
            <w:tcBorders>
              <w:top w:val="nil"/>
              <w:bottom w:val="nil"/>
              <w:right w:val="nil"/>
            </w:tcBorders>
            <w:shd w:val="clear" w:color="auto" w:fill="auto"/>
            <w:noWrap/>
            <w:vAlign w:val="center"/>
            <w:hideMark/>
          </w:tcPr>
          <w:p w14:paraId="091F0912"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13.8</w:t>
            </w:r>
          </w:p>
        </w:tc>
      </w:tr>
      <w:tr w:rsidR="000C171B" w:rsidRPr="000F008C" w14:paraId="6A0805A3" w14:textId="77777777" w:rsidTr="002C49EF">
        <w:trPr>
          <w:trHeight w:val="276"/>
        </w:trPr>
        <w:tc>
          <w:tcPr>
            <w:tcW w:w="4200" w:type="dxa"/>
            <w:tcBorders>
              <w:top w:val="nil"/>
              <w:left w:val="nil"/>
              <w:bottom w:val="nil"/>
            </w:tcBorders>
            <w:shd w:val="clear" w:color="auto" w:fill="auto"/>
            <w:vAlign w:val="center"/>
            <w:hideMark/>
          </w:tcPr>
          <w:p w14:paraId="0111DE0C"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De 50 a 59</w:t>
            </w:r>
          </w:p>
        </w:tc>
        <w:tc>
          <w:tcPr>
            <w:tcW w:w="2760" w:type="dxa"/>
            <w:tcBorders>
              <w:top w:val="nil"/>
              <w:bottom w:val="nil"/>
            </w:tcBorders>
            <w:shd w:val="clear" w:color="auto" w:fill="auto"/>
            <w:noWrap/>
            <w:vAlign w:val="center"/>
            <w:hideMark/>
          </w:tcPr>
          <w:p w14:paraId="258013DB"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12.0</w:t>
            </w:r>
          </w:p>
        </w:tc>
        <w:tc>
          <w:tcPr>
            <w:tcW w:w="2760" w:type="dxa"/>
            <w:tcBorders>
              <w:top w:val="nil"/>
              <w:bottom w:val="nil"/>
              <w:right w:val="nil"/>
            </w:tcBorders>
            <w:shd w:val="clear" w:color="auto" w:fill="auto"/>
            <w:noWrap/>
            <w:vAlign w:val="center"/>
            <w:hideMark/>
          </w:tcPr>
          <w:p w14:paraId="3D867374"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11.4</w:t>
            </w:r>
          </w:p>
        </w:tc>
      </w:tr>
      <w:tr w:rsidR="000C171B" w:rsidRPr="000F008C" w14:paraId="7BE5C077" w14:textId="77777777" w:rsidTr="002C49EF">
        <w:trPr>
          <w:trHeight w:val="276"/>
        </w:trPr>
        <w:tc>
          <w:tcPr>
            <w:tcW w:w="4200" w:type="dxa"/>
            <w:tcBorders>
              <w:top w:val="nil"/>
              <w:left w:val="nil"/>
              <w:bottom w:val="nil"/>
            </w:tcBorders>
            <w:shd w:val="clear" w:color="auto" w:fill="auto"/>
            <w:vAlign w:val="center"/>
            <w:hideMark/>
          </w:tcPr>
          <w:p w14:paraId="50CD344D"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De 60 a 69</w:t>
            </w:r>
          </w:p>
        </w:tc>
        <w:tc>
          <w:tcPr>
            <w:tcW w:w="2760" w:type="dxa"/>
            <w:tcBorders>
              <w:top w:val="nil"/>
              <w:bottom w:val="nil"/>
            </w:tcBorders>
            <w:shd w:val="clear" w:color="auto" w:fill="auto"/>
            <w:noWrap/>
            <w:vAlign w:val="center"/>
            <w:hideMark/>
          </w:tcPr>
          <w:p w14:paraId="6B5C5200"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11.0</w:t>
            </w:r>
          </w:p>
        </w:tc>
        <w:tc>
          <w:tcPr>
            <w:tcW w:w="2760" w:type="dxa"/>
            <w:tcBorders>
              <w:top w:val="nil"/>
              <w:bottom w:val="nil"/>
              <w:right w:val="nil"/>
            </w:tcBorders>
            <w:shd w:val="clear" w:color="auto" w:fill="auto"/>
            <w:noWrap/>
            <w:vAlign w:val="center"/>
            <w:hideMark/>
          </w:tcPr>
          <w:p w14:paraId="4FC2B6A5"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10.1</w:t>
            </w:r>
          </w:p>
        </w:tc>
      </w:tr>
      <w:tr w:rsidR="000C171B" w:rsidRPr="000F008C" w14:paraId="7E13A315" w14:textId="77777777" w:rsidTr="002C49EF">
        <w:trPr>
          <w:trHeight w:val="288"/>
        </w:trPr>
        <w:tc>
          <w:tcPr>
            <w:tcW w:w="4200" w:type="dxa"/>
            <w:tcBorders>
              <w:top w:val="nil"/>
              <w:left w:val="nil"/>
              <w:bottom w:val="single" w:sz="4" w:space="0" w:color="auto"/>
            </w:tcBorders>
            <w:shd w:val="clear" w:color="auto" w:fill="auto"/>
            <w:vAlign w:val="center"/>
            <w:hideMark/>
          </w:tcPr>
          <w:p w14:paraId="38157DFB"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70 y más</w:t>
            </w:r>
          </w:p>
        </w:tc>
        <w:tc>
          <w:tcPr>
            <w:tcW w:w="2760" w:type="dxa"/>
            <w:tcBorders>
              <w:top w:val="nil"/>
              <w:bottom w:val="single" w:sz="4" w:space="0" w:color="auto"/>
            </w:tcBorders>
            <w:shd w:val="clear" w:color="auto" w:fill="auto"/>
            <w:noWrap/>
            <w:vAlign w:val="center"/>
            <w:hideMark/>
          </w:tcPr>
          <w:p w14:paraId="2B8EDDA0"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9.1</w:t>
            </w:r>
          </w:p>
        </w:tc>
        <w:tc>
          <w:tcPr>
            <w:tcW w:w="2760" w:type="dxa"/>
            <w:tcBorders>
              <w:top w:val="nil"/>
              <w:bottom w:val="single" w:sz="4" w:space="0" w:color="auto"/>
              <w:right w:val="nil"/>
            </w:tcBorders>
            <w:shd w:val="clear" w:color="auto" w:fill="auto"/>
            <w:noWrap/>
            <w:vAlign w:val="center"/>
            <w:hideMark/>
          </w:tcPr>
          <w:p w14:paraId="22D91BFE" w14:textId="77777777" w:rsidR="000C171B" w:rsidRPr="000F008C" w:rsidRDefault="000C171B" w:rsidP="002C49EF">
            <w:pPr>
              <w:spacing w:after="0" w:line="240" w:lineRule="auto"/>
              <w:jc w:val="center"/>
              <w:rPr>
                <w:rFonts w:eastAsia="Times New Roman" w:cstheme="minorHAnsi"/>
                <w:color w:val="000000"/>
                <w:sz w:val="16"/>
                <w:szCs w:val="16"/>
                <w:lang w:eastAsia="es-PA"/>
              </w:rPr>
            </w:pPr>
            <w:r w:rsidRPr="000F008C">
              <w:rPr>
                <w:rFonts w:eastAsia="Times New Roman" w:cstheme="minorHAnsi"/>
                <w:color w:val="000000"/>
                <w:sz w:val="16"/>
                <w:szCs w:val="16"/>
                <w:lang w:eastAsia="es-PA"/>
              </w:rPr>
              <w:t>8.3</w:t>
            </w:r>
          </w:p>
        </w:tc>
      </w:tr>
      <w:tr w:rsidR="000C171B" w:rsidRPr="000F008C" w14:paraId="6BC0B1C9" w14:textId="77777777" w:rsidTr="002C49EF">
        <w:trPr>
          <w:trHeight w:val="288"/>
        </w:trPr>
        <w:tc>
          <w:tcPr>
            <w:tcW w:w="9720" w:type="dxa"/>
            <w:gridSpan w:val="3"/>
            <w:tcBorders>
              <w:top w:val="single" w:sz="4" w:space="0" w:color="auto"/>
              <w:left w:val="nil"/>
              <w:bottom w:val="nil"/>
              <w:right w:val="nil"/>
            </w:tcBorders>
            <w:shd w:val="clear" w:color="auto" w:fill="auto"/>
            <w:vAlign w:val="bottom"/>
            <w:hideMark/>
          </w:tcPr>
          <w:p w14:paraId="5264453A" w14:textId="77777777" w:rsidR="000C171B" w:rsidRPr="000F008C" w:rsidRDefault="000C171B" w:rsidP="002C49EF">
            <w:pPr>
              <w:spacing w:after="0" w:line="240" w:lineRule="auto"/>
              <w:rPr>
                <w:rFonts w:eastAsia="Times New Roman" w:cstheme="minorHAnsi"/>
                <w:color w:val="000000"/>
                <w:sz w:val="16"/>
                <w:szCs w:val="16"/>
                <w:lang w:eastAsia="es-PA"/>
              </w:rPr>
            </w:pPr>
            <w:r w:rsidRPr="000F008C">
              <w:rPr>
                <w:rFonts w:eastAsia="Times New Roman" w:cstheme="minorHAnsi"/>
                <w:color w:val="000000"/>
                <w:sz w:val="16"/>
                <w:szCs w:val="16"/>
                <w:lang w:eastAsia="es-PA"/>
              </w:rPr>
              <w:t xml:space="preserve">Fuente: Encuesta de Propósitos Múltiples del Instituto Nacional de Estadística y Censo.  </w:t>
            </w:r>
          </w:p>
        </w:tc>
      </w:tr>
    </w:tbl>
    <w:p w14:paraId="5A71658D" w14:textId="77777777" w:rsidR="000C171B" w:rsidRDefault="000C171B" w:rsidP="000C171B">
      <w:pPr>
        <w:spacing w:after="0" w:line="240" w:lineRule="auto"/>
        <w:jc w:val="both"/>
        <w:rPr>
          <w:rFonts w:cstheme="minorHAnsi"/>
          <w:sz w:val="24"/>
          <w:szCs w:val="24"/>
        </w:rPr>
      </w:pPr>
    </w:p>
    <w:p w14:paraId="4B51C40A" w14:textId="77777777" w:rsidR="000C171B" w:rsidRPr="009C0B1B" w:rsidRDefault="000C171B" w:rsidP="000C171B">
      <w:pPr>
        <w:spacing w:after="0" w:line="240" w:lineRule="auto"/>
        <w:jc w:val="both"/>
        <w:rPr>
          <w:rFonts w:cstheme="minorHAnsi"/>
          <w:sz w:val="24"/>
          <w:szCs w:val="24"/>
        </w:rPr>
      </w:pPr>
    </w:p>
    <w:p w14:paraId="1ADA8A1A" w14:textId="2D4F792C" w:rsidR="000C171B" w:rsidRPr="009C0B1B" w:rsidRDefault="000C171B" w:rsidP="000C171B">
      <w:pPr>
        <w:spacing w:after="0" w:line="240" w:lineRule="auto"/>
        <w:jc w:val="both"/>
        <w:rPr>
          <w:rFonts w:cstheme="minorHAnsi"/>
          <w:sz w:val="24"/>
          <w:szCs w:val="24"/>
        </w:rPr>
      </w:pPr>
      <w:r w:rsidRPr="009C0B1B">
        <w:rPr>
          <w:rFonts w:cstheme="minorHAnsi"/>
          <w:sz w:val="24"/>
          <w:szCs w:val="24"/>
        </w:rPr>
        <w:t>Panamá se ve afectado por la triple carga de la malnutrición: problemas de desnutrición, deficiencias de micronutrientes y sobrepeso y obesidad. La Encuesta Nacional de Bienestar (2008), reflejó que la desnutrición infantil crónica afectaba al 19.1% de los niños menores de 5 años, con tasas de prevalencia de hasta 62% en las poblaciones indígenas. Por su parte, la evaluación nutricional realizada por el Ministerio de Salud en el año 2017 reflejó que la disparidad persiste: 16.3%</w:t>
      </w:r>
      <w:r>
        <w:rPr>
          <w:rFonts w:cstheme="minorHAnsi"/>
          <w:sz w:val="24"/>
          <w:szCs w:val="24"/>
        </w:rPr>
        <w:t xml:space="preserve"> </w:t>
      </w:r>
      <w:r w:rsidRPr="009C0B1B">
        <w:rPr>
          <w:rFonts w:cstheme="minorHAnsi"/>
          <w:sz w:val="24"/>
          <w:szCs w:val="24"/>
        </w:rPr>
        <w:t>desnutrición crónica infantil nacional, 59.1% en la Comarca Guna Yala y 25.6% en la Comarca Ngäbe Buglé (</w:t>
      </w:r>
      <w:r w:rsidRPr="009C0B1B">
        <w:rPr>
          <w:rFonts w:cstheme="minorHAnsi"/>
          <w:sz w:val="24"/>
          <w:szCs w:val="24"/>
          <w:lang w:val="es-CU"/>
        </w:rPr>
        <w:t>M</w:t>
      </w:r>
      <w:r w:rsidR="003A796D">
        <w:rPr>
          <w:rFonts w:cstheme="minorHAnsi"/>
          <w:sz w:val="24"/>
          <w:szCs w:val="24"/>
          <w:lang w:val="es-CU"/>
        </w:rPr>
        <w:t>INSA</w:t>
      </w:r>
      <w:r w:rsidRPr="009C0B1B">
        <w:rPr>
          <w:rFonts w:cstheme="minorHAnsi"/>
          <w:sz w:val="24"/>
          <w:szCs w:val="24"/>
          <w:lang w:val="es-CU"/>
        </w:rPr>
        <w:t>, 2017</w:t>
      </w:r>
      <w:r w:rsidRPr="009C0B1B">
        <w:rPr>
          <w:rFonts w:cstheme="minorHAnsi"/>
          <w:sz w:val="24"/>
          <w:szCs w:val="24"/>
        </w:rPr>
        <w:t>).</w:t>
      </w:r>
    </w:p>
    <w:p w14:paraId="4CF0D273" w14:textId="77777777" w:rsidR="000C171B" w:rsidRPr="009C0B1B" w:rsidRDefault="000C171B" w:rsidP="000C171B">
      <w:pPr>
        <w:spacing w:after="0" w:line="240" w:lineRule="auto"/>
        <w:jc w:val="both"/>
        <w:rPr>
          <w:rFonts w:cstheme="minorHAnsi"/>
          <w:b/>
          <w:sz w:val="24"/>
          <w:szCs w:val="24"/>
        </w:rPr>
      </w:pPr>
    </w:p>
    <w:p w14:paraId="4DC658CC" w14:textId="7CC23C84" w:rsidR="000C171B" w:rsidRPr="009C0B1B" w:rsidRDefault="000C171B" w:rsidP="000C171B">
      <w:pPr>
        <w:spacing w:after="0" w:line="240" w:lineRule="auto"/>
        <w:jc w:val="both"/>
        <w:rPr>
          <w:rFonts w:cstheme="minorHAnsi"/>
          <w:sz w:val="24"/>
          <w:szCs w:val="24"/>
        </w:rPr>
      </w:pPr>
      <w:r w:rsidRPr="009C0B1B">
        <w:rPr>
          <w:rFonts w:cstheme="minorHAnsi"/>
          <w:color w:val="000000"/>
          <w:sz w:val="24"/>
          <w:szCs w:val="24"/>
        </w:rPr>
        <w:t>En cuanto a deficiencias de micronutrientes, la prevalencia de anemia</w:t>
      </w:r>
      <w:r w:rsidRPr="009C0B1B">
        <w:rPr>
          <w:rFonts w:cstheme="minorHAnsi"/>
          <w:b/>
          <w:color w:val="000000"/>
          <w:sz w:val="24"/>
          <w:szCs w:val="24"/>
        </w:rPr>
        <w:t xml:space="preserve"> </w:t>
      </w:r>
      <w:r w:rsidRPr="009C0B1B">
        <w:rPr>
          <w:rFonts w:cstheme="minorHAnsi"/>
          <w:color w:val="000000"/>
          <w:sz w:val="24"/>
          <w:szCs w:val="24"/>
        </w:rPr>
        <w:t>en preescolares, escolares, mujeres en edad fértil y embarazadas es un problema de salud pública. La prevalencia de anemia es de 36,2% en niños de 6 a 59 meses, 30,1% en mujeres embarazadas</w:t>
      </w:r>
      <w:r>
        <w:rPr>
          <w:rFonts w:cstheme="minorHAnsi"/>
          <w:color w:val="000000"/>
          <w:sz w:val="24"/>
          <w:szCs w:val="24"/>
        </w:rPr>
        <w:t>;</w:t>
      </w:r>
      <w:r w:rsidRPr="009C0B1B">
        <w:rPr>
          <w:rFonts w:cstheme="minorHAnsi"/>
          <w:color w:val="000000"/>
          <w:sz w:val="24"/>
          <w:szCs w:val="24"/>
        </w:rPr>
        <w:t xml:space="preserve"> </w:t>
      </w:r>
      <w:r>
        <w:rPr>
          <w:rFonts w:cstheme="minorHAnsi"/>
          <w:color w:val="000000"/>
          <w:sz w:val="24"/>
          <w:szCs w:val="24"/>
        </w:rPr>
        <w:t>e</w:t>
      </w:r>
      <w:r w:rsidRPr="009C0B1B">
        <w:rPr>
          <w:rFonts w:cstheme="minorHAnsi"/>
          <w:color w:val="000000"/>
          <w:sz w:val="24"/>
          <w:szCs w:val="24"/>
        </w:rPr>
        <w:t xml:space="preserve">s decir, </w:t>
      </w:r>
      <w:r w:rsidRPr="009C0B1B">
        <w:rPr>
          <w:rFonts w:cstheme="minorHAnsi"/>
          <w:sz w:val="24"/>
          <w:szCs w:val="24"/>
        </w:rPr>
        <w:t xml:space="preserve">las deficiencias de micronutrientes como hierro, zinc, vitamina A, y el ácido fólico para las niñas y adolescentes, particularmente en las áreas rurales y comarcales, son persistentes </w:t>
      </w:r>
      <w:r w:rsidRPr="009C0B1B">
        <w:rPr>
          <w:rFonts w:cstheme="minorHAnsi"/>
          <w:color w:val="000000"/>
          <w:sz w:val="24"/>
          <w:szCs w:val="24"/>
        </w:rPr>
        <w:t>(</w:t>
      </w:r>
      <w:r w:rsidRPr="009C0B1B">
        <w:rPr>
          <w:rFonts w:cstheme="minorHAnsi"/>
          <w:sz w:val="24"/>
          <w:szCs w:val="24"/>
          <w:lang w:val="es-CU"/>
        </w:rPr>
        <w:t>M</w:t>
      </w:r>
      <w:r w:rsidR="003A796D">
        <w:rPr>
          <w:rFonts w:cstheme="minorHAnsi"/>
          <w:sz w:val="24"/>
          <w:szCs w:val="24"/>
          <w:lang w:val="es-CU"/>
        </w:rPr>
        <w:t>INSA</w:t>
      </w:r>
      <w:r w:rsidRPr="009C0B1B">
        <w:rPr>
          <w:rFonts w:cstheme="minorHAnsi"/>
          <w:sz w:val="24"/>
          <w:szCs w:val="24"/>
          <w:lang w:val="es-CU"/>
        </w:rPr>
        <w:t>, 2017</w:t>
      </w:r>
      <w:r w:rsidRPr="009C0B1B">
        <w:rPr>
          <w:rFonts w:cstheme="minorHAnsi"/>
          <w:color w:val="000000"/>
          <w:sz w:val="24"/>
          <w:szCs w:val="24"/>
        </w:rPr>
        <w:t xml:space="preserve">). </w:t>
      </w:r>
      <w:r w:rsidRPr="009C0B1B">
        <w:rPr>
          <w:rFonts w:cstheme="minorHAnsi"/>
          <w:sz w:val="24"/>
          <w:szCs w:val="24"/>
        </w:rPr>
        <w:t xml:space="preserve">El abordaje de la triple carga de la malnutrición requiere un trabajo coordinado de promoción de dietas saludables y la inversión en sistemas alimentarios sostenibles </w:t>
      </w:r>
      <w:r w:rsidRPr="009C0B1B">
        <w:rPr>
          <w:rFonts w:cstheme="minorHAnsi"/>
          <w:color w:val="000000"/>
          <w:sz w:val="24"/>
          <w:szCs w:val="24"/>
        </w:rPr>
        <w:t>(</w:t>
      </w:r>
      <w:r w:rsidRPr="009C0B1B">
        <w:rPr>
          <w:rFonts w:cstheme="minorHAnsi"/>
          <w:sz w:val="24"/>
          <w:szCs w:val="24"/>
          <w:lang w:val="es-CU"/>
        </w:rPr>
        <w:t>M</w:t>
      </w:r>
      <w:r w:rsidR="003A796D">
        <w:rPr>
          <w:rFonts w:cstheme="minorHAnsi"/>
          <w:sz w:val="24"/>
          <w:szCs w:val="24"/>
          <w:lang w:val="es-CU"/>
        </w:rPr>
        <w:t>INSA</w:t>
      </w:r>
      <w:r w:rsidRPr="009C0B1B">
        <w:rPr>
          <w:rFonts w:cstheme="minorHAnsi"/>
          <w:sz w:val="24"/>
          <w:szCs w:val="24"/>
          <w:lang w:val="es-CU"/>
        </w:rPr>
        <w:t>, 2017</w:t>
      </w:r>
      <w:r w:rsidRPr="009C0B1B">
        <w:rPr>
          <w:rFonts w:cstheme="minorHAnsi"/>
          <w:color w:val="000000"/>
          <w:sz w:val="24"/>
          <w:szCs w:val="24"/>
        </w:rPr>
        <w:t>).</w:t>
      </w:r>
    </w:p>
    <w:p w14:paraId="4D496DD7" w14:textId="77777777" w:rsidR="000C171B" w:rsidRDefault="000C171B" w:rsidP="000C171B">
      <w:pPr>
        <w:spacing w:after="0" w:line="240" w:lineRule="auto"/>
        <w:jc w:val="both"/>
        <w:rPr>
          <w:rFonts w:cstheme="minorHAnsi"/>
          <w:sz w:val="24"/>
          <w:szCs w:val="24"/>
        </w:rPr>
      </w:pPr>
    </w:p>
    <w:p w14:paraId="1507A1E2" w14:textId="77777777" w:rsidR="000C171B" w:rsidRPr="009C0B1B" w:rsidRDefault="000C171B" w:rsidP="000C171B">
      <w:pPr>
        <w:spacing w:after="0" w:line="240" w:lineRule="auto"/>
        <w:jc w:val="both"/>
        <w:rPr>
          <w:rFonts w:cstheme="minorHAnsi"/>
          <w:sz w:val="24"/>
          <w:szCs w:val="24"/>
        </w:rPr>
      </w:pPr>
      <w:r w:rsidRPr="009C0B1B">
        <w:rPr>
          <w:rFonts w:cstheme="minorHAnsi"/>
          <w:sz w:val="24"/>
          <w:szCs w:val="24"/>
        </w:rPr>
        <w:t xml:space="preserve">En lo social, en materia de política pública, las acciones más relevantes tienen relación con las transferencias monetarias. A lo largo de los tres últimos quinquenios, los subsidios a los hogares, las instituciones y las empresas se incorporaron a las finanzas públicas a partir de políticas y estrategias con principios distintos. Dejando así en evidencia la fragilidad tanto de la institucionalidad como de la gobernanza del país. Es decir, las asimetrías son también el resultado de la diversidad de enfoques que en unos casos se articulan, en otros más, se contraponen, pero en todo caso, subyacen en la dinámica cotidiana de las políticas públicas de enclave.  </w:t>
      </w:r>
    </w:p>
    <w:p w14:paraId="60DA073C" w14:textId="77777777" w:rsidR="000C171B" w:rsidRPr="009C0B1B" w:rsidRDefault="000C171B" w:rsidP="000C171B">
      <w:pPr>
        <w:spacing w:after="0" w:line="240" w:lineRule="auto"/>
        <w:rPr>
          <w:rFonts w:cstheme="minorHAnsi"/>
          <w:sz w:val="24"/>
          <w:szCs w:val="24"/>
        </w:rPr>
      </w:pPr>
    </w:p>
    <w:p w14:paraId="2754621D" w14:textId="77777777" w:rsidR="000C171B" w:rsidRPr="009C0B1B" w:rsidRDefault="000C171B" w:rsidP="000C171B">
      <w:pPr>
        <w:spacing w:after="0" w:line="240" w:lineRule="auto"/>
        <w:jc w:val="both"/>
        <w:rPr>
          <w:rFonts w:cstheme="minorHAnsi"/>
          <w:sz w:val="24"/>
          <w:szCs w:val="24"/>
        </w:rPr>
      </w:pPr>
      <w:r w:rsidRPr="009C0B1B">
        <w:rPr>
          <w:rFonts w:cstheme="minorHAnsi"/>
          <w:sz w:val="24"/>
          <w:szCs w:val="24"/>
        </w:rPr>
        <w:t>Hasta el momento el presupuesto del país reconoce 33 subsidios. De ese total de subsidios y transferencias, orientados unos hacia la oferta, otros hacia la demanda, el 48.4% (16) son trasladados a los hogares; el 33.3% a la seguridad social; mientras que el 18.8% a las empresas.  Asimismo, según el monto total de los subsidios y transferencias, en primer lugar, el 53.1% de los recursos se dirige hacia los hogares; en segundo lugar, el 32.7% hacia la seguridad social; mientras que</w:t>
      </w:r>
      <w:r>
        <w:rPr>
          <w:rFonts w:cstheme="minorHAnsi"/>
          <w:sz w:val="24"/>
          <w:szCs w:val="24"/>
        </w:rPr>
        <w:t>,</w:t>
      </w:r>
      <w:r w:rsidRPr="009C0B1B">
        <w:rPr>
          <w:rFonts w:cstheme="minorHAnsi"/>
          <w:sz w:val="24"/>
          <w:szCs w:val="24"/>
        </w:rPr>
        <w:t xml:space="preserve"> en tercer lugar, el 14.2% hacia las empresas. </w:t>
      </w:r>
    </w:p>
    <w:p w14:paraId="6B44B9CA" w14:textId="77777777" w:rsidR="000C171B" w:rsidRPr="009C0B1B" w:rsidRDefault="000C171B" w:rsidP="000C171B">
      <w:pPr>
        <w:spacing w:after="0" w:line="240" w:lineRule="auto"/>
        <w:jc w:val="both"/>
        <w:rPr>
          <w:rFonts w:cstheme="minorHAnsi"/>
          <w:sz w:val="24"/>
          <w:szCs w:val="24"/>
        </w:rPr>
      </w:pPr>
    </w:p>
    <w:p w14:paraId="4698709F" w14:textId="77777777" w:rsidR="000C171B" w:rsidRPr="009C0B1B" w:rsidRDefault="000C171B" w:rsidP="000C171B">
      <w:pPr>
        <w:spacing w:after="0" w:line="240" w:lineRule="auto"/>
        <w:jc w:val="both"/>
        <w:rPr>
          <w:rFonts w:cstheme="minorHAnsi"/>
          <w:sz w:val="24"/>
          <w:szCs w:val="24"/>
        </w:rPr>
      </w:pPr>
      <w:r w:rsidRPr="009C0B1B">
        <w:rPr>
          <w:rFonts w:cstheme="minorHAnsi"/>
          <w:sz w:val="24"/>
          <w:szCs w:val="24"/>
        </w:rPr>
        <w:t>En el caso de los subsidios y transferencias a los hogares, entre los años 2009 y 2017</w:t>
      </w:r>
      <w:r w:rsidRPr="00A459DB">
        <w:rPr>
          <w:rFonts w:cstheme="minorHAnsi"/>
          <w:sz w:val="24"/>
          <w:szCs w:val="24"/>
        </w:rPr>
        <w:t xml:space="preserve"> </w:t>
      </w:r>
      <w:r w:rsidRPr="009C0B1B">
        <w:rPr>
          <w:rFonts w:cstheme="minorHAnsi"/>
          <w:sz w:val="24"/>
          <w:szCs w:val="24"/>
        </w:rPr>
        <w:t xml:space="preserve">crecieron 2.7 veces más, pasaron de B/. 290.8 millones en el 2009 a B/. 797.3 millones de </w:t>
      </w:r>
      <w:r>
        <w:rPr>
          <w:rFonts w:cstheme="minorHAnsi"/>
          <w:sz w:val="24"/>
          <w:szCs w:val="24"/>
        </w:rPr>
        <w:t>dólares</w:t>
      </w:r>
      <w:r w:rsidRPr="009C0B1B">
        <w:rPr>
          <w:rFonts w:cstheme="minorHAnsi"/>
          <w:sz w:val="24"/>
          <w:szCs w:val="24"/>
        </w:rPr>
        <w:t xml:space="preserve">. Para el año 2017, el 52.9% del monto total transferidos a los hogares (B/. 422.4 millones de balboas) corresponden a los programas de transferencias condicionadas: Programa 120/65, Red de Oportunidades, Beca Universal, Ángel Guardián. </w:t>
      </w:r>
    </w:p>
    <w:p w14:paraId="6F6846EE" w14:textId="77777777" w:rsidR="000C171B" w:rsidRPr="009C0B1B" w:rsidRDefault="000C171B" w:rsidP="000C171B">
      <w:pPr>
        <w:spacing w:after="0" w:line="240" w:lineRule="auto"/>
        <w:jc w:val="both"/>
        <w:rPr>
          <w:rFonts w:cstheme="minorHAnsi"/>
          <w:sz w:val="24"/>
          <w:szCs w:val="24"/>
        </w:rPr>
      </w:pPr>
    </w:p>
    <w:p w14:paraId="0E75F959" w14:textId="77777777" w:rsidR="000C171B" w:rsidRDefault="000C171B" w:rsidP="000C171B">
      <w:pPr>
        <w:spacing w:after="0" w:line="240" w:lineRule="auto"/>
        <w:rPr>
          <w:rFonts w:cstheme="minorHAnsi"/>
          <w:b/>
          <w:bCs/>
          <w:color w:val="4472C4" w:themeColor="accent1"/>
          <w:sz w:val="24"/>
          <w:szCs w:val="24"/>
        </w:rPr>
      </w:pPr>
      <w:r w:rsidRPr="00586FF3">
        <w:rPr>
          <w:rFonts w:cstheme="minorHAnsi"/>
          <w:b/>
          <w:bCs/>
          <w:color w:val="4472C4" w:themeColor="accent1"/>
          <w:sz w:val="24"/>
          <w:szCs w:val="24"/>
        </w:rPr>
        <w:t xml:space="preserve">1.2.3. Dinámica ambiental. </w:t>
      </w:r>
    </w:p>
    <w:p w14:paraId="5EEB7990" w14:textId="77777777" w:rsidR="000C171B" w:rsidRPr="00586FF3" w:rsidRDefault="000C171B" w:rsidP="000C171B">
      <w:pPr>
        <w:spacing w:after="0" w:line="240" w:lineRule="auto"/>
        <w:rPr>
          <w:rFonts w:cstheme="minorHAnsi"/>
          <w:b/>
          <w:bCs/>
          <w:color w:val="4472C4" w:themeColor="accent1"/>
          <w:sz w:val="24"/>
          <w:szCs w:val="24"/>
        </w:rPr>
      </w:pPr>
    </w:p>
    <w:p w14:paraId="0AA365ED" w14:textId="77777777" w:rsidR="000C171B" w:rsidRPr="009C0B1B" w:rsidRDefault="000C171B" w:rsidP="000C171B">
      <w:pPr>
        <w:spacing w:after="0" w:line="240" w:lineRule="auto"/>
        <w:jc w:val="both"/>
        <w:rPr>
          <w:rFonts w:cstheme="minorHAnsi"/>
          <w:color w:val="000000" w:themeColor="text1"/>
          <w:sz w:val="24"/>
          <w:szCs w:val="24"/>
        </w:rPr>
      </w:pPr>
      <w:r w:rsidRPr="009C0B1B">
        <w:rPr>
          <w:rFonts w:cstheme="minorHAnsi"/>
          <w:color w:val="000000" w:themeColor="text1"/>
          <w:sz w:val="24"/>
          <w:szCs w:val="24"/>
        </w:rPr>
        <w:t>El cambio climático tiene impacto en la calidad del agua</w:t>
      </w:r>
      <w:r>
        <w:rPr>
          <w:rFonts w:cstheme="minorHAnsi"/>
          <w:color w:val="000000" w:themeColor="text1"/>
          <w:sz w:val="24"/>
          <w:szCs w:val="24"/>
        </w:rPr>
        <w:t xml:space="preserve"> y recursos hídricos</w:t>
      </w:r>
      <w:r w:rsidRPr="009C0B1B">
        <w:rPr>
          <w:rFonts w:cstheme="minorHAnsi"/>
          <w:color w:val="000000" w:themeColor="text1"/>
          <w:sz w:val="24"/>
          <w:szCs w:val="24"/>
        </w:rPr>
        <w:t xml:space="preserve">, </w:t>
      </w:r>
      <w:r>
        <w:rPr>
          <w:rFonts w:cstheme="minorHAnsi"/>
          <w:color w:val="000000" w:themeColor="text1"/>
          <w:sz w:val="24"/>
          <w:szCs w:val="24"/>
        </w:rPr>
        <w:t xml:space="preserve">los bosques, las zonas costeras, </w:t>
      </w:r>
      <w:r w:rsidRPr="009C0B1B">
        <w:rPr>
          <w:rFonts w:cstheme="minorHAnsi"/>
          <w:color w:val="000000" w:themeColor="text1"/>
          <w:sz w:val="24"/>
          <w:szCs w:val="24"/>
        </w:rPr>
        <w:t>las formas de producción agrícola y la salud</w:t>
      </w:r>
      <w:r>
        <w:rPr>
          <w:rFonts w:cstheme="minorHAnsi"/>
          <w:color w:val="000000" w:themeColor="text1"/>
          <w:sz w:val="24"/>
          <w:szCs w:val="24"/>
        </w:rPr>
        <w:t xml:space="preserve"> pública</w:t>
      </w:r>
      <w:r w:rsidRPr="009C0B1B">
        <w:rPr>
          <w:rFonts w:cstheme="minorHAnsi"/>
          <w:color w:val="000000" w:themeColor="text1"/>
          <w:sz w:val="24"/>
          <w:szCs w:val="24"/>
        </w:rPr>
        <w:t xml:space="preserve">. De acuerdo con el informe de evaluación realizado por el Panel Intergubernamental sobre Cambio Climático (IPCC), Panamá es un país altamente vulnerable al cambio climático. </w:t>
      </w:r>
    </w:p>
    <w:p w14:paraId="3989FC0E" w14:textId="77777777" w:rsidR="000C171B" w:rsidRPr="009C0B1B" w:rsidRDefault="000C171B" w:rsidP="000C171B">
      <w:pPr>
        <w:spacing w:after="0" w:line="240" w:lineRule="auto"/>
        <w:jc w:val="both"/>
        <w:rPr>
          <w:rFonts w:cstheme="minorHAnsi"/>
          <w:sz w:val="24"/>
          <w:szCs w:val="24"/>
        </w:rPr>
      </w:pPr>
    </w:p>
    <w:p w14:paraId="7D977F72" w14:textId="77777777" w:rsidR="000C171B" w:rsidRDefault="000C171B" w:rsidP="000C171B">
      <w:pPr>
        <w:spacing w:after="0" w:line="240" w:lineRule="auto"/>
        <w:jc w:val="both"/>
        <w:rPr>
          <w:rFonts w:cstheme="minorHAnsi"/>
          <w:color w:val="000000" w:themeColor="text1"/>
          <w:sz w:val="24"/>
          <w:szCs w:val="24"/>
        </w:rPr>
      </w:pPr>
      <w:r w:rsidRPr="009C0B1B">
        <w:rPr>
          <w:rFonts w:cstheme="minorHAnsi"/>
          <w:sz w:val="24"/>
          <w:szCs w:val="24"/>
        </w:rPr>
        <w:t xml:space="preserve">Por su posición geográfica y sus características geotectónicas, Panamá está expuesto a una variedad de amenazas hidrometeorológicas y geofísicas. Lo anterior, aunado al crecimiento económico del país y a factores sociales, tanto de crecimiento como concentración de la población y sus activos, podrían incrementar las pérdidas económicas generadas por la </w:t>
      </w:r>
      <w:r w:rsidRPr="009C0B1B">
        <w:rPr>
          <w:rFonts w:cstheme="minorHAnsi"/>
          <w:color w:val="000000" w:themeColor="text1"/>
          <w:sz w:val="24"/>
          <w:szCs w:val="24"/>
        </w:rPr>
        <w:t>ocurrencia de dichos eventos.</w:t>
      </w:r>
      <w:r w:rsidRPr="009C0B1B">
        <w:rPr>
          <w:rStyle w:val="FootnoteReference"/>
          <w:rFonts w:cstheme="minorHAnsi"/>
          <w:color w:val="000000" w:themeColor="text1"/>
          <w:sz w:val="24"/>
          <w:szCs w:val="24"/>
        </w:rPr>
        <w:footnoteReference w:id="6"/>
      </w:r>
      <w:r w:rsidRPr="009C0B1B">
        <w:rPr>
          <w:rFonts w:cstheme="minorHAnsi"/>
          <w:color w:val="000000" w:themeColor="text1"/>
          <w:sz w:val="24"/>
          <w:szCs w:val="24"/>
        </w:rPr>
        <w:t xml:space="preserve"> Cabe tener presente que según el Plan Nacional de Seguridad Hídrica 2015-2050, el 50% amenazas hidro climáticas (1999-2009) en los territorios fueron: (i) 56 Municipios fueron afectados por inundaciones; (</w:t>
      </w:r>
      <w:proofErr w:type="spellStart"/>
      <w:r w:rsidRPr="009C0B1B">
        <w:rPr>
          <w:rFonts w:cstheme="minorHAnsi"/>
          <w:color w:val="000000" w:themeColor="text1"/>
          <w:sz w:val="24"/>
          <w:szCs w:val="24"/>
        </w:rPr>
        <w:t>ii</w:t>
      </w:r>
      <w:proofErr w:type="spellEnd"/>
      <w:r w:rsidRPr="009C0B1B">
        <w:rPr>
          <w:rFonts w:cstheme="minorHAnsi"/>
          <w:color w:val="000000" w:themeColor="text1"/>
          <w:sz w:val="24"/>
          <w:szCs w:val="24"/>
        </w:rPr>
        <w:t>) 34 Municipios fueron afectados por vendavales; (</w:t>
      </w:r>
      <w:proofErr w:type="spellStart"/>
      <w:r w:rsidRPr="009C0B1B">
        <w:rPr>
          <w:rFonts w:cstheme="minorHAnsi"/>
          <w:color w:val="000000" w:themeColor="text1"/>
          <w:sz w:val="24"/>
          <w:szCs w:val="24"/>
        </w:rPr>
        <w:t>iii</w:t>
      </w:r>
      <w:proofErr w:type="spellEnd"/>
      <w:r w:rsidRPr="009C0B1B">
        <w:rPr>
          <w:rFonts w:cstheme="minorHAnsi"/>
          <w:color w:val="000000" w:themeColor="text1"/>
          <w:sz w:val="24"/>
          <w:szCs w:val="24"/>
        </w:rPr>
        <w:t>) 34 Municipios se afectaron por deslizamientos; (</w:t>
      </w:r>
      <w:proofErr w:type="spellStart"/>
      <w:r w:rsidRPr="009C0B1B">
        <w:rPr>
          <w:rFonts w:cstheme="minorHAnsi"/>
          <w:color w:val="000000" w:themeColor="text1"/>
          <w:sz w:val="24"/>
          <w:szCs w:val="24"/>
        </w:rPr>
        <w:t>iv</w:t>
      </w:r>
      <w:proofErr w:type="spellEnd"/>
      <w:r w:rsidRPr="009C0B1B">
        <w:rPr>
          <w:rFonts w:cstheme="minorHAnsi"/>
          <w:color w:val="000000" w:themeColor="text1"/>
          <w:sz w:val="24"/>
          <w:szCs w:val="24"/>
        </w:rPr>
        <w:t>) 12 Municipios se afectaron por marejadas (</w:t>
      </w:r>
      <w:proofErr w:type="spellStart"/>
      <w:r w:rsidRPr="009C0B1B">
        <w:rPr>
          <w:rFonts w:cstheme="minorHAnsi"/>
          <w:color w:val="000000" w:themeColor="text1"/>
          <w:sz w:val="24"/>
          <w:szCs w:val="24"/>
        </w:rPr>
        <w:t>MiAMBIENTE</w:t>
      </w:r>
      <w:proofErr w:type="spellEnd"/>
      <w:r>
        <w:rPr>
          <w:rFonts w:cstheme="minorHAnsi"/>
          <w:color w:val="000000" w:themeColor="text1"/>
          <w:sz w:val="24"/>
          <w:szCs w:val="24"/>
        </w:rPr>
        <w:t>,</w:t>
      </w:r>
      <w:r w:rsidRPr="009C0B1B">
        <w:rPr>
          <w:rFonts w:cstheme="minorHAnsi"/>
          <w:color w:val="000000" w:themeColor="text1"/>
          <w:sz w:val="24"/>
          <w:szCs w:val="24"/>
        </w:rPr>
        <w:t xml:space="preserve"> 2018).</w:t>
      </w:r>
    </w:p>
    <w:p w14:paraId="38013ADD" w14:textId="77777777" w:rsidR="000C171B" w:rsidRPr="009C0B1B" w:rsidRDefault="000C171B" w:rsidP="000C171B">
      <w:pPr>
        <w:spacing w:after="0" w:line="240" w:lineRule="auto"/>
        <w:jc w:val="both"/>
        <w:rPr>
          <w:rFonts w:cstheme="minorHAnsi"/>
          <w:color w:val="FF0000"/>
          <w:sz w:val="24"/>
          <w:szCs w:val="24"/>
        </w:rPr>
      </w:pPr>
    </w:p>
    <w:p w14:paraId="223C1344" w14:textId="77777777" w:rsidR="000C171B" w:rsidRDefault="000C171B" w:rsidP="000C171B">
      <w:pPr>
        <w:pStyle w:val="CommentText"/>
        <w:spacing w:after="0"/>
        <w:jc w:val="both"/>
        <w:rPr>
          <w:rFonts w:cstheme="minorHAnsi"/>
          <w:sz w:val="24"/>
          <w:szCs w:val="24"/>
        </w:rPr>
      </w:pPr>
      <w:r w:rsidRPr="009C0B1B">
        <w:rPr>
          <w:rFonts w:cstheme="minorHAnsi"/>
          <w:sz w:val="24"/>
          <w:szCs w:val="24"/>
        </w:rPr>
        <w:t>En los últimos años, se han registrado dos hechos que permiten vislumbrar el impacto del cambio climático en el país. El primero, el déficit en las lluvias promedio en los últimos 106 años en la cuenca del Canal de Panamá. Como resultado de la sequía, el Canal de Panamá realizó seis ajustes de calado, lo que representó una reducción importante en su volumen de negocio</w:t>
      </w:r>
      <w:r w:rsidRPr="009C0B1B">
        <w:rPr>
          <w:rStyle w:val="FootnoteReference"/>
          <w:rFonts w:cstheme="minorHAnsi"/>
          <w:sz w:val="24"/>
          <w:szCs w:val="24"/>
        </w:rPr>
        <w:footnoteReference w:id="7"/>
      </w:r>
      <w:r w:rsidRPr="009C0B1B">
        <w:rPr>
          <w:rFonts w:cstheme="minorHAnsi"/>
          <w:sz w:val="24"/>
          <w:szCs w:val="24"/>
        </w:rPr>
        <w:t xml:space="preserve">.  El segundo, se registró en la comarca Guna Yala donde el nivel del mar Caribe se incrementó entre 20 y 25 centímetros, desde los años </w:t>
      </w:r>
      <w:r>
        <w:rPr>
          <w:rFonts w:cstheme="minorHAnsi"/>
          <w:sz w:val="24"/>
          <w:szCs w:val="24"/>
        </w:rPr>
        <w:t>1950</w:t>
      </w:r>
      <w:r w:rsidRPr="009C0B1B">
        <w:rPr>
          <w:rFonts w:cstheme="minorHAnsi"/>
          <w:sz w:val="24"/>
          <w:szCs w:val="24"/>
        </w:rPr>
        <w:t>. Como resultado del cambio climático, 300 familias gunas están en proceso de reubicación en tierra firme dentro de la Comarca, cambios en el nivel del mar están afectando las principales fuentes de ingresos de la población Guna, con una economía centrada en el turismo y la pesca artesanal</w:t>
      </w:r>
      <w:r w:rsidRPr="009C0B1B">
        <w:rPr>
          <w:rStyle w:val="FootnoteReference"/>
          <w:rFonts w:cstheme="minorHAnsi"/>
          <w:sz w:val="24"/>
          <w:szCs w:val="24"/>
        </w:rPr>
        <w:footnoteReference w:id="8"/>
      </w:r>
      <w:r w:rsidRPr="009C0B1B">
        <w:rPr>
          <w:rFonts w:cstheme="minorHAnsi"/>
          <w:sz w:val="24"/>
          <w:szCs w:val="24"/>
        </w:rPr>
        <w:t>.  Es decir, los efectos del cambio climático no sólo afectarán al Canal de Panamá y algunas comunidades, si no que incrementan el nivel de vulnerabilidad y exposición de diversos grupos en condiciones de pobreza de todo Panamá.</w:t>
      </w:r>
    </w:p>
    <w:p w14:paraId="75BBEF84" w14:textId="77777777" w:rsidR="000C171B" w:rsidRPr="009C0B1B" w:rsidRDefault="000C171B" w:rsidP="000C171B">
      <w:pPr>
        <w:pStyle w:val="CommentText"/>
        <w:spacing w:after="0"/>
        <w:jc w:val="both"/>
        <w:rPr>
          <w:rFonts w:cstheme="minorHAnsi"/>
          <w:sz w:val="24"/>
          <w:szCs w:val="24"/>
        </w:rPr>
      </w:pPr>
    </w:p>
    <w:p w14:paraId="45E096A9" w14:textId="77777777" w:rsidR="000C171B" w:rsidRDefault="000C171B" w:rsidP="000C171B">
      <w:pPr>
        <w:pStyle w:val="CommentText"/>
        <w:spacing w:after="0"/>
        <w:jc w:val="both"/>
        <w:rPr>
          <w:rFonts w:eastAsia="Times New Roman" w:cstheme="minorHAnsi"/>
          <w:color w:val="000000"/>
          <w:sz w:val="24"/>
          <w:szCs w:val="24"/>
        </w:rPr>
      </w:pPr>
      <w:r w:rsidRPr="009C0B1B">
        <w:rPr>
          <w:rFonts w:cstheme="minorHAnsi"/>
          <w:sz w:val="24"/>
          <w:szCs w:val="24"/>
        </w:rPr>
        <w:t xml:space="preserve">En los próximos años, el país sufrirá el impacto y los efectos del cambio climático. Tal como se señala la </w:t>
      </w:r>
      <w:r w:rsidRPr="009C0B1B">
        <w:rPr>
          <w:rFonts w:eastAsia="Times New Roman" w:cstheme="minorHAnsi"/>
          <w:color w:val="000000"/>
          <w:sz w:val="24"/>
          <w:szCs w:val="24"/>
        </w:rPr>
        <w:t xml:space="preserve">Tercera Comunicación Nacional de Panamá ante la CMNUCC, en el mediano plazo se </w:t>
      </w:r>
      <w:r w:rsidRPr="009C0B1B">
        <w:rPr>
          <w:rFonts w:eastAsia="Times New Roman" w:cstheme="minorHAnsi"/>
          <w:color w:val="000000"/>
          <w:sz w:val="24"/>
          <w:szCs w:val="24"/>
        </w:rPr>
        <w:lastRenderedPageBreak/>
        <w:t>registrarán: (i) aumento en la temperatura media y máxima, (</w:t>
      </w:r>
      <w:proofErr w:type="spellStart"/>
      <w:r w:rsidRPr="009C0B1B">
        <w:rPr>
          <w:rFonts w:eastAsia="Times New Roman" w:cstheme="minorHAnsi"/>
          <w:color w:val="000000"/>
          <w:sz w:val="24"/>
          <w:szCs w:val="24"/>
        </w:rPr>
        <w:t>ii</w:t>
      </w:r>
      <w:proofErr w:type="spellEnd"/>
      <w:r w:rsidRPr="009C0B1B">
        <w:rPr>
          <w:rFonts w:eastAsia="Times New Roman" w:cstheme="minorHAnsi"/>
          <w:color w:val="000000"/>
          <w:sz w:val="24"/>
          <w:szCs w:val="24"/>
        </w:rPr>
        <w:t>) cambios en los patrones de precipitación, (</w:t>
      </w:r>
      <w:proofErr w:type="spellStart"/>
      <w:r w:rsidRPr="009C0B1B">
        <w:rPr>
          <w:rFonts w:eastAsia="Times New Roman" w:cstheme="minorHAnsi"/>
          <w:color w:val="000000"/>
          <w:sz w:val="24"/>
          <w:szCs w:val="24"/>
        </w:rPr>
        <w:t>iii</w:t>
      </w:r>
      <w:proofErr w:type="spellEnd"/>
      <w:r w:rsidRPr="009C0B1B">
        <w:rPr>
          <w:rFonts w:eastAsia="Times New Roman" w:cstheme="minorHAnsi"/>
          <w:color w:val="000000"/>
          <w:sz w:val="24"/>
          <w:szCs w:val="24"/>
        </w:rPr>
        <w:t>) déficits de precipitación (10%) entre la época seca y el periodo de lluvias. Lo que provocará, un cambio en el índice de aridez en zonas correspondientes al corredor seco y áreas degradadas/propensas a sequías, pero además otras áreas ‘atípicas’</w:t>
      </w:r>
      <w:r>
        <w:rPr>
          <w:rFonts w:eastAsia="Times New Roman" w:cstheme="minorHAnsi"/>
          <w:color w:val="000000"/>
          <w:sz w:val="24"/>
          <w:szCs w:val="24"/>
        </w:rPr>
        <w:t xml:space="preserve"> como</w:t>
      </w:r>
      <w:r w:rsidRPr="009C0B1B">
        <w:rPr>
          <w:rFonts w:eastAsia="Times New Roman" w:cstheme="minorHAnsi"/>
          <w:color w:val="000000"/>
          <w:sz w:val="24"/>
          <w:szCs w:val="24"/>
        </w:rPr>
        <w:t xml:space="preserve">: </w:t>
      </w:r>
      <w:r>
        <w:rPr>
          <w:rFonts w:eastAsia="Times New Roman" w:cstheme="minorHAnsi"/>
          <w:color w:val="000000"/>
          <w:sz w:val="24"/>
          <w:szCs w:val="24"/>
        </w:rPr>
        <w:t xml:space="preserve">las </w:t>
      </w:r>
      <w:r w:rsidRPr="009C0B1B">
        <w:rPr>
          <w:rFonts w:eastAsia="Times New Roman" w:cstheme="minorHAnsi"/>
          <w:color w:val="000000"/>
          <w:sz w:val="24"/>
          <w:szCs w:val="24"/>
        </w:rPr>
        <w:t>Provincia</w:t>
      </w:r>
      <w:r>
        <w:rPr>
          <w:rFonts w:eastAsia="Times New Roman" w:cstheme="minorHAnsi"/>
          <w:color w:val="000000"/>
          <w:sz w:val="24"/>
          <w:szCs w:val="24"/>
        </w:rPr>
        <w:t>s</w:t>
      </w:r>
      <w:r w:rsidRPr="009C0B1B">
        <w:rPr>
          <w:rFonts w:eastAsia="Times New Roman" w:cstheme="minorHAnsi"/>
          <w:color w:val="000000"/>
          <w:sz w:val="24"/>
          <w:szCs w:val="24"/>
        </w:rPr>
        <w:t xml:space="preserve"> de Bocas del Toro, Veraguas</w:t>
      </w:r>
      <w:r>
        <w:rPr>
          <w:rFonts w:eastAsia="Times New Roman" w:cstheme="minorHAnsi"/>
          <w:color w:val="000000"/>
          <w:sz w:val="24"/>
          <w:szCs w:val="24"/>
        </w:rPr>
        <w:t xml:space="preserve">, </w:t>
      </w:r>
      <w:r w:rsidRPr="009C0B1B">
        <w:rPr>
          <w:rFonts w:eastAsia="Times New Roman" w:cstheme="minorHAnsi"/>
          <w:color w:val="000000"/>
          <w:sz w:val="24"/>
          <w:szCs w:val="24"/>
        </w:rPr>
        <w:t>Coclé</w:t>
      </w:r>
      <w:r>
        <w:rPr>
          <w:rFonts w:eastAsia="Times New Roman" w:cstheme="minorHAnsi"/>
          <w:color w:val="000000"/>
          <w:sz w:val="24"/>
          <w:szCs w:val="24"/>
        </w:rPr>
        <w:t xml:space="preserve"> y</w:t>
      </w:r>
      <w:r w:rsidRPr="009C0B1B">
        <w:rPr>
          <w:rFonts w:eastAsia="Times New Roman" w:cstheme="minorHAnsi"/>
          <w:color w:val="000000"/>
          <w:sz w:val="24"/>
          <w:szCs w:val="24"/>
        </w:rPr>
        <w:t xml:space="preserve"> Darién</w:t>
      </w:r>
      <w:r>
        <w:rPr>
          <w:rFonts w:eastAsia="Times New Roman" w:cstheme="minorHAnsi"/>
          <w:color w:val="000000"/>
          <w:sz w:val="24"/>
          <w:szCs w:val="24"/>
        </w:rPr>
        <w:t>; y las c</w:t>
      </w:r>
      <w:r w:rsidRPr="009C0B1B">
        <w:rPr>
          <w:rFonts w:eastAsia="Times New Roman" w:cstheme="minorHAnsi"/>
          <w:color w:val="000000"/>
          <w:sz w:val="24"/>
          <w:szCs w:val="24"/>
        </w:rPr>
        <w:t>omarca</w:t>
      </w:r>
      <w:r>
        <w:rPr>
          <w:rFonts w:eastAsia="Times New Roman" w:cstheme="minorHAnsi"/>
          <w:color w:val="000000"/>
          <w:sz w:val="24"/>
          <w:szCs w:val="24"/>
        </w:rPr>
        <w:t>s</w:t>
      </w:r>
      <w:r w:rsidRPr="009C0B1B">
        <w:rPr>
          <w:rFonts w:eastAsia="Times New Roman" w:cstheme="minorHAnsi"/>
          <w:color w:val="000000"/>
          <w:sz w:val="24"/>
          <w:szCs w:val="24"/>
        </w:rPr>
        <w:t xml:space="preserve"> Guna Yala</w:t>
      </w:r>
      <w:r>
        <w:rPr>
          <w:rFonts w:eastAsia="Times New Roman" w:cstheme="minorHAnsi"/>
          <w:color w:val="000000"/>
          <w:sz w:val="24"/>
          <w:szCs w:val="24"/>
        </w:rPr>
        <w:t>,</w:t>
      </w:r>
      <w:r w:rsidRPr="009C0B1B">
        <w:rPr>
          <w:rFonts w:eastAsia="Times New Roman" w:cstheme="minorHAnsi"/>
          <w:color w:val="000000"/>
          <w:sz w:val="24"/>
          <w:szCs w:val="24"/>
        </w:rPr>
        <w:t xml:space="preserve"> Emberá-Wounaan</w:t>
      </w:r>
      <w:r>
        <w:rPr>
          <w:rFonts w:eastAsia="Times New Roman" w:cstheme="minorHAnsi"/>
          <w:color w:val="000000"/>
          <w:sz w:val="24"/>
          <w:szCs w:val="24"/>
        </w:rPr>
        <w:t xml:space="preserve"> y </w:t>
      </w:r>
      <w:r w:rsidRPr="009C0B1B">
        <w:rPr>
          <w:rFonts w:eastAsia="Times New Roman" w:cstheme="minorHAnsi"/>
          <w:color w:val="000000"/>
          <w:sz w:val="24"/>
          <w:szCs w:val="24"/>
        </w:rPr>
        <w:t>Ngäbe Buglé</w:t>
      </w:r>
      <w:r>
        <w:rPr>
          <w:rFonts w:eastAsia="Times New Roman" w:cstheme="minorHAnsi"/>
          <w:color w:val="000000"/>
          <w:sz w:val="24"/>
          <w:szCs w:val="24"/>
        </w:rPr>
        <w:t>. R</w:t>
      </w:r>
      <w:r w:rsidRPr="009C0B1B">
        <w:rPr>
          <w:rFonts w:eastAsia="Times New Roman" w:cstheme="minorHAnsi"/>
          <w:color w:val="000000"/>
          <w:sz w:val="24"/>
          <w:szCs w:val="24"/>
        </w:rPr>
        <w:t xml:space="preserve">egiones </w:t>
      </w:r>
      <w:r>
        <w:rPr>
          <w:rFonts w:eastAsia="Times New Roman" w:cstheme="minorHAnsi"/>
          <w:color w:val="000000"/>
          <w:sz w:val="24"/>
          <w:szCs w:val="24"/>
        </w:rPr>
        <w:t>con</w:t>
      </w:r>
      <w:r w:rsidRPr="009C0B1B">
        <w:rPr>
          <w:rFonts w:eastAsia="Times New Roman" w:cstheme="minorHAnsi"/>
          <w:color w:val="000000"/>
          <w:sz w:val="24"/>
          <w:szCs w:val="24"/>
        </w:rPr>
        <w:t xml:space="preserve"> la mayor proporción de población en condición de pobreza (niveles superiores al 50%) y de menor índice de desarrollo humano (particularmente las comunidades indígenas). </w:t>
      </w:r>
    </w:p>
    <w:p w14:paraId="5400A709" w14:textId="77777777" w:rsidR="000C171B" w:rsidRDefault="000C171B" w:rsidP="000C171B">
      <w:pPr>
        <w:pStyle w:val="CommentText"/>
        <w:spacing w:after="0"/>
        <w:jc w:val="both"/>
        <w:rPr>
          <w:rFonts w:eastAsia="Times New Roman" w:cstheme="minorHAnsi"/>
          <w:color w:val="000000"/>
          <w:sz w:val="24"/>
          <w:szCs w:val="24"/>
        </w:rPr>
      </w:pPr>
    </w:p>
    <w:p w14:paraId="3814F5B6" w14:textId="77777777" w:rsidR="000C171B" w:rsidRPr="009C0B1B" w:rsidRDefault="000C171B" w:rsidP="000C171B">
      <w:pPr>
        <w:pStyle w:val="CommentText"/>
        <w:spacing w:after="0"/>
        <w:jc w:val="both"/>
        <w:rPr>
          <w:rFonts w:cstheme="minorHAnsi"/>
          <w:sz w:val="24"/>
          <w:szCs w:val="24"/>
        </w:rPr>
      </w:pPr>
      <w:r>
        <w:rPr>
          <w:rFonts w:eastAsia="Times New Roman" w:cstheme="minorHAnsi"/>
          <w:color w:val="000000"/>
          <w:sz w:val="24"/>
          <w:szCs w:val="24"/>
        </w:rPr>
        <w:t>L</w:t>
      </w:r>
      <w:r w:rsidRPr="009C0B1B">
        <w:rPr>
          <w:rFonts w:eastAsia="Times New Roman" w:cstheme="minorHAnsi"/>
          <w:color w:val="000000"/>
          <w:sz w:val="24"/>
          <w:szCs w:val="24"/>
        </w:rPr>
        <w:t>a Comarca Ngäbe-Buglé, Provincia de Veraguas y Darién son consideradas como de alto potencial para restauración de áreas degradadas, así como zonas boscosas con beneficios múltiples de mitigación, biodiversidad, agua y turismo (prácticamente todas las comarcas indígenas y partes de las áreas de provincias) que tienen la mayor prioridad para el marco ONU-REDD.</w:t>
      </w:r>
    </w:p>
    <w:p w14:paraId="1723211C" w14:textId="77777777" w:rsidR="000C171B" w:rsidRPr="009C0B1B" w:rsidRDefault="000C171B" w:rsidP="000C171B">
      <w:pPr>
        <w:pStyle w:val="CommentText"/>
        <w:spacing w:after="0"/>
        <w:jc w:val="both"/>
        <w:rPr>
          <w:rFonts w:cstheme="minorHAnsi"/>
          <w:sz w:val="24"/>
          <w:szCs w:val="24"/>
        </w:rPr>
      </w:pPr>
    </w:p>
    <w:p w14:paraId="39B9E86B" w14:textId="77777777" w:rsidR="000C171B" w:rsidRPr="009C0B1B" w:rsidRDefault="000C171B" w:rsidP="000C171B">
      <w:pPr>
        <w:spacing w:after="0" w:line="240" w:lineRule="auto"/>
        <w:jc w:val="both"/>
        <w:rPr>
          <w:rFonts w:cstheme="minorHAnsi"/>
          <w:sz w:val="24"/>
          <w:szCs w:val="24"/>
        </w:rPr>
      </w:pPr>
      <w:r w:rsidRPr="009C0B1B">
        <w:rPr>
          <w:rFonts w:cstheme="minorHAnsi"/>
          <w:sz w:val="24"/>
          <w:szCs w:val="24"/>
        </w:rPr>
        <w:t>Además del cambio climático, la degradación de los suelos será un problema ambiental de primer orden. Aunque Panamá está entre los 50 países del mundo con mayor cobertura de bosques, con 62.1% (entre bosques maduros, secundarios), actualmente la degradación de los suelos provoca:  (i) la pérdida de suelo a través de la erosión a un ritmo más rápido de lo que se forma; (</w:t>
      </w:r>
      <w:proofErr w:type="spellStart"/>
      <w:r w:rsidRPr="009C0B1B">
        <w:rPr>
          <w:rFonts w:cstheme="minorHAnsi"/>
          <w:sz w:val="24"/>
          <w:szCs w:val="24"/>
        </w:rPr>
        <w:t>ii</w:t>
      </w:r>
      <w:proofErr w:type="spellEnd"/>
      <w:r w:rsidRPr="009C0B1B">
        <w:rPr>
          <w:rFonts w:cstheme="minorHAnsi"/>
          <w:sz w:val="24"/>
          <w:szCs w:val="24"/>
        </w:rPr>
        <w:t>) la eliminación de nutrientes durante la cosecha, mayor de lo que se reemplaza; (</w:t>
      </w:r>
      <w:proofErr w:type="spellStart"/>
      <w:r w:rsidRPr="009C0B1B">
        <w:rPr>
          <w:rFonts w:cstheme="minorHAnsi"/>
          <w:sz w:val="24"/>
          <w:szCs w:val="24"/>
        </w:rPr>
        <w:t>iii</w:t>
      </w:r>
      <w:proofErr w:type="spellEnd"/>
      <w:r w:rsidRPr="009C0B1B">
        <w:rPr>
          <w:rFonts w:cstheme="minorHAnsi"/>
          <w:sz w:val="24"/>
          <w:szCs w:val="24"/>
        </w:rPr>
        <w:t>) agotamiento de la materia orgánica del suelo, y (</w:t>
      </w:r>
      <w:proofErr w:type="spellStart"/>
      <w:r w:rsidRPr="009C0B1B">
        <w:rPr>
          <w:rFonts w:cstheme="minorHAnsi"/>
          <w:sz w:val="24"/>
          <w:szCs w:val="24"/>
        </w:rPr>
        <w:t>iv</w:t>
      </w:r>
      <w:proofErr w:type="spellEnd"/>
      <w:r w:rsidRPr="009C0B1B">
        <w:rPr>
          <w:rFonts w:cstheme="minorHAnsi"/>
          <w:sz w:val="24"/>
          <w:szCs w:val="24"/>
        </w:rPr>
        <w:t xml:space="preserve">) el sellado de la superficie, compactación, aumento de la salinidad, acidez, toxicidad metálica u orgánica, hasta el punto donde el suelo no puede soportar usos. El costo anual de la degradación de la tierra en Panamá se estima a 309 millones de dólares (USD), equivalente a 1.5% del PIB del país. </w:t>
      </w:r>
    </w:p>
    <w:p w14:paraId="2C162205" w14:textId="77777777" w:rsidR="000C171B" w:rsidRPr="009C0B1B" w:rsidRDefault="000C171B" w:rsidP="000C171B">
      <w:pPr>
        <w:spacing w:after="0" w:line="240" w:lineRule="auto"/>
        <w:jc w:val="both"/>
        <w:rPr>
          <w:rFonts w:cstheme="minorHAnsi"/>
          <w:sz w:val="24"/>
          <w:szCs w:val="24"/>
        </w:rPr>
      </w:pPr>
    </w:p>
    <w:p w14:paraId="6823E8CA" w14:textId="77777777" w:rsidR="000C171B" w:rsidRPr="009C0B1B" w:rsidRDefault="000C171B" w:rsidP="000C171B">
      <w:pPr>
        <w:spacing w:after="0" w:line="240" w:lineRule="auto"/>
        <w:jc w:val="both"/>
        <w:rPr>
          <w:rFonts w:cstheme="minorHAnsi"/>
          <w:sz w:val="24"/>
          <w:szCs w:val="24"/>
        </w:rPr>
      </w:pPr>
      <w:r w:rsidRPr="009C0B1B">
        <w:rPr>
          <w:rFonts w:cstheme="minorHAnsi"/>
          <w:sz w:val="24"/>
          <w:szCs w:val="24"/>
        </w:rPr>
        <w:t xml:space="preserve">Por otro lado, la degradación de agua dulce incluye la reducción en cantidad y calidad de agua en ríos, lagos o acuíferos, la pérdida de humedales y la pérdida de funciones hidrológicas beneficiosas como la atenuación de inundaciones. La degradación de la tierra afecta, y generalmente contribuye a reducir la infiltración de agua en el suelo. De acuerdo con el índice de disponibilidad relativa (IDR), durante los meses de época seca, resultan periodos deficitarios en la mayoría de las cuencas, dando lugar a un aumento de conflictos por el uso de agua. </w:t>
      </w:r>
    </w:p>
    <w:p w14:paraId="44A67875" w14:textId="77777777" w:rsidR="000C171B" w:rsidRPr="009C0B1B" w:rsidRDefault="000C171B" w:rsidP="000C171B">
      <w:pPr>
        <w:spacing w:after="0" w:line="240" w:lineRule="auto"/>
        <w:jc w:val="both"/>
        <w:rPr>
          <w:rFonts w:cstheme="minorHAnsi"/>
          <w:sz w:val="24"/>
          <w:szCs w:val="24"/>
        </w:rPr>
      </w:pPr>
    </w:p>
    <w:p w14:paraId="4167E9A2" w14:textId="77777777" w:rsidR="000C171B" w:rsidRPr="009C0B1B" w:rsidRDefault="000C171B" w:rsidP="000C171B">
      <w:pPr>
        <w:spacing w:after="0" w:line="240" w:lineRule="auto"/>
        <w:jc w:val="both"/>
        <w:rPr>
          <w:rFonts w:cstheme="minorHAnsi"/>
          <w:sz w:val="24"/>
          <w:szCs w:val="24"/>
        </w:rPr>
      </w:pPr>
      <w:r w:rsidRPr="009C0B1B">
        <w:rPr>
          <w:rFonts w:cstheme="minorHAnsi"/>
          <w:sz w:val="24"/>
          <w:szCs w:val="24"/>
        </w:rPr>
        <w:t xml:space="preserve">En la última década, los esfuerzos del gobierno para la reforestación a través de diferentes programas, instituciones y proyectos han tenido éxito en la reducción de la tasa de deforestación a 12,166 hectáreas de cobertura forestal por año. A pesar de todos estos esfuerzos, la deforestación sigue siendo una amenaza principal para la biodiversidad de Panamá; la mayor parte de ella es de importancia mundial. Este riesgo también es fundamental teniendo en cuenta que los bosques son esenciales para la absorción de gases de efecto invernadero responsables del calentamiento global. </w:t>
      </w:r>
    </w:p>
    <w:p w14:paraId="4A7AD07B" w14:textId="77777777" w:rsidR="000C171B" w:rsidRPr="009C0B1B" w:rsidRDefault="000C171B" w:rsidP="000C171B">
      <w:pPr>
        <w:spacing w:after="0" w:line="240" w:lineRule="auto"/>
        <w:jc w:val="both"/>
        <w:rPr>
          <w:rFonts w:cstheme="minorHAnsi"/>
          <w:sz w:val="24"/>
          <w:szCs w:val="24"/>
        </w:rPr>
      </w:pPr>
    </w:p>
    <w:p w14:paraId="649CD659" w14:textId="77777777" w:rsidR="000C171B" w:rsidRPr="009C0B1B" w:rsidRDefault="000C171B" w:rsidP="000C171B">
      <w:pPr>
        <w:spacing w:after="0" w:line="240" w:lineRule="auto"/>
        <w:jc w:val="both"/>
        <w:rPr>
          <w:rFonts w:cstheme="minorHAnsi"/>
          <w:sz w:val="24"/>
          <w:szCs w:val="24"/>
        </w:rPr>
      </w:pPr>
      <w:r w:rsidRPr="009C0B1B">
        <w:rPr>
          <w:rFonts w:cstheme="minorHAnsi"/>
          <w:sz w:val="24"/>
          <w:szCs w:val="24"/>
        </w:rPr>
        <w:t xml:space="preserve">Por último, la degradación de la biodiversidad resulta principalmente de la pérdida, del deterioro o de la fragmentación de los hábitats (a menudo respaldados por otros procesos de degradación de la tierra, como la deforestación, la degradación de los pastizales y la </w:t>
      </w:r>
      <w:r w:rsidRPr="009C0B1B">
        <w:rPr>
          <w:rFonts w:cstheme="minorHAnsi"/>
          <w:sz w:val="24"/>
          <w:szCs w:val="24"/>
        </w:rPr>
        <w:lastRenderedPageBreak/>
        <w:t>degradación del agua dulce) y de la sobre explotación. El cambio climático y la competencia con especies exóticas invasoras son amenazas crecientes. En el sector agrícola, la pérdida de biodiversidad puede dar lugar a pérdidas significativas de diversidad genética en las especies más importantes para la alimentación y la agricultura. En Panamá, las principales causas de pérdida de biodiversidad son (i) cambios en el uso del suelo, (</w:t>
      </w:r>
      <w:proofErr w:type="spellStart"/>
      <w:r w:rsidRPr="009C0B1B">
        <w:rPr>
          <w:rFonts w:cstheme="minorHAnsi"/>
          <w:sz w:val="24"/>
          <w:szCs w:val="24"/>
        </w:rPr>
        <w:t>ii</w:t>
      </w:r>
      <w:proofErr w:type="spellEnd"/>
      <w:r w:rsidRPr="009C0B1B">
        <w:rPr>
          <w:rFonts w:cstheme="minorHAnsi"/>
          <w:sz w:val="24"/>
          <w:szCs w:val="24"/>
        </w:rPr>
        <w:t>) contaminación, (</w:t>
      </w:r>
      <w:proofErr w:type="spellStart"/>
      <w:r w:rsidRPr="009C0B1B">
        <w:rPr>
          <w:rFonts w:cstheme="minorHAnsi"/>
          <w:sz w:val="24"/>
          <w:szCs w:val="24"/>
        </w:rPr>
        <w:t>iii</w:t>
      </w:r>
      <w:proofErr w:type="spellEnd"/>
      <w:r w:rsidRPr="009C0B1B">
        <w:rPr>
          <w:rFonts w:cstheme="minorHAnsi"/>
          <w:sz w:val="24"/>
          <w:szCs w:val="24"/>
        </w:rPr>
        <w:t>) sobreexplotación de recursos naturales, (</w:t>
      </w:r>
      <w:proofErr w:type="spellStart"/>
      <w:r w:rsidRPr="009C0B1B">
        <w:rPr>
          <w:rFonts w:cstheme="minorHAnsi"/>
          <w:sz w:val="24"/>
          <w:szCs w:val="24"/>
        </w:rPr>
        <w:t>iv</w:t>
      </w:r>
      <w:proofErr w:type="spellEnd"/>
      <w:r w:rsidRPr="009C0B1B">
        <w:rPr>
          <w:rFonts w:cstheme="minorHAnsi"/>
          <w:sz w:val="24"/>
          <w:szCs w:val="24"/>
        </w:rPr>
        <w:t xml:space="preserve">) cambio climático y desastres naturales. </w:t>
      </w:r>
      <w:r>
        <w:rPr>
          <w:rFonts w:cstheme="minorHAnsi"/>
          <w:sz w:val="24"/>
          <w:szCs w:val="24"/>
        </w:rPr>
        <w:t>Por otro lado</w:t>
      </w:r>
      <w:r w:rsidRPr="009C0B1B">
        <w:rPr>
          <w:rFonts w:cstheme="minorHAnsi"/>
          <w:sz w:val="24"/>
          <w:szCs w:val="24"/>
        </w:rPr>
        <w:t xml:space="preserve">, los incendios forestales naturales y/o provocados, además de afectar significativamente a los bosques primarios y secundarios, causa pérdidas de la biodiversidad asociada. </w:t>
      </w:r>
    </w:p>
    <w:p w14:paraId="6FD80219" w14:textId="77777777" w:rsidR="000C171B" w:rsidRPr="009C0B1B" w:rsidRDefault="000C171B" w:rsidP="000C171B">
      <w:pPr>
        <w:spacing w:after="0" w:line="240" w:lineRule="auto"/>
        <w:jc w:val="both"/>
        <w:rPr>
          <w:rFonts w:cstheme="minorHAnsi"/>
          <w:sz w:val="24"/>
          <w:szCs w:val="24"/>
        </w:rPr>
      </w:pPr>
    </w:p>
    <w:p w14:paraId="4CD57D41" w14:textId="77777777" w:rsidR="000C171B" w:rsidRPr="009C0B1B" w:rsidRDefault="000C171B" w:rsidP="000C171B">
      <w:pPr>
        <w:spacing w:after="0" w:line="240" w:lineRule="auto"/>
        <w:jc w:val="both"/>
        <w:rPr>
          <w:rFonts w:cstheme="minorHAnsi"/>
          <w:color w:val="000000" w:themeColor="text1"/>
          <w:sz w:val="24"/>
          <w:szCs w:val="24"/>
        </w:rPr>
      </w:pPr>
      <w:r w:rsidRPr="009C0B1B">
        <w:rPr>
          <w:rFonts w:cstheme="minorHAnsi"/>
          <w:sz w:val="24"/>
          <w:szCs w:val="24"/>
        </w:rPr>
        <w:t>Para mitigar y reducir la degradación de la tierra y la pérdida de biodiversidad, el Estado panameño ha establecido metas tanto en neutralidad de degradación de la tierra (NDT) al año 2030, como metas en biodiversidad al año 2050 en cuencas prioritarias</w:t>
      </w:r>
      <w:r w:rsidRPr="009C0B1B">
        <w:rPr>
          <w:rFonts w:cstheme="minorHAnsi"/>
          <w:color w:val="000000" w:themeColor="text1"/>
          <w:sz w:val="24"/>
          <w:szCs w:val="24"/>
        </w:rPr>
        <w:t>. Con ello se prevé la generación de ingresos con (i) el establecimiento de alternativas productivas; (</w:t>
      </w:r>
      <w:proofErr w:type="spellStart"/>
      <w:r w:rsidRPr="009C0B1B">
        <w:rPr>
          <w:rFonts w:cstheme="minorHAnsi"/>
          <w:color w:val="000000" w:themeColor="text1"/>
          <w:sz w:val="24"/>
          <w:szCs w:val="24"/>
        </w:rPr>
        <w:t>ii</w:t>
      </w:r>
      <w:proofErr w:type="spellEnd"/>
      <w:r w:rsidRPr="009C0B1B">
        <w:rPr>
          <w:rFonts w:cstheme="minorHAnsi"/>
          <w:color w:val="000000" w:themeColor="text1"/>
          <w:sz w:val="24"/>
          <w:szCs w:val="24"/>
        </w:rPr>
        <w:t>) el fortalecimiento de microemprendimientos, cadenas de valor y mercado para especies clave de restauración de tierras degradas; (</w:t>
      </w:r>
      <w:proofErr w:type="spellStart"/>
      <w:r w:rsidRPr="009C0B1B">
        <w:rPr>
          <w:rFonts w:cstheme="minorHAnsi"/>
          <w:color w:val="000000" w:themeColor="text1"/>
          <w:sz w:val="24"/>
          <w:szCs w:val="24"/>
        </w:rPr>
        <w:t>iii</w:t>
      </w:r>
      <w:proofErr w:type="spellEnd"/>
      <w:r w:rsidRPr="009C0B1B">
        <w:rPr>
          <w:rFonts w:cstheme="minorHAnsi"/>
          <w:color w:val="000000" w:themeColor="text1"/>
          <w:sz w:val="24"/>
          <w:szCs w:val="24"/>
        </w:rPr>
        <w:t>) la promoción de ecoturismo (con un foco especial en áreas de importancia para la conservación de aves).</w:t>
      </w:r>
    </w:p>
    <w:p w14:paraId="35331057" w14:textId="77777777" w:rsidR="000C171B" w:rsidRPr="009C0B1B" w:rsidRDefault="000C171B" w:rsidP="000C171B">
      <w:pPr>
        <w:spacing w:after="0" w:line="240" w:lineRule="auto"/>
        <w:jc w:val="both"/>
        <w:rPr>
          <w:rFonts w:cstheme="minorHAnsi"/>
          <w:color w:val="000000" w:themeColor="text1"/>
          <w:sz w:val="24"/>
          <w:szCs w:val="24"/>
        </w:rPr>
      </w:pPr>
    </w:p>
    <w:p w14:paraId="03069866" w14:textId="77777777" w:rsidR="000C171B" w:rsidRPr="009C0B1B" w:rsidRDefault="000C171B" w:rsidP="000C171B">
      <w:pPr>
        <w:spacing w:after="0" w:line="240" w:lineRule="auto"/>
        <w:jc w:val="both"/>
        <w:rPr>
          <w:rFonts w:cstheme="minorHAnsi"/>
          <w:color w:val="000000" w:themeColor="text1"/>
          <w:sz w:val="24"/>
          <w:szCs w:val="24"/>
        </w:rPr>
      </w:pPr>
      <w:r w:rsidRPr="009C0B1B">
        <w:rPr>
          <w:rFonts w:cstheme="minorHAnsi"/>
          <w:color w:val="000000" w:themeColor="text1"/>
          <w:sz w:val="24"/>
          <w:szCs w:val="24"/>
        </w:rPr>
        <w:t>Finalmente, en materia ambiental, un reto en el mediano plazo tiene que ver con el cumplimiento de los estándares de transparencia de los datos climáticos, integridad y transparencia, mecanismos de revisión y verificación (MRV), y en línea con el Acuerdo de Escazú que Panamá firmó y presentó para su ratificación por Ley</w:t>
      </w:r>
      <w:r w:rsidRPr="009C0B1B">
        <w:rPr>
          <w:rStyle w:val="FootnoteReference"/>
          <w:rFonts w:cstheme="minorHAnsi"/>
          <w:color w:val="000000" w:themeColor="text1"/>
          <w:sz w:val="24"/>
          <w:szCs w:val="24"/>
        </w:rPr>
        <w:footnoteReference w:id="9"/>
      </w:r>
      <w:r>
        <w:rPr>
          <w:rFonts w:cstheme="minorHAnsi"/>
          <w:color w:val="000000" w:themeColor="text1"/>
          <w:sz w:val="24"/>
          <w:szCs w:val="24"/>
        </w:rPr>
        <w:t>.</w:t>
      </w:r>
    </w:p>
    <w:p w14:paraId="2F113CC6" w14:textId="77777777" w:rsidR="000C171B" w:rsidRDefault="000C171B" w:rsidP="000C171B">
      <w:pPr>
        <w:spacing w:after="0" w:line="240" w:lineRule="auto"/>
        <w:rPr>
          <w:rFonts w:cstheme="minorHAnsi"/>
          <w:b/>
          <w:bCs/>
          <w:color w:val="4472C4" w:themeColor="accent1"/>
          <w:sz w:val="24"/>
          <w:szCs w:val="24"/>
        </w:rPr>
      </w:pPr>
    </w:p>
    <w:p w14:paraId="435548DB" w14:textId="77777777" w:rsidR="000C171B" w:rsidRPr="00586FF3" w:rsidRDefault="000C171B" w:rsidP="000C171B">
      <w:pPr>
        <w:spacing w:after="0" w:line="240" w:lineRule="auto"/>
        <w:rPr>
          <w:rFonts w:cstheme="minorHAnsi"/>
          <w:b/>
          <w:bCs/>
          <w:color w:val="4472C4" w:themeColor="accent1"/>
          <w:sz w:val="24"/>
          <w:szCs w:val="24"/>
        </w:rPr>
      </w:pPr>
      <w:r w:rsidRPr="00586FF3">
        <w:rPr>
          <w:rFonts w:cstheme="minorHAnsi"/>
          <w:b/>
          <w:bCs/>
          <w:color w:val="4472C4" w:themeColor="accent1"/>
          <w:sz w:val="24"/>
          <w:szCs w:val="24"/>
        </w:rPr>
        <w:t xml:space="preserve">1.3. Tendencias y desafíos que influyen en el logro de la Agenda 2030. </w:t>
      </w:r>
    </w:p>
    <w:p w14:paraId="39D8CAA2" w14:textId="77777777" w:rsidR="000C171B" w:rsidRPr="00586FF3" w:rsidRDefault="000C171B" w:rsidP="000C171B">
      <w:pPr>
        <w:spacing w:after="0" w:line="240" w:lineRule="auto"/>
        <w:jc w:val="both"/>
        <w:rPr>
          <w:rFonts w:cstheme="minorHAnsi"/>
          <w:b/>
          <w:bCs/>
          <w:color w:val="4472C4" w:themeColor="accent1"/>
          <w:sz w:val="24"/>
          <w:szCs w:val="24"/>
          <w:lang w:val="es-ES"/>
        </w:rPr>
      </w:pPr>
    </w:p>
    <w:p w14:paraId="4CE270DB" w14:textId="77777777" w:rsidR="000C171B" w:rsidRPr="00586FF3" w:rsidRDefault="000C171B" w:rsidP="000C171B">
      <w:pPr>
        <w:spacing w:after="0" w:line="240" w:lineRule="auto"/>
        <w:jc w:val="both"/>
        <w:rPr>
          <w:rFonts w:cstheme="minorHAnsi"/>
          <w:b/>
          <w:bCs/>
          <w:color w:val="4472C4" w:themeColor="accent1"/>
          <w:sz w:val="24"/>
          <w:szCs w:val="24"/>
          <w:lang w:val="es-ES"/>
        </w:rPr>
      </w:pPr>
      <w:r w:rsidRPr="00586FF3">
        <w:rPr>
          <w:rFonts w:cstheme="minorHAnsi"/>
          <w:b/>
          <w:bCs/>
          <w:color w:val="4472C4" w:themeColor="accent1"/>
          <w:sz w:val="24"/>
          <w:szCs w:val="24"/>
          <w:lang w:val="es-ES"/>
        </w:rPr>
        <w:t>1.3.1. Transición demográfica</w:t>
      </w:r>
      <w:r>
        <w:rPr>
          <w:rFonts w:cstheme="minorHAnsi"/>
          <w:b/>
          <w:bCs/>
          <w:color w:val="4472C4" w:themeColor="accent1"/>
          <w:sz w:val="24"/>
          <w:szCs w:val="24"/>
          <w:lang w:val="es-ES"/>
        </w:rPr>
        <w:t>.</w:t>
      </w:r>
    </w:p>
    <w:p w14:paraId="261070C1" w14:textId="77777777" w:rsidR="000C171B" w:rsidRPr="009C0B1B" w:rsidRDefault="000C171B" w:rsidP="000C171B">
      <w:pPr>
        <w:spacing w:after="0" w:line="240" w:lineRule="auto"/>
        <w:jc w:val="both"/>
        <w:rPr>
          <w:rFonts w:cstheme="minorHAnsi"/>
          <w:sz w:val="24"/>
          <w:szCs w:val="24"/>
          <w:lang w:val="es-ES"/>
        </w:rPr>
      </w:pPr>
    </w:p>
    <w:p w14:paraId="5FC264DE" w14:textId="77777777" w:rsidR="000C171B" w:rsidRPr="009C0B1B" w:rsidRDefault="000C171B" w:rsidP="000C171B">
      <w:pPr>
        <w:spacing w:after="0" w:line="240" w:lineRule="auto"/>
        <w:jc w:val="both"/>
        <w:rPr>
          <w:rFonts w:cstheme="minorHAnsi"/>
          <w:sz w:val="24"/>
          <w:szCs w:val="24"/>
        </w:rPr>
      </w:pPr>
      <w:r w:rsidRPr="009C0B1B">
        <w:rPr>
          <w:rFonts w:cstheme="minorHAnsi"/>
          <w:sz w:val="24"/>
          <w:szCs w:val="24"/>
          <w:lang w:val="es-ES"/>
        </w:rPr>
        <w:t xml:space="preserve">En el país la tasa de crecimiento poblacional anual se está reduciendo tanto a nivel nacional como en </w:t>
      </w:r>
      <w:r>
        <w:rPr>
          <w:rFonts w:cstheme="minorHAnsi"/>
          <w:sz w:val="24"/>
          <w:szCs w:val="24"/>
          <w:lang w:val="es-ES"/>
        </w:rPr>
        <w:t>localidades más</w:t>
      </w:r>
      <w:r w:rsidRPr="009C0B1B">
        <w:rPr>
          <w:rFonts w:cstheme="minorHAnsi"/>
          <w:sz w:val="24"/>
          <w:szCs w:val="24"/>
          <w:lang w:val="es-ES"/>
        </w:rPr>
        <w:t xml:space="preserve"> urbanas. Se estima que para el año 2050, el 48% de la población tendrá 40 </w:t>
      </w:r>
      <w:r>
        <w:rPr>
          <w:rFonts w:cstheme="minorHAnsi"/>
          <w:sz w:val="24"/>
          <w:szCs w:val="24"/>
          <w:lang w:val="es-ES"/>
        </w:rPr>
        <w:t xml:space="preserve">años </w:t>
      </w:r>
      <w:r w:rsidRPr="009C0B1B">
        <w:rPr>
          <w:rFonts w:cstheme="minorHAnsi"/>
          <w:sz w:val="24"/>
          <w:szCs w:val="24"/>
          <w:lang w:val="es-ES"/>
        </w:rPr>
        <w:t xml:space="preserve">y más. Esto requiere, por lo tanto, una nueva gama de oferta programática y de política que atienda las necesidades de la población con dichas características demográficas. </w:t>
      </w:r>
      <w:r>
        <w:rPr>
          <w:rFonts w:cstheme="minorHAnsi"/>
          <w:sz w:val="24"/>
          <w:szCs w:val="24"/>
          <w:lang w:val="es-ES"/>
        </w:rPr>
        <w:t>El cambio</w:t>
      </w:r>
      <w:r w:rsidRPr="009C0B1B">
        <w:rPr>
          <w:rFonts w:cstheme="minorHAnsi"/>
          <w:sz w:val="24"/>
          <w:szCs w:val="24"/>
          <w:lang w:val="es-ES"/>
        </w:rPr>
        <w:t xml:space="preserve"> en la composición de la población condiciona la prestación de servicios de calidad, la productividad del trabajo y la distribución de los ingresos</w:t>
      </w:r>
      <w:r>
        <w:rPr>
          <w:rFonts w:cstheme="minorHAnsi"/>
          <w:sz w:val="24"/>
          <w:szCs w:val="24"/>
          <w:lang w:val="es-ES"/>
        </w:rPr>
        <w:t>. S</w:t>
      </w:r>
      <w:r w:rsidRPr="009C0B1B">
        <w:rPr>
          <w:rFonts w:cstheme="minorHAnsi"/>
          <w:sz w:val="24"/>
          <w:szCs w:val="24"/>
          <w:lang w:val="es-ES"/>
        </w:rPr>
        <w:t xml:space="preserve">in embargo, poco se considera </w:t>
      </w:r>
      <w:r>
        <w:rPr>
          <w:rFonts w:cstheme="minorHAnsi"/>
          <w:sz w:val="24"/>
          <w:szCs w:val="24"/>
          <w:lang w:val="es-ES"/>
        </w:rPr>
        <w:t xml:space="preserve">la distribución por edad de la población </w:t>
      </w:r>
      <w:r w:rsidRPr="009C0B1B">
        <w:rPr>
          <w:rFonts w:cstheme="minorHAnsi"/>
          <w:sz w:val="24"/>
          <w:szCs w:val="24"/>
          <w:lang w:val="es-ES"/>
        </w:rPr>
        <w:t xml:space="preserve">en la forma como se priorizan las políticas sociales y se distribuye la inversión pública tanto en el ámbito nacional como local. </w:t>
      </w:r>
    </w:p>
    <w:p w14:paraId="3FA480CD" w14:textId="77777777" w:rsidR="000C171B" w:rsidRPr="009C0B1B" w:rsidRDefault="000C171B" w:rsidP="000C171B">
      <w:pPr>
        <w:spacing w:after="0" w:line="240" w:lineRule="auto"/>
        <w:jc w:val="both"/>
        <w:rPr>
          <w:rFonts w:cstheme="minorHAnsi"/>
          <w:sz w:val="24"/>
          <w:szCs w:val="24"/>
        </w:rPr>
      </w:pPr>
    </w:p>
    <w:p w14:paraId="24EDFE62" w14:textId="19B6B9F7" w:rsidR="000C171B" w:rsidRPr="009C0B1B" w:rsidRDefault="000C171B" w:rsidP="000C171B">
      <w:pPr>
        <w:spacing w:after="0" w:line="240" w:lineRule="auto"/>
        <w:jc w:val="both"/>
        <w:rPr>
          <w:rFonts w:cstheme="minorHAnsi"/>
          <w:sz w:val="24"/>
          <w:szCs w:val="24"/>
        </w:rPr>
      </w:pPr>
      <w:r w:rsidRPr="009C0B1B">
        <w:rPr>
          <w:rFonts w:cstheme="minorHAnsi"/>
          <w:sz w:val="24"/>
          <w:szCs w:val="24"/>
        </w:rPr>
        <w:t>La pirámide de población del país muestra una estructura de población aún joven</w:t>
      </w:r>
      <w:r w:rsidRPr="009C0B1B">
        <w:rPr>
          <w:rStyle w:val="FootnoteReference"/>
          <w:rFonts w:cstheme="minorHAnsi"/>
          <w:sz w:val="24"/>
          <w:szCs w:val="24"/>
        </w:rPr>
        <w:footnoteReference w:id="10"/>
      </w:r>
      <w:r w:rsidRPr="009C0B1B">
        <w:rPr>
          <w:rFonts w:cstheme="minorHAnsi"/>
          <w:sz w:val="24"/>
          <w:szCs w:val="24"/>
        </w:rPr>
        <w:t xml:space="preserve">, con un 26% de la población menor de 15 años actualmente y un 8% con 65 años o más. Por razones relacionados con el incremento poblacional y los derechos de las personas y del aumento de la movilidad humana, anualmente se va estrechando la base de la pirámide poblacional, aumentando la proporción de la población de mayor edad, y una reducción de </w:t>
      </w:r>
      <w:r>
        <w:rPr>
          <w:rFonts w:cstheme="minorHAnsi"/>
          <w:sz w:val="24"/>
          <w:szCs w:val="24"/>
        </w:rPr>
        <w:t>l</w:t>
      </w:r>
      <w:r w:rsidRPr="009C0B1B">
        <w:rPr>
          <w:rFonts w:cstheme="minorHAnsi"/>
          <w:sz w:val="24"/>
          <w:szCs w:val="24"/>
        </w:rPr>
        <w:t xml:space="preserve">a proporción de </w:t>
      </w:r>
      <w:r>
        <w:rPr>
          <w:rFonts w:cstheme="minorHAnsi"/>
          <w:sz w:val="24"/>
          <w:szCs w:val="24"/>
        </w:rPr>
        <w:lastRenderedPageBreak/>
        <w:t>personas menores de 15 años</w:t>
      </w:r>
      <w:r w:rsidRPr="009C0B1B">
        <w:rPr>
          <w:rFonts w:cstheme="minorHAnsi"/>
          <w:sz w:val="24"/>
          <w:szCs w:val="24"/>
        </w:rPr>
        <w:t xml:space="preserve">, con grandes implicaciones en los derechos de las personas </w:t>
      </w:r>
      <w:r>
        <w:rPr>
          <w:rFonts w:cstheme="minorHAnsi"/>
          <w:sz w:val="24"/>
          <w:szCs w:val="24"/>
        </w:rPr>
        <w:t xml:space="preserve">y demandas </w:t>
      </w:r>
      <w:r w:rsidRPr="009C0B1B">
        <w:rPr>
          <w:rFonts w:cstheme="minorHAnsi"/>
          <w:sz w:val="24"/>
          <w:szCs w:val="24"/>
        </w:rPr>
        <w:t>a servicios básicos como la salud, la educación y seguridad social.</w:t>
      </w:r>
    </w:p>
    <w:p w14:paraId="5944BB22" w14:textId="77777777" w:rsidR="000C171B" w:rsidRDefault="000C171B" w:rsidP="000C171B">
      <w:pPr>
        <w:spacing w:after="0" w:line="240" w:lineRule="auto"/>
        <w:jc w:val="both"/>
        <w:rPr>
          <w:rFonts w:cstheme="minorHAnsi"/>
          <w:sz w:val="24"/>
          <w:szCs w:val="24"/>
        </w:rPr>
      </w:pPr>
    </w:p>
    <w:p w14:paraId="3CCBF6C5" w14:textId="77777777" w:rsidR="000C171B" w:rsidRPr="009C0B1B" w:rsidRDefault="000C171B" w:rsidP="000C171B">
      <w:pPr>
        <w:spacing w:after="0" w:line="240" w:lineRule="auto"/>
        <w:jc w:val="both"/>
        <w:rPr>
          <w:rFonts w:cstheme="minorHAnsi"/>
          <w:sz w:val="24"/>
          <w:szCs w:val="24"/>
        </w:rPr>
      </w:pPr>
      <w:r>
        <w:rPr>
          <w:rFonts w:cstheme="minorHAnsi"/>
          <w:sz w:val="24"/>
          <w:szCs w:val="24"/>
        </w:rPr>
        <w:t>El análisis subnacional de</w:t>
      </w:r>
      <w:r w:rsidRPr="009C0B1B">
        <w:rPr>
          <w:rFonts w:cstheme="minorHAnsi"/>
          <w:sz w:val="24"/>
          <w:szCs w:val="24"/>
        </w:rPr>
        <w:t xml:space="preserve"> la pirámide de población difiere mucho en algunas provincias y comarcas, con una base ancha y, por lo tanto, población más joven en Bocas del Toro, Guna Yala, Ngäbe Buglé y Darién y una población más envejecida en las provincias de Los Santos y Herrera</w:t>
      </w:r>
      <w:r w:rsidRPr="009C0B1B">
        <w:rPr>
          <w:rStyle w:val="FootnoteReference"/>
          <w:rFonts w:cstheme="minorHAnsi"/>
          <w:sz w:val="24"/>
          <w:szCs w:val="24"/>
        </w:rPr>
        <w:footnoteReference w:id="11"/>
      </w:r>
      <w:r w:rsidRPr="009C0B1B">
        <w:rPr>
          <w:rFonts w:cstheme="minorHAnsi"/>
          <w:sz w:val="24"/>
          <w:szCs w:val="24"/>
        </w:rPr>
        <w:t xml:space="preserve">. Es decir, los servicios sociales que se prestan en dichos territorios </w:t>
      </w:r>
      <w:r>
        <w:rPr>
          <w:rFonts w:cstheme="minorHAnsi"/>
          <w:sz w:val="24"/>
          <w:szCs w:val="24"/>
        </w:rPr>
        <w:t xml:space="preserve">deben ser diferenciados en base </w:t>
      </w:r>
      <w:r w:rsidRPr="009C0B1B">
        <w:rPr>
          <w:rFonts w:cstheme="minorHAnsi"/>
          <w:sz w:val="24"/>
          <w:szCs w:val="24"/>
        </w:rPr>
        <w:t xml:space="preserve">al análisis poblacional de cada uno de ellos, contando estas poblaciones con una serie de necesidades de cuidado y atención irresueltas que son asumidas por los hogares y dentro de </w:t>
      </w:r>
      <w:r>
        <w:rPr>
          <w:rFonts w:cstheme="minorHAnsi"/>
          <w:sz w:val="24"/>
          <w:szCs w:val="24"/>
        </w:rPr>
        <w:t>é</w:t>
      </w:r>
      <w:r w:rsidRPr="009C0B1B">
        <w:rPr>
          <w:rFonts w:cstheme="minorHAnsi"/>
          <w:sz w:val="24"/>
          <w:szCs w:val="24"/>
        </w:rPr>
        <w:t>stos por las mujeres, limitando sus posibilidades de desarrollo personal</w:t>
      </w:r>
      <w:r>
        <w:rPr>
          <w:rFonts w:cstheme="minorHAnsi"/>
          <w:sz w:val="24"/>
          <w:szCs w:val="24"/>
        </w:rPr>
        <w:t xml:space="preserve">, </w:t>
      </w:r>
      <w:r w:rsidRPr="009C0B1B">
        <w:rPr>
          <w:rFonts w:cstheme="minorHAnsi"/>
          <w:sz w:val="24"/>
          <w:szCs w:val="24"/>
        </w:rPr>
        <w:t>profesional y su autonomía.</w:t>
      </w:r>
    </w:p>
    <w:p w14:paraId="77C6C139" w14:textId="77777777" w:rsidR="000C171B" w:rsidRPr="009C0B1B" w:rsidRDefault="000C171B" w:rsidP="000C171B">
      <w:pPr>
        <w:spacing w:after="0" w:line="240" w:lineRule="auto"/>
        <w:jc w:val="both"/>
        <w:rPr>
          <w:rFonts w:cstheme="minorHAnsi"/>
          <w:sz w:val="24"/>
          <w:szCs w:val="24"/>
        </w:rPr>
      </w:pPr>
    </w:p>
    <w:p w14:paraId="1EEFA9DC" w14:textId="77777777" w:rsidR="000C171B" w:rsidRPr="00586FF3" w:rsidRDefault="000C171B" w:rsidP="000C171B">
      <w:pPr>
        <w:spacing w:after="0" w:line="240" w:lineRule="auto"/>
        <w:jc w:val="both"/>
        <w:rPr>
          <w:rFonts w:cstheme="minorHAnsi"/>
          <w:b/>
          <w:bCs/>
          <w:color w:val="4472C4" w:themeColor="accent1"/>
          <w:sz w:val="24"/>
          <w:szCs w:val="24"/>
        </w:rPr>
      </w:pPr>
      <w:r w:rsidRPr="00586FF3">
        <w:rPr>
          <w:rFonts w:cstheme="minorHAnsi"/>
          <w:b/>
          <w:bCs/>
          <w:color w:val="4472C4" w:themeColor="accent1"/>
          <w:sz w:val="24"/>
          <w:szCs w:val="24"/>
        </w:rPr>
        <w:t xml:space="preserve">1.3.2. </w:t>
      </w:r>
      <w:proofErr w:type="spellStart"/>
      <w:r w:rsidRPr="00586FF3">
        <w:rPr>
          <w:rFonts w:cstheme="minorHAnsi"/>
          <w:b/>
          <w:bCs/>
          <w:color w:val="4472C4" w:themeColor="accent1"/>
          <w:sz w:val="24"/>
          <w:szCs w:val="24"/>
        </w:rPr>
        <w:t>Desruralización</w:t>
      </w:r>
      <w:proofErr w:type="spellEnd"/>
      <w:r w:rsidRPr="00586FF3">
        <w:rPr>
          <w:rFonts w:cstheme="minorHAnsi"/>
          <w:b/>
          <w:bCs/>
          <w:color w:val="4472C4" w:themeColor="accent1"/>
          <w:sz w:val="24"/>
          <w:szCs w:val="24"/>
        </w:rPr>
        <w:t xml:space="preserve">. </w:t>
      </w:r>
    </w:p>
    <w:p w14:paraId="6B542407" w14:textId="77777777" w:rsidR="000C171B" w:rsidRPr="009C0B1B" w:rsidRDefault="000C171B" w:rsidP="000C171B">
      <w:pPr>
        <w:spacing w:after="0" w:line="240" w:lineRule="auto"/>
        <w:jc w:val="both"/>
        <w:rPr>
          <w:rFonts w:cstheme="minorHAnsi"/>
          <w:color w:val="000000" w:themeColor="text1"/>
          <w:sz w:val="24"/>
          <w:szCs w:val="24"/>
        </w:rPr>
      </w:pPr>
    </w:p>
    <w:p w14:paraId="15F708D9" w14:textId="77777777" w:rsidR="000C171B" w:rsidRPr="009C0B1B" w:rsidRDefault="000C171B" w:rsidP="000C171B">
      <w:pPr>
        <w:spacing w:after="0" w:line="240" w:lineRule="auto"/>
        <w:jc w:val="both"/>
        <w:rPr>
          <w:rFonts w:cstheme="minorHAnsi"/>
          <w:color w:val="000000" w:themeColor="text1"/>
          <w:sz w:val="24"/>
          <w:szCs w:val="24"/>
        </w:rPr>
      </w:pPr>
      <w:r w:rsidRPr="009C0B1B">
        <w:rPr>
          <w:rFonts w:cstheme="minorHAnsi"/>
          <w:color w:val="000000" w:themeColor="text1"/>
          <w:sz w:val="24"/>
          <w:szCs w:val="24"/>
        </w:rPr>
        <w:t>La distribución territorial de la población en el país cambió. La prestación de servicios de calidad, la productividad del trabajo y los salarios inciden en la concentración de la población y, al mismo tiempo, localiza la pobreza en las áreas rurales</w:t>
      </w:r>
      <w:r>
        <w:rPr>
          <w:rFonts w:cstheme="minorHAnsi"/>
          <w:color w:val="000000" w:themeColor="text1"/>
          <w:sz w:val="24"/>
          <w:szCs w:val="24"/>
        </w:rPr>
        <w:t xml:space="preserve">, </w:t>
      </w:r>
      <w:r w:rsidRPr="009C0B1B">
        <w:rPr>
          <w:rFonts w:cstheme="minorHAnsi"/>
          <w:color w:val="000000" w:themeColor="text1"/>
          <w:sz w:val="24"/>
          <w:szCs w:val="24"/>
        </w:rPr>
        <w:t xml:space="preserve">condiciona como se focalizan las políticas públicas y se distribuye la inversión pública tanto en el ámbito nacional como local. </w:t>
      </w:r>
    </w:p>
    <w:p w14:paraId="411B1A50" w14:textId="77777777" w:rsidR="000C171B" w:rsidRPr="009C0B1B" w:rsidRDefault="000C171B" w:rsidP="000C171B">
      <w:pPr>
        <w:spacing w:after="0" w:line="240" w:lineRule="auto"/>
        <w:jc w:val="both"/>
        <w:rPr>
          <w:rFonts w:cstheme="minorHAnsi"/>
          <w:color w:val="000000" w:themeColor="text1"/>
          <w:sz w:val="24"/>
          <w:szCs w:val="24"/>
        </w:rPr>
      </w:pPr>
    </w:p>
    <w:p w14:paraId="47CD52B8" w14:textId="77777777" w:rsidR="000C171B" w:rsidRPr="009C0B1B" w:rsidRDefault="000C171B" w:rsidP="000C171B">
      <w:pPr>
        <w:spacing w:after="0" w:line="240" w:lineRule="auto"/>
        <w:jc w:val="both"/>
        <w:rPr>
          <w:rFonts w:cstheme="minorHAnsi"/>
          <w:color w:val="000000" w:themeColor="text1"/>
          <w:sz w:val="24"/>
          <w:szCs w:val="24"/>
        </w:rPr>
      </w:pPr>
      <w:r w:rsidRPr="009C0B1B">
        <w:rPr>
          <w:rFonts w:cstheme="minorHAnsi"/>
          <w:color w:val="000000" w:themeColor="text1"/>
          <w:sz w:val="24"/>
          <w:szCs w:val="24"/>
        </w:rPr>
        <w:t xml:space="preserve">El 71.3% de la población del país reside en áreas urbanas. </w:t>
      </w:r>
      <w:r>
        <w:rPr>
          <w:rFonts w:cstheme="minorHAnsi"/>
          <w:color w:val="000000" w:themeColor="text1"/>
          <w:sz w:val="24"/>
          <w:szCs w:val="24"/>
        </w:rPr>
        <w:t>En l</w:t>
      </w:r>
      <w:r w:rsidRPr="009C0B1B">
        <w:rPr>
          <w:rFonts w:cstheme="minorHAnsi"/>
          <w:color w:val="000000" w:themeColor="text1"/>
          <w:sz w:val="24"/>
          <w:szCs w:val="24"/>
        </w:rPr>
        <w:t>as provincias de Panamá, Panamá Oeste</w:t>
      </w:r>
      <w:r>
        <w:rPr>
          <w:rFonts w:cstheme="minorHAnsi"/>
          <w:color w:val="000000" w:themeColor="text1"/>
          <w:sz w:val="24"/>
          <w:szCs w:val="24"/>
        </w:rPr>
        <w:t xml:space="preserve">, </w:t>
      </w:r>
      <w:r w:rsidRPr="009C0B1B">
        <w:rPr>
          <w:rFonts w:cstheme="minorHAnsi"/>
          <w:color w:val="000000" w:themeColor="text1"/>
          <w:sz w:val="24"/>
          <w:szCs w:val="24"/>
        </w:rPr>
        <w:t>Herrera, Colón y Chiriquí, más de seis de cada diez personas residen concentrados en lugares poblados urbanos. Por su parte el 28.7% de la población reside en las áreas rurale</w:t>
      </w:r>
      <w:r>
        <w:rPr>
          <w:rFonts w:cstheme="minorHAnsi"/>
          <w:color w:val="000000" w:themeColor="text1"/>
          <w:sz w:val="24"/>
          <w:szCs w:val="24"/>
        </w:rPr>
        <w:t>s. E</w:t>
      </w:r>
      <w:r w:rsidRPr="009C0B1B">
        <w:rPr>
          <w:rFonts w:cstheme="minorHAnsi"/>
          <w:color w:val="000000" w:themeColor="text1"/>
          <w:sz w:val="24"/>
          <w:szCs w:val="24"/>
        </w:rPr>
        <w:t>n el caso de las provincias de Darién, Veraguas, Coclé, Los Santos, Bocas del Toro más de seis de cada diez personas residen dispersos en lugares poblados rurales. Por su parte, el 100% de la población de las Comarcas reside en áreas rurales.</w:t>
      </w:r>
    </w:p>
    <w:p w14:paraId="2AEB26A6" w14:textId="77777777" w:rsidR="000C171B" w:rsidRPr="009C0B1B" w:rsidRDefault="000C171B" w:rsidP="000C171B">
      <w:pPr>
        <w:spacing w:after="0" w:line="240" w:lineRule="auto"/>
        <w:jc w:val="both"/>
        <w:rPr>
          <w:rFonts w:cstheme="minorHAnsi"/>
          <w:color w:val="000000" w:themeColor="text1"/>
          <w:sz w:val="24"/>
          <w:szCs w:val="24"/>
        </w:rPr>
      </w:pPr>
    </w:p>
    <w:p w14:paraId="1A3684ED" w14:textId="77777777" w:rsidR="000C171B" w:rsidRPr="009C0B1B" w:rsidRDefault="000C171B" w:rsidP="000C171B">
      <w:pPr>
        <w:spacing w:after="0" w:line="240" w:lineRule="auto"/>
        <w:jc w:val="both"/>
        <w:rPr>
          <w:rFonts w:cstheme="minorHAnsi"/>
          <w:color w:val="000000" w:themeColor="text1"/>
          <w:sz w:val="24"/>
          <w:szCs w:val="24"/>
        </w:rPr>
      </w:pPr>
      <w:r w:rsidRPr="009C0B1B">
        <w:rPr>
          <w:rFonts w:cstheme="minorHAnsi"/>
          <w:color w:val="000000" w:themeColor="text1"/>
          <w:sz w:val="24"/>
          <w:szCs w:val="24"/>
        </w:rPr>
        <w:t>En las áreas rurales el esfuerzo para cerrar las brechas y proporcionar servicios de calidad a la población es mayor en todo sentido. Por ello, aunque los niveles de acceso a las garantías</w:t>
      </w:r>
      <w:r>
        <w:rPr>
          <w:rFonts w:cstheme="minorHAnsi"/>
          <w:color w:val="000000" w:themeColor="text1"/>
          <w:sz w:val="24"/>
          <w:szCs w:val="24"/>
        </w:rPr>
        <w:t>,</w:t>
      </w:r>
      <w:r w:rsidRPr="009C0B1B">
        <w:rPr>
          <w:rFonts w:cstheme="minorHAnsi"/>
          <w:color w:val="000000" w:themeColor="text1"/>
          <w:sz w:val="24"/>
          <w:szCs w:val="24"/>
        </w:rPr>
        <w:t xml:space="preserve"> los derechos y servicios básicos han mejorado de manera significativa en los últimos años, todavía persisten brechas y desigualdad en el acceso y la cobertura. Es decir, el acceso a los derechos no es universal, debido principalmente a las diferentes características y condiciones geográficas, territoriales, ambientales y estatutos migratorios, existentes en el país</w:t>
      </w:r>
      <w:r w:rsidRPr="009C0B1B">
        <w:rPr>
          <w:rStyle w:val="FootnoteReference"/>
          <w:rFonts w:cstheme="minorHAnsi"/>
          <w:color w:val="000000" w:themeColor="text1"/>
          <w:sz w:val="24"/>
          <w:szCs w:val="24"/>
        </w:rPr>
        <w:footnoteReference w:id="12"/>
      </w:r>
      <w:r>
        <w:rPr>
          <w:rFonts w:cstheme="minorHAnsi"/>
          <w:color w:val="000000" w:themeColor="text1"/>
          <w:sz w:val="24"/>
          <w:szCs w:val="24"/>
        </w:rPr>
        <w:t>.</w:t>
      </w:r>
    </w:p>
    <w:p w14:paraId="35C4A015" w14:textId="77777777" w:rsidR="008713AC" w:rsidRDefault="008713AC" w:rsidP="000C171B">
      <w:pPr>
        <w:spacing w:after="0" w:line="240" w:lineRule="auto"/>
        <w:rPr>
          <w:rFonts w:cstheme="minorHAnsi"/>
          <w:b/>
          <w:bCs/>
          <w:color w:val="4472C4" w:themeColor="accent1"/>
          <w:sz w:val="24"/>
          <w:szCs w:val="24"/>
        </w:rPr>
      </w:pPr>
    </w:p>
    <w:p w14:paraId="73EFF9A0" w14:textId="77777777" w:rsidR="000C171B" w:rsidRPr="00586FF3" w:rsidRDefault="000C171B" w:rsidP="000C171B">
      <w:pPr>
        <w:spacing w:after="0" w:line="240" w:lineRule="auto"/>
        <w:rPr>
          <w:rFonts w:cstheme="minorHAnsi"/>
          <w:b/>
          <w:bCs/>
          <w:color w:val="4472C4" w:themeColor="accent1"/>
          <w:sz w:val="24"/>
          <w:szCs w:val="24"/>
        </w:rPr>
      </w:pPr>
      <w:r w:rsidRPr="00586FF3">
        <w:rPr>
          <w:rFonts w:cstheme="minorHAnsi"/>
          <w:b/>
          <w:bCs/>
          <w:color w:val="4472C4" w:themeColor="accent1"/>
          <w:sz w:val="24"/>
          <w:szCs w:val="24"/>
        </w:rPr>
        <w:t>1.3.3. Institucionalización del servicio público.</w:t>
      </w:r>
    </w:p>
    <w:p w14:paraId="5848539A" w14:textId="77777777" w:rsidR="000C171B" w:rsidRPr="009C0B1B" w:rsidRDefault="000C171B" w:rsidP="000C171B">
      <w:pPr>
        <w:spacing w:after="0" w:line="240" w:lineRule="auto"/>
        <w:rPr>
          <w:rFonts w:cstheme="minorHAnsi"/>
          <w:b/>
          <w:bCs/>
          <w:color w:val="2F5496" w:themeColor="accent1" w:themeShade="BF"/>
          <w:sz w:val="24"/>
          <w:szCs w:val="24"/>
        </w:rPr>
      </w:pPr>
    </w:p>
    <w:p w14:paraId="69BC2B1C" w14:textId="77777777" w:rsidR="000C171B" w:rsidRPr="009C0B1B" w:rsidRDefault="000C171B" w:rsidP="000C171B">
      <w:pPr>
        <w:spacing w:after="0" w:line="240" w:lineRule="auto"/>
        <w:jc w:val="both"/>
        <w:rPr>
          <w:rFonts w:cstheme="minorHAnsi"/>
          <w:sz w:val="24"/>
          <w:szCs w:val="24"/>
        </w:rPr>
      </w:pPr>
      <w:r w:rsidRPr="009C0B1B">
        <w:rPr>
          <w:rFonts w:cstheme="minorHAnsi"/>
          <w:sz w:val="24"/>
          <w:szCs w:val="24"/>
        </w:rPr>
        <w:t>Panamá se encuentra en una situación privilegiada para asumir el logro de los ODS; no obstante, enfrenta desafíos</w:t>
      </w:r>
      <w:r>
        <w:rPr>
          <w:rFonts w:cstheme="minorHAnsi"/>
          <w:sz w:val="24"/>
          <w:szCs w:val="24"/>
        </w:rPr>
        <w:t xml:space="preserve">, </w:t>
      </w:r>
      <w:r w:rsidRPr="009C0B1B">
        <w:rPr>
          <w:rFonts w:cstheme="minorHAnsi"/>
          <w:sz w:val="24"/>
          <w:szCs w:val="24"/>
        </w:rPr>
        <w:t>se debe considerar que buena parte de los bienes y servicios que demanda el logro de los ODS corresponde a bienes públicos o a servicios provistos por el Estado (IDH</w:t>
      </w:r>
      <w:r>
        <w:rPr>
          <w:rFonts w:cstheme="minorHAnsi"/>
          <w:sz w:val="24"/>
          <w:szCs w:val="24"/>
        </w:rPr>
        <w:t>,</w:t>
      </w:r>
      <w:r w:rsidRPr="009C0B1B">
        <w:rPr>
          <w:rFonts w:cstheme="minorHAnsi"/>
          <w:sz w:val="24"/>
          <w:szCs w:val="24"/>
        </w:rPr>
        <w:t xml:space="preserve"> 2019).</w:t>
      </w:r>
    </w:p>
    <w:p w14:paraId="72CECE26" w14:textId="77777777" w:rsidR="000C171B" w:rsidRPr="009C0B1B" w:rsidRDefault="000C171B" w:rsidP="000C171B">
      <w:pPr>
        <w:spacing w:after="0" w:line="240" w:lineRule="auto"/>
        <w:jc w:val="both"/>
        <w:rPr>
          <w:rFonts w:cstheme="minorHAnsi"/>
          <w:sz w:val="24"/>
          <w:szCs w:val="24"/>
        </w:rPr>
      </w:pPr>
    </w:p>
    <w:p w14:paraId="02C7871D" w14:textId="77777777" w:rsidR="000C171B" w:rsidRPr="009C0B1B" w:rsidRDefault="000C171B" w:rsidP="000C171B">
      <w:pPr>
        <w:spacing w:after="0" w:line="240" w:lineRule="auto"/>
        <w:jc w:val="both"/>
        <w:rPr>
          <w:rFonts w:cstheme="minorHAnsi"/>
          <w:sz w:val="24"/>
          <w:szCs w:val="24"/>
        </w:rPr>
      </w:pPr>
      <w:r w:rsidRPr="009C0B1B">
        <w:rPr>
          <w:rFonts w:cstheme="minorHAnsi"/>
          <w:sz w:val="24"/>
          <w:szCs w:val="24"/>
        </w:rPr>
        <w:lastRenderedPageBreak/>
        <w:t xml:space="preserve">El servicio civil se refiere al conjunto de arreglos institucionales mediante los que se articulan y gestionan el empleo público y las personas que lo integran (BID, 2014). Integra, por tanto, elementos de institucionalidad pública y de perfil de los integrantes de la administración del Estado. Es decir, personas e instituciones que se hacen cargo del diseño, de la implementación y de la evaluación de políticas y programas públicos, cuyo norte debe ser una eficaz administración y un eficiente uso de recursos públicos.  </w:t>
      </w:r>
    </w:p>
    <w:p w14:paraId="3B970807" w14:textId="77777777" w:rsidR="000C171B" w:rsidRPr="009C0B1B" w:rsidRDefault="000C171B" w:rsidP="000C171B">
      <w:pPr>
        <w:spacing w:after="0" w:line="240" w:lineRule="auto"/>
        <w:jc w:val="both"/>
        <w:rPr>
          <w:rFonts w:cstheme="minorHAnsi"/>
          <w:sz w:val="24"/>
          <w:szCs w:val="24"/>
        </w:rPr>
      </w:pPr>
    </w:p>
    <w:p w14:paraId="2C1BB9A1" w14:textId="77777777" w:rsidR="000C171B" w:rsidRDefault="000C171B" w:rsidP="000C171B">
      <w:pPr>
        <w:spacing w:after="0" w:line="240" w:lineRule="auto"/>
        <w:jc w:val="both"/>
        <w:rPr>
          <w:rFonts w:cstheme="minorHAnsi"/>
          <w:sz w:val="24"/>
          <w:szCs w:val="24"/>
        </w:rPr>
      </w:pPr>
      <w:r>
        <w:rPr>
          <w:rFonts w:cstheme="minorHAnsi"/>
          <w:sz w:val="24"/>
          <w:szCs w:val="24"/>
        </w:rPr>
        <w:t>A</w:t>
      </w:r>
      <w:r w:rsidRPr="009C0B1B">
        <w:rPr>
          <w:rFonts w:cstheme="minorHAnsi"/>
          <w:sz w:val="24"/>
          <w:szCs w:val="24"/>
        </w:rPr>
        <w:t>ctualmente en el país la función pública sufre un descrédito</w:t>
      </w:r>
      <w:r>
        <w:rPr>
          <w:rFonts w:cstheme="minorHAnsi"/>
          <w:sz w:val="24"/>
          <w:szCs w:val="24"/>
        </w:rPr>
        <w:t>, s</w:t>
      </w:r>
      <w:r w:rsidRPr="009C0B1B">
        <w:rPr>
          <w:rFonts w:cstheme="minorHAnsi"/>
          <w:sz w:val="24"/>
          <w:szCs w:val="24"/>
        </w:rPr>
        <w:t>egún el Barómetro de las Américas, la baja credibilidad en los partidos políticos, la Asamblea Nacional y la Presidencia de la República, instituciones claves para la formulación de políticas públicas (IDH</w:t>
      </w:r>
      <w:r>
        <w:rPr>
          <w:rFonts w:cstheme="minorHAnsi"/>
          <w:sz w:val="24"/>
          <w:szCs w:val="24"/>
        </w:rPr>
        <w:t>,</w:t>
      </w:r>
      <w:r w:rsidRPr="009C0B1B">
        <w:rPr>
          <w:rFonts w:cstheme="minorHAnsi"/>
          <w:sz w:val="24"/>
          <w:szCs w:val="24"/>
        </w:rPr>
        <w:t xml:space="preserve"> 2019), son los pilares de la fragilidad institucional persistente. La institucionalidad refleja carencias importantes en temas como la aplicación de la carrera administrativa, así como la excesiva discrecionalidad del Órgano Ejecutivo en el nombramiento de funcionarios públicos</w:t>
      </w:r>
      <w:r>
        <w:rPr>
          <w:rFonts w:cstheme="minorHAnsi"/>
          <w:sz w:val="24"/>
          <w:szCs w:val="24"/>
        </w:rPr>
        <w:t xml:space="preserve">. </w:t>
      </w:r>
      <w:r w:rsidRPr="009C0B1B">
        <w:rPr>
          <w:rFonts w:cstheme="minorHAnsi"/>
          <w:sz w:val="24"/>
          <w:szCs w:val="24"/>
        </w:rPr>
        <w:t>Las falencias detectadas son una débil institucionalidad y alta discrecionalidad en la toma de decisiones; especialmente, que no cuenta con un sistema que premie el ‘mérito’ como elemento esencial de la política de recurso humano</w:t>
      </w:r>
      <w:r>
        <w:rPr>
          <w:rFonts w:cstheme="minorHAnsi"/>
          <w:sz w:val="24"/>
          <w:szCs w:val="24"/>
        </w:rPr>
        <w:t xml:space="preserve"> </w:t>
      </w:r>
      <w:r w:rsidRPr="009C0B1B">
        <w:rPr>
          <w:rFonts w:cstheme="minorHAnsi"/>
          <w:sz w:val="24"/>
          <w:szCs w:val="24"/>
        </w:rPr>
        <w:t>(IDH</w:t>
      </w:r>
      <w:r>
        <w:rPr>
          <w:rFonts w:cstheme="minorHAnsi"/>
          <w:sz w:val="24"/>
          <w:szCs w:val="24"/>
        </w:rPr>
        <w:t>,</w:t>
      </w:r>
      <w:r w:rsidRPr="009C0B1B">
        <w:rPr>
          <w:rFonts w:cstheme="minorHAnsi"/>
          <w:sz w:val="24"/>
          <w:szCs w:val="24"/>
        </w:rPr>
        <w:t xml:space="preserve"> 2019).</w:t>
      </w:r>
    </w:p>
    <w:p w14:paraId="3EAD321A" w14:textId="77777777" w:rsidR="000C171B" w:rsidRPr="009C0B1B" w:rsidRDefault="000C171B" w:rsidP="000C171B">
      <w:pPr>
        <w:spacing w:after="0" w:line="240" w:lineRule="auto"/>
        <w:jc w:val="both"/>
        <w:rPr>
          <w:rFonts w:cstheme="minorHAnsi"/>
          <w:sz w:val="24"/>
          <w:szCs w:val="24"/>
        </w:rPr>
      </w:pPr>
    </w:p>
    <w:p w14:paraId="1567D668" w14:textId="0305F6C9" w:rsidR="000C171B" w:rsidRPr="009C0B1B" w:rsidRDefault="000C171B" w:rsidP="000C171B">
      <w:pPr>
        <w:spacing w:after="0" w:line="240" w:lineRule="auto"/>
        <w:jc w:val="both"/>
        <w:rPr>
          <w:rFonts w:cstheme="minorHAnsi"/>
          <w:sz w:val="24"/>
          <w:szCs w:val="24"/>
        </w:rPr>
      </w:pPr>
      <w:r w:rsidRPr="009C0B1B">
        <w:rPr>
          <w:rFonts w:cstheme="minorHAnsi"/>
          <w:sz w:val="24"/>
          <w:szCs w:val="24"/>
        </w:rPr>
        <w:t>Según el Índice de Desarrollo del Servicio Civil (IDSC) para América Latina, es posible identificar una relación positiva entre profesionalización del servicio civil y fortalecimiento de la institucionalidad pública (BID 2014). Panamá pasó de 13 puntos en el 2003 a 29 en el 2012</w:t>
      </w:r>
      <w:r>
        <w:rPr>
          <w:rFonts w:cstheme="minorHAnsi"/>
          <w:sz w:val="24"/>
          <w:szCs w:val="24"/>
        </w:rPr>
        <w:t xml:space="preserve">, pero continua </w:t>
      </w:r>
      <w:r w:rsidRPr="009C0B1B">
        <w:rPr>
          <w:rFonts w:cstheme="minorHAnsi"/>
          <w:sz w:val="24"/>
          <w:szCs w:val="24"/>
        </w:rPr>
        <w:t>por debajo de los promedios regionales a pesar de que</w:t>
      </w:r>
      <w:r>
        <w:rPr>
          <w:rFonts w:cstheme="minorHAnsi"/>
          <w:sz w:val="24"/>
          <w:szCs w:val="24"/>
        </w:rPr>
        <w:t xml:space="preserve"> </w:t>
      </w:r>
      <w:r w:rsidRPr="009C0B1B">
        <w:rPr>
          <w:rFonts w:cstheme="minorHAnsi"/>
          <w:sz w:val="24"/>
          <w:szCs w:val="24"/>
        </w:rPr>
        <w:t>el país está sobre el promedio</w:t>
      </w:r>
      <w:r>
        <w:rPr>
          <w:rFonts w:cstheme="minorHAnsi"/>
          <w:sz w:val="24"/>
          <w:szCs w:val="24"/>
        </w:rPr>
        <w:t xml:space="preserve"> en indicadores económicos</w:t>
      </w:r>
      <w:r w:rsidRPr="009C0B1B">
        <w:rPr>
          <w:rFonts w:cstheme="minorHAnsi"/>
          <w:sz w:val="24"/>
          <w:szCs w:val="24"/>
        </w:rPr>
        <w:t xml:space="preserve">. Es decir, </w:t>
      </w:r>
      <w:r w:rsidRPr="009110B7">
        <w:rPr>
          <w:rFonts w:cstheme="minorHAnsi"/>
          <w:i/>
          <w:iCs/>
          <w:sz w:val="24"/>
          <w:szCs w:val="24"/>
        </w:rPr>
        <w:t>el país puede crecer sin instituciones</w:t>
      </w:r>
      <w:r w:rsidRPr="009C0B1B">
        <w:rPr>
          <w:rFonts w:cstheme="minorHAnsi"/>
          <w:sz w:val="24"/>
          <w:szCs w:val="24"/>
        </w:rPr>
        <w:t>; pero, con tal fragilidad institucional, en el mediano plazo, la calidad, la equidad y la sostenibilidad de las políticas públicas pro-igualdad puede verse afectadas (IDH</w:t>
      </w:r>
      <w:r>
        <w:rPr>
          <w:rFonts w:cstheme="minorHAnsi"/>
          <w:sz w:val="24"/>
          <w:szCs w:val="24"/>
        </w:rPr>
        <w:t>,</w:t>
      </w:r>
      <w:r w:rsidRPr="009C0B1B">
        <w:rPr>
          <w:rFonts w:cstheme="minorHAnsi"/>
          <w:sz w:val="24"/>
          <w:szCs w:val="24"/>
        </w:rPr>
        <w:t xml:space="preserve"> 2019).</w:t>
      </w:r>
    </w:p>
    <w:p w14:paraId="4B9907C8" w14:textId="77777777" w:rsidR="000C171B" w:rsidRPr="009C0B1B" w:rsidRDefault="000C171B" w:rsidP="000C171B">
      <w:pPr>
        <w:spacing w:after="0" w:line="240" w:lineRule="auto"/>
        <w:jc w:val="both"/>
        <w:rPr>
          <w:rFonts w:cstheme="minorHAnsi"/>
          <w:sz w:val="24"/>
          <w:szCs w:val="24"/>
        </w:rPr>
      </w:pPr>
    </w:p>
    <w:p w14:paraId="48CC5FBE" w14:textId="77777777" w:rsidR="000C171B" w:rsidRPr="009C0B1B" w:rsidRDefault="000C171B" w:rsidP="000C171B">
      <w:pPr>
        <w:spacing w:after="0" w:line="240" w:lineRule="auto"/>
        <w:jc w:val="both"/>
        <w:rPr>
          <w:rFonts w:cstheme="minorHAnsi"/>
          <w:sz w:val="24"/>
          <w:szCs w:val="24"/>
        </w:rPr>
      </w:pPr>
      <w:r w:rsidRPr="009C0B1B">
        <w:rPr>
          <w:rFonts w:cstheme="minorHAnsi"/>
          <w:sz w:val="24"/>
          <w:szCs w:val="24"/>
        </w:rPr>
        <w:t>En los últimos años el servicio civil de Panamá ha logrado avanzar hacia una mayor institucionalización, apoyado en leyes que le han dado mayor estabilidad al servidor público y logrando incluir un tribunal administrativo para resolver las diferencias que se pudieran generar con relación a decisiones del recurso humano en las diversas instituciones de la administración del Estado (IDH</w:t>
      </w:r>
      <w:r>
        <w:rPr>
          <w:rFonts w:cstheme="minorHAnsi"/>
          <w:sz w:val="24"/>
          <w:szCs w:val="24"/>
        </w:rPr>
        <w:t>,</w:t>
      </w:r>
      <w:r w:rsidRPr="009C0B1B">
        <w:rPr>
          <w:rFonts w:cstheme="minorHAnsi"/>
          <w:sz w:val="24"/>
          <w:szCs w:val="24"/>
        </w:rPr>
        <w:t xml:space="preserve"> 2019). </w:t>
      </w:r>
      <w:r>
        <w:rPr>
          <w:rFonts w:cstheme="minorHAnsi"/>
          <w:sz w:val="24"/>
          <w:szCs w:val="24"/>
        </w:rPr>
        <w:t>Contar con</w:t>
      </w:r>
      <w:r w:rsidRPr="009C0B1B">
        <w:rPr>
          <w:rFonts w:cstheme="minorHAnsi"/>
          <w:sz w:val="24"/>
          <w:szCs w:val="24"/>
        </w:rPr>
        <w:t xml:space="preserve"> normativas que protejan </w:t>
      </w:r>
      <w:r>
        <w:rPr>
          <w:rFonts w:cstheme="minorHAnsi"/>
          <w:sz w:val="24"/>
          <w:szCs w:val="24"/>
        </w:rPr>
        <w:t xml:space="preserve">al servicio civil </w:t>
      </w:r>
      <w:r w:rsidRPr="009C0B1B">
        <w:rPr>
          <w:rFonts w:cstheme="minorHAnsi"/>
          <w:sz w:val="24"/>
          <w:szCs w:val="24"/>
        </w:rPr>
        <w:t>requiere de una institucionalidad con niveles de autonomía, liderazgo, eficiencia y transparencia; como también de la voluntad política y soporte legal necesario para llevar a cabo estas reformas (IDH</w:t>
      </w:r>
      <w:r>
        <w:rPr>
          <w:rFonts w:cstheme="minorHAnsi"/>
          <w:sz w:val="24"/>
          <w:szCs w:val="24"/>
        </w:rPr>
        <w:t>,</w:t>
      </w:r>
      <w:r w:rsidRPr="009C0B1B">
        <w:rPr>
          <w:rFonts w:cstheme="minorHAnsi"/>
          <w:sz w:val="24"/>
          <w:szCs w:val="24"/>
        </w:rPr>
        <w:t xml:space="preserve"> 2019).</w:t>
      </w:r>
    </w:p>
    <w:p w14:paraId="6381DEED" w14:textId="77777777" w:rsidR="000C171B" w:rsidRPr="009C0B1B" w:rsidRDefault="000C171B" w:rsidP="000C171B">
      <w:pPr>
        <w:spacing w:after="0" w:line="240" w:lineRule="auto"/>
        <w:jc w:val="both"/>
        <w:rPr>
          <w:rFonts w:cstheme="minorHAnsi"/>
          <w:sz w:val="24"/>
          <w:szCs w:val="24"/>
        </w:rPr>
      </w:pPr>
    </w:p>
    <w:p w14:paraId="08522150" w14:textId="77777777" w:rsidR="000C171B" w:rsidRPr="009C0B1B" w:rsidRDefault="000C171B" w:rsidP="000C171B">
      <w:pPr>
        <w:spacing w:after="0" w:line="240" w:lineRule="auto"/>
        <w:jc w:val="both"/>
        <w:rPr>
          <w:rFonts w:cstheme="minorHAnsi"/>
          <w:sz w:val="24"/>
          <w:szCs w:val="24"/>
        </w:rPr>
      </w:pPr>
      <w:r w:rsidRPr="009C0B1B">
        <w:rPr>
          <w:rFonts w:cstheme="minorHAnsi"/>
          <w:sz w:val="24"/>
          <w:szCs w:val="24"/>
        </w:rPr>
        <w:t>Sin embargo, hay mucho por hacer aún. Destacan las siguientes tareas:  Ampliar la cobertura de los actuales programas dirigidos al servicio civil y fortalecer la institucionalidad relacionada con el desarrollo de la política de recurso humano dentro de la administración del Estado.  Fortalecer la estabilidad funcionaria de los servidores públicos, sin que ello impida procesos de reformas y mejoras en el sector</w:t>
      </w:r>
    </w:p>
    <w:p w14:paraId="51D4AD2A" w14:textId="77777777" w:rsidR="000C171B" w:rsidRPr="009C0B1B" w:rsidRDefault="000C171B" w:rsidP="000C171B">
      <w:pPr>
        <w:spacing w:after="0" w:line="240" w:lineRule="auto"/>
        <w:jc w:val="both"/>
        <w:rPr>
          <w:rFonts w:cstheme="minorHAnsi"/>
          <w:sz w:val="24"/>
          <w:szCs w:val="24"/>
        </w:rPr>
      </w:pPr>
    </w:p>
    <w:p w14:paraId="6703F973" w14:textId="77777777" w:rsidR="000C171B" w:rsidRPr="00725057" w:rsidRDefault="000C171B" w:rsidP="000C171B">
      <w:pPr>
        <w:spacing w:after="0" w:line="240" w:lineRule="auto"/>
        <w:jc w:val="both"/>
        <w:rPr>
          <w:rFonts w:cstheme="minorHAnsi"/>
          <w:sz w:val="24"/>
          <w:szCs w:val="24"/>
        </w:rPr>
      </w:pPr>
      <w:r w:rsidRPr="009C0B1B">
        <w:rPr>
          <w:rFonts w:cstheme="minorHAnsi"/>
          <w:sz w:val="24"/>
          <w:szCs w:val="24"/>
        </w:rPr>
        <w:t xml:space="preserve">Finalmente, el sector público, a través de sus instituciones y su recurso humano, en el mediano plazo, será el principal responsable de facilitar el logro de los derechos de las personas a través del cumplimiento de la reducción de la pobreza y la desigualdad, garantizar la vida sana, y una educación inclusiva y de calidad; alcanzar igualdad entre géneros; asegurar la disponibilidad de </w:t>
      </w:r>
      <w:r w:rsidRPr="009C0B1B">
        <w:rPr>
          <w:rFonts w:cstheme="minorHAnsi"/>
          <w:sz w:val="24"/>
          <w:szCs w:val="24"/>
        </w:rPr>
        <w:lastRenderedPageBreak/>
        <w:t>agua potable para toda la población; garantizar acceso a energía sostenible; promover el crecimiento y consumos sostenibles; el empleo pleno y trabajo decente; la industrialización inclusiva; y ciudades resilientes (IDH</w:t>
      </w:r>
      <w:r>
        <w:rPr>
          <w:rFonts w:cstheme="minorHAnsi"/>
          <w:sz w:val="24"/>
          <w:szCs w:val="24"/>
        </w:rPr>
        <w:t>,</w:t>
      </w:r>
      <w:r w:rsidRPr="009C0B1B">
        <w:rPr>
          <w:rFonts w:cstheme="minorHAnsi"/>
          <w:sz w:val="24"/>
          <w:szCs w:val="24"/>
        </w:rPr>
        <w:t xml:space="preserve"> 2019).</w:t>
      </w:r>
    </w:p>
    <w:p w14:paraId="1E859EC6" w14:textId="386B2A33" w:rsidR="000C171B" w:rsidRDefault="000C171B" w:rsidP="000C171B">
      <w:pPr>
        <w:spacing w:after="0" w:line="240" w:lineRule="auto"/>
      </w:pPr>
    </w:p>
    <w:p w14:paraId="023EA9F8" w14:textId="77777777" w:rsidR="00A6625C" w:rsidRDefault="00A6625C" w:rsidP="000C171B">
      <w:pPr>
        <w:spacing w:after="0" w:line="240" w:lineRule="auto"/>
      </w:pPr>
    </w:p>
    <w:p w14:paraId="0728DE49" w14:textId="77777777" w:rsidR="000C171B" w:rsidRPr="005952C5" w:rsidRDefault="000C171B" w:rsidP="000C171B">
      <w:pPr>
        <w:spacing w:after="0" w:line="240" w:lineRule="auto"/>
        <w:rPr>
          <w:rFonts w:ascii="Calibri" w:hAnsi="Calibri" w:cs="Calibri"/>
          <w:b/>
          <w:bCs/>
          <w:color w:val="4472C4" w:themeColor="accent1"/>
          <w:sz w:val="24"/>
          <w:szCs w:val="24"/>
        </w:rPr>
      </w:pPr>
      <w:r w:rsidRPr="005952C5">
        <w:rPr>
          <w:rFonts w:ascii="Calibri" w:hAnsi="Calibri" w:cs="Calibri"/>
          <w:b/>
          <w:bCs/>
          <w:color w:val="4472C4" w:themeColor="accent1"/>
          <w:sz w:val="24"/>
          <w:szCs w:val="24"/>
        </w:rPr>
        <w:t>2. VISIÓN NACIONAL PARA EL DESARROLLO SOSTENIBLE.</w:t>
      </w:r>
    </w:p>
    <w:p w14:paraId="45E44D84" w14:textId="77777777" w:rsidR="000C171B" w:rsidRPr="00EF2FA4" w:rsidRDefault="000C171B" w:rsidP="000C171B">
      <w:pPr>
        <w:spacing w:after="0" w:line="240" w:lineRule="auto"/>
        <w:jc w:val="both"/>
        <w:rPr>
          <w:rFonts w:ascii="Calibri" w:hAnsi="Calibri" w:cs="Calibri"/>
          <w:sz w:val="24"/>
          <w:szCs w:val="24"/>
        </w:rPr>
      </w:pPr>
    </w:p>
    <w:p w14:paraId="627EA73A" w14:textId="77777777" w:rsidR="000C171B" w:rsidRPr="00EF2FA4" w:rsidRDefault="000C171B" w:rsidP="000C171B">
      <w:pPr>
        <w:spacing w:after="0" w:line="240" w:lineRule="auto"/>
        <w:jc w:val="both"/>
        <w:rPr>
          <w:rFonts w:ascii="Calibri" w:hAnsi="Calibri" w:cs="Calibri"/>
          <w:sz w:val="24"/>
          <w:szCs w:val="24"/>
        </w:rPr>
      </w:pPr>
      <w:r w:rsidRPr="00EF2FA4">
        <w:rPr>
          <w:rFonts w:ascii="Calibri" w:hAnsi="Calibri" w:cs="Calibri"/>
          <w:sz w:val="24"/>
          <w:szCs w:val="24"/>
        </w:rPr>
        <w:t xml:space="preserve">El Plan Estratégico de Gobierno (2019-2024) define los parámetros para el desarrollo del país. En términos de metas específicas con alcances a más largo plazo, según el PEG (2019-2024), el país tiene el compromiso de cumplir con los Objetivos de Desarrollo Sostenible (ODS) lo que implica que, de aquí al 2030, existe el compromiso de erradicar la pobreza extrema y reducir al menos a la mitad la proporción de hombres, mujeres y niños de todas las edades que viven en pobreza en todas las dimensiones (PEG, 2019-2024). </w:t>
      </w:r>
    </w:p>
    <w:p w14:paraId="2FE259F3" w14:textId="77777777" w:rsidR="000C171B" w:rsidRPr="00EF2FA4" w:rsidRDefault="000C171B" w:rsidP="000C171B">
      <w:pPr>
        <w:spacing w:after="0" w:line="240" w:lineRule="auto"/>
        <w:jc w:val="both"/>
        <w:rPr>
          <w:rFonts w:ascii="Calibri" w:hAnsi="Calibri" w:cs="Calibri"/>
          <w:sz w:val="24"/>
          <w:szCs w:val="24"/>
        </w:rPr>
      </w:pPr>
    </w:p>
    <w:p w14:paraId="19A19F1D" w14:textId="1208E53E" w:rsidR="000C171B" w:rsidRPr="00EF2FA4" w:rsidRDefault="000C171B" w:rsidP="000C171B">
      <w:pPr>
        <w:spacing w:after="0" w:line="240" w:lineRule="auto"/>
        <w:jc w:val="both"/>
        <w:rPr>
          <w:rFonts w:ascii="Calibri" w:hAnsi="Calibri" w:cs="Calibri"/>
          <w:sz w:val="24"/>
          <w:szCs w:val="24"/>
        </w:rPr>
      </w:pPr>
      <w:r w:rsidRPr="00EF2FA4">
        <w:rPr>
          <w:rFonts w:ascii="Calibri" w:hAnsi="Calibri" w:cs="Calibri"/>
          <w:sz w:val="24"/>
          <w:szCs w:val="24"/>
        </w:rPr>
        <w:t>Desde esa perspectiva, durante el quinquenio, a través de las políticas públicas se</w:t>
      </w:r>
      <w:r>
        <w:rPr>
          <w:rFonts w:ascii="Calibri" w:hAnsi="Calibri" w:cs="Calibri"/>
          <w:sz w:val="24"/>
          <w:szCs w:val="24"/>
        </w:rPr>
        <w:t xml:space="preserve"> plantea alcanzar las siguientes metas</w:t>
      </w:r>
      <w:r w:rsidRPr="00EF2FA4">
        <w:rPr>
          <w:rFonts w:ascii="Calibri" w:hAnsi="Calibri" w:cs="Calibri"/>
          <w:sz w:val="24"/>
          <w:szCs w:val="24"/>
        </w:rPr>
        <w:t>: (i) aumentar la inversión pública en infraestructura rural, investigaciones y servicios de desarrollo tecnológico y banco de genes de plantas y ganado a fin de mejorar la capacidad de producción agropecuaria;  (</w:t>
      </w:r>
      <w:proofErr w:type="spellStart"/>
      <w:r w:rsidRPr="00EF2FA4">
        <w:rPr>
          <w:rFonts w:ascii="Calibri" w:hAnsi="Calibri" w:cs="Calibri"/>
          <w:sz w:val="24"/>
          <w:szCs w:val="24"/>
        </w:rPr>
        <w:t>ii</w:t>
      </w:r>
      <w:proofErr w:type="spellEnd"/>
      <w:r w:rsidRPr="00EF2FA4">
        <w:rPr>
          <w:rFonts w:ascii="Calibri" w:hAnsi="Calibri" w:cs="Calibri"/>
          <w:sz w:val="24"/>
          <w:szCs w:val="24"/>
        </w:rPr>
        <w:t>) eliminar las formas de subvención a las exportaciones; (</w:t>
      </w:r>
      <w:proofErr w:type="spellStart"/>
      <w:r w:rsidRPr="00EF2FA4">
        <w:rPr>
          <w:rFonts w:ascii="Calibri" w:hAnsi="Calibri" w:cs="Calibri"/>
          <w:sz w:val="24"/>
          <w:szCs w:val="24"/>
        </w:rPr>
        <w:t>iii</w:t>
      </w:r>
      <w:proofErr w:type="spellEnd"/>
      <w:r w:rsidRPr="00EF2FA4">
        <w:rPr>
          <w:rFonts w:ascii="Calibri" w:hAnsi="Calibri" w:cs="Calibri"/>
          <w:sz w:val="24"/>
          <w:szCs w:val="24"/>
        </w:rPr>
        <w:t>) racionalizar los subsidios ineficientes a los combustibles fósiles que fomentan el consumo antieconómico; (</w:t>
      </w:r>
      <w:proofErr w:type="spellStart"/>
      <w:r w:rsidRPr="00EF2FA4">
        <w:rPr>
          <w:rFonts w:ascii="Calibri" w:hAnsi="Calibri" w:cs="Calibri"/>
          <w:sz w:val="24"/>
          <w:szCs w:val="24"/>
        </w:rPr>
        <w:t>iv</w:t>
      </w:r>
      <w:proofErr w:type="spellEnd"/>
      <w:r w:rsidRPr="00EF2FA4">
        <w:rPr>
          <w:rFonts w:ascii="Calibri" w:hAnsi="Calibri" w:cs="Calibri"/>
          <w:sz w:val="24"/>
          <w:szCs w:val="24"/>
        </w:rPr>
        <w:t>) fortalecer la movilización de recursos internos; (v) asegurará que las instituciones sean eficientes y transparentes a todos los niveles; (vi) enfrentar los problemas que provienen del cambio climático y el peligro que éste constituye para el bienestar de todos los panameños, especialmente por la desprotección e inadecuada aplicación de regulaciones ecológicas en la cuenca del Canal y la Región del Darién (PEG</w:t>
      </w:r>
      <w:r>
        <w:rPr>
          <w:rFonts w:ascii="Calibri" w:hAnsi="Calibri" w:cs="Calibri"/>
          <w:sz w:val="24"/>
          <w:szCs w:val="24"/>
        </w:rPr>
        <w:t>,</w:t>
      </w:r>
      <w:r w:rsidRPr="00EF2FA4">
        <w:rPr>
          <w:rFonts w:ascii="Calibri" w:hAnsi="Calibri" w:cs="Calibri"/>
          <w:sz w:val="24"/>
          <w:szCs w:val="24"/>
        </w:rPr>
        <w:t xml:space="preserve"> 2019-2024).</w:t>
      </w:r>
    </w:p>
    <w:p w14:paraId="6861DB39" w14:textId="77777777" w:rsidR="000C171B" w:rsidRPr="003B09F4" w:rsidRDefault="000C171B" w:rsidP="000C171B">
      <w:pPr>
        <w:spacing w:after="0" w:line="240" w:lineRule="auto"/>
        <w:rPr>
          <w:rFonts w:ascii="Calibri" w:hAnsi="Calibri" w:cs="Calibri"/>
          <w:b/>
          <w:bCs/>
          <w:sz w:val="24"/>
          <w:szCs w:val="24"/>
        </w:rPr>
      </w:pPr>
    </w:p>
    <w:p w14:paraId="0D2402AF" w14:textId="77777777" w:rsidR="000C171B" w:rsidRPr="005952C5" w:rsidRDefault="000C171B" w:rsidP="000C171B">
      <w:pPr>
        <w:spacing w:after="0" w:line="240" w:lineRule="auto"/>
        <w:rPr>
          <w:rFonts w:ascii="Calibri" w:hAnsi="Calibri" w:cs="Calibri"/>
          <w:b/>
          <w:bCs/>
          <w:color w:val="4472C4" w:themeColor="accent1"/>
          <w:sz w:val="24"/>
          <w:szCs w:val="24"/>
        </w:rPr>
      </w:pPr>
      <w:r w:rsidRPr="005952C5">
        <w:rPr>
          <w:rFonts w:ascii="Calibri" w:hAnsi="Calibri" w:cs="Calibri"/>
          <w:b/>
          <w:bCs/>
          <w:color w:val="4472C4" w:themeColor="accent1"/>
          <w:sz w:val="24"/>
          <w:szCs w:val="24"/>
        </w:rPr>
        <w:t>2.1. Análisis de las prioridades para el desarrollo del país.</w:t>
      </w:r>
    </w:p>
    <w:p w14:paraId="3987B968" w14:textId="77777777" w:rsidR="000C171B" w:rsidRPr="003B09F4" w:rsidRDefault="000C171B" w:rsidP="000C171B">
      <w:pPr>
        <w:spacing w:after="0" w:line="240" w:lineRule="auto"/>
        <w:jc w:val="both"/>
        <w:rPr>
          <w:rFonts w:ascii="Calibri" w:hAnsi="Calibri" w:cs="Calibri"/>
          <w:sz w:val="24"/>
          <w:szCs w:val="24"/>
        </w:rPr>
      </w:pPr>
    </w:p>
    <w:p w14:paraId="26E0AFB6" w14:textId="77777777" w:rsidR="000C171B" w:rsidRPr="003B09F4" w:rsidRDefault="000C171B" w:rsidP="000C171B">
      <w:pPr>
        <w:spacing w:after="0" w:line="240" w:lineRule="auto"/>
        <w:jc w:val="both"/>
        <w:rPr>
          <w:rFonts w:ascii="Calibri" w:hAnsi="Calibri" w:cs="Calibri"/>
          <w:sz w:val="24"/>
          <w:szCs w:val="24"/>
        </w:rPr>
      </w:pPr>
      <w:r w:rsidRPr="003B09F4">
        <w:rPr>
          <w:rFonts w:ascii="Calibri" w:hAnsi="Calibri" w:cs="Calibri"/>
          <w:sz w:val="24"/>
          <w:szCs w:val="24"/>
        </w:rPr>
        <w:t xml:space="preserve">Durante los últimos años, los distintos gobiernos colocaron los énfasis en distintos ejes y estrategias, como forma de establecer parámetros para el desarrollo del país. En un primer momento se privilegió el desarrollo social y la seguridad; posteriormente el desarrollo económico y las infraestructuras; y, por último, el desarrollo institucional y el desarrollo sostenible.  </w:t>
      </w:r>
    </w:p>
    <w:p w14:paraId="14C1A64C" w14:textId="77777777" w:rsidR="000C171B" w:rsidRPr="003B09F4" w:rsidRDefault="000C171B" w:rsidP="000C171B">
      <w:pPr>
        <w:spacing w:after="0" w:line="240" w:lineRule="auto"/>
        <w:jc w:val="both"/>
        <w:rPr>
          <w:rFonts w:ascii="Calibri" w:hAnsi="Calibri" w:cs="Calibri"/>
          <w:sz w:val="24"/>
          <w:szCs w:val="24"/>
        </w:rPr>
      </w:pPr>
    </w:p>
    <w:p w14:paraId="64156888" w14:textId="77777777" w:rsidR="000C171B" w:rsidRPr="003B09F4" w:rsidRDefault="000C171B" w:rsidP="000C171B">
      <w:pPr>
        <w:spacing w:after="0" w:line="240" w:lineRule="auto"/>
        <w:jc w:val="both"/>
        <w:rPr>
          <w:rFonts w:ascii="Calibri" w:hAnsi="Calibri" w:cs="Calibri"/>
          <w:sz w:val="24"/>
          <w:szCs w:val="24"/>
        </w:rPr>
      </w:pPr>
      <w:r w:rsidRPr="003B09F4">
        <w:rPr>
          <w:rFonts w:ascii="Calibri" w:hAnsi="Calibri" w:cs="Calibri"/>
          <w:sz w:val="24"/>
          <w:szCs w:val="24"/>
        </w:rPr>
        <w:t>Las acciones relevantes impulsadas a lo largo de los últimos años</w:t>
      </w:r>
      <w:r>
        <w:rPr>
          <w:rFonts w:ascii="Calibri" w:hAnsi="Calibri" w:cs="Calibri"/>
          <w:sz w:val="24"/>
          <w:szCs w:val="24"/>
        </w:rPr>
        <w:t xml:space="preserve"> </w:t>
      </w:r>
      <w:r w:rsidRPr="003B09F4">
        <w:rPr>
          <w:rFonts w:ascii="Calibri" w:hAnsi="Calibri" w:cs="Calibri"/>
          <w:sz w:val="24"/>
          <w:szCs w:val="24"/>
        </w:rPr>
        <w:t>se organizaron en torno a tres esferas: personas (38.2%), prosperidad (25.6%) y paz (22.7%).  Las acciones definidas en los Acuerdos y Marco Estratégico de la Concertación Nacional para el Desarrollo se centran en las dos primeras esferas. Sin embargo, la transformación completa de la sociedad panameña demanda de una mirada más completa e integral.  Por ello, deben incluirse también las otras dos esferas</w:t>
      </w:r>
      <w:r>
        <w:rPr>
          <w:rFonts w:ascii="Calibri" w:hAnsi="Calibri" w:cs="Calibri"/>
          <w:sz w:val="24"/>
          <w:szCs w:val="24"/>
        </w:rPr>
        <w:t xml:space="preserve">: planeta y </w:t>
      </w:r>
      <w:proofErr w:type="spellStart"/>
      <w:r>
        <w:rPr>
          <w:rFonts w:ascii="Calibri" w:hAnsi="Calibri" w:cs="Calibri"/>
          <w:sz w:val="24"/>
          <w:szCs w:val="24"/>
        </w:rPr>
        <w:t>paternariado</w:t>
      </w:r>
      <w:proofErr w:type="spellEnd"/>
      <w:r>
        <w:rPr>
          <w:rFonts w:ascii="Calibri" w:hAnsi="Calibri" w:cs="Calibri"/>
          <w:sz w:val="24"/>
          <w:szCs w:val="24"/>
        </w:rPr>
        <w:t>.</w:t>
      </w:r>
    </w:p>
    <w:p w14:paraId="245808B8" w14:textId="77777777" w:rsidR="000C171B" w:rsidRPr="003B09F4" w:rsidRDefault="000C171B" w:rsidP="000C171B">
      <w:pPr>
        <w:spacing w:after="0" w:line="240" w:lineRule="auto"/>
        <w:jc w:val="both"/>
        <w:rPr>
          <w:rFonts w:ascii="Calibri" w:hAnsi="Calibri" w:cs="Calibri"/>
          <w:sz w:val="24"/>
          <w:szCs w:val="24"/>
        </w:rPr>
      </w:pPr>
    </w:p>
    <w:p w14:paraId="6053301E" w14:textId="77777777" w:rsidR="000C171B" w:rsidRDefault="000C171B" w:rsidP="000C171B">
      <w:pPr>
        <w:spacing w:after="0" w:line="240" w:lineRule="auto"/>
        <w:jc w:val="both"/>
        <w:rPr>
          <w:rFonts w:ascii="Calibri" w:hAnsi="Calibri" w:cs="Calibri"/>
          <w:sz w:val="24"/>
          <w:szCs w:val="24"/>
        </w:rPr>
      </w:pPr>
      <w:r w:rsidRPr="003B09F4">
        <w:rPr>
          <w:rFonts w:ascii="Calibri" w:hAnsi="Calibri" w:cs="Calibri"/>
          <w:sz w:val="24"/>
          <w:szCs w:val="24"/>
        </w:rPr>
        <w:t xml:space="preserve">El Plan Estratégico Nacional </w:t>
      </w:r>
      <w:r>
        <w:rPr>
          <w:rFonts w:ascii="Calibri" w:hAnsi="Calibri" w:cs="Calibri"/>
          <w:sz w:val="24"/>
          <w:szCs w:val="24"/>
        </w:rPr>
        <w:t xml:space="preserve">(PEN, 2030), </w:t>
      </w:r>
      <w:r w:rsidRPr="003B09F4">
        <w:rPr>
          <w:rFonts w:ascii="Calibri" w:hAnsi="Calibri" w:cs="Calibri"/>
          <w:sz w:val="24"/>
          <w:szCs w:val="24"/>
        </w:rPr>
        <w:t xml:space="preserve">establece los objetivos y metas nacionales que actualizan el Marco Estratégico de la Concertación Nacional para el Desarrollo, alineándolo con la Agenda de Desarrollo Sostenible (ODS) y los Planes Estratégicos sectoriales. Los objetivos </w:t>
      </w:r>
      <w:r w:rsidRPr="003B09F4">
        <w:rPr>
          <w:rFonts w:ascii="Calibri" w:hAnsi="Calibri" w:cs="Calibri"/>
          <w:sz w:val="24"/>
          <w:szCs w:val="24"/>
        </w:rPr>
        <w:lastRenderedPageBreak/>
        <w:t xml:space="preserve">meta que fundamentan el desarrollo del país son buena vida para todos; crecer más y mejor, sostenibilidad ambiental; democracia, institucionalidad y gobernanza; y alianzas estratégicas para el desarrollo. </w:t>
      </w:r>
    </w:p>
    <w:p w14:paraId="7269CE5B" w14:textId="77777777" w:rsidR="000C171B" w:rsidRDefault="000C171B" w:rsidP="000C171B">
      <w:pPr>
        <w:spacing w:after="0" w:line="240" w:lineRule="auto"/>
        <w:jc w:val="both"/>
        <w:rPr>
          <w:rFonts w:ascii="Calibri" w:hAnsi="Calibri" w:cs="Calibri"/>
          <w:sz w:val="24"/>
          <w:szCs w:val="24"/>
        </w:rPr>
      </w:pPr>
    </w:p>
    <w:p w14:paraId="601E62A2" w14:textId="77777777" w:rsidR="000C171B" w:rsidRPr="003B09F4" w:rsidRDefault="000C171B" w:rsidP="000C171B">
      <w:pPr>
        <w:spacing w:after="0" w:line="240" w:lineRule="auto"/>
        <w:jc w:val="both"/>
        <w:rPr>
          <w:rFonts w:ascii="Calibri" w:hAnsi="Calibri" w:cs="Calibri"/>
          <w:sz w:val="24"/>
          <w:szCs w:val="24"/>
        </w:rPr>
      </w:pPr>
      <w:r w:rsidRPr="003B09F4">
        <w:rPr>
          <w:rFonts w:ascii="Calibri" w:hAnsi="Calibri" w:cs="Calibri"/>
          <w:sz w:val="24"/>
          <w:szCs w:val="24"/>
        </w:rPr>
        <w:t>Una mirada rápida permite justipreciar énfasis y esfuerzos en el corto, mediano y largo plazo</w:t>
      </w:r>
      <w:r>
        <w:rPr>
          <w:rFonts w:ascii="Calibri" w:hAnsi="Calibri" w:cs="Calibri"/>
          <w:sz w:val="24"/>
          <w:szCs w:val="24"/>
        </w:rPr>
        <w:t>:</w:t>
      </w:r>
      <w:r w:rsidRPr="003B09F4">
        <w:rPr>
          <w:rFonts w:ascii="Calibri" w:hAnsi="Calibri" w:cs="Calibri"/>
          <w:sz w:val="24"/>
          <w:szCs w:val="24"/>
        </w:rPr>
        <w:t xml:space="preserve"> </w:t>
      </w:r>
    </w:p>
    <w:p w14:paraId="08BAB826" w14:textId="77777777" w:rsidR="000C171B" w:rsidRPr="003B09F4" w:rsidRDefault="000C171B" w:rsidP="000C171B">
      <w:pPr>
        <w:spacing w:after="0" w:line="240" w:lineRule="auto"/>
        <w:jc w:val="both"/>
        <w:rPr>
          <w:rFonts w:ascii="Calibri" w:hAnsi="Calibri" w:cs="Calibri"/>
          <w:sz w:val="24"/>
          <w:szCs w:val="24"/>
        </w:rPr>
      </w:pPr>
    </w:p>
    <w:p w14:paraId="7E372E5E" w14:textId="77777777" w:rsidR="000C171B" w:rsidRPr="003B09F4" w:rsidRDefault="000C171B" w:rsidP="000C171B">
      <w:pPr>
        <w:spacing w:after="0" w:line="240" w:lineRule="auto"/>
        <w:jc w:val="both"/>
        <w:rPr>
          <w:rFonts w:ascii="Calibri" w:hAnsi="Calibri" w:cs="Calibri"/>
          <w:sz w:val="24"/>
          <w:szCs w:val="24"/>
        </w:rPr>
      </w:pPr>
      <w:r w:rsidRPr="003B09F4">
        <w:rPr>
          <w:rFonts w:ascii="Calibri" w:hAnsi="Calibri" w:cs="Calibri"/>
          <w:sz w:val="24"/>
          <w:szCs w:val="24"/>
        </w:rPr>
        <w:t xml:space="preserve">(i) Buena vida para todos. Para el año 2030 Panamá contará con políticas sociales de impacto nacional, regional y local, desarrollará intervenciones integrales y tendrá una red de servicios públicos (como energía, agua, saneamiento, gestión integrada de residuos sólidos y peligrosos) que permiten la acumulación de capital humano y social y que además garantiza el desarrollo humano sostenible de la población, según sus características étnicas, sociales, económicas. </w:t>
      </w:r>
    </w:p>
    <w:p w14:paraId="25FABE91" w14:textId="77777777" w:rsidR="000C171B" w:rsidRPr="003B09F4" w:rsidRDefault="000C171B" w:rsidP="000C171B">
      <w:pPr>
        <w:spacing w:after="0" w:line="240" w:lineRule="auto"/>
        <w:jc w:val="both"/>
        <w:rPr>
          <w:rFonts w:ascii="Calibri" w:hAnsi="Calibri" w:cs="Calibri"/>
          <w:sz w:val="24"/>
          <w:szCs w:val="24"/>
        </w:rPr>
      </w:pPr>
    </w:p>
    <w:p w14:paraId="1F6D823E" w14:textId="77777777" w:rsidR="000C171B" w:rsidRPr="003B09F4" w:rsidRDefault="000C171B" w:rsidP="000C171B">
      <w:pPr>
        <w:spacing w:after="0" w:line="240" w:lineRule="auto"/>
        <w:jc w:val="both"/>
        <w:rPr>
          <w:rFonts w:ascii="Calibri" w:hAnsi="Calibri" w:cs="Calibri"/>
          <w:sz w:val="24"/>
          <w:szCs w:val="24"/>
        </w:rPr>
      </w:pPr>
      <w:r w:rsidRPr="003B09F4">
        <w:rPr>
          <w:rFonts w:ascii="Calibri" w:hAnsi="Calibri" w:cs="Calibri"/>
          <w:sz w:val="24"/>
          <w:szCs w:val="24"/>
        </w:rPr>
        <w:t>(</w:t>
      </w:r>
      <w:proofErr w:type="spellStart"/>
      <w:r w:rsidRPr="003B09F4">
        <w:rPr>
          <w:rFonts w:ascii="Calibri" w:hAnsi="Calibri" w:cs="Calibri"/>
          <w:sz w:val="24"/>
          <w:szCs w:val="24"/>
        </w:rPr>
        <w:t>ii</w:t>
      </w:r>
      <w:proofErr w:type="spellEnd"/>
      <w:r w:rsidRPr="003B09F4">
        <w:rPr>
          <w:rFonts w:ascii="Calibri" w:hAnsi="Calibri" w:cs="Calibri"/>
          <w:sz w:val="24"/>
          <w:szCs w:val="24"/>
        </w:rPr>
        <w:t>) Crecer más y mejor.  Para el año 2030 Panamá implementará políticas públicas que impulsen el crecimiento económico, generen oportunidades, desarrollen capacidades y creen empleo decente. La regionalización de la economía panameña es un capítulo importante por desarrollar para apuntalar el crecimiento económico y la competitividad. En materia de economía debe promoverse el desarrollo productivo y la competitividad, en la dinamización de sectores estratégicos y el desarrollo de plataformas con uso intensivo de tecnología ambiental.</w:t>
      </w:r>
    </w:p>
    <w:p w14:paraId="472A3587" w14:textId="77777777" w:rsidR="000C171B" w:rsidRPr="003B09F4" w:rsidRDefault="000C171B" w:rsidP="000C171B">
      <w:pPr>
        <w:spacing w:after="0" w:line="240" w:lineRule="auto"/>
        <w:jc w:val="both"/>
        <w:rPr>
          <w:rFonts w:ascii="Calibri" w:hAnsi="Calibri" w:cs="Calibri"/>
          <w:sz w:val="24"/>
          <w:szCs w:val="24"/>
        </w:rPr>
      </w:pPr>
    </w:p>
    <w:p w14:paraId="723EDE7B" w14:textId="14EAA25F" w:rsidR="000C171B" w:rsidRDefault="000C171B" w:rsidP="000C171B">
      <w:pPr>
        <w:spacing w:after="0" w:line="240" w:lineRule="auto"/>
        <w:jc w:val="both"/>
        <w:rPr>
          <w:rFonts w:ascii="Calibri" w:hAnsi="Calibri" w:cs="Calibri"/>
          <w:color w:val="000000" w:themeColor="text1"/>
          <w:sz w:val="24"/>
          <w:szCs w:val="24"/>
        </w:rPr>
      </w:pPr>
      <w:r w:rsidRPr="003B09F4">
        <w:rPr>
          <w:rFonts w:ascii="Calibri" w:hAnsi="Calibri" w:cs="Calibri"/>
          <w:sz w:val="24"/>
          <w:szCs w:val="24"/>
        </w:rPr>
        <w:t>(</w:t>
      </w:r>
      <w:proofErr w:type="spellStart"/>
      <w:r w:rsidRPr="003B09F4">
        <w:rPr>
          <w:rFonts w:ascii="Calibri" w:hAnsi="Calibri" w:cs="Calibri"/>
          <w:sz w:val="24"/>
          <w:szCs w:val="24"/>
        </w:rPr>
        <w:t>iii</w:t>
      </w:r>
      <w:proofErr w:type="spellEnd"/>
      <w:r w:rsidRPr="003B09F4">
        <w:rPr>
          <w:rFonts w:ascii="Calibri" w:hAnsi="Calibri" w:cs="Calibri"/>
          <w:sz w:val="24"/>
          <w:szCs w:val="24"/>
        </w:rPr>
        <w:t xml:space="preserve">) Sostenibilidad ambiental. Para el 2030 Panamá habrá puesto en marcha tanto las políticas y acciones en seguridad hídrica como las relacionadas con los compromisos del Acuerdo de París, en cuanto al cambio climático y habrá alcanzado las metas establecidas de generación energética </w:t>
      </w:r>
      <w:r w:rsidRPr="003B09F4">
        <w:rPr>
          <w:rFonts w:ascii="Calibri" w:hAnsi="Calibri" w:cs="Calibri"/>
          <w:color w:val="000000" w:themeColor="text1"/>
          <w:sz w:val="24"/>
          <w:szCs w:val="24"/>
        </w:rPr>
        <w:t>por fuentes naturales renovables no convencionales, en línea con el NDC sometido en 2016, y movilidad eléctrica para disminuir gases efecto invernadero en el  subsector transporte, que con base en la Tercera Comunicación sobre Cambio Climático es el subsector que más GEI emite. En su vinculación con los ejes estratégicos, “Buena vida para todos” y “Crecer más y mejor”, las políticas eco sostenibles habrán asegurado agua potable y saneamiento para toda la población y se habrá incorporado un componente de protección y conservación del recurso natural, en todos los proyectos de inversión del Estado panameño</w:t>
      </w:r>
      <w:r w:rsidR="00896344">
        <w:rPr>
          <w:rFonts w:ascii="Calibri" w:hAnsi="Calibri" w:cs="Calibri"/>
          <w:color w:val="000000" w:themeColor="text1"/>
          <w:sz w:val="24"/>
          <w:szCs w:val="24"/>
        </w:rPr>
        <w:t>.</w:t>
      </w:r>
    </w:p>
    <w:p w14:paraId="0863D6F4" w14:textId="77777777" w:rsidR="00896344" w:rsidRPr="003B09F4" w:rsidRDefault="00896344" w:rsidP="000C171B">
      <w:pPr>
        <w:spacing w:after="0" w:line="240" w:lineRule="auto"/>
        <w:jc w:val="both"/>
        <w:rPr>
          <w:rFonts w:ascii="Calibri" w:hAnsi="Calibri" w:cs="Calibri"/>
          <w:sz w:val="24"/>
          <w:szCs w:val="24"/>
        </w:rPr>
      </w:pPr>
    </w:p>
    <w:p w14:paraId="70E9FCE8" w14:textId="77777777" w:rsidR="000C171B" w:rsidRPr="003B09F4" w:rsidRDefault="000C171B" w:rsidP="000C171B">
      <w:pPr>
        <w:spacing w:after="0" w:line="240" w:lineRule="auto"/>
        <w:jc w:val="both"/>
        <w:rPr>
          <w:rFonts w:ascii="Calibri" w:hAnsi="Calibri" w:cs="Calibri"/>
          <w:sz w:val="24"/>
          <w:szCs w:val="24"/>
        </w:rPr>
      </w:pPr>
      <w:r w:rsidRPr="003B09F4">
        <w:rPr>
          <w:rFonts w:ascii="Calibri" w:hAnsi="Calibri" w:cs="Calibri"/>
          <w:sz w:val="24"/>
          <w:szCs w:val="24"/>
        </w:rPr>
        <w:t>(</w:t>
      </w:r>
      <w:proofErr w:type="spellStart"/>
      <w:r w:rsidRPr="003B09F4">
        <w:rPr>
          <w:rFonts w:ascii="Calibri" w:hAnsi="Calibri" w:cs="Calibri"/>
          <w:sz w:val="24"/>
          <w:szCs w:val="24"/>
        </w:rPr>
        <w:t>iv</w:t>
      </w:r>
      <w:proofErr w:type="spellEnd"/>
      <w:r w:rsidRPr="003B09F4">
        <w:rPr>
          <w:rFonts w:ascii="Calibri" w:hAnsi="Calibri" w:cs="Calibri"/>
          <w:sz w:val="24"/>
          <w:szCs w:val="24"/>
        </w:rPr>
        <w:t xml:space="preserve">) Democracia, institucionalidad y gobernanza. Para el año 2030 Panamá contará con un sistema de gobernanza democrático, intersectorial-coordinadas y transparente orientado hacia la gestión sistémica de políticas públicas en materia de prevención y atención integral de la violencias, administración y acceso a la justicia y seguridad ciudadana acordes con las disposiciones nacionales e internacionales. Considerando la apertura de espacios deliberativos y decisorios, a la auditoría ciudadana y con una conducta política orientada a la generación de los más amplios consensos, así como respetuoso y promotor de los derechos humanos. De hecho, un gobierno democrático se sostiene institucionalmente desarrollando procesos y procedimientos que garanticen los derechos ciudadanos en todas sus dimensiones. </w:t>
      </w:r>
    </w:p>
    <w:p w14:paraId="5B984398" w14:textId="77777777" w:rsidR="000C171B" w:rsidRPr="003B09F4" w:rsidRDefault="000C171B" w:rsidP="000C171B">
      <w:pPr>
        <w:spacing w:after="0" w:line="240" w:lineRule="auto"/>
        <w:jc w:val="both"/>
        <w:rPr>
          <w:rFonts w:ascii="Calibri" w:hAnsi="Calibri" w:cs="Calibri"/>
          <w:sz w:val="24"/>
          <w:szCs w:val="24"/>
        </w:rPr>
      </w:pPr>
    </w:p>
    <w:p w14:paraId="7B660D09" w14:textId="77777777" w:rsidR="000C171B" w:rsidRPr="003B09F4" w:rsidRDefault="000C171B" w:rsidP="000C171B">
      <w:pPr>
        <w:spacing w:after="0" w:line="240" w:lineRule="auto"/>
        <w:jc w:val="both"/>
        <w:rPr>
          <w:rFonts w:ascii="Calibri" w:hAnsi="Calibri" w:cs="Calibri"/>
          <w:sz w:val="24"/>
          <w:szCs w:val="24"/>
        </w:rPr>
      </w:pPr>
      <w:r w:rsidRPr="003B09F4">
        <w:rPr>
          <w:rFonts w:ascii="Calibri" w:hAnsi="Calibri" w:cs="Calibri"/>
          <w:sz w:val="24"/>
          <w:szCs w:val="24"/>
        </w:rPr>
        <w:t xml:space="preserve">(v) Alianzas estratégicas para el desarrollo. Para el año 2030 Panamá habrá acompañado activamente con su política exterior, y habrá puesto en vigencia, todos los convenios y compromisos internacionales de desarrollo sostenible, en especial los vinculados a los ODS, a </w:t>
      </w:r>
      <w:r w:rsidRPr="003B09F4">
        <w:rPr>
          <w:rFonts w:ascii="Calibri" w:hAnsi="Calibri" w:cs="Calibri"/>
          <w:sz w:val="24"/>
          <w:szCs w:val="24"/>
        </w:rPr>
        <w:lastRenderedPageBreak/>
        <w:t>la Agenda de Acción de Addis Abeba sobre financiamiento al desarrollo, al Acuerdo de París y el Convenio sobre Diversidad Biológica. Las alianzas estratégicas entre organismos gubernamentales y no gubernamentales y, entre entidades públicas y privadas, define una vía para la sostenibilidad de cualquier modalidad de desarrollo humano. La orientación, coordinación, alineamiento y aprovechamiento de los recursos procedentes de agencias, instituciones y actores públicos y privados en torno a la inclusión de la ciudadanía en el proceso de construcción del desarrollo humano, garantiza el impacto y los resultados de las políticas públicas.</w:t>
      </w:r>
    </w:p>
    <w:p w14:paraId="150F04EA" w14:textId="77777777" w:rsidR="000C171B" w:rsidRDefault="000C171B" w:rsidP="000C171B">
      <w:pPr>
        <w:spacing w:after="0" w:line="240" w:lineRule="auto"/>
        <w:rPr>
          <w:rFonts w:ascii="Calibri" w:hAnsi="Calibri" w:cs="Calibri"/>
          <w:sz w:val="24"/>
          <w:szCs w:val="24"/>
        </w:rPr>
      </w:pPr>
    </w:p>
    <w:p w14:paraId="7C3C352F" w14:textId="77777777" w:rsidR="000C171B" w:rsidRPr="003B09F4" w:rsidRDefault="000C171B" w:rsidP="000C171B">
      <w:pPr>
        <w:spacing w:after="0" w:line="240" w:lineRule="auto"/>
        <w:rPr>
          <w:rFonts w:ascii="Calibri" w:hAnsi="Calibri" w:cs="Calibri"/>
          <w:b/>
          <w:bCs/>
          <w:sz w:val="24"/>
          <w:szCs w:val="24"/>
        </w:rPr>
      </w:pPr>
      <w:r w:rsidRPr="005952C5">
        <w:rPr>
          <w:rFonts w:ascii="Calibri" w:hAnsi="Calibri" w:cs="Calibri"/>
          <w:b/>
          <w:bCs/>
          <w:color w:val="4472C4" w:themeColor="accent1"/>
          <w:sz w:val="24"/>
          <w:szCs w:val="24"/>
        </w:rPr>
        <w:t>2.2. Necesidades según el plan de desarrollo nacional, las estrategias, políticas y programas.</w:t>
      </w:r>
    </w:p>
    <w:p w14:paraId="2CD14469" w14:textId="77777777" w:rsidR="000C171B" w:rsidRPr="003B09F4" w:rsidRDefault="000C171B" w:rsidP="000C171B">
      <w:pPr>
        <w:spacing w:after="0" w:line="240" w:lineRule="auto"/>
        <w:rPr>
          <w:rFonts w:ascii="Calibri" w:hAnsi="Calibri" w:cs="Calibri"/>
          <w:sz w:val="24"/>
          <w:szCs w:val="24"/>
        </w:rPr>
      </w:pPr>
      <w:r w:rsidRPr="003B09F4">
        <w:rPr>
          <w:rFonts w:ascii="Calibri" w:hAnsi="Calibri" w:cs="Calibri"/>
          <w:sz w:val="24"/>
          <w:szCs w:val="24"/>
        </w:rPr>
        <w:t xml:space="preserve"> </w:t>
      </w:r>
    </w:p>
    <w:p w14:paraId="733A3F31" w14:textId="77777777" w:rsidR="000C171B" w:rsidRPr="003B09F4" w:rsidRDefault="000C171B" w:rsidP="000C171B">
      <w:pPr>
        <w:spacing w:after="0" w:line="240" w:lineRule="auto"/>
        <w:jc w:val="both"/>
        <w:rPr>
          <w:rFonts w:ascii="Calibri" w:hAnsi="Calibri" w:cs="Calibri"/>
          <w:sz w:val="24"/>
          <w:szCs w:val="24"/>
        </w:rPr>
      </w:pPr>
      <w:r w:rsidRPr="003B09F4">
        <w:rPr>
          <w:rFonts w:ascii="Calibri" w:hAnsi="Calibri" w:cs="Calibri"/>
          <w:sz w:val="24"/>
          <w:szCs w:val="24"/>
        </w:rPr>
        <w:t>Las necesidades, políticas y programas se establecen al inicio de cada gestión en el Plan Estratégico de Gobierno. Según la Ley 34 de 2008 de Responsabilidad Social Fiscal (LRSF), reglamentada por el Decreto Ejecutivo No. 50 del 26 de junio de 2009, en su artículo 16, indica que: “Al inicio de cada administración, dentro de los seis primeros meses de instalada, el Órgano Ejecutivo adoptará un Plan Estratégico de Gobierno,  enmarcado dentro de los objetivos y las metas que surgen de la Concertación Nacional para el Desarrollo y su propio compromiso electoral, el cual debe incluir una estrategia económica y social, la programación financiera a cinco años y un plan de inversiones públicas indicativo a cinco años, que establecerán criterios para la canalización del gasto público hacia sectores, programas y proyectos prioritarios a nivel nacional.”</w:t>
      </w:r>
    </w:p>
    <w:p w14:paraId="1C972CD8" w14:textId="77777777" w:rsidR="000C171B" w:rsidRPr="003B09F4" w:rsidRDefault="000C171B" w:rsidP="000C171B">
      <w:pPr>
        <w:spacing w:after="0" w:line="240" w:lineRule="auto"/>
        <w:jc w:val="both"/>
        <w:rPr>
          <w:rFonts w:ascii="Calibri" w:hAnsi="Calibri" w:cs="Calibri"/>
          <w:color w:val="000000" w:themeColor="text1"/>
          <w:sz w:val="24"/>
          <w:szCs w:val="24"/>
        </w:rPr>
      </w:pPr>
    </w:p>
    <w:p w14:paraId="6EA01FA0" w14:textId="77777777" w:rsidR="000C171B" w:rsidRPr="003B09F4" w:rsidRDefault="000C171B" w:rsidP="000C171B">
      <w:pPr>
        <w:spacing w:after="0" w:line="240" w:lineRule="auto"/>
        <w:jc w:val="both"/>
        <w:rPr>
          <w:rFonts w:ascii="Calibri" w:hAnsi="Calibri" w:cs="Calibri"/>
          <w:color w:val="000000" w:themeColor="text1"/>
          <w:sz w:val="24"/>
          <w:szCs w:val="24"/>
        </w:rPr>
      </w:pPr>
      <w:r w:rsidRPr="003B09F4">
        <w:rPr>
          <w:rFonts w:ascii="Calibri" w:hAnsi="Calibri" w:cs="Calibri"/>
          <w:color w:val="000000" w:themeColor="text1"/>
          <w:sz w:val="24"/>
          <w:szCs w:val="24"/>
        </w:rPr>
        <w:t xml:space="preserve">El Plan Estratégico de Gobierno </w:t>
      </w:r>
      <w:r>
        <w:rPr>
          <w:rFonts w:ascii="Calibri" w:hAnsi="Calibri" w:cs="Calibri"/>
          <w:color w:val="000000" w:themeColor="text1"/>
          <w:sz w:val="24"/>
          <w:szCs w:val="24"/>
        </w:rPr>
        <w:t xml:space="preserve">(2019-2024) </w:t>
      </w:r>
      <w:r w:rsidRPr="003B09F4">
        <w:rPr>
          <w:rFonts w:ascii="Calibri" w:hAnsi="Calibri" w:cs="Calibri"/>
          <w:color w:val="000000" w:themeColor="text1"/>
          <w:sz w:val="24"/>
          <w:szCs w:val="24"/>
        </w:rPr>
        <w:t>está integrado por (i) estrategia económica y social, (</w:t>
      </w:r>
      <w:proofErr w:type="spellStart"/>
      <w:r w:rsidRPr="003B09F4">
        <w:rPr>
          <w:rFonts w:ascii="Calibri" w:hAnsi="Calibri" w:cs="Calibri"/>
          <w:color w:val="000000" w:themeColor="text1"/>
          <w:sz w:val="24"/>
          <w:szCs w:val="24"/>
        </w:rPr>
        <w:t>ii</w:t>
      </w:r>
      <w:proofErr w:type="spellEnd"/>
      <w:r w:rsidRPr="003B09F4">
        <w:rPr>
          <w:rFonts w:ascii="Calibri" w:hAnsi="Calibri" w:cs="Calibri"/>
          <w:color w:val="000000" w:themeColor="text1"/>
          <w:sz w:val="24"/>
          <w:szCs w:val="24"/>
        </w:rPr>
        <w:t>) programación financiera, (</w:t>
      </w:r>
      <w:proofErr w:type="spellStart"/>
      <w:r w:rsidRPr="003B09F4">
        <w:rPr>
          <w:rFonts w:ascii="Calibri" w:hAnsi="Calibri" w:cs="Calibri"/>
          <w:color w:val="000000" w:themeColor="text1"/>
          <w:sz w:val="24"/>
          <w:szCs w:val="24"/>
        </w:rPr>
        <w:t>iii</w:t>
      </w:r>
      <w:proofErr w:type="spellEnd"/>
      <w:r w:rsidRPr="003B09F4">
        <w:rPr>
          <w:rFonts w:ascii="Calibri" w:hAnsi="Calibri" w:cs="Calibri"/>
          <w:color w:val="000000" w:themeColor="text1"/>
          <w:sz w:val="24"/>
          <w:szCs w:val="24"/>
        </w:rPr>
        <w:t>) plan de inversiones públicas. Teniendo como marco las propuestas de la Concertación Nacional para el Desarrollo, las prioridades del Plan Estratégico Nacional y el Plan de Gobierno, el Plan Estratégico de Gobierno deberá proponer acciones “conducentes a generar crecimiento económico, aumentar la productividad y el empleo, fortalecer la calidad del capital humano, mejoras en el ingreso, en los servicios básicos a la población panameña”, además de los “incentivos que se requieren para descentralizar la actividad económica dentro de un contexto de eficiencia y competitividad, identificando nuevos segmentos o áreas de crecimiento que contribuyan a la generación de empleo más productivos, ingresos y mejorar la competitividad del país”. Así como garantizar los derechos ambientales y el desarrollo sostenible</w:t>
      </w:r>
      <w:r>
        <w:rPr>
          <w:rFonts w:ascii="Calibri" w:hAnsi="Calibri" w:cs="Calibri"/>
          <w:color w:val="000000" w:themeColor="text1"/>
          <w:sz w:val="24"/>
          <w:szCs w:val="24"/>
        </w:rPr>
        <w:t xml:space="preserve"> e incidir en el cumplimiento de los derechos de las personas y la </w:t>
      </w:r>
      <w:r w:rsidRPr="003B09F4">
        <w:rPr>
          <w:rFonts w:ascii="Calibri" w:hAnsi="Calibri" w:cs="Calibri"/>
          <w:color w:val="000000" w:themeColor="text1"/>
          <w:sz w:val="24"/>
          <w:szCs w:val="24"/>
        </w:rPr>
        <w:t>calidad de vida de la población</w:t>
      </w:r>
      <w:r>
        <w:rPr>
          <w:rFonts w:ascii="Calibri" w:hAnsi="Calibri" w:cs="Calibri"/>
          <w:color w:val="000000" w:themeColor="text1"/>
          <w:sz w:val="24"/>
          <w:szCs w:val="24"/>
        </w:rPr>
        <w:t xml:space="preserve"> según sexo, área, ingresos, edad.</w:t>
      </w:r>
    </w:p>
    <w:p w14:paraId="0FEA3011" w14:textId="77777777" w:rsidR="000C171B" w:rsidRPr="003B09F4" w:rsidRDefault="000C171B" w:rsidP="000C171B">
      <w:pPr>
        <w:spacing w:after="0" w:line="240" w:lineRule="auto"/>
        <w:jc w:val="both"/>
        <w:rPr>
          <w:rFonts w:ascii="Calibri" w:hAnsi="Calibri" w:cs="Calibri"/>
          <w:sz w:val="24"/>
          <w:szCs w:val="24"/>
        </w:rPr>
      </w:pPr>
    </w:p>
    <w:p w14:paraId="2642C83B" w14:textId="77777777" w:rsidR="000C171B" w:rsidRPr="003B09F4" w:rsidRDefault="000C171B" w:rsidP="000C171B">
      <w:pPr>
        <w:spacing w:after="0" w:line="240" w:lineRule="auto"/>
        <w:jc w:val="both"/>
        <w:rPr>
          <w:rFonts w:ascii="Calibri" w:hAnsi="Calibri" w:cs="Calibri"/>
          <w:sz w:val="24"/>
          <w:szCs w:val="24"/>
        </w:rPr>
      </w:pPr>
      <w:r w:rsidRPr="003B09F4">
        <w:rPr>
          <w:rFonts w:ascii="Calibri" w:hAnsi="Calibri" w:cs="Calibri"/>
          <w:sz w:val="24"/>
          <w:szCs w:val="24"/>
        </w:rPr>
        <w:t xml:space="preserve">Según la Ley de Responsabilidad Social Fiscal (LRSF), el Plan Estratégico de Gobierno deberá respaldar las acciones priorizadas con metas cuantificables en materia tributaria, financiamiento, gastos corrientes, nivel de ahorro corriente, endeudamiento público, pasivos contingentes entre otros. Además, deberá proponer un mecanismo de planificación y gestión por resultados. </w:t>
      </w:r>
    </w:p>
    <w:p w14:paraId="6B0840EB" w14:textId="77777777" w:rsidR="000C171B" w:rsidRPr="003B09F4" w:rsidRDefault="000C171B" w:rsidP="000C171B">
      <w:pPr>
        <w:spacing w:after="0" w:line="240" w:lineRule="auto"/>
        <w:jc w:val="both"/>
        <w:rPr>
          <w:rFonts w:ascii="Calibri" w:hAnsi="Calibri" w:cs="Calibri"/>
          <w:sz w:val="24"/>
          <w:szCs w:val="24"/>
        </w:rPr>
      </w:pPr>
    </w:p>
    <w:p w14:paraId="36AF6E22" w14:textId="77777777" w:rsidR="000C171B" w:rsidRPr="003B09F4" w:rsidRDefault="000C171B" w:rsidP="000C171B">
      <w:pPr>
        <w:spacing w:after="0" w:line="240" w:lineRule="auto"/>
        <w:jc w:val="both"/>
        <w:rPr>
          <w:rFonts w:ascii="Calibri" w:hAnsi="Calibri" w:cs="Calibri"/>
          <w:sz w:val="24"/>
          <w:szCs w:val="24"/>
        </w:rPr>
      </w:pPr>
      <w:r w:rsidRPr="003B09F4">
        <w:rPr>
          <w:rFonts w:ascii="Calibri" w:hAnsi="Calibri" w:cs="Calibri"/>
          <w:sz w:val="24"/>
          <w:szCs w:val="24"/>
        </w:rPr>
        <w:t>El PEG</w:t>
      </w:r>
      <w:r>
        <w:rPr>
          <w:rFonts w:ascii="Calibri" w:hAnsi="Calibri" w:cs="Calibri"/>
          <w:sz w:val="24"/>
          <w:szCs w:val="24"/>
        </w:rPr>
        <w:t xml:space="preserve"> (2019-2024)</w:t>
      </w:r>
      <w:r w:rsidRPr="003B09F4">
        <w:rPr>
          <w:rFonts w:ascii="Calibri" w:hAnsi="Calibri" w:cs="Calibri"/>
          <w:sz w:val="24"/>
          <w:szCs w:val="24"/>
        </w:rPr>
        <w:t xml:space="preserve"> </w:t>
      </w:r>
      <w:r>
        <w:rPr>
          <w:rFonts w:ascii="Calibri" w:hAnsi="Calibri" w:cs="Calibri"/>
          <w:sz w:val="24"/>
          <w:szCs w:val="24"/>
        </w:rPr>
        <w:t xml:space="preserve">de manera integral </w:t>
      </w:r>
      <w:r w:rsidRPr="003B09F4">
        <w:rPr>
          <w:rFonts w:ascii="Calibri" w:hAnsi="Calibri" w:cs="Calibri"/>
          <w:sz w:val="24"/>
          <w:szCs w:val="24"/>
        </w:rPr>
        <w:t xml:space="preserve">define las acciones específicas para aumentar la participación privada a través de inversión local e inversión directa extranjera en </w:t>
      </w:r>
      <w:r>
        <w:rPr>
          <w:rFonts w:ascii="Calibri" w:hAnsi="Calibri" w:cs="Calibri"/>
          <w:sz w:val="24"/>
          <w:szCs w:val="24"/>
        </w:rPr>
        <w:t xml:space="preserve">áreas </w:t>
      </w:r>
      <w:r>
        <w:rPr>
          <w:rFonts w:ascii="Calibri" w:hAnsi="Calibri" w:cs="Calibri"/>
          <w:sz w:val="24"/>
          <w:szCs w:val="24"/>
        </w:rPr>
        <w:lastRenderedPageBreak/>
        <w:t>estratégicas para el desarrollo nacional</w:t>
      </w:r>
      <w:r w:rsidRPr="003B09F4">
        <w:rPr>
          <w:rFonts w:ascii="Calibri" w:hAnsi="Calibri" w:cs="Calibri"/>
          <w:sz w:val="24"/>
          <w:szCs w:val="24"/>
        </w:rPr>
        <w:t xml:space="preserve">. Además, </w:t>
      </w:r>
      <w:r>
        <w:rPr>
          <w:rFonts w:ascii="Calibri" w:hAnsi="Calibri" w:cs="Calibri"/>
          <w:sz w:val="24"/>
          <w:szCs w:val="24"/>
        </w:rPr>
        <w:t xml:space="preserve">señala </w:t>
      </w:r>
      <w:r w:rsidRPr="003B09F4">
        <w:rPr>
          <w:rFonts w:ascii="Calibri" w:hAnsi="Calibri" w:cs="Calibri"/>
          <w:sz w:val="24"/>
          <w:szCs w:val="24"/>
        </w:rPr>
        <w:t>las ventajas y oportunidades de una economía abierta para convertirse en una economía más competitiva, tecnológica y productiva, asimismo de aprovechar óptimamente las oportunidades logísticas y de servicios en el país cambiando las prioridades del gasto público a corto, mediano y largo plazo para asegurar que la población se encuentre en condiciones de aprovechar los cambios tecnológicos que se están dando globalmente para aumentar su productividad y por ende sus ingresos</w:t>
      </w:r>
      <w:r>
        <w:rPr>
          <w:rFonts w:ascii="Calibri" w:hAnsi="Calibri" w:cs="Calibri"/>
          <w:sz w:val="24"/>
          <w:szCs w:val="24"/>
        </w:rPr>
        <w:t xml:space="preserve"> (PEG, 2019-2024)</w:t>
      </w:r>
      <w:r w:rsidRPr="003B09F4">
        <w:rPr>
          <w:rFonts w:ascii="Calibri" w:hAnsi="Calibri" w:cs="Calibri"/>
          <w:sz w:val="24"/>
          <w:szCs w:val="24"/>
        </w:rPr>
        <w:t>.</w:t>
      </w:r>
    </w:p>
    <w:p w14:paraId="0320E473" w14:textId="77777777" w:rsidR="000C171B" w:rsidRPr="003B09F4" w:rsidRDefault="000C171B" w:rsidP="000C171B">
      <w:pPr>
        <w:spacing w:after="0" w:line="240" w:lineRule="auto"/>
        <w:jc w:val="both"/>
        <w:rPr>
          <w:rFonts w:ascii="Calibri" w:hAnsi="Calibri" w:cs="Calibri"/>
          <w:sz w:val="24"/>
          <w:szCs w:val="24"/>
        </w:rPr>
      </w:pPr>
    </w:p>
    <w:p w14:paraId="1FE8B7F1" w14:textId="77777777" w:rsidR="000C171B" w:rsidRPr="003B09F4" w:rsidRDefault="000C171B" w:rsidP="000C171B">
      <w:pPr>
        <w:spacing w:after="0" w:line="240" w:lineRule="auto"/>
        <w:jc w:val="both"/>
        <w:rPr>
          <w:rFonts w:ascii="Calibri" w:hAnsi="Calibri" w:cs="Calibri"/>
          <w:sz w:val="24"/>
          <w:szCs w:val="24"/>
        </w:rPr>
      </w:pPr>
      <w:r>
        <w:rPr>
          <w:rFonts w:ascii="Calibri" w:hAnsi="Calibri" w:cs="Calibri"/>
          <w:sz w:val="24"/>
          <w:szCs w:val="24"/>
        </w:rPr>
        <w:t>De igual manera</w:t>
      </w:r>
      <w:r w:rsidRPr="003B09F4">
        <w:rPr>
          <w:rFonts w:ascii="Calibri" w:hAnsi="Calibri" w:cs="Calibri"/>
          <w:sz w:val="24"/>
          <w:szCs w:val="24"/>
        </w:rPr>
        <w:t xml:space="preserve">, el </w:t>
      </w:r>
      <w:bookmarkStart w:id="2" w:name="_Hlk29755811"/>
      <w:r w:rsidRPr="003B09F4">
        <w:rPr>
          <w:rFonts w:ascii="Calibri" w:hAnsi="Calibri" w:cs="Calibri"/>
          <w:sz w:val="24"/>
          <w:szCs w:val="24"/>
        </w:rPr>
        <w:t>PEG</w:t>
      </w:r>
      <w:r>
        <w:rPr>
          <w:rFonts w:ascii="Calibri" w:hAnsi="Calibri" w:cs="Calibri"/>
          <w:sz w:val="24"/>
          <w:szCs w:val="24"/>
        </w:rPr>
        <w:t xml:space="preserve"> (2019-2024)</w:t>
      </w:r>
      <w:r w:rsidRPr="003B09F4">
        <w:rPr>
          <w:rFonts w:ascii="Calibri" w:hAnsi="Calibri" w:cs="Calibri"/>
          <w:sz w:val="24"/>
          <w:szCs w:val="24"/>
        </w:rPr>
        <w:t xml:space="preserve"> </w:t>
      </w:r>
      <w:bookmarkEnd w:id="2"/>
      <w:r w:rsidRPr="003B09F4">
        <w:rPr>
          <w:rFonts w:ascii="Calibri" w:hAnsi="Calibri" w:cs="Calibri"/>
          <w:sz w:val="24"/>
          <w:szCs w:val="24"/>
        </w:rPr>
        <w:t xml:space="preserve">establece las decisiones ante las amenazas o restricciones que puedan afectar el desempeño eficiente del Canal, tomando en cuenta los requerimientos necesarios, de leyes, apoyo, que pueda necesitar de parte del Gobierno de Panamá. La gestión eficiente de los recursos naturales vinculados al funcionamiento del Canal, tales como la provisión de agua, y otros, son parte del esquema de competitividad país. </w:t>
      </w:r>
      <w:r>
        <w:rPr>
          <w:rFonts w:ascii="Calibri" w:hAnsi="Calibri" w:cs="Calibri"/>
          <w:sz w:val="24"/>
          <w:szCs w:val="24"/>
        </w:rPr>
        <w:t xml:space="preserve">De manera subsiguiente, el PEG (2019-2024) señala que la </w:t>
      </w:r>
      <w:r w:rsidRPr="003B09F4">
        <w:rPr>
          <w:rFonts w:ascii="Calibri" w:hAnsi="Calibri" w:cs="Calibri"/>
          <w:sz w:val="24"/>
          <w:szCs w:val="24"/>
        </w:rPr>
        <w:t xml:space="preserve">Educación </w:t>
      </w:r>
      <w:r>
        <w:rPr>
          <w:rFonts w:ascii="Calibri" w:hAnsi="Calibri" w:cs="Calibri"/>
          <w:sz w:val="24"/>
          <w:szCs w:val="24"/>
        </w:rPr>
        <w:t>es la vía para la movilidad social ascendente y mejor opción para romper con la transmisión intergeneracional de la pobreza</w:t>
      </w:r>
      <w:r w:rsidRPr="003B09F4">
        <w:rPr>
          <w:rFonts w:ascii="Calibri" w:hAnsi="Calibri" w:cs="Calibri"/>
          <w:sz w:val="24"/>
          <w:szCs w:val="24"/>
        </w:rPr>
        <w:t xml:space="preserve">. </w:t>
      </w:r>
    </w:p>
    <w:p w14:paraId="3DE559D1" w14:textId="77777777" w:rsidR="000C171B" w:rsidRPr="003B09F4" w:rsidRDefault="000C171B" w:rsidP="000C171B">
      <w:pPr>
        <w:spacing w:after="0" w:line="240" w:lineRule="auto"/>
        <w:jc w:val="both"/>
        <w:rPr>
          <w:rFonts w:ascii="Calibri" w:hAnsi="Calibri" w:cs="Calibri"/>
          <w:sz w:val="24"/>
          <w:szCs w:val="24"/>
        </w:rPr>
      </w:pPr>
    </w:p>
    <w:p w14:paraId="22B3796D" w14:textId="77777777" w:rsidR="000C171B" w:rsidRPr="003B09F4" w:rsidRDefault="000C171B" w:rsidP="000C171B">
      <w:pPr>
        <w:spacing w:after="0" w:line="240" w:lineRule="auto"/>
        <w:jc w:val="both"/>
        <w:rPr>
          <w:rFonts w:ascii="Calibri" w:hAnsi="Calibri" w:cs="Calibri"/>
          <w:color w:val="000000" w:themeColor="text1"/>
          <w:sz w:val="24"/>
          <w:szCs w:val="24"/>
        </w:rPr>
      </w:pPr>
      <w:r w:rsidRPr="003B09F4">
        <w:rPr>
          <w:rFonts w:ascii="Calibri" w:hAnsi="Calibri" w:cs="Calibri"/>
          <w:sz w:val="24"/>
          <w:szCs w:val="24"/>
        </w:rPr>
        <w:t xml:space="preserve">De manera relevante, el Plan </w:t>
      </w:r>
      <w:r>
        <w:rPr>
          <w:rFonts w:ascii="Calibri" w:hAnsi="Calibri" w:cs="Calibri"/>
          <w:sz w:val="24"/>
          <w:szCs w:val="24"/>
        </w:rPr>
        <w:t xml:space="preserve">Estratégico de Gobierno </w:t>
      </w:r>
      <w:r w:rsidRPr="003B09F4">
        <w:rPr>
          <w:rFonts w:ascii="Calibri" w:hAnsi="Calibri" w:cs="Calibri"/>
          <w:sz w:val="24"/>
          <w:szCs w:val="24"/>
        </w:rPr>
        <w:t>(</w:t>
      </w:r>
      <w:r>
        <w:rPr>
          <w:rFonts w:ascii="Calibri" w:hAnsi="Calibri" w:cs="Calibri"/>
          <w:sz w:val="24"/>
          <w:szCs w:val="24"/>
        </w:rPr>
        <w:t xml:space="preserve">PEG, </w:t>
      </w:r>
      <w:r w:rsidRPr="003B09F4">
        <w:rPr>
          <w:rFonts w:ascii="Calibri" w:hAnsi="Calibri" w:cs="Calibri"/>
          <w:sz w:val="24"/>
          <w:szCs w:val="24"/>
        </w:rPr>
        <w:t xml:space="preserve">2019-2024) considera necesaria una planificación y política regional sectorial tendiente a atender la economía agropecuaria familiar o de subsistencia, que, a diferencia de los agronegocios, necesita una atención especial, destinada a la erradicación de la pobreza, la desigualdad, y mejorar las condiciones de vida de la población rural en condiciones donde existen suelos degradados, reducción de la producción de agua y disminución de la biodiversidad en los distintos ecosistemas del país. </w:t>
      </w:r>
      <w:r w:rsidRPr="003B09F4">
        <w:rPr>
          <w:rFonts w:ascii="Calibri" w:hAnsi="Calibri" w:cs="Calibri"/>
          <w:color w:val="000000" w:themeColor="text1"/>
          <w:sz w:val="24"/>
          <w:szCs w:val="24"/>
        </w:rPr>
        <w:t xml:space="preserve">Por ello, desde su instalación, el Gobierno Nacional ha reconocido como pilares el combate a la pobreza (ODS 1) y la desigualdad (ODS 10), en seguimiento a la Agenda 2030, suscrita por Panamá, con la finalidad de avanzar hacia una sociedad más inclusiva, solidaria, cohesionada y que pone a las personas en el centro.  </w:t>
      </w:r>
    </w:p>
    <w:p w14:paraId="5A45FD8C" w14:textId="77777777" w:rsidR="000C171B" w:rsidRPr="003B09F4" w:rsidRDefault="000C171B" w:rsidP="000C171B">
      <w:pPr>
        <w:spacing w:after="0" w:line="240" w:lineRule="auto"/>
        <w:jc w:val="both"/>
        <w:rPr>
          <w:rFonts w:ascii="Calibri" w:hAnsi="Calibri" w:cs="Calibri"/>
          <w:color w:val="000000" w:themeColor="text1"/>
          <w:sz w:val="24"/>
          <w:szCs w:val="24"/>
        </w:rPr>
      </w:pPr>
    </w:p>
    <w:p w14:paraId="4A1CD17B" w14:textId="77777777" w:rsidR="000C171B" w:rsidRPr="003B09F4" w:rsidRDefault="000C171B" w:rsidP="000C171B">
      <w:pPr>
        <w:spacing w:after="0" w:line="240" w:lineRule="auto"/>
        <w:jc w:val="both"/>
        <w:rPr>
          <w:rFonts w:ascii="Calibri" w:hAnsi="Calibri" w:cs="Calibri"/>
          <w:color w:val="000000" w:themeColor="text1"/>
          <w:sz w:val="24"/>
          <w:szCs w:val="24"/>
        </w:rPr>
      </w:pPr>
      <w:r w:rsidRPr="003B09F4">
        <w:rPr>
          <w:rFonts w:ascii="Calibri" w:hAnsi="Calibri" w:cs="Calibri"/>
          <w:color w:val="000000" w:themeColor="text1"/>
          <w:sz w:val="24"/>
          <w:szCs w:val="24"/>
        </w:rPr>
        <w:t xml:space="preserve">Para </w:t>
      </w:r>
      <w:r>
        <w:rPr>
          <w:rFonts w:ascii="Calibri" w:hAnsi="Calibri" w:cs="Calibri"/>
          <w:color w:val="000000" w:themeColor="text1"/>
          <w:sz w:val="24"/>
          <w:szCs w:val="24"/>
        </w:rPr>
        <w:t xml:space="preserve">acelerar el desarrollo sostenible </w:t>
      </w:r>
      <w:r w:rsidRPr="003B09F4">
        <w:rPr>
          <w:rFonts w:ascii="Calibri" w:hAnsi="Calibri" w:cs="Calibri"/>
          <w:color w:val="000000" w:themeColor="text1"/>
          <w:sz w:val="24"/>
          <w:szCs w:val="24"/>
        </w:rPr>
        <w:t xml:space="preserve">el </w:t>
      </w:r>
      <w:r>
        <w:rPr>
          <w:rFonts w:ascii="Calibri" w:hAnsi="Calibri" w:cs="Calibri"/>
          <w:color w:val="000000" w:themeColor="text1"/>
          <w:sz w:val="24"/>
          <w:szCs w:val="24"/>
        </w:rPr>
        <w:t xml:space="preserve">PEG (2019-2024) </w:t>
      </w:r>
      <w:r w:rsidRPr="003B09F4">
        <w:rPr>
          <w:rFonts w:ascii="Calibri" w:hAnsi="Calibri" w:cs="Calibri"/>
          <w:color w:val="000000" w:themeColor="text1"/>
          <w:sz w:val="24"/>
          <w:szCs w:val="24"/>
        </w:rPr>
        <w:t>se prop</w:t>
      </w:r>
      <w:r>
        <w:rPr>
          <w:rFonts w:ascii="Calibri" w:hAnsi="Calibri" w:cs="Calibri"/>
          <w:color w:val="000000" w:themeColor="text1"/>
          <w:sz w:val="24"/>
          <w:szCs w:val="24"/>
        </w:rPr>
        <w:t xml:space="preserve">one </w:t>
      </w:r>
      <w:r w:rsidRPr="003B09F4">
        <w:rPr>
          <w:rFonts w:ascii="Calibri" w:hAnsi="Calibri" w:cs="Calibri"/>
          <w:color w:val="000000" w:themeColor="text1"/>
          <w:sz w:val="24"/>
          <w:szCs w:val="24"/>
        </w:rPr>
        <w:t xml:space="preserve">reducir las brechas y privaciones según edad, sexo, etnia y territorios a través de una estrategia para la regionalización de las políticas públicas y la intervención coordinada y articulada a la que ha denominado Colmena. El mismo promueve un modelo de desarrollo sostenible </w:t>
      </w:r>
      <w:r>
        <w:rPr>
          <w:rFonts w:ascii="Calibri" w:hAnsi="Calibri" w:cs="Calibri"/>
          <w:color w:val="000000" w:themeColor="text1"/>
          <w:sz w:val="24"/>
          <w:szCs w:val="24"/>
        </w:rPr>
        <w:t xml:space="preserve">subnacional </w:t>
      </w:r>
      <w:r w:rsidRPr="003B09F4">
        <w:rPr>
          <w:rFonts w:ascii="Calibri" w:hAnsi="Calibri" w:cs="Calibri"/>
          <w:color w:val="000000" w:themeColor="text1"/>
          <w:sz w:val="24"/>
          <w:szCs w:val="24"/>
        </w:rPr>
        <w:t xml:space="preserve">orientado hacia el cumplimiento de los Objetivos de Desarrollo Sostenible y las metas asociadas </w:t>
      </w:r>
      <w:r>
        <w:rPr>
          <w:rFonts w:ascii="Calibri" w:hAnsi="Calibri" w:cs="Calibri"/>
          <w:color w:val="000000" w:themeColor="text1"/>
          <w:sz w:val="24"/>
          <w:szCs w:val="24"/>
        </w:rPr>
        <w:t xml:space="preserve">a nivel local </w:t>
      </w:r>
      <w:r w:rsidRPr="003B09F4">
        <w:rPr>
          <w:rFonts w:ascii="Calibri" w:hAnsi="Calibri" w:cs="Calibri"/>
          <w:color w:val="000000" w:themeColor="text1"/>
          <w:sz w:val="24"/>
          <w:szCs w:val="24"/>
        </w:rPr>
        <w:t>para todos los sectores de la sociedad panameña, esforzándose en particular por llegar primero a los más rezagados.</w:t>
      </w:r>
    </w:p>
    <w:p w14:paraId="4E9D2B8E" w14:textId="77777777" w:rsidR="000C171B" w:rsidRPr="003B09F4" w:rsidRDefault="000C171B" w:rsidP="000C171B">
      <w:pPr>
        <w:spacing w:after="0" w:line="240" w:lineRule="auto"/>
        <w:jc w:val="both"/>
        <w:rPr>
          <w:rFonts w:ascii="Calibri" w:hAnsi="Calibri" w:cs="Calibri"/>
          <w:color w:val="000000" w:themeColor="text1"/>
          <w:sz w:val="24"/>
          <w:szCs w:val="24"/>
        </w:rPr>
      </w:pPr>
    </w:p>
    <w:p w14:paraId="7E9CD88C" w14:textId="77777777" w:rsidR="000C171B" w:rsidRPr="003B09F4" w:rsidRDefault="000C171B" w:rsidP="000C171B">
      <w:pPr>
        <w:spacing w:after="0" w:line="240" w:lineRule="auto"/>
        <w:jc w:val="both"/>
        <w:rPr>
          <w:rFonts w:ascii="Calibri" w:hAnsi="Calibri" w:cs="Calibri"/>
          <w:color w:val="000000" w:themeColor="text1"/>
          <w:sz w:val="24"/>
          <w:szCs w:val="24"/>
        </w:rPr>
      </w:pPr>
      <w:r w:rsidRPr="003B09F4">
        <w:rPr>
          <w:rFonts w:ascii="Calibri" w:hAnsi="Calibri" w:cs="Calibri"/>
          <w:color w:val="000000" w:themeColor="text1"/>
          <w:sz w:val="24"/>
          <w:szCs w:val="24"/>
        </w:rPr>
        <w:t xml:space="preserve">A través de Colmena, el Gobierno Nacional, para no dejar a nadie atrás, busca adecuar el diseño de la política públicas según derechos (marco normativo para las políticas), según factores territoriales y demográficos (atención a brechas, privaciones y necesidades permanentes y emergentes en antiguos y nuevos asentamientos), según factores culturales (participación y pertinencia), y según factores socioeconómicos (ingresos, salarios, transferencias)  y otras según necesidades por ciclo de vida, género, origen étnico. </w:t>
      </w:r>
    </w:p>
    <w:p w14:paraId="622C7DA0" w14:textId="77777777" w:rsidR="000C171B" w:rsidRPr="003B09F4" w:rsidRDefault="000C171B" w:rsidP="000C171B">
      <w:pPr>
        <w:spacing w:after="0" w:line="240" w:lineRule="auto"/>
        <w:jc w:val="both"/>
        <w:rPr>
          <w:rFonts w:ascii="Calibri" w:hAnsi="Calibri" w:cs="Calibri"/>
          <w:color w:val="000000" w:themeColor="text1"/>
          <w:sz w:val="24"/>
          <w:szCs w:val="24"/>
        </w:rPr>
      </w:pPr>
      <w:r w:rsidRPr="003B09F4">
        <w:rPr>
          <w:rFonts w:ascii="Calibri" w:hAnsi="Calibri" w:cs="Calibri"/>
          <w:color w:val="000000" w:themeColor="text1"/>
          <w:sz w:val="24"/>
          <w:szCs w:val="24"/>
        </w:rPr>
        <w:t xml:space="preserve"> </w:t>
      </w:r>
    </w:p>
    <w:p w14:paraId="5FDC4C3F" w14:textId="77777777" w:rsidR="000C171B" w:rsidRPr="003B09F4" w:rsidRDefault="000C171B" w:rsidP="000C171B">
      <w:pPr>
        <w:spacing w:after="0" w:line="240" w:lineRule="auto"/>
        <w:jc w:val="both"/>
        <w:rPr>
          <w:rFonts w:ascii="Calibri" w:hAnsi="Calibri" w:cs="Calibri"/>
          <w:color w:val="000000" w:themeColor="text1"/>
          <w:sz w:val="24"/>
          <w:szCs w:val="24"/>
        </w:rPr>
      </w:pPr>
      <w:r w:rsidRPr="003B09F4">
        <w:rPr>
          <w:rFonts w:ascii="Calibri" w:hAnsi="Calibri" w:cs="Calibri"/>
          <w:color w:val="000000" w:themeColor="text1"/>
          <w:sz w:val="24"/>
          <w:szCs w:val="24"/>
        </w:rPr>
        <w:t xml:space="preserve">Desde esa perspectiva, el Gobierno Nacional espera alcanzar tres efectos: más equidad a través del perfeccionamiento de los mecanismos de protección y participación ciudadana; menos </w:t>
      </w:r>
      <w:r w:rsidRPr="003B09F4">
        <w:rPr>
          <w:rFonts w:ascii="Calibri" w:hAnsi="Calibri" w:cs="Calibri"/>
          <w:color w:val="000000" w:themeColor="text1"/>
          <w:sz w:val="24"/>
          <w:szCs w:val="24"/>
        </w:rPr>
        <w:lastRenderedPageBreak/>
        <w:t>exclusión a través de la articulación y coordinación de las políticas, programas e intervenciones; menos asimetrías a través de la medición multidimensional de los desempeños de los programas e intervenciones.</w:t>
      </w:r>
    </w:p>
    <w:p w14:paraId="21660706" w14:textId="77777777" w:rsidR="000C171B" w:rsidRDefault="000C171B" w:rsidP="000C171B">
      <w:pPr>
        <w:spacing w:after="0" w:line="240" w:lineRule="auto"/>
        <w:rPr>
          <w:rFonts w:ascii="Calibri" w:hAnsi="Calibri" w:cs="Calibri"/>
          <w:b/>
          <w:bCs/>
          <w:color w:val="4472C4" w:themeColor="accent1"/>
          <w:sz w:val="24"/>
          <w:szCs w:val="24"/>
        </w:rPr>
      </w:pPr>
    </w:p>
    <w:p w14:paraId="62282780" w14:textId="77777777" w:rsidR="000C171B" w:rsidRPr="005952C5" w:rsidRDefault="000C171B" w:rsidP="000C171B">
      <w:pPr>
        <w:spacing w:after="0" w:line="240" w:lineRule="auto"/>
        <w:rPr>
          <w:rFonts w:ascii="Calibri" w:hAnsi="Calibri" w:cs="Calibri"/>
          <w:b/>
          <w:bCs/>
          <w:color w:val="4472C4" w:themeColor="accent1"/>
          <w:sz w:val="24"/>
          <w:szCs w:val="24"/>
        </w:rPr>
      </w:pPr>
      <w:r w:rsidRPr="005952C5">
        <w:rPr>
          <w:rFonts w:ascii="Calibri" w:hAnsi="Calibri" w:cs="Calibri"/>
          <w:b/>
          <w:bCs/>
          <w:color w:val="4472C4" w:themeColor="accent1"/>
          <w:sz w:val="24"/>
          <w:szCs w:val="24"/>
        </w:rPr>
        <w:t xml:space="preserve">2.3. Hoja de ruta nacional para la implementación de los ODS.  </w:t>
      </w:r>
    </w:p>
    <w:p w14:paraId="39804DCA" w14:textId="77777777" w:rsidR="000C171B" w:rsidRPr="00372D6D" w:rsidRDefault="000C171B" w:rsidP="000C171B">
      <w:pPr>
        <w:spacing w:after="0" w:line="240" w:lineRule="auto"/>
        <w:rPr>
          <w:rFonts w:ascii="Calibri" w:hAnsi="Calibri" w:cs="Calibri"/>
          <w:sz w:val="24"/>
          <w:szCs w:val="24"/>
        </w:rPr>
      </w:pPr>
    </w:p>
    <w:p w14:paraId="0A3514A1" w14:textId="77777777" w:rsidR="000C171B" w:rsidRPr="003B09F4" w:rsidRDefault="000C171B" w:rsidP="000C17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color w:val="212121"/>
          <w:sz w:val="24"/>
          <w:szCs w:val="24"/>
        </w:rPr>
      </w:pPr>
      <w:r w:rsidRPr="003B09F4">
        <w:rPr>
          <w:rFonts w:cs="Calibri"/>
          <w:sz w:val="24"/>
          <w:szCs w:val="24"/>
        </w:rPr>
        <w:t xml:space="preserve">La </w:t>
      </w:r>
      <w:r w:rsidRPr="003B09F4">
        <w:rPr>
          <w:rFonts w:cs="Arial"/>
          <w:color w:val="212121"/>
          <w:sz w:val="24"/>
          <w:szCs w:val="24"/>
        </w:rPr>
        <w:t xml:space="preserve">Agenda 2030 establece un fuerte vínculo entre derechos humanos y estilo de desarrollo. </w:t>
      </w:r>
      <w:r w:rsidRPr="003B09F4">
        <w:rPr>
          <w:rFonts w:eastAsia="Times New Roman" w:cs="Arial"/>
          <w:color w:val="212121"/>
          <w:sz w:val="24"/>
          <w:szCs w:val="24"/>
        </w:rPr>
        <w:t>La Agenda 2030 define la dirección de las políticas de desarrollo, ofreciendo puntos de entrada vitales y oportunidades para crear puentes para la realización de los derechos humanos de todas las personas y el desarrollo sostenible.</w:t>
      </w:r>
      <w:r>
        <w:rPr>
          <w:rFonts w:eastAsia="Times New Roman" w:cs="Arial"/>
          <w:color w:val="212121"/>
          <w:sz w:val="24"/>
          <w:szCs w:val="24"/>
        </w:rPr>
        <w:t xml:space="preserve"> Panamá acogió esa ruta. </w:t>
      </w:r>
    </w:p>
    <w:p w14:paraId="31651A96" w14:textId="77777777" w:rsidR="000C171B" w:rsidRPr="003B09F4" w:rsidRDefault="000C171B" w:rsidP="000C171B">
      <w:pPr>
        <w:pStyle w:val="HTMLPreformatted"/>
        <w:shd w:val="clear" w:color="auto" w:fill="FFFFFF"/>
        <w:jc w:val="both"/>
        <w:rPr>
          <w:rFonts w:asciiTheme="minorHAnsi" w:hAnsiTheme="minorHAnsi" w:cs="Arial"/>
          <w:color w:val="212121"/>
          <w:sz w:val="24"/>
          <w:szCs w:val="24"/>
          <w:lang w:val="es-PA"/>
        </w:rPr>
      </w:pPr>
    </w:p>
    <w:p w14:paraId="0EB9CBE1" w14:textId="77777777" w:rsidR="000C171B" w:rsidRPr="003B09F4" w:rsidRDefault="000C171B" w:rsidP="000C171B">
      <w:pPr>
        <w:spacing w:after="0" w:line="240" w:lineRule="auto"/>
        <w:jc w:val="both"/>
        <w:rPr>
          <w:rFonts w:ascii="Calibri" w:hAnsi="Calibri" w:cs="Calibri"/>
          <w:color w:val="000000" w:themeColor="text1"/>
          <w:sz w:val="24"/>
          <w:szCs w:val="24"/>
        </w:rPr>
      </w:pPr>
      <w:r w:rsidRPr="003B09F4">
        <w:rPr>
          <w:rFonts w:cs="Arial"/>
          <w:color w:val="212121"/>
          <w:sz w:val="24"/>
          <w:szCs w:val="24"/>
        </w:rPr>
        <w:t>De allí que e</w:t>
      </w:r>
      <w:r w:rsidRPr="003B09F4">
        <w:rPr>
          <w:rFonts w:ascii="Calibri" w:hAnsi="Calibri" w:cs="Calibri"/>
          <w:color w:val="000000" w:themeColor="text1"/>
          <w:sz w:val="24"/>
          <w:szCs w:val="24"/>
        </w:rPr>
        <w:t>l proceso de transformación de la política pública para el cumplimiento de la Agenda 2030, consider</w:t>
      </w:r>
      <w:r>
        <w:rPr>
          <w:rFonts w:ascii="Calibri" w:hAnsi="Calibri" w:cs="Calibri"/>
          <w:color w:val="000000" w:themeColor="text1"/>
          <w:sz w:val="24"/>
          <w:szCs w:val="24"/>
        </w:rPr>
        <w:t>e</w:t>
      </w:r>
      <w:r w:rsidRPr="003B09F4">
        <w:rPr>
          <w:rFonts w:ascii="Calibri" w:hAnsi="Calibri" w:cs="Calibri"/>
          <w:color w:val="000000" w:themeColor="text1"/>
          <w:sz w:val="24"/>
          <w:szCs w:val="24"/>
        </w:rPr>
        <w:t xml:space="preserve"> en su conjunto, </w:t>
      </w:r>
      <w:r>
        <w:rPr>
          <w:rFonts w:ascii="Calibri" w:hAnsi="Calibri" w:cs="Calibri"/>
          <w:color w:val="000000" w:themeColor="text1"/>
          <w:sz w:val="24"/>
          <w:szCs w:val="24"/>
        </w:rPr>
        <w:t>los siguientes aspectos</w:t>
      </w:r>
      <w:r w:rsidRPr="003B09F4">
        <w:rPr>
          <w:rFonts w:ascii="Calibri" w:hAnsi="Calibri" w:cs="Calibri"/>
          <w:color w:val="000000" w:themeColor="text1"/>
          <w:sz w:val="24"/>
          <w:szCs w:val="24"/>
        </w:rPr>
        <w:t xml:space="preserve">: (i) que los indicadores de esperanza de vida, mortalidad, salud, nutrición, educación y protección social, divergen a lo largo de las </w:t>
      </w:r>
      <w:r>
        <w:rPr>
          <w:rFonts w:ascii="Calibri" w:hAnsi="Calibri" w:cs="Calibri"/>
          <w:color w:val="000000" w:themeColor="text1"/>
          <w:sz w:val="24"/>
          <w:szCs w:val="24"/>
        </w:rPr>
        <w:t xml:space="preserve">áreas rurales y </w:t>
      </w:r>
      <w:r w:rsidRPr="003B09F4">
        <w:rPr>
          <w:rFonts w:ascii="Calibri" w:hAnsi="Calibri" w:cs="Calibri"/>
          <w:color w:val="000000" w:themeColor="text1"/>
          <w:sz w:val="24"/>
          <w:szCs w:val="24"/>
        </w:rPr>
        <w:t>urbanas; (</w:t>
      </w:r>
      <w:proofErr w:type="spellStart"/>
      <w:r w:rsidRPr="003B09F4">
        <w:rPr>
          <w:rFonts w:ascii="Calibri" w:hAnsi="Calibri" w:cs="Calibri"/>
          <w:color w:val="000000" w:themeColor="text1"/>
          <w:sz w:val="24"/>
          <w:szCs w:val="24"/>
        </w:rPr>
        <w:t>ii</w:t>
      </w:r>
      <w:proofErr w:type="spellEnd"/>
      <w:r w:rsidRPr="003B09F4">
        <w:rPr>
          <w:rFonts w:ascii="Calibri" w:hAnsi="Calibri" w:cs="Calibri"/>
          <w:color w:val="000000" w:themeColor="text1"/>
          <w:sz w:val="24"/>
          <w:szCs w:val="24"/>
        </w:rPr>
        <w:t>) que cualesquiera de los enfoques de la política pública en las comunidades rurales, las comarcas indígenas y las poblaciones marginadas de migrantes y refugiados debe romper la brecha geográfica; (</w:t>
      </w:r>
      <w:proofErr w:type="spellStart"/>
      <w:r w:rsidRPr="003B09F4">
        <w:rPr>
          <w:rFonts w:ascii="Calibri" w:hAnsi="Calibri" w:cs="Calibri"/>
          <w:color w:val="000000" w:themeColor="text1"/>
          <w:sz w:val="24"/>
          <w:szCs w:val="24"/>
        </w:rPr>
        <w:t>iii</w:t>
      </w:r>
      <w:proofErr w:type="spellEnd"/>
      <w:r w:rsidRPr="003B09F4">
        <w:rPr>
          <w:rFonts w:ascii="Calibri" w:hAnsi="Calibri" w:cs="Calibri"/>
          <w:color w:val="000000" w:themeColor="text1"/>
          <w:sz w:val="24"/>
          <w:szCs w:val="24"/>
        </w:rPr>
        <w:t xml:space="preserve">) que se requerirá una provisión de servicios multinivel y multisectorial para a abordar de manera acumulativa y sostenida las intervenciones en forma diferencial entre hombres y mujeres </w:t>
      </w:r>
      <w:r>
        <w:rPr>
          <w:rFonts w:ascii="Calibri" w:hAnsi="Calibri" w:cs="Calibri"/>
          <w:color w:val="000000" w:themeColor="text1"/>
          <w:sz w:val="24"/>
          <w:szCs w:val="24"/>
        </w:rPr>
        <w:t>según el ciclo de vida</w:t>
      </w:r>
      <w:r w:rsidRPr="003B09F4">
        <w:rPr>
          <w:rFonts w:ascii="Calibri" w:hAnsi="Calibri" w:cs="Calibri"/>
          <w:color w:val="000000" w:themeColor="text1"/>
          <w:sz w:val="24"/>
          <w:szCs w:val="24"/>
        </w:rPr>
        <w:t>; (</w:t>
      </w:r>
      <w:proofErr w:type="spellStart"/>
      <w:r w:rsidRPr="003B09F4">
        <w:rPr>
          <w:rFonts w:ascii="Calibri" w:hAnsi="Calibri" w:cs="Calibri"/>
          <w:color w:val="000000" w:themeColor="text1"/>
          <w:sz w:val="24"/>
          <w:szCs w:val="24"/>
        </w:rPr>
        <w:t>iv</w:t>
      </w:r>
      <w:proofErr w:type="spellEnd"/>
      <w:r w:rsidRPr="003B09F4">
        <w:rPr>
          <w:rFonts w:ascii="Calibri" w:hAnsi="Calibri" w:cs="Calibri"/>
          <w:color w:val="000000" w:themeColor="text1"/>
          <w:sz w:val="24"/>
          <w:szCs w:val="24"/>
        </w:rPr>
        <w:t xml:space="preserve">) que las intervenciones deben </w:t>
      </w:r>
      <w:r>
        <w:rPr>
          <w:rFonts w:ascii="Calibri" w:hAnsi="Calibri" w:cs="Calibri"/>
          <w:color w:val="000000" w:themeColor="text1"/>
          <w:sz w:val="24"/>
          <w:szCs w:val="24"/>
        </w:rPr>
        <w:t>incluirse sistemáticamente en</w:t>
      </w:r>
      <w:r w:rsidRPr="003B09F4">
        <w:rPr>
          <w:rFonts w:ascii="Calibri" w:hAnsi="Calibri" w:cs="Calibri"/>
          <w:color w:val="000000" w:themeColor="text1"/>
          <w:sz w:val="24"/>
          <w:szCs w:val="24"/>
        </w:rPr>
        <w:t xml:space="preserve"> el sistema de planificación del desarrollo que involucra a las autoridades y líderes locales y tradicionales</w:t>
      </w:r>
      <w:r>
        <w:rPr>
          <w:rFonts w:ascii="Calibri" w:hAnsi="Calibri" w:cs="Calibri"/>
          <w:color w:val="000000" w:themeColor="text1"/>
          <w:sz w:val="24"/>
          <w:szCs w:val="24"/>
        </w:rPr>
        <w:t>;</w:t>
      </w:r>
      <w:r w:rsidRPr="003B09F4">
        <w:rPr>
          <w:rFonts w:ascii="Calibri" w:hAnsi="Calibri" w:cs="Calibri"/>
          <w:color w:val="000000" w:themeColor="text1"/>
          <w:sz w:val="24"/>
          <w:szCs w:val="24"/>
        </w:rPr>
        <w:t xml:space="preserve"> (v) que el monitoreo de hogares en tiempo real puede desarrollar un mecanismo efectivo de prestación de servicios en el territorio.</w:t>
      </w:r>
    </w:p>
    <w:p w14:paraId="08CF32FC" w14:textId="77777777" w:rsidR="000C171B" w:rsidRPr="003B09F4" w:rsidRDefault="000C171B" w:rsidP="000C171B">
      <w:pPr>
        <w:spacing w:after="0" w:line="240" w:lineRule="auto"/>
        <w:jc w:val="both"/>
        <w:rPr>
          <w:rFonts w:ascii="Calibri" w:hAnsi="Calibri" w:cs="Calibri"/>
          <w:color w:val="000000" w:themeColor="text1"/>
          <w:sz w:val="24"/>
          <w:szCs w:val="24"/>
        </w:rPr>
      </w:pPr>
    </w:p>
    <w:p w14:paraId="0FE3A286" w14:textId="77777777" w:rsidR="000C171B" w:rsidRPr="003B09F4" w:rsidRDefault="000C171B" w:rsidP="000C171B">
      <w:pPr>
        <w:spacing w:after="0" w:line="240" w:lineRule="auto"/>
        <w:jc w:val="both"/>
        <w:rPr>
          <w:rFonts w:ascii="Calibri" w:hAnsi="Calibri" w:cs="Calibri"/>
          <w:color w:val="000000" w:themeColor="text1"/>
          <w:sz w:val="24"/>
          <w:szCs w:val="24"/>
        </w:rPr>
      </w:pPr>
      <w:r w:rsidRPr="003B09F4">
        <w:rPr>
          <w:rFonts w:ascii="Calibri" w:hAnsi="Calibri" w:cs="Calibri"/>
          <w:color w:val="000000" w:themeColor="text1"/>
          <w:sz w:val="24"/>
          <w:szCs w:val="24"/>
        </w:rPr>
        <w:t xml:space="preserve">Este proceso de cambios para acelerar el cumplimiento de los ODS, tiene a su base tres supuestos: </w:t>
      </w:r>
      <w:r>
        <w:rPr>
          <w:rFonts w:ascii="Calibri" w:hAnsi="Calibri" w:cs="Calibri"/>
          <w:color w:val="000000" w:themeColor="text1"/>
          <w:sz w:val="24"/>
          <w:szCs w:val="24"/>
        </w:rPr>
        <w:t xml:space="preserve">(i) </w:t>
      </w:r>
      <w:r w:rsidRPr="003B09F4">
        <w:rPr>
          <w:rFonts w:ascii="Calibri" w:hAnsi="Calibri" w:cs="Calibri"/>
          <w:color w:val="000000" w:themeColor="text1"/>
          <w:sz w:val="24"/>
          <w:szCs w:val="24"/>
        </w:rPr>
        <w:t xml:space="preserve">las intervenciones sectoriales dispersas despliegan patrón de exclusión en las zonas rurales; </w:t>
      </w:r>
      <w:r>
        <w:rPr>
          <w:rFonts w:ascii="Calibri" w:hAnsi="Calibri" w:cs="Calibri"/>
          <w:color w:val="000000" w:themeColor="text1"/>
          <w:sz w:val="24"/>
          <w:szCs w:val="24"/>
        </w:rPr>
        <w:t>(</w:t>
      </w:r>
      <w:proofErr w:type="spellStart"/>
      <w:r>
        <w:rPr>
          <w:rFonts w:ascii="Calibri" w:hAnsi="Calibri" w:cs="Calibri"/>
          <w:color w:val="000000" w:themeColor="text1"/>
          <w:sz w:val="24"/>
          <w:szCs w:val="24"/>
        </w:rPr>
        <w:t>ii</w:t>
      </w:r>
      <w:proofErr w:type="spellEnd"/>
      <w:r>
        <w:rPr>
          <w:rFonts w:ascii="Calibri" w:hAnsi="Calibri" w:cs="Calibri"/>
          <w:color w:val="000000" w:themeColor="text1"/>
          <w:sz w:val="24"/>
          <w:szCs w:val="24"/>
        </w:rPr>
        <w:t xml:space="preserve">) </w:t>
      </w:r>
      <w:r w:rsidRPr="003B09F4">
        <w:rPr>
          <w:rFonts w:ascii="Calibri" w:hAnsi="Calibri" w:cs="Calibri"/>
          <w:color w:val="000000" w:themeColor="text1"/>
          <w:sz w:val="24"/>
          <w:szCs w:val="24"/>
        </w:rPr>
        <w:t xml:space="preserve">los proveedores de servicios existentes carecen de datos para identificar patrones progresivos o regresivos, además de lo que funciona y lo que no funciona; </w:t>
      </w:r>
      <w:r>
        <w:rPr>
          <w:rFonts w:ascii="Calibri" w:hAnsi="Calibri" w:cs="Calibri"/>
          <w:color w:val="000000" w:themeColor="text1"/>
          <w:sz w:val="24"/>
          <w:szCs w:val="24"/>
        </w:rPr>
        <w:t>(</w:t>
      </w:r>
      <w:proofErr w:type="spellStart"/>
      <w:r>
        <w:rPr>
          <w:rFonts w:ascii="Calibri" w:hAnsi="Calibri" w:cs="Calibri"/>
          <w:color w:val="000000" w:themeColor="text1"/>
          <w:sz w:val="24"/>
          <w:szCs w:val="24"/>
        </w:rPr>
        <w:t>iii</w:t>
      </w:r>
      <w:proofErr w:type="spellEnd"/>
      <w:r>
        <w:rPr>
          <w:rFonts w:ascii="Calibri" w:hAnsi="Calibri" w:cs="Calibri"/>
          <w:color w:val="000000" w:themeColor="text1"/>
          <w:sz w:val="24"/>
          <w:szCs w:val="24"/>
        </w:rPr>
        <w:t xml:space="preserve">) </w:t>
      </w:r>
      <w:r w:rsidRPr="003B09F4">
        <w:rPr>
          <w:rFonts w:ascii="Calibri" w:hAnsi="Calibri" w:cs="Calibri"/>
          <w:color w:val="000000" w:themeColor="text1"/>
          <w:sz w:val="24"/>
          <w:szCs w:val="24"/>
        </w:rPr>
        <w:t>un sistema con multi intervenciones en multi sectores sólo ocurrirá de manera sistémica con una decisión política coordinada y articulada. Sólo una intervención eficaz en los territorios que cierra las brechas acelerará la consecución de los objetivos y permitirá un escalamiento de la política pública a nivel subnacional.</w:t>
      </w:r>
    </w:p>
    <w:p w14:paraId="2ADEB244" w14:textId="77777777" w:rsidR="000C171B" w:rsidRPr="003B09F4" w:rsidRDefault="000C171B" w:rsidP="000C171B">
      <w:pPr>
        <w:spacing w:after="0" w:line="240" w:lineRule="auto"/>
        <w:jc w:val="both"/>
        <w:rPr>
          <w:rFonts w:ascii="Calibri" w:hAnsi="Calibri" w:cs="Calibri"/>
          <w:color w:val="000000" w:themeColor="text1"/>
          <w:sz w:val="24"/>
          <w:szCs w:val="24"/>
        </w:rPr>
      </w:pPr>
    </w:p>
    <w:p w14:paraId="3C69AE66" w14:textId="77777777" w:rsidR="000C171B" w:rsidRPr="003B09F4" w:rsidRDefault="000C171B" w:rsidP="000C171B">
      <w:pPr>
        <w:spacing w:after="0" w:line="240" w:lineRule="auto"/>
        <w:jc w:val="both"/>
        <w:rPr>
          <w:rFonts w:cstheme="minorHAnsi"/>
          <w:color w:val="FF0000"/>
          <w:sz w:val="24"/>
          <w:szCs w:val="24"/>
        </w:rPr>
      </w:pPr>
      <w:r w:rsidRPr="003B09F4">
        <w:rPr>
          <w:rFonts w:cstheme="minorHAnsi"/>
          <w:color w:val="000000" w:themeColor="text1"/>
          <w:sz w:val="24"/>
          <w:szCs w:val="24"/>
        </w:rPr>
        <w:t>Por ello, para superar los nudos críticos que impiden acelerar el cumplimiento de la Agenda 2030, en primer lugar, se debe adecuar la arquitectura de la política pública considerando los siguientes aspectos:  (i) desarrollar mecanismos de interacción sociopolítica participativos e incluyentes desde la formulación hasta la evaluación de la política;  (</w:t>
      </w:r>
      <w:proofErr w:type="spellStart"/>
      <w:r w:rsidRPr="003B09F4">
        <w:rPr>
          <w:rFonts w:cstheme="minorHAnsi"/>
          <w:color w:val="000000" w:themeColor="text1"/>
          <w:sz w:val="24"/>
          <w:szCs w:val="24"/>
        </w:rPr>
        <w:t>ii</w:t>
      </w:r>
      <w:proofErr w:type="spellEnd"/>
      <w:r w:rsidRPr="003B09F4">
        <w:rPr>
          <w:rFonts w:cstheme="minorHAnsi"/>
          <w:color w:val="000000" w:themeColor="text1"/>
          <w:sz w:val="24"/>
          <w:szCs w:val="24"/>
        </w:rPr>
        <w:t>) gestar políticas públicas integrales que consideren lo social, lo económico y lo ambiental y consideraciones climáticas, pero vinculando diseño con asignación financiera según desempeño y evaluación de las intervenciones con perspectiva de género, intergeneracional, e intercultural;  (</w:t>
      </w:r>
      <w:proofErr w:type="spellStart"/>
      <w:r w:rsidRPr="003B09F4">
        <w:rPr>
          <w:rFonts w:cstheme="minorHAnsi"/>
          <w:color w:val="000000" w:themeColor="text1"/>
          <w:sz w:val="24"/>
          <w:szCs w:val="24"/>
        </w:rPr>
        <w:t>iii</w:t>
      </w:r>
      <w:proofErr w:type="spellEnd"/>
      <w:r w:rsidRPr="003B09F4">
        <w:rPr>
          <w:rFonts w:cstheme="minorHAnsi"/>
          <w:color w:val="000000" w:themeColor="text1"/>
          <w:sz w:val="24"/>
          <w:szCs w:val="24"/>
        </w:rPr>
        <w:t>) asegurar ecosistemas de datos integrados según estándares de resultados y calidad: acceso, adecuación, adaptación, aceptación;  (</w:t>
      </w:r>
      <w:proofErr w:type="spellStart"/>
      <w:r w:rsidRPr="003B09F4">
        <w:rPr>
          <w:rFonts w:cstheme="minorHAnsi"/>
          <w:color w:val="000000" w:themeColor="text1"/>
          <w:sz w:val="24"/>
          <w:szCs w:val="24"/>
        </w:rPr>
        <w:t>iv</w:t>
      </w:r>
      <w:proofErr w:type="spellEnd"/>
      <w:r w:rsidRPr="003B09F4">
        <w:rPr>
          <w:rFonts w:cstheme="minorHAnsi"/>
          <w:color w:val="000000" w:themeColor="text1"/>
          <w:sz w:val="24"/>
          <w:szCs w:val="24"/>
        </w:rPr>
        <w:t xml:space="preserve">)  asumir la gestión por resultados como ruta para generar incentivos y mejorar integralmente las políticas públicas; (v) incrementar la asignación de presupuestos institucionales según criterios de equidad, sostenibilidad, eficiencia e impacto;  (vi) instalación </w:t>
      </w:r>
      <w:r w:rsidRPr="003B09F4">
        <w:rPr>
          <w:rFonts w:cstheme="minorHAnsi"/>
          <w:color w:val="000000" w:themeColor="text1"/>
          <w:sz w:val="24"/>
          <w:szCs w:val="24"/>
        </w:rPr>
        <w:lastRenderedPageBreak/>
        <w:t>de enfoques intersectoriales y territoriales con acciones transversales que promuevan la igualdad de oportunidades y capacidades;  (</w:t>
      </w:r>
      <w:proofErr w:type="spellStart"/>
      <w:r w:rsidRPr="003B09F4">
        <w:rPr>
          <w:rFonts w:cstheme="minorHAnsi"/>
          <w:color w:val="000000" w:themeColor="text1"/>
          <w:sz w:val="24"/>
          <w:szCs w:val="24"/>
        </w:rPr>
        <w:t>vii</w:t>
      </w:r>
      <w:proofErr w:type="spellEnd"/>
      <w:r w:rsidRPr="003B09F4">
        <w:rPr>
          <w:rFonts w:cstheme="minorHAnsi"/>
          <w:color w:val="000000" w:themeColor="text1"/>
          <w:sz w:val="24"/>
          <w:szCs w:val="24"/>
        </w:rPr>
        <w:t>) soportes técnicos con base en buenas prácticas, lecciones aprendidas e innovaciones que garanticen la gestión basada en evidencias; (</w:t>
      </w:r>
      <w:proofErr w:type="spellStart"/>
      <w:r w:rsidRPr="003B09F4">
        <w:rPr>
          <w:rFonts w:cstheme="minorHAnsi"/>
          <w:color w:val="000000" w:themeColor="text1"/>
          <w:sz w:val="24"/>
          <w:szCs w:val="24"/>
        </w:rPr>
        <w:t>viii</w:t>
      </w:r>
      <w:proofErr w:type="spellEnd"/>
      <w:r w:rsidRPr="003B09F4">
        <w:rPr>
          <w:rFonts w:cstheme="minorHAnsi"/>
          <w:color w:val="000000" w:themeColor="text1"/>
          <w:sz w:val="24"/>
          <w:szCs w:val="24"/>
        </w:rPr>
        <w:t>) soluciones basadas en naturaleza, para la adopción de medidas para hacer frente al cambio climático, la seguridad alimentaria e hídrica, la salud humana, el riesgo de desastres y el desarrollo social y económico (UICN</w:t>
      </w:r>
      <w:r>
        <w:rPr>
          <w:rFonts w:cstheme="minorHAnsi"/>
          <w:color w:val="000000" w:themeColor="text1"/>
          <w:sz w:val="24"/>
          <w:szCs w:val="24"/>
        </w:rPr>
        <w:t>,</w:t>
      </w:r>
      <w:r w:rsidRPr="003B09F4">
        <w:rPr>
          <w:rFonts w:cstheme="minorHAnsi"/>
          <w:color w:val="000000" w:themeColor="text1"/>
          <w:sz w:val="24"/>
          <w:szCs w:val="24"/>
        </w:rPr>
        <w:t xml:space="preserve"> 2016).</w:t>
      </w:r>
    </w:p>
    <w:p w14:paraId="3D5454C6" w14:textId="77777777" w:rsidR="000C171B" w:rsidRPr="003B09F4" w:rsidRDefault="000C171B" w:rsidP="000C171B">
      <w:pPr>
        <w:spacing w:after="0" w:line="240" w:lineRule="auto"/>
        <w:jc w:val="both"/>
        <w:rPr>
          <w:rFonts w:cstheme="minorHAnsi"/>
          <w:color w:val="000000" w:themeColor="text1"/>
          <w:sz w:val="24"/>
          <w:szCs w:val="24"/>
        </w:rPr>
      </w:pPr>
      <w:r w:rsidRPr="003B09F4">
        <w:rPr>
          <w:rFonts w:cstheme="minorHAnsi"/>
          <w:color w:val="000000" w:themeColor="text1"/>
          <w:sz w:val="24"/>
          <w:szCs w:val="24"/>
        </w:rPr>
        <w:t xml:space="preserve"> </w:t>
      </w:r>
    </w:p>
    <w:p w14:paraId="674501F9" w14:textId="77777777" w:rsidR="000C171B" w:rsidRPr="003B09F4" w:rsidRDefault="000C171B" w:rsidP="000C171B">
      <w:pPr>
        <w:spacing w:after="0" w:line="240" w:lineRule="auto"/>
        <w:jc w:val="both"/>
        <w:rPr>
          <w:rFonts w:cstheme="minorHAnsi"/>
          <w:color w:val="000000" w:themeColor="text1"/>
          <w:sz w:val="24"/>
          <w:szCs w:val="24"/>
        </w:rPr>
      </w:pPr>
      <w:r w:rsidRPr="003B09F4">
        <w:rPr>
          <w:rFonts w:cstheme="minorHAnsi"/>
          <w:color w:val="000000" w:themeColor="text1"/>
          <w:sz w:val="24"/>
          <w:szCs w:val="24"/>
        </w:rPr>
        <w:t>En segundo lugar, se deben transversalizar las metas ODS en la oferta programática de la política pública considerando el enfoque de derechos, de género, edad, étnico (marco normativo y mecanismo para operativizar las políticas), condiciones territoriales, aspectos demográficos y factores culturales y socioeconómicos. Para dar organicidad y racionalidad a un conjunto de actividades consideradas pertinentes para el</w:t>
      </w:r>
      <w:r w:rsidRPr="003B09F4">
        <w:rPr>
          <w:rFonts w:ascii="Arial Narrow" w:hAnsi="Arial Narrow"/>
          <w:color w:val="000000" w:themeColor="text1"/>
          <w:sz w:val="28"/>
          <w:szCs w:val="28"/>
        </w:rPr>
        <w:t xml:space="preserve"> </w:t>
      </w:r>
      <w:r w:rsidRPr="003B09F4">
        <w:rPr>
          <w:rFonts w:cstheme="minorHAnsi"/>
          <w:color w:val="000000" w:themeColor="text1"/>
          <w:sz w:val="24"/>
          <w:szCs w:val="24"/>
        </w:rPr>
        <w:t>logro de determinadas metas y objetivos. Con el fin de incidir de una manera organizada y sistemática en determinados procesos, intervenciones y resultados.</w:t>
      </w:r>
    </w:p>
    <w:p w14:paraId="5D69A9B0" w14:textId="77777777" w:rsidR="000C171B" w:rsidRPr="003B09F4" w:rsidRDefault="000C171B" w:rsidP="000C171B">
      <w:pPr>
        <w:spacing w:after="0" w:line="240" w:lineRule="auto"/>
        <w:jc w:val="both"/>
        <w:rPr>
          <w:rFonts w:cstheme="minorHAnsi"/>
          <w:color w:val="000000" w:themeColor="text1"/>
          <w:sz w:val="24"/>
          <w:szCs w:val="24"/>
        </w:rPr>
      </w:pPr>
    </w:p>
    <w:p w14:paraId="399FA4EC" w14:textId="77777777" w:rsidR="000C171B" w:rsidRPr="003B09F4" w:rsidRDefault="000C171B" w:rsidP="000C171B">
      <w:pPr>
        <w:spacing w:after="0" w:line="240" w:lineRule="auto"/>
        <w:jc w:val="both"/>
        <w:rPr>
          <w:rFonts w:cstheme="minorHAnsi"/>
          <w:color w:val="000000" w:themeColor="text1"/>
          <w:sz w:val="24"/>
          <w:szCs w:val="24"/>
        </w:rPr>
      </w:pPr>
      <w:r w:rsidRPr="003B09F4">
        <w:rPr>
          <w:rFonts w:cstheme="minorHAnsi"/>
          <w:color w:val="000000" w:themeColor="text1"/>
          <w:sz w:val="24"/>
          <w:szCs w:val="24"/>
        </w:rPr>
        <w:t xml:space="preserve">En tercer lugar, centrar las intervenciones tanto las brechas como los problemas que limitan y/o reducen el desarrollo local y regional. Es decir, se tienen que diseñar políticas integrales </w:t>
      </w:r>
      <w:proofErr w:type="spellStart"/>
      <w:r w:rsidRPr="003B09F4">
        <w:rPr>
          <w:rFonts w:cstheme="minorHAnsi"/>
          <w:color w:val="000000" w:themeColor="text1"/>
          <w:sz w:val="24"/>
          <w:szCs w:val="24"/>
        </w:rPr>
        <w:t>pro-inclusión</w:t>
      </w:r>
      <w:proofErr w:type="spellEnd"/>
      <w:r w:rsidRPr="003B09F4">
        <w:rPr>
          <w:rFonts w:cstheme="minorHAnsi"/>
          <w:color w:val="000000" w:themeColor="text1"/>
          <w:sz w:val="24"/>
          <w:szCs w:val="24"/>
        </w:rPr>
        <w:t xml:space="preserve"> con distintos matices según las áreas y la dispersión según lugares poblados, pero considerando siempre un esquema operacional de soluciones basadas en la naturaleza que sea intersectorial, inter temporal, inter escalable.</w:t>
      </w:r>
    </w:p>
    <w:p w14:paraId="3C86BF5C" w14:textId="77777777" w:rsidR="000C171B" w:rsidRPr="003B09F4" w:rsidRDefault="000C171B" w:rsidP="000C171B">
      <w:pPr>
        <w:spacing w:after="0" w:line="240" w:lineRule="auto"/>
        <w:jc w:val="both"/>
        <w:rPr>
          <w:rFonts w:cstheme="minorHAnsi"/>
          <w:color w:val="000000" w:themeColor="text1"/>
          <w:sz w:val="24"/>
          <w:szCs w:val="24"/>
        </w:rPr>
      </w:pPr>
    </w:p>
    <w:p w14:paraId="18680D28" w14:textId="77777777" w:rsidR="000C171B" w:rsidRPr="003B09F4" w:rsidRDefault="000C171B" w:rsidP="000C171B">
      <w:pPr>
        <w:spacing w:after="0" w:line="240" w:lineRule="auto"/>
        <w:jc w:val="both"/>
        <w:rPr>
          <w:rFonts w:cstheme="minorHAnsi"/>
          <w:color w:val="000000" w:themeColor="text1"/>
          <w:sz w:val="24"/>
          <w:szCs w:val="24"/>
        </w:rPr>
      </w:pPr>
      <w:r w:rsidRPr="003B09F4">
        <w:rPr>
          <w:rFonts w:cstheme="minorHAnsi"/>
          <w:color w:val="000000" w:themeColor="text1"/>
          <w:sz w:val="24"/>
          <w:szCs w:val="24"/>
        </w:rPr>
        <w:t xml:space="preserve">En cuarto lugar, para que la integralidad de las políticas públicas sea un hecho se deben producir tres efectos: más equidad a través del perfeccionamiento de los mecanismos de protección; menos exclusión a través de articulación de las políticas, programas e intervenciones; menos asimetrías a través de la medición multidimensional de los desempeños de los programas e intervenciones; más participación a través de mecanismos de gobernabilidad democrática y de fortalecer en lo local espacios de participación ciudadana, de procesos de toma de decisiones con actores locales efectivos. </w:t>
      </w:r>
    </w:p>
    <w:p w14:paraId="6ACD7E1D" w14:textId="77777777" w:rsidR="000C171B" w:rsidRPr="003B09F4" w:rsidRDefault="000C171B" w:rsidP="000C171B">
      <w:pPr>
        <w:spacing w:after="0" w:line="240" w:lineRule="auto"/>
        <w:jc w:val="both"/>
        <w:rPr>
          <w:rFonts w:cstheme="minorHAnsi"/>
          <w:color w:val="FF0000"/>
          <w:sz w:val="24"/>
          <w:szCs w:val="24"/>
        </w:rPr>
      </w:pPr>
    </w:p>
    <w:p w14:paraId="686BFC6B" w14:textId="77777777" w:rsidR="000C171B" w:rsidRPr="003B09F4" w:rsidRDefault="000C171B" w:rsidP="000C171B">
      <w:pPr>
        <w:spacing w:after="0" w:line="240" w:lineRule="auto"/>
        <w:jc w:val="both"/>
        <w:rPr>
          <w:rFonts w:cstheme="minorHAnsi"/>
          <w:color w:val="000000" w:themeColor="text1"/>
          <w:sz w:val="24"/>
          <w:szCs w:val="24"/>
        </w:rPr>
      </w:pPr>
      <w:r w:rsidRPr="003B09F4">
        <w:rPr>
          <w:rFonts w:cstheme="minorHAnsi"/>
          <w:color w:val="000000" w:themeColor="text1"/>
          <w:sz w:val="24"/>
          <w:szCs w:val="24"/>
        </w:rPr>
        <w:t>En quinto lugar, establecer un marco intersectorial que (i) integre las coincidencias en acciones comunes, estrategias y objetivos, con el objetivo de facilitar un proceso coordinado de movilización  de recursos y sincronización de monitoreo técnica en tiempo real; (</w:t>
      </w:r>
      <w:proofErr w:type="spellStart"/>
      <w:r w:rsidRPr="003B09F4">
        <w:rPr>
          <w:rFonts w:cstheme="minorHAnsi"/>
          <w:color w:val="000000" w:themeColor="text1"/>
          <w:sz w:val="24"/>
          <w:szCs w:val="24"/>
        </w:rPr>
        <w:t>ii</w:t>
      </w:r>
      <w:proofErr w:type="spellEnd"/>
      <w:r w:rsidRPr="003B09F4">
        <w:rPr>
          <w:rFonts w:cstheme="minorHAnsi"/>
          <w:color w:val="000000" w:themeColor="text1"/>
          <w:sz w:val="24"/>
          <w:szCs w:val="24"/>
        </w:rPr>
        <w:t>) genere sinergias en el caso de indicadores complejos que dinamizan la cadena de valor de las intervenciones sectoriales, poblacionales o territoriales; (</w:t>
      </w:r>
      <w:proofErr w:type="spellStart"/>
      <w:r w:rsidRPr="003B09F4">
        <w:rPr>
          <w:rFonts w:cstheme="minorHAnsi"/>
          <w:color w:val="000000" w:themeColor="text1"/>
          <w:sz w:val="24"/>
          <w:szCs w:val="24"/>
        </w:rPr>
        <w:t>iii</w:t>
      </w:r>
      <w:proofErr w:type="spellEnd"/>
      <w:r w:rsidRPr="003B09F4">
        <w:rPr>
          <w:rFonts w:cstheme="minorHAnsi"/>
          <w:color w:val="000000" w:themeColor="text1"/>
          <w:sz w:val="24"/>
          <w:szCs w:val="24"/>
        </w:rPr>
        <w:t>) defina apoyos y apalancamiento que catalizan el cumplimiento de metas e indicadores.</w:t>
      </w:r>
    </w:p>
    <w:p w14:paraId="11BF85A4" w14:textId="77777777" w:rsidR="000C171B" w:rsidRPr="003B09F4" w:rsidRDefault="000C171B" w:rsidP="000C171B">
      <w:pPr>
        <w:spacing w:after="0" w:line="240" w:lineRule="auto"/>
        <w:jc w:val="both"/>
        <w:rPr>
          <w:rFonts w:cstheme="minorHAnsi"/>
          <w:color w:val="000000" w:themeColor="text1"/>
          <w:sz w:val="24"/>
          <w:szCs w:val="24"/>
        </w:rPr>
      </w:pPr>
    </w:p>
    <w:p w14:paraId="7B76A636" w14:textId="77777777" w:rsidR="000C171B" w:rsidRPr="003B09F4" w:rsidRDefault="000C171B" w:rsidP="000C171B">
      <w:pPr>
        <w:spacing w:after="0" w:line="240" w:lineRule="auto"/>
        <w:jc w:val="both"/>
        <w:rPr>
          <w:rFonts w:cstheme="minorHAnsi"/>
          <w:color w:val="000000" w:themeColor="text1"/>
          <w:sz w:val="24"/>
          <w:szCs w:val="24"/>
        </w:rPr>
      </w:pPr>
      <w:r w:rsidRPr="003B09F4">
        <w:rPr>
          <w:rFonts w:cstheme="minorHAnsi"/>
          <w:color w:val="000000" w:themeColor="text1"/>
          <w:sz w:val="24"/>
          <w:szCs w:val="24"/>
        </w:rPr>
        <w:t>En sexto lugar, transformar los mecanismos de interacción sociopolítica deliberativos en espacios de participación ciudadana y representación social con conexión directa con el diseño y/o desempeño de la política pública. Con capacidad consultiva y propositiva en las regiones y localidades del país. De manera que se contextualicen las políticas públicas y se genere una gestión colaborativa entre pares públicos- privados y humanitarios.</w:t>
      </w:r>
    </w:p>
    <w:p w14:paraId="11D36A51" w14:textId="77777777" w:rsidR="000C171B" w:rsidRPr="00725057" w:rsidRDefault="000C171B" w:rsidP="000C171B">
      <w:pPr>
        <w:spacing w:after="0" w:line="240" w:lineRule="auto"/>
        <w:jc w:val="both"/>
        <w:rPr>
          <w:rFonts w:cstheme="minorHAnsi"/>
          <w:sz w:val="24"/>
          <w:szCs w:val="24"/>
        </w:rPr>
      </w:pPr>
    </w:p>
    <w:p w14:paraId="76A27346" w14:textId="77777777" w:rsidR="000C171B" w:rsidRDefault="000C171B" w:rsidP="000C171B">
      <w:pPr>
        <w:spacing w:after="0" w:line="240" w:lineRule="auto"/>
      </w:pPr>
    </w:p>
    <w:p w14:paraId="512D3A11" w14:textId="77777777" w:rsidR="000C171B" w:rsidRPr="007F2237" w:rsidRDefault="000C171B" w:rsidP="000C171B">
      <w:pPr>
        <w:spacing w:after="0" w:line="240" w:lineRule="auto"/>
        <w:rPr>
          <w:rFonts w:ascii="Calibri" w:hAnsi="Calibri" w:cs="Calibri"/>
          <w:b/>
          <w:bCs/>
          <w:color w:val="4472C4" w:themeColor="accent1"/>
          <w:sz w:val="24"/>
          <w:szCs w:val="24"/>
        </w:rPr>
      </w:pPr>
      <w:r w:rsidRPr="007F2237">
        <w:rPr>
          <w:rFonts w:ascii="Calibri" w:hAnsi="Calibri" w:cs="Calibri"/>
          <w:b/>
          <w:bCs/>
          <w:color w:val="4472C4" w:themeColor="accent1"/>
          <w:sz w:val="24"/>
          <w:szCs w:val="24"/>
        </w:rPr>
        <w:lastRenderedPageBreak/>
        <w:t>3. PROGRESO DEL PAÍS HACIA LA AGENDA 2030.</w:t>
      </w:r>
    </w:p>
    <w:p w14:paraId="4F197EE8" w14:textId="77777777" w:rsidR="000C171B" w:rsidRDefault="000C171B" w:rsidP="000C171B">
      <w:pPr>
        <w:spacing w:after="0" w:line="240" w:lineRule="auto"/>
        <w:rPr>
          <w:rFonts w:ascii="Calibri" w:hAnsi="Calibri" w:cs="Calibri"/>
          <w:sz w:val="24"/>
          <w:szCs w:val="24"/>
        </w:rPr>
      </w:pPr>
    </w:p>
    <w:p w14:paraId="2026773B" w14:textId="77777777" w:rsidR="000C171B" w:rsidRDefault="000C171B" w:rsidP="000C171B">
      <w:pPr>
        <w:spacing w:after="0" w:line="240" w:lineRule="auto"/>
        <w:jc w:val="both"/>
        <w:rPr>
          <w:rFonts w:ascii="Calibri" w:hAnsi="Calibri" w:cs="Calibri"/>
          <w:sz w:val="24"/>
          <w:szCs w:val="24"/>
        </w:rPr>
      </w:pPr>
      <w:r w:rsidRPr="000261D5">
        <w:rPr>
          <w:rFonts w:ascii="Calibri" w:hAnsi="Calibri" w:cs="Calibri"/>
          <w:sz w:val="24"/>
          <w:szCs w:val="24"/>
        </w:rPr>
        <w:t>En el caso de Panamá, en los ODS 1, 3, 8, 9, los indicadores tienen más del 40% avance en la identificación de los datos que integran las series correspondientes</w:t>
      </w:r>
      <w:r>
        <w:rPr>
          <w:rFonts w:ascii="Calibri" w:hAnsi="Calibri" w:cs="Calibri"/>
          <w:sz w:val="24"/>
          <w:szCs w:val="24"/>
        </w:rPr>
        <w:t>,</w:t>
      </w:r>
      <w:r w:rsidRPr="000261D5">
        <w:rPr>
          <w:rFonts w:ascii="Calibri" w:hAnsi="Calibri" w:cs="Calibri"/>
          <w:sz w:val="24"/>
          <w:szCs w:val="24"/>
        </w:rPr>
        <w:t xml:space="preserve"> con el 47.1% de los indicadores de nivel 1</w:t>
      </w:r>
      <w:r>
        <w:rPr>
          <w:rFonts w:ascii="Calibri" w:hAnsi="Calibri" w:cs="Calibri"/>
          <w:sz w:val="24"/>
          <w:szCs w:val="24"/>
        </w:rPr>
        <w:t xml:space="preserve"> </w:t>
      </w:r>
      <w:r w:rsidRPr="000261D5">
        <w:rPr>
          <w:rFonts w:ascii="Calibri" w:hAnsi="Calibri" w:cs="Calibri"/>
          <w:sz w:val="24"/>
          <w:szCs w:val="24"/>
        </w:rPr>
        <w:t xml:space="preserve">identificados en el caso de Panamá. De igual manera los indicadores de los ODS 4, 5, 14, 15, 16, 17, facilitan una descripción parcial y desigual de las políticas públicas tienen entre el 30% y 36% de avance en </w:t>
      </w:r>
      <w:r>
        <w:rPr>
          <w:rFonts w:ascii="Calibri" w:hAnsi="Calibri" w:cs="Calibri"/>
          <w:sz w:val="24"/>
          <w:szCs w:val="24"/>
        </w:rPr>
        <w:t xml:space="preserve">cuanto al </w:t>
      </w:r>
      <w:r w:rsidRPr="000261D5">
        <w:rPr>
          <w:rFonts w:ascii="Calibri" w:hAnsi="Calibri" w:cs="Calibri"/>
          <w:sz w:val="24"/>
          <w:szCs w:val="24"/>
        </w:rPr>
        <w:t xml:space="preserve">de las series que describen su comportamiento en los últimos años. En su conjunto </w:t>
      </w:r>
      <w:r>
        <w:rPr>
          <w:rFonts w:ascii="Calibri" w:hAnsi="Calibri" w:cs="Calibri"/>
          <w:sz w:val="24"/>
          <w:szCs w:val="24"/>
        </w:rPr>
        <w:t xml:space="preserve">todos los indicadores de nivel uno, que contribuyen a medir el avance de los ODS están disponibles en un </w:t>
      </w:r>
      <w:r w:rsidRPr="000261D5">
        <w:rPr>
          <w:rFonts w:ascii="Calibri" w:hAnsi="Calibri" w:cs="Calibri"/>
          <w:sz w:val="24"/>
          <w:szCs w:val="24"/>
        </w:rPr>
        <w:t>38%.</w:t>
      </w:r>
    </w:p>
    <w:p w14:paraId="7EB8C9F4" w14:textId="77777777" w:rsidR="000C171B" w:rsidRPr="0024601E" w:rsidRDefault="000C171B" w:rsidP="000C171B">
      <w:pPr>
        <w:spacing w:after="0" w:line="240" w:lineRule="auto"/>
        <w:rPr>
          <w:rFonts w:ascii="Calibri" w:hAnsi="Calibri" w:cs="Calibri"/>
          <w:sz w:val="24"/>
          <w:szCs w:val="24"/>
        </w:rPr>
      </w:pPr>
    </w:p>
    <w:p w14:paraId="12288656" w14:textId="7D034F5F" w:rsidR="000C171B" w:rsidRPr="00F37316" w:rsidRDefault="000C171B" w:rsidP="000C171B">
      <w:pPr>
        <w:pStyle w:val="CommentText"/>
        <w:spacing w:after="0"/>
        <w:rPr>
          <w:rFonts w:cstheme="minorHAnsi"/>
          <w:b/>
          <w:bCs/>
          <w:sz w:val="24"/>
          <w:szCs w:val="24"/>
        </w:rPr>
      </w:pPr>
      <w:r w:rsidRPr="007F2237">
        <w:rPr>
          <w:rFonts w:cstheme="minorHAnsi"/>
          <w:b/>
          <w:bCs/>
          <w:color w:val="4472C4" w:themeColor="accent1"/>
          <w:sz w:val="24"/>
          <w:szCs w:val="24"/>
        </w:rPr>
        <w:t>3.1. Avance de los ODS según Informes Voluntarios</w:t>
      </w:r>
      <w:r w:rsidR="00A6625C">
        <w:rPr>
          <w:rStyle w:val="FootnoteReference"/>
          <w:rFonts w:cstheme="minorHAnsi"/>
          <w:b/>
          <w:bCs/>
          <w:color w:val="4472C4" w:themeColor="accent1"/>
          <w:sz w:val="24"/>
          <w:szCs w:val="24"/>
        </w:rPr>
        <w:footnoteReference w:id="13"/>
      </w:r>
      <w:r w:rsidRPr="007F2237">
        <w:rPr>
          <w:rFonts w:cstheme="minorHAnsi"/>
          <w:b/>
          <w:bCs/>
          <w:color w:val="4472C4" w:themeColor="accent1"/>
          <w:sz w:val="24"/>
          <w:szCs w:val="24"/>
        </w:rPr>
        <w:t>.</w:t>
      </w:r>
      <w:r w:rsidRPr="007F2237">
        <w:rPr>
          <w:color w:val="4472C4" w:themeColor="accent1"/>
          <w:lang w:val="es-CL"/>
        </w:rPr>
        <w:t xml:space="preserve"> </w:t>
      </w:r>
    </w:p>
    <w:p w14:paraId="37B64BE9" w14:textId="77777777" w:rsidR="000C171B" w:rsidRPr="00A94202" w:rsidRDefault="000C171B" w:rsidP="000C171B">
      <w:pPr>
        <w:spacing w:after="0" w:line="240" w:lineRule="auto"/>
        <w:rPr>
          <w:rFonts w:cstheme="minorHAnsi"/>
          <w:sz w:val="24"/>
          <w:szCs w:val="24"/>
        </w:rPr>
      </w:pPr>
      <w:r w:rsidRPr="00A94202">
        <w:rPr>
          <w:rFonts w:cstheme="minorHAnsi"/>
          <w:sz w:val="24"/>
          <w:szCs w:val="24"/>
        </w:rPr>
        <w:t xml:space="preserve"> </w:t>
      </w:r>
    </w:p>
    <w:p w14:paraId="678B0C19" w14:textId="77777777" w:rsidR="000C171B" w:rsidRPr="00E772C8" w:rsidRDefault="000C171B" w:rsidP="000C171B">
      <w:pPr>
        <w:spacing w:after="0" w:line="240" w:lineRule="auto"/>
        <w:jc w:val="both"/>
        <w:rPr>
          <w:rFonts w:cstheme="minorHAnsi"/>
          <w:sz w:val="24"/>
          <w:szCs w:val="24"/>
        </w:rPr>
      </w:pPr>
      <w:r>
        <w:rPr>
          <w:rFonts w:cstheme="minorHAnsi"/>
          <w:sz w:val="24"/>
          <w:szCs w:val="24"/>
        </w:rPr>
        <w:t xml:space="preserve">En los últimos años, como parte del proceso de preparación del Informe Voluntario, </w:t>
      </w:r>
      <w:r w:rsidRPr="00E772C8">
        <w:rPr>
          <w:rFonts w:cstheme="minorHAnsi"/>
          <w:sz w:val="24"/>
          <w:szCs w:val="24"/>
        </w:rPr>
        <w:t xml:space="preserve">Gabinete Social, a través de una mesa de trabajo interinstitucional, </w:t>
      </w:r>
      <w:r>
        <w:rPr>
          <w:rFonts w:cstheme="minorHAnsi"/>
          <w:sz w:val="24"/>
          <w:szCs w:val="24"/>
        </w:rPr>
        <w:t>estableció u</w:t>
      </w:r>
      <w:r w:rsidRPr="00E772C8">
        <w:rPr>
          <w:rFonts w:cstheme="minorHAnsi"/>
          <w:sz w:val="24"/>
          <w:szCs w:val="24"/>
        </w:rPr>
        <w:t xml:space="preserve">na hoja de ruta para aumentar la cobertura de datos para los indicadores de nivel 2 y 3 que implican un mayor esfuerzo técnico y metodológico. La hoja de ruta comprende lineamientos para instaurar un procedimiento para caracterizar los indicadores según niveles y avances, criterios para el examen metodológico relacionado con ampliación los indicadores del nivel </w:t>
      </w:r>
      <w:r>
        <w:rPr>
          <w:rFonts w:cstheme="minorHAnsi"/>
          <w:sz w:val="24"/>
          <w:szCs w:val="24"/>
        </w:rPr>
        <w:t>1</w:t>
      </w:r>
      <w:r w:rsidRPr="00E772C8">
        <w:rPr>
          <w:rFonts w:cstheme="minorHAnsi"/>
          <w:sz w:val="24"/>
          <w:szCs w:val="24"/>
        </w:rPr>
        <w:t xml:space="preserve"> y </w:t>
      </w:r>
      <w:r>
        <w:rPr>
          <w:rFonts w:cstheme="minorHAnsi"/>
          <w:sz w:val="24"/>
          <w:szCs w:val="24"/>
        </w:rPr>
        <w:t>2</w:t>
      </w:r>
      <w:r w:rsidRPr="00E772C8">
        <w:rPr>
          <w:rFonts w:cstheme="minorHAnsi"/>
          <w:sz w:val="24"/>
          <w:szCs w:val="24"/>
        </w:rPr>
        <w:t xml:space="preserve">, además de las directrices para la aprobación de la revisión y desglose de datos. </w:t>
      </w:r>
    </w:p>
    <w:p w14:paraId="5C5C0ED8" w14:textId="77777777" w:rsidR="000C171B" w:rsidRPr="00E772C8" w:rsidRDefault="000C171B" w:rsidP="000C171B">
      <w:pPr>
        <w:spacing w:after="0" w:line="240" w:lineRule="auto"/>
        <w:jc w:val="both"/>
        <w:rPr>
          <w:rFonts w:cstheme="minorHAnsi"/>
          <w:sz w:val="24"/>
          <w:szCs w:val="24"/>
        </w:rPr>
      </w:pPr>
    </w:p>
    <w:p w14:paraId="52B266A9" w14:textId="44EF91B9" w:rsidR="000C171B" w:rsidRPr="009E120F" w:rsidRDefault="000C171B" w:rsidP="000C171B">
      <w:pPr>
        <w:spacing w:after="0" w:line="240" w:lineRule="auto"/>
        <w:jc w:val="both"/>
        <w:rPr>
          <w:rFonts w:cstheme="minorHAnsi"/>
          <w:color w:val="000000" w:themeColor="text1"/>
          <w:sz w:val="24"/>
          <w:szCs w:val="24"/>
        </w:rPr>
      </w:pPr>
      <w:r w:rsidRPr="009E120F">
        <w:rPr>
          <w:rFonts w:cstheme="minorHAnsi"/>
          <w:color w:val="000000" w:themeColor="text1"/>
          <w:sz w:val="24"/>
          <w:szCs w:val="24"/>
        </w:rPr>
        <w:t>Los cuatro objetivos prioritarios por nivel de esfuerzo son, en orden descendente, los siguientes: ODS 3, ODS  17, ODS 16, y ODS 8. Continúan en el mismo orden, los ODS 11, ODS 2, ODS 5, ODS 15, ODS 12, ODS 1, ODS 9, ODS 4, ODS 6 y ODS 10. Finalmente, los objetivos con menos indicadores son los ODS 14, ODS 13, y ODS 7</w:t>
      </w:r>
      <w:r>
        <w:rPr>
          <w:rFonts w:cstheme="minorHAnsi"/>
          <w:color w:val="000000" w:themeColor="text1"/>
          <w:sz w:val="24"/>
          <w:szCs w:val="24"/>
        </w:rPr>
        <w:t xml:space="preserve">, referentes a </w:t>
      </w:r>
      <w:r w:rsidRPr="009E120F">
        <w:rPr>
          <w:rFonts w:cstheme="minorHAnsi"/>
          <w:color w:val="000000" w:themeColor="text1"/>
          <w:sz w:val="24"/>
          <w:szCs w:val="24"/>
        </w:rPr>
        <w:t>ecosistemas marinos, terrestres y energía limpia, sostenible y de acceso universal</w:t>
      </w:r>
      <w:r w:rsidR="004C22AC">
        <w:rPr>
          <w:rFonts w:cstheme="minorHAnsi"/>
          <w:color w:val="000000" w:themeColor="text1"/>
          <w:sz w:val="24"/>
          <w:szCs w:val="24"/>
        </w:rPr>
        <w:t xml:space="preserve"> (Ver Gráfico 1). </w:t>
      </w:r>
    </w:p>
    <w:p w14:paraId="21193458" w14:textId="77777777" w:rsidR="000C171B" w:rsidRDefault="000C171B" w:rsidP="000C171B">
      <w:pPr>
        <w:spacing w:after="0" w:line="240" w:lineRule="auto"/>
        <w:jc w:val="both"/>
        <w:rPr>
          <w:rFonts w:cstheme="minorHAnsi"/>
          <w:sz w:val="24"/>
          <w:szCs w:val="24"/>
        </w:rPr>
      </w:pPr>
    </w:p>
    <w:p w14:paraId="5EF9CA5D" w14:textId="77777777" w:rsidR="000C171B" w:rsidRDefault="000C171B" w:rsidP="000C171B">
      <w:pPr>
        <w:spacing w:after="0" w:line="240" w:lineRule="auto"/>
        <w:jc w:val="both"/>
        <w:rPr>
          <w:rFonts w:cstheme="minorHAnsi"/>
          <w:sz w:val="24"/>
          <w:szCs w:val="24"/>
        </w:rPr>
      </w:pPr>
      <w:r w:rsidRPr="00A94202">
        <w:rPr>
          <w:rFonts w:cstheme="minorHAnsi"/>
          <w:sz w:val="24"/>
          <w:szCs w:val="24"/>
        </w:rPr>
        <w:t xml:space="preserve">En el caso de Panamá, de los 244 indicadores vinculados a los 17 ODS, 34.4% corresponden al nivel 1. Es decir, existe una metodología establecida y se dispone de series de datos. Desde la perspectiva de las políticas públicas, estos indicadores permiten tres tipos de descripción: integral y homogénea; parcial y desigual; incompleta y dispar. </w:t>
      </w:r>
    </w:p>
    <w:p w14:paraId="2FD54D0B" w14:textId="77777777" w:rsidR="000C171B" w:rsidRPr="00A94202" w:rsidRDefault="000C171B" w:rsidP="000C171B">
      <w:pPr>
        <w:spacing w:after="0" w:line="240" w:lineRule="auto"/>
        <w:jc w:val="both"/>
        <w:rPr>
          <w:rFonts w:cstheme="minorHAnsi"/>
          <w:sz w:val="24"/>
          <w:szCs w:val="24"/>
        </w:rPr>
      </w:pPr>
    </w:p>
    <w:p w14:paraId="24F9711F" w14:textId="77777777" w:rsidR="000C171B" w:rsidRDefault="000C171B" w:rsidP="000C171B">
      <w:pPr>
        <w:spacing w:after="0" w:line="240" w:lineRule="auto"/>
        <w:jc w:val="center"/>
        <w:rPr>
          <w:rFonts w:cstheme="minorHAnsi"/>
          <w:sz w:val="24"/>
          <w:szCs w:val="24"/>
        </w:rPr>
      </w:pPr>
      <w:r w:rsidRPr="00873499">
        <w:rPr>
          <w:rFonts w:cstheme="minorHAnsi"/>
          <w:noProof/>
          <w:sz w:val="16"/>
          <w:szCs w:val="16"/>
        </w:rPr>
        <w:lastRenderedPageBreak/>
        <w:drawing>
          <wp:inline distT="0" distB="0" distL="0" distR="0" wp14:anchorId="400D58E0" wp14:editId="1F49B604">
            <wp:extent cx="5654749" cy="2628900"/>
            <wp:effectExtent l="0" t="0" r="3175" b="0"/>
            <wp:docPr id="13" name="Gráfico 13">
              <a:extLst xmlns:a="http://schemas.openxmlformats.org/drawingml/2006/main">
                <a:ext uri="{FF2B5EF4-FFF2-40B4-BE49-F238E27FC236}">
                  <a16:creationId xmlns:a16="http://schemas.microsoft.com/office/drawing/2014/main" id="{F2579BCF-3E38-492E-9E3E-FDEE7B83B2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7568BD" w14:textId="77777777" w:rsidR="000C171B" w:rsidRDefault="000C171B" w:rsidP="000C171B">
      <w:pPr>
        <w:spacing w:after="0" w:line="240" w:lineRule="auto"/>
        <w:jc w:val="both"/>
        <w:rPr>
          <w:rFonts w:cstheme="minorHAnsi"/>
          <w:sz w:val="24"/>
          <w:szCs w:val="24"/>
        </w:rPr>
      </w:pPr>
    </w:p>
    <w:p w14:paraId="033FD02A" w14:textId="77777777" w:rsidR="000C171B" w:rsidRPr="00A94202" w:rsidRDefault="000C171B" w:rsidP="000C171B">
      <w:pPr>
        <w:spacing w:after="0" w:line="240" w:lineRule="auto"/>
        <w:jc w:val="both"/>
        <w:rPr>
          <w:rFonts w:cstheme="minorHAnsi"/>
          <w:sz w:val="24"/>
          <w:szCs w:val="24"/>
        </w:rPr>
      </w:pPr>
      <w:r w:rsidRPr="00A94202">
        <w:rPr>
          <w:rFonts w:cstheme="minorHAnsi"/>
          <w:sz w:val="24"/>
          <w:szCs w:val="24"/>
        </w:rPr>
        <w:t xml:space="preserve">En primer lugar, los indicadores que mayormente permiten una descripción integral y homogénea de las políticas públicas, hasta el momento impulsadas, son los vinculados a los ODS: 1, 3, 8, 9. Estos indicadores tienen más del 40% avance en la identificación de los datos que integran las series correspondientes. Es decir, dos de cada cinco indicadores identificados permiten una mirada integral y homogénea a la política pública.  </w:t>
      </w:r>
    </w:p>
    <w:p w14:paraId="422182E5" w14:textId="77777777" w:rsidR="000C171B" w:rsidRPr="00A94202" w:rsidRDefault="000C171B" w:rsidP="000C171B">
      <w:pPr>
        <w:spacing w:after="0" w:line="240" w:lineRule="auto"/>
        <w:jc w:val="both"/>
        <w:rPr>
          <w:rFonts w:cstheme="minorHAnsi"/>
          <w:sz w:val="24"/>
          <w:szCs w:val="24"/>
        </w:rPr>
      </w:pPr>
    </w:p>
    <w:p w14:paraId="1AA76868" w14:textId="77777777" w:rsidR="000C171B" w:rsidRPr="00A94202" w:rsidRDefault="000C171B" w:rsidP="000C171B">
      <w:pPr>
        <w:spacing w:after="0" w:line="240" w:lineRule="auto"/>
        <w:jc w:val="both"/>
        <w:rPr>
          <w:rFonts w:cstheme="minorHAnsi"/>
          <w:sz w:val="24"/>
          <w:szCs w:val="24"/>
        </w:rPr>
      </w:pPr>
      <w:r w:rsidRPr="00A94202">
        <w:rPr>
          <w:rFonts w:cstheme="minorHAnsi"/>
          <w:sz w:val="24"/>
          <w:szCs w:val="24"/>
        </w:rPr>
        <w:t xml:space="preserve">En segundo lugar, los indicadores que facilitan una descripción parcial y desigual de las políticas públicas están asociados a los ODS 4, 5, 14, 15, 16, 17. En su conjunto, dos de cada cinco indicadores de nivel 1 se ubica en esta categoría. Estos indicadores tienen entre el 30% y 36% de avance en el proceso de construcción de las series que describen su comportamiento en los últimos años. </w:t>
      </w:r>
    </w:p>
    <w:p w14:paraId="235D26C3" w14:textId="77777777" w:rsidR="000C171B" w:rsidRPr="00A94202" w:rsidRDefault="000C171B" w:rsidP="000C171B">
      <w:pPr>
        <w:spacing w:after="0" w:line="240" w:lineRule="auto"/>
        <w:jc w:val="both"/>
        <w:rPr>
          <w:rFonts w:cstheme="minorHAnsi"/>
          <w:sz w:val="24"/>
          <w:szCs w:val="24"/>
        </w:rPr>
      </w:pPr>
    </w:p>
    <w:p w14:paraId="47A4DD88" w14:textId="77777777" w:rsidR="000C171B" w:rsidRPr="007528D1" w:rsidRDefault="000C171B" w:rsidP="000C171B">
      <w:pPr>
        <w:spacing w:after="0" w:line="240" w:lineRule="auto"/>
        <w:jc w:val="both"/>
        <w:rPr>
          <w:rFonts w:cstheme="minorHAnsi"/>
          <w:sz w:val="24"/>
          <w:szCs w:val="24"/>
        </w:rPr>
      </w:pPr>
      <w:r w:rsidRPr="007528D1">
        <w:rPr>
          <w:rFonts w:cstheme="minorHAnsi"/>
          <w:sz w:val="24"/>
          <w:szCs w:val="24"/>
        </w:rPr>
        <w:t xml:space="preserve">En tercer lugar, se ubican los indicadores que proporcionan una mirada incompleta y dispar de las políticas públicas. Los mismos están asociados a los ODS 6 y 11. Estos indicadores tienen entre el 20% y 27% de avance en el acopio de los datos que integran serie que describe su comportamiento reciente. Sólo uno de cada cinco indicadores se ubica en esta categoría.  </w:t>
      </w:r>
    </w:p>
    <w:p w14:paraId="1AD38A51" w14:textId="77777777" w:rsidR="000C171B" w:rsidRPr="00CA6C63" w:rsidRDefault="000C171B" w:rsidP="000C171B">
      <w:pPr>
        <w:spacing w:after="0" w:line="240" w:lineRule="auto"/>
        <w:jc w:val="both"/>
        <w:rPr>
          <w:rFonts w:cstheme="minorHAnsi"/>
          <w:color w:val="000000" w:themeColor="text1"/>
          <w:sz w:val="24"/>
          <w:szCs w:val="24"/>
        </w:rPr>
      </w:pPr>
    </w:p>
    <w:p w14:paraId="5278D2C0" w14:textId="20AFDA00" w:rsidR="000C171B" w:rsidRPr="00CA6C63" w:rsidRDefault="0084566D" w:rsidP="000C171B">
      <w:pPr>
        <w:spacing w:after="0" w:line="240" w:lineRule="auto"/>
        <w:jc w:val="both"/>
        <w:rPr>
          <w:rFonts w:cstheme="minorHAnsi"/>
          <w:color w:val="000000" w:themeColor="text1"/>
          <w:sz w:val="24"/>
          <w:szCs w:val="24"/>
        </w:rPr>
      </w:pPr>
      <w:r w:rsidRPr="00CA6C63">
        <w:rPr>
          <w:rFonts w:cstheme="minorHAnsi"/>
          <w:color w:val="000000" w:themeColor="text1"/>
          <w:sz w:val="24"/>
          <w:szCs w:val="24"/>
        </w:rPr>
        <w:t xml:space="preserve">En el caso de los indicadores de nivel 1 identificados, son 84. De ese total, 43 indicadores corresponden a la Esfera Personas; 9 a la Esfera Planeta, 23 a la Esfera Prosperidad, 2 a la Esfera Paz y 7 a la Esfera Alianza. </w:t>
      </w:r>
      <w:r w:rsidR="000C171B" w:rsidRPr="00CA6C63">
        <w:rPr>
          <w:rFonts w:cstheme="minorHAnsi"/>
          <w:color w:val="000000" w:themeColor="text1"/>
          <w:sz w:val="24"/>
          <w:szCs w:val="24"/>
        </w:rPr>
        <w:t xml:space="preserve">No obstante, de total de indicadores con series disponibles y metodologías para el cálculo, tres de cada cinco registraban un incremento en función de la meta propuesta. Pero al desglosar los indicadores más allá de los promedios se registran cambios importantes. Dos de cada cinco tenían una variación negativa en algunas de las dimensiones segregadas para identificar las brechas. Por consiguiente, registran una variación negativa y reducen las posibilidades de cumplir las metas establecidas. Asimismo, uno de cada cinco indicadores desagregados, no registran variaciones y por tanto no parecen sensibles a las políticas públicas que se desarrollan. </w:t>
      </w:r>
    </w:p>
    <w:p w14:paraId="402A1D96" w14:textId="77777777" w:rsidR="000C171B" w:rsidRDefault="000C171B" w:rsidP="000C171B">
      <w:pPr>
        <w:spacing w:after="0" w:line="240" w:lineRule="auto"/>
        <w:jc w:val="both"/>
        <w:rPr>
          <w:rFonts w:cstheme="minorHAnsi"/>
          <w:color w:val="FF0000"/>
          <w:sz w:val="24"/>
          <w:szCs w:val="24"/>
        </w:rPr>
      </w:pPr>
    </w:p>
    <w:p w14:paraId="2ABDEC65" w14:textId="77777777" w:rsidR="000C171B" w:rsidRPr="00CA6C63" w:rsidRDefault="000C171B" w:rsidP="000C171B">
      <w:pPr>
        <w:spacing w:after="0" w:line="240" w:lineRule="auto"/>
        <w:jc w:val="both"/>
        <w:rPr>
          <w:rFonts w:cstheme="minorHAnsi"/>
          <w:b/>
          <w:color w:val="4472C4" w:themeColor="accent1"/>
          <w:sz w:val="24"/>
          <w:szCs w:val="24"/>
        </w:rPr>
      </w:pPr>
      <w:r w:rsidRPr="00CA6C63">
        <w:rPr>
          <w:rFonts w:cstheme="minorHAnsi"/>
          <w:b/>
          <w:color w:val="4472C4" w:themeColor="accent1"/>
          <w:sz w:val="24"/>
          <w:szCs w:val="24"/>
        </w:rPr>
        <w:t xml:space="preserve">3.1.1. ODS 1: Erradicación de la pobreza en todas sus formas. </w:t>
      </w:r>
    </w:p>
    <w:p w14:paraId="53229D8E" w14:textId="77777777" w:rsidR="000C171B" w:rsidRPr="000B21B2" w:rsidRDefault="000C171B" w:rsidP="000C171B">
      <w:pPr>
        <w:spacing w:after="0" w:line="240" w:lineRule="auto"/>
        <w:jc w:val="both"/>
        <w:rPr>
          <w:rFonts w:cstheme="minorHAnsi"/>
          <w:sz w:val="24"/>
          <w:szCs w:val="24"/>
        </w:rPr>
      </w:pPr>
    </w:p>
    <w:p w14:paraId="720339A2" w14:textId="77777777" w:rsidR="000C171B" w:rsidRPr="000B21B2" w:rsidRDefault="000C171B" w:rsidP="000C171B">
      <w:pPr>
        <w:spacing w:after="0" w:line="240" w:lineRule="auto"/>
        <w:jc w:val="both"/>
        <w:rPr>
          <w:rFonts w:cstheme="minorHAnsi"/>
          <w:sz w:val="24"/>
          <w:szCs w:val="24"/>
        </w:rPr>
      </w:pPr>
      <w:r>
        <w:rPr>
          <w:rFonts w:eastAsia="Times New Roman" w:cstheme="minorHAnsi"/>
          <w:b/>
          <w:color w:val="4472C4" w:themeColor="accent1"/>
          <w:sz w:val="24"/>
          <w:szCs w:val="24"/>
          <w:lang w:eastAsia="es-PA"/>
        </w:rPr>
        <w:t xml:space="preserve">(i) </w:t>
      </w:r>
      <w:r w:rsidRPr="00CA6C63">
        <w:rPr>
          <w:rFonts w:eastAsia="Times New Roman" w:cstheme="minorHAnsi"/>
          <w:b/>
          <w:color w:val="4472C4" w:themeColor="accent1"/>
          <w:sz w:val="24"/>
          <w:szCs w:val="24"/>
          <w:lang w:eastAsia="es-PA"/>
        </w:rPr>
        <w:t xml:space="preserve">Recursos asignados a la reducción de la pobreza. </w:t>
      </w:r>
      <w:r w:rsidRPr="000B21B2">
        <w:rPr>
          <w:rFonts w:cstheme="minorHAnsi"/>
          <w:sz w:val="24"/>
          <w:szCs w:val="24"/>
        </w:rPr>
        <w:t xml:space="preserve">Durante la década, la proporción de recursos asignados para la reducción de la pobreza fue significativa y por tanto tiene incidencia en la variación del número de pobres y pobres extremos. Durante la década del 2010, del total del gasto social, dos de cada cinco balboas, fueron asignados y ejecutados por programas para la reducción de la pobreza. Entre los años 2010 y 2013, la proporción de la asignación presupuestal orientada hacia la reducción de la pobreza se incrementó. Mientras que entre los años 2015 (37.7) y 2017 (38.0) la proporción de recursos se mantuvo con pocas variaciones significativas. Para ganar más capacidad para acelerar la reducción de la pobreza, el gasto social requiere ajustes tanto en las estrategias como en sus intervenciones relevantes. </w:t>
      </w:r>
    </w:p>
    <w:p w14:paraId="00C6EF05" w14:textId="77777777" w:rsidR="000C171B" w:rsidRPr="000B21B2" w:rsidRDefault="000C171B" w:rsidP="000C171B">
      <w:pPr>
        <w:spacing w:after="0" w:line="240" w:lineRule="auto"/>
        <w:jc w:val="both"/>
        <w:rPr>
          <w:rFonts w:eastAsia="Times New Roman" w:cstheme="minorHAnsi"/>
          <w:b/>
          <w:color w:val="000000"/>
          <w:sz w:val="24"/>
          <w:szCs w:val="24"/>
          <w:lang w:eastAsia="es-PA"/>
        </w:rPr>
      </w:pPr>
    </w:p>
    <w:p w14:paraId="6ACC4D55" w14:textId="77777777" w:rsidR="000C171B" w:rsidRPr="000B21B2" w:rsidRDefault="000C171B" w:rsidP="000C171B">
      <w:pPr>
        <w:spacing w:after="0" w:line="240" w:lineRule="auto"/>
        <w:jc w:val="both"/>
        <w:rPr>
          <w:rFonts w:cstheme="minorHAnsi"/>
          <w:sz w:val="24"/>
          <w:szCs w:val="24"/>
        </w:rPr>
      </w:pPr>
      <w:r>
        <w:rPr>
          <w:rFonts w:eastAsia="Times New Roman" w:cstheme="minorHAnsi"/>
          <w:b/>
          <w:color w:val="4472C4" w:themeColor="accent1"/>
          <w:sz w:val="24"/>
          <w:szCs w:val="24"/>
          <w:lang w:eastAsia="es-PA"/>
        </w:rPr>
        <w:t>(</w:t>
      </w:r>
      <w:proofErr w:type="spellStart"/>
      <w:r>
        <w:rPr>
          <w:rFonts w:eastAsia="Times New Roman" w:cstheme="minorHAnsi"/>
          <w:b/>
          <w:color w:val="4472C4" w:themeColor="accent1"/>
          <w:sz w:val="24"/>
          <w:szCs w:val="24"/>
          <w:lang w:eastAsia="es-PA"/>
        </w:rPr>
        <w:t>ii</w:t>
      </w:r>
      <w:proofErr w:type="spellEnd"/>
      <w:r>
        <w:rPr>
          <w:rFonts w:eastAsia="Times New Roman" w:cstheme="minorHAnsi"/>
          <w:b/>
          <w:color w:val="4472C4" w:themeColor="accent1"/>
          <w:sz w:val="24"/>
          <w:szCs w:val="24"/>
          <w:lang w:eastAsia="es-PA"/>
        </w:rPr>
        <w:t xml:space="preserve">) </w:t>
      </w:r>
      <w:r w:rsidRPr="00CA6C63">
        <w:rPr>
          <w:rFonts w:eastAsia="Times New Roman" w:cstheme="minorHAnsi"/>
          <w:b/>
          <w:color w:val="4472C4" w:themeColor="accent1"/>
          <w:sz w:val="24"/>
          <w:szCs w:val="24"/>
          <w:lang w:eastAsia="es-PA"/>
        </w:rPr>
        <w:t xml:space="preserve">Evolución de los niveles de bienestar. </w:t>
      </w:r>
      <w:r w:rsidRPr="000B21B2">
        <w:rPr>
          <w:rFonts w:cstheme="minorHAnsi"/>
          <w:sz w:val="24"/>
          <w:szCs w:val="24"/>
        </w:rPr>
        <w:t>Los niveles de bienestar tienen relación directa con la pobreza. En la medida que la pobreza disminuye, los niveles de bienestar y el acceso a los derechos de las personas se incrementan. Entre los años 2010 y 2017, tanto la pobreza general, como la pobreza extrema se redujeron y cambiaron su composición. A nivel nacional, la pobreza general se redujo cuatro veces más rápido que la pobreza extrema. Entre las mujeres, la pobreza general se redujo tres veces más rápido que en el caso de la pobreza extrema. De igual manera, en el área rural, la pobreza general se redujo cinco veces más rápido que en el caso de la pobreza extrema. Pero, en general, las condiciones de pobreza general y extrema afectan más a las mujeres menores de 18 años, residentes en las áreas rurales. De igual manera, se reduce mayormente en aquellas provincias donde la transición demográfica se encuentra más avanzada. Por ello, entre más rural es la provincia, más probabilidades de ser pobre. Asimismo</w:t>
      </w:r>
      <w:r>
        <w:rPr>
          <w:rFonts w:cstheme="minorHAnsi"/>
          <w:sz w:val="24"/>
          <w:szCs w:val="24"/>
        </w:rPr>
        <w:t>,</w:t>
      </w:r>
      <w:r w:rsidRPr="000B21B2">
        <w:rPr>
          <w:rFonts w:cstheme="minorHAnsi"/>
          <w:sz w:val="24"/>
          <w:szCs w:val="24"/>
        </w:rPr>
        <w:t xml:space="preserve"> entre más urbana la población, menos probabilidad de ser pobre. Asimismo, la relación entre pobres y no pobres es simétrica, porque en la medida que se reducen los pobres se incrementan los no pobres. Lo que sugiere que</w:t>
      </w:r>
      <w:r>
        <w:rPr>
          <w:rFonts w:cstheme="minorHAnsi"/>
          <w:sz w:val="24"/>
          <w:szCs w:val="24"/>
        </w:rPr>
        <w:t>,</w:t>
      </w:r>
      <w:r w:rsidRPr="000B21B2">
        <w:rPr>
          <w:rFonts w:cstheme="minorHAnsi"/>
          <w:sz w:val="24"/>
          <w:szCs w:val="24"/>
        </w:rPr>
        <w:t xml:space="preserve"> en el ciclo actual de reducción de la pobreza e incremento de los niveles de bienestar, los pobres se encuentran más cerca de las líneas que los separan de los no pobres. Y con ello son más sensibles a los cambios en los ingresos familiares, por mínimos que estos resulten. </w:t>
      </w:r>
    </w:p>
    <w:p w14:paraId="3ABFB0C3" w14:textId="77777777" w:rsidR="000C171B" w:rsidRPr="000B21B2" w:rsidRDefault="000C171B" w:rsidP="000C171B">
      <w:pPr>
        <w:spacing w:after="0" w:line="240" w:lineRule="auto"/>
        <w:jc w:val="both"/>
        <w:rPr>
          <w:rFonts w:cstheme="minorHAnsi"/>
          <w:sz w:val="24"/>
          <w:szCs w:val="24"/>
        </w:rPr>
      </w:pPr>
    </w:p>
    <w:p w14:paraId="66ED0A05" w14:textId="77777777" w:rsidR="000C171B" w:rsidRPr="000B21B2" w:rsidRDefault="000C171B" w:rsidP="000C171B">
      <w:pPr>
        <w:spacing w:after="0" w:line="240" w:lineRule="auto"/>
        <w:jc w:val="both"/>
        <w:rPr>
          <w:rFonts w:cstheme="minorHAnsi"/>
          <w:sz w:val="24"/>
          <w:szCs w:val="24"/>
        </w:rPr>
      </w:pPr>
      <w:r>
        <w:rPr>
          <w:rFonts w:eastAsia="Times New Roman" w:cstheme="minorHAnsi"/>
          <w:b/>
          <w:color w:val="4472C4" w:themeColor="accent1"/>
          <w:sz w:val="24"/>
          <w:szCs w:val="24"/>
          <w:lang w:eastAsia="es-PA"/>
        </w:rPr>
        <w:t>(</w:t>
      </w:r>
      <w:proofErr w:type="spellStart"/>
      <w:r>
        <w:rPr>
          <w:rFonts w:eastAsia="Times New Roman" w:cstheme="minorHAnsi"/>
          <w:b/>
          <w:color w:val="4472C4" w:themeColor="accent1"/>
          <w:sz w:val="24"/>
          <w:szCs w:val="24"/>
          <w:lang w:eastAsia="es-PA"/>
        </w:rPr>
        <w:t>iii</w:t>
      </w:r>
      <w:proofErr w:type="spellEnd"/>
      <w:r>
        <w:rPr>
          <w:rFonts w:eastAsia="Times New Roman" w:cstheme="minorHAnsi"/>
          <w:b/>
          <w:color w:val="4472C4" w:themeColor="accent1"/>
          <w:sz w:val="24"/>
          <w:szCs w:val="24"/>
          <w:lang w:eastAsia="es-PA"/>
        </w:rPr>
        <w:t xml:space="preserve">) </w:t>
      </w:r>
      <w:r w:rsidRPr="00CA6C63">
        <w:rPr>
          <w:rFonts w:eastAsia="Times New Roman" w:cstheme="minorHAnsi"/>
          <w:b/>
          <w:color w:val="4472C4" w:themeColor="accent1"/>
          <w:sz w:val="24"/>
          <w:szCs w:val="24"/>
          <w:lang w:eastAsia="es-PA"/>
        </w:rPr>
        <w:t>Población debajo del umbral de la pobreza.</w:t>
      </w:r>
      <w:r w:rsidRPr="00CA6C63">
        <w:rPr>
          <w:rFonts w:cstheme="minorHAnsi"/>
          <w:color w:val="4472C4" w:themeColor="accent1"/>
          <w:sz w:val="24"/>
          <w:szCs w:val="24"/>
        </w:rPr>
        <w:t xml:space="preserve"> </w:t>
      </w:r>
      <w:r w:rsidRPr="000B21B2">
        <w:rPr>
          <w:rFonts w:cstheme="minorHAnsi"/>
          <w:sz w:val="24"/>
          <w:szCs w:val="24"/>
        </w:rPr>
        <w:t xml:space="preserve">Entre los años 2015 (9.8%) y 2017 (7.9%), la proporción de población en pobreza disminuyó un 1.9% </w:t>
      </w:r>
      <w:r>
        <w:rPr>
          <w:rFonts w:cstheme="minorHAnsi"/>
          <w:sz w:val="24"/>
          <w:szCs w:val="24"/>
        </w:rPr>
        <w:t>l</w:t>
      </w:r>
      <w:r w:rsidRPr="000B21B2">
        <w:rPr>
          <w:rFonts w:cstheme="minorHAnsi"/>
          <w:sz w:val="24"/>
          <w:szCs w:val="24"/>
        </w:rPr>
        <w:t xml:space="preserve">a velocidad de la reducción fue menor que la registrada entre los años 2010 y 2014. No obstante, aunque la reducción no fue homogénea en las áreas urbanas y rurales, la velocidad de la reducción de la proporción de los pobres fue dos veces más rápida en las áreas urbanas, donde existen menos necesidades básicas insatisfechas y por tanto más garantías para la realización de los derechos de las personas. En el caso de la proporción de hombres y mujeres en situación de pobreza, las velocidades en la reducción son disímiles. Para el año 2015, la proporción de mujeres pobres (10.0) y hombres pobres (9.5), tenía pocas diferencias; sin embargo, para el 2017, la proporción de mujeres pobres alcanzó el 8.3, mientras que en el caso de los hombres fue de 7.6. Las distintas velocidades con las cuales se redujo la pobreza, tanto en provincias, como en comarcas plantean de hecho la existencia de brechas de ingresos importantes y cuellos de botellas que </w:t>
      </w:r>
      <w:r w:rsidRPr="000B21B2">
        <w:rPr>
          <w:rFonts w:cstheme="minorHAnsi"/>
          <w:sz w:val="24"/>
          <w:szCs w:val="24"/>
        </w:rPr>
        <w:lastRenderedPageBreak/>
        <w:t xml:space="preserve">aún no son detectados e intervenidos. La emergencia de las mediciones multidimensionales de la pobreza parece apuntar hacia la identificación más efectiva de las brechas y los cuellos de botella culturales, sociales, institucionales y operacionales. </w:t>
      </w:r>
    </w:p>
    <w:p w14:paraId="2EA65236" w14:textId="77777777" w:rsidR="000C171B" w:rsidRPr="000B21B2" w:rsidRDefault="000C171B" w:rsidP="000C171B">
      <w:pPr>
        <w:spacing w:after="0" w:line="240" w:lineRule="auto"/>
        <w:jc w:val="both"/>
        <w:rPr>
          <w:rFonts w:cstheme="minorHAnsi"/>
          <w:sz w:val="24"/>
          <w:szCs w:val="24"/>
        </w:rPr>
      </w:pPr>
    </w:p>
    <w:p w14:paraId="3DACA6C7" w14:textId="5D578A56" w:rsidR="000C171B" w:rsidRPr="000B21B2" w:rsidRDefault="000C171B" w:rsidP="000C171B">
      <w:pPr>
        <w:spacing w:after="0" w:line="240" w:lineRule="auto"/>
        <w:jc w:val="both"/>
        <w:rPr>
          <w:rFonts w:cstheme="minorHAnsi"/>
          <w:sz w:val="24"/>
          <w:szCs w:val="24"/>
        </w:rPr>
      </w:pPr>
      <w:r>
        <w:rPr>
          <w:rFonts w:eastAsia="Times New Roman" w:cstheme="minorHAnsi"/>
          <w:b/>
          <w:color w:val="4472C4" w:themeColor="accent1"/>
          <w:sz w:val="24"/>
          <w:szCs w:val="24"/>
          <w:lang w:eastAsia="es-PA"/>
        </w:rPr>
        <w:t>(</w:t>
      </w:r>
      <w:proofErr w:type="spellStart"/>
      <w:r>
        <w:rPr>
          <w:rFonts w:eastAsia="Times New Roman" w:cstheme="minorHAnsi"/>
          <w:b/>
          <w:color w:val="4472C4" w:themeColor="accent1"/>
          <w:sz w:val="24"/>
          <w:szCs w:val="24"/>
          <w:lang w:eastAsia="es-PA"/>
        </w:rPr>
        <w:t>iv</w:t>
      </w:r>
      <w:proofErr w:type="spellEnd"/>
      <w:r>
        <w:rPr>
          <w:rFonts w:eastAsia="Times New Roman" w:cstheme="minorHAnsi"/>
          <w:b/>
          <w:color w:val="4472C4" w:themeColor="accent1"/>
          <w:sz w:val="24"/>
          <w:szCs w:val="24"/>
          <w:lang w:eastAsia="es-PA"/>
        </w:rPr>
        <w:t xml:space="preserve">) </w:t>
      </w:r>
      <w:r w:rsidRPr="00CA6C63">
        <w:rPr>
          <w:rFonts w:eastAsia="Times New Roman" w:cstheme="minorHAnsi"/>
          <w:b/>
          <w:color w:val="4472C4" w:themeColor="accent1"/>
          <w:sz w:val="24"/>
          <w:szCs w:val="24"/>
          <w:lang w:eastAsia="es-PA"/>
        </w:rPr>
        <w:t>Hogares con acceso a servicios básicos</w:t>
      </w:r>
      <w:r w:rsidRPr="000B21B2">
        <w:rPr>
          <w:rFonts w:eastAsia="Times New Roman" w:cstheme="minorHAnsi"/>
          <w:b/>
          <w:color w:val="000000"/>
          <w:sz w:val="24"/>
          <w:szCs w:val="24"/>
          <w:lang w:eastAsia="es-PA"/>
        </w:rPr>
        <w:t xml:space="preserve">. </w:t>
      </w:r>
      <w:r w:rsidRPr="000B21B2">
        <w:rPr>
          <w:rFonts w:cstheme="minorHAnsi"/>
          <w:sz w:val="24"/>
          <w:szCs w:val="24"/>
        </w:rPr>
        <w:t xml:space="preserve">La proporción de la población que cuenta con servicios básicos (agua, electricidad y servicios sanitarios) pasó de 69.9 en el año 2014 a 80.2 en el año 2017. Este cambio significó que un 10.3% más de la población cuenta con acceso a los derechos a través de los servicios básicos como </w:t>
      </w:r>
      <w:r w:rsidRPr="000B21B2">
        <w:rPr>
          <w:rFonts w:eastAsia="Times New Roman" w:cstheme="minorHAnsi"/>
          <w:color w:val="000000"/>
          <w:sz w:val="24"/>
          <w:szCs w:val="24"/>
          <w:lang w:eastAsia="es-PA"/>
        </w:rPr>
        <w:t>agua, electricidad y servicios sanitarios</w:t>
      </w:r>
      <w:r w:rsidRPr="000B21B2">
        <w:rPr>
          <w:rFonts w:cstheme="minorHAnsi"/>
          <w:sz w:val="24"/>
          <w:szCs w:val="24"/>
        </w:rPr>
        <w:t xml:space="preserve">.  Pero la cobertura en el acceso a los servicios básicos mejoró más en los hogares donde el jefe es una mujer (81.7), que en aquellos donde el jefe es hombre (79.5). Estos cambios en la cobertura y la proporción de la población se </w:t>
      </w:r>
      <w:r w:rsidR="0084566D" w:rsidRPr="000B21B2">
        <w:rPr>
          <w:rFonts w:cstheme="minorHAnsi"/>
          <w:sz w:val="24"/>
          <w:szCs w:val="24"/>
        </w:rPr>
        <w:t>registr</w:t>
      </w:r>
      <w:r w:rsidR="0084566D">
        <w:rPr>
          <w:rFonts w:cstheme="minorHAnsi"/>
          <w:sz w:val="24"/>
          <w:szCs w:val="24"/>
        </w:rPr>
        <w:t>an</w:t>
      </w:r>
      <w:r w:rsidRPr="000B21B2">
        <w:rPr>
          <w:rFonts w:cstheme="minorHAnsi"/>
          <w:sz w:val="24"/>
          <w:szCs w:val="24"/>
        </w:rPr>
        <w:t xml:space="preserve"> mayormente en las áreas urbanas, donde 4 de cada 5 hogares cuentan con servicios básicos. En las Comarcas Ngäbe Buglé y Emberá Wounaan y la provincia de Darién la velocidad en el incremento de la cobertura mantuvo un ritmo mayor que en el resto del país. Es decir, aunque las variaciones provocadas por la mayor velocidad fueron importantes y significativas, la proporción de los hogares con acceso a servicios básicos sigue siendo baja. El incremento de la cobertura fue significativo en las provincias de Darién (39.7), Coclé (29.7), Veraguas (28.8) Los Santos (23.8), Herrera (21.0) y Chiriquí (17.5).  En los próximos diez años, para alcanzar la cobertura plena de los hogares con acceso a servicios básicos, las intervenciones deben focalizarse en las áreas rurales e indígenas con baja cobertura de servicios básicos de saneamiento y habitabilidad.   </w:t>
      </w:r>
    </w:p>
    <w:p w14:paraId="2386ECDF" w14:textId="77777777" w:rsidR="000C171B" w:rsidRPr="000B21B2" w:rsidRDefault="000C171B" w:rsidP="000C171B">
      <w:pPr>
        <w:spacing w:after="0" w:line="240" w:lineRule="auto"/>
        <w:jc w:val="both"/>
        <w:rPr>
          <w:rFonts w:cstheme="minorHAnsi"/>
          <w:b/>
          <w:sz w:val="24"/>
          <w:szCs w:val="24"/>
        </w:rPr>
      </w:pPr>
    </w:p>
    <w:p w14:paraId="0A39F2EB" w14:textId="77777777" w:rsidR="000C171B" w:rsidRPr="00CA6C63" w:rsidRDefault="000C171B" w:rsidP="000C171B">
      <w:pPr>
        <w:spacing w:after="0" w:line="240" w:lineRule="auto"/>
        <w:jc w:val="both"/>
        <w:rPr>
          <w:rFonts w:cstheme="minorHAnsi"/>
          <w:b/>
          <w:color w:val="4472C4" w:themeColor="accent1"/>
          <w:sz w:val="24"/>
          <w:szCs w:val="24"/>
        </w:rPr>
      </w:pPr>
      <w:r w:rsidRPr="00CA6C63">
        <w:rPr>
          <w:rFonts w:cstheme="minorHAnsi"/>
          <w:b/>
          <w:color w:val="4472C4" w:themeColor="accent1"/>
          <w:sz w:val="24"/>
          <w:szCs w:val="24"/>
        </w:rPr>
        <w:t xml:space="preserve">3.1.2. ODS 2: Hambre cero. </w:t>
      </w:r>
    </w:p>
    <w:p w14:paraId="6C28D4EB" w14:textId="77777777" w:rsidR="000C171B" w:rsidRPr="000B21B2" w:rsidRDefault="000C171B" w:rsidP="000C171B">
      <w:pPr>
        <w:spacing w:after="0" w:line="240" w:lineRule="auto"/>
        <w:jc w:val="both"/>
        <w:rPr>
          <w:rFonts w:cstheme="minorHAnsi"/>
          <w:b/>
          <w:sz w:val="24"/>
          <w:szCs w:val="24"/>
        </w:rPr>
      </w:pPr>
    </w:p>
    <w:p w14:paraId="757D3A5F" w14:textId="2D120487"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 xml:space="preserve">(i) </w:t>
      </w:r>
      <w:r w:rsidRPr="00CA6C63">
        <w:rPr>
          <w:rFonts w:cstheme="minorHAnsi"/>
          <w:b/>
          <w:color w:val="4472C4" w:themeColor="accent1"/>
          <w:sz w:val="24"/>
          <w:szCs w:val="24"/>
        </w:rPr>
        <w:t xml:space="preserve">Ayuda al productor.  </w:t>
      </w:r>
      <w:r w:rsidRPr="000B21B2">
        <w:rPr>
          <w:rFonts w:cstheme="minorHAnsi"/>
          <w:sz w:val="24"/>
          <w:szCs w:val="24"/>
        </w:rPr>
        <w:t xml:space="preserve">La ayuda al productor registró tres variaciones entre los años 2010 y 2017.  En el año 2013 (8,679.00) la ayuda al productor fue comparativamente mayor. Asimismo la ayuda al productor en el año 2017 (3,428.60.00) fue la más baja registrada en los últimos  años. En el caso de la política nacional para la transformación agropecuaria la inversión se  redujo en B/. 1,566.90 menos; mientras que en el caso del fondo especial para crédito de contingencias, la inversión se incrementó B/. 935.20 entre los años 2013 y 2017.  Entre los años 2013 y 2017, por un lado, la ayuda al productor se redujo 2.5 veces, por el otro, la inversión para el desarrollo de la política nacional de transformación agropecuaria se redujo casi 8 veces. Sólo la inversión en el fondo especial para crédito se incrementó 0.16 veces entre el 2013 y el 2017. Las variaciones en las ayudas al productor plantean serios retos para retomar la transformación del sector primario de la economía panameña. En términos generales, la ayuda al productor es baja y asimismo el subsidio para fomento, también, es relativamente bajo. Para mejorar la capacidad del sector primario, la inversión debe incrementarse para mejorar la producción de valor agregado. </w:t>
      </w:r>
    </w:p>
    <w:p w14:paraId="60354A37" w14:textId="77777777" w:rsidR="000C171B" w:rsidRPr="000B21B2" w:rsidRDefault="000C171B" w:rsidP="000C171B">
      <w:pPr>
        <w:spacing w:after="0" w:line="240" w:lineRule="auto"/>
        <w:jc w:val="both"/>
        <w:rPr>
          <w:rFonts w:cstheme="minorHAnsi"/>
          <w:sz w:val="24"/>
          <w:szCs w:val="24"/>
        </w:rPr>
      </w:pPr>
    </w:p>
    <w:p w14:paraId="776D1BFC" w14:textId="77777777"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w:t>
      </w:r>
      <w:proofErr w:type="spellStart"/>
      <w:r>
        <w:rPr>
          <w:rFonts w:cstheme="minorHAnsi"/>
          <w:b/>
          <w:color w:val="4472C4" w:themeColor="accent1"/>
          <w:sz w:val="24"/>
          <w:szCs w:val="24"/>
        </w:rPr>
        <w:t>ii</w:t>
      </w:r>
      <w:proofErr w:type="spellEnd"/>
      <w:r>
        <w:rPr>
          <w:rFonts w:cstheme="minorHAnsi"/>
          <w:b/>
          <w:color w:val="4472C4" w:themeColor="accent1"/>
          <w:sz w:val="24"/>
          <w:szCs w:val="24"/>
        </w:rPr>
        <w:t xml:space="preserve">) </w:t>
      </w:r>
      <w:r w:rsidRPr="00CA6C63">
        <w:rPr>
          <w:rFonts w:cstheme="minorHAnsi"/>
          <w:b/>
          <w:color w:val="4472C4" w:themeColor="accent1"/>
          <w:sz w:val="24"/>
          <w:szCs w:val="24"/>
        </w:rPr>
        <w:t xml:space="preserve">Subsidios a la exportación de productos agropecuarios.  </w:t>
      </w:r>
      <w:r w:rsidRPr="000B21B2">
        <w:rPr>
          <w:rFonts w:cstheme="minorHAnsi"/>
          <w:sz w:val="24"/>
          <w:szCs w:val="24"/>
        </w:rPr>
        <w:t xml:space="preserve">La Ley No. 82 de 31 de </w:t>
      </w:r>
      <w:r>
        <w:rPr>
          <w:rFonts w:cstheme="minorHAnsi"/>
          <w:sz w:val="24"/>
          <w:szCs w:val="24"/>
        </w:rPr>
        <w:t>d</w:t>
      </w:r>
      <w:r w:rsidRPr="000B21B2">
        <w:rPr>
          <w:rFonts w:cstheme="minorHAnsi"/>
          <w:sz w:val="24"/>
          <w:szCs w:val="24"/>
        </w:rPr>
        <w:t xml:space="preserve">iciembre de 2009 crea el Certificado de Fomento a las Agroexportación. El mismo está orientado hacia el fomento de las exportaciones agropecuarias, mediante la reducción de los costos de comercialización incurridos en conceptos de empaque, embalaje y costos de transporte y fletes internos. Durante los años 2010 (B/. 0.1 millones) y 2017 (B/. 6.9 millones) el </w:t>
      </w:r>
      <w:proofErr w:type="spellStart"/>
      <w:r w:rsidRPr="000B21B2">
        <w:rPr>
          <w:rFonts w:cstheme="minorHAnsi"/>
          <w:sz w:val="24"/>
          <w:szCs w:val="24"/>
        </w:rPr>
        <w:t>CeFA</w:t>
      </w:r>
      <w:proofErr w:type="spellEnd"/>
      <w:r w:rsidRPr="000B21B2">
        <w:rPr>
          <w:rFonts w:cstheme="minorHAnsi"/>
          <w:sz w:val="24"/>
          <w:szCs w:val="24"/>
        </w:rPr>
        <w:t xml:space="preserve"> se </w:t>
      </w:r>
      <w:r w:rsidRPr="000B21B2">
        <w:rPr>
          <w:rFonts w:cstheme="minorHAnsi"/>
          <w:sz w:val="24"/>
          <w:szCs w:val="24"/>
        </w:rPr>
        <w:lastRenderedPageBreak/>
        <w:t xml:space="preserve">incrementó exponencialmente. Aunque sus montos han variado, a lo largo de los últimos ocho años, el mismo se mantiene como un subsidio a la comercialización a las agroexportaciones.  En el año 2012 (B/. 10.7 millones) se registró el monto más alto para el subsidio a la agroexportación. Para el año 2017, el subsidio bajó B/. 3.8 millones. Sin embargo, el mismo se mantiene (B/. 6.9 millones en 2017) como un incentivo a la exportación. </w:t>
      </w:r>
    </w:p>
    <w:p w14:paraId="2FD783FD" w14:textId="77777777" w:rsidR="000C171B" w:rsidRPr="000B21B2" w:rsidRDefault="000C171B" w:rsidP="000C171B">
      <w:pPr>
        <w:spacing w:after="0" w:line="240" w:lineRule="auto"/>
        <w:jc w:val="both"/>
        <w:rPr>
          <w:rFonts w:cstheme="minorHAnsi"/>
          <w:sz w:val="24"/>
          <w:szCs w:val="24"/>
        </w:rPr>
      </w:pPr>
    </w:p>
    <w:p w14:paraId="79EF5B0C" w14:textId="77777777" w:rsidR="000C171B" w:rsidRPr="00CA6C63" w:rsidRDefault="000C171B" w:rsidP="000C171B">
      <w:pPr>
        <w:spacing w:after="0" w:line="240" w:lineRule="auto"/>
        <w:jc w:val="both"/>
        <w:rPr>
          <w:rFonts w:cstheme="minorHAnsi"/>
          <w:b/>
          <w:color w:val="4472C4" w:themeColor="accent1"/>
          <w:sz w:val="24"/>
          <w:szCs w:val="24"/>
        </w:rPr>
      </w:pPr>
      <w:r w:rsidRPr="00CA6C63">
        <w:rPr>
          <w:rFonts w:cstheme="minorHAnsi"/>
          <w:b/>
          <w:color w:val="4472C4" w:themeColor="accent1"/>
          <w:sz w:val="24"/>
          <w:szCs w:val="24"/>
        </w:rPr>
        <w:t xml:space="preserve">3.1.3. ODS 3: Garantizar una vida sana y promover el bienestar. </w:t>
      </w:r>
    </w:p>
    <w:p w14:paraId="6E84C8E7" w14:textId="77777777" w:rsidR="000C171B" w:rsidRPr="000C64D5" w:rsidRDefault="000C171B" w:rsidP="000C171B">
      <w:pPr>
        <w:spacing w:after="0" w:line="240" w:lineRule="auto"/>
        <w:jc w:val="both"/>
        <w:rPr>
          <w:rFonts w:cstheme="minorHAnsi"/>
          <w:b/>
          <w:bCs/>
          <w:sz w:val="24"/>
          <w:szCs w:val="24"/>
        </w:rPr>
      </w:pPr>
    </w:p>
    <w:p w14:paraId="771C3555" w14:textId="5B4F97F2" w:rsidR="000C171B" w:rsidRDefault="000C171B" w:rsidP="000C171B">
      <w:pPr>
        <w:spacing w:after="0" w:line="240" w:lineRule="auto"/>
        <w:jc w:val="both"/>
        <w:rPr>
          <w:rFonts w:cstheme="minorHAnsi"/>
          <w:sz w:val="24"/>
          <w:szCs w:val="24"/>
        </w:rPr>
      </w:pPr>
      <w:r>
        <w:rPr>
          <w:rFonts w:cstheme="minorHAnsi"/>
          <w:b/>
          <w:bCs/>
          <w:color w:val="4472C4" w:themeColor="accent1"/>
          <w:sz w:val="24"/>
          <w:szCs w:val="24"/>
        </w:rPr>
        <w:t>(i) M</w:t>
      </w:r>
      <w:r w:rsidRPr="00CA6C63">
        <w:rPr>
          <w:rFonts w:cstheme="minorHAnsi"/>
          <w:b/>
          <w:bCs/>
          <w:color w:val="4472C4" w:themeColor="accent1"/>
          <w:sz w:val="24"/>
          <w:szCs w:val="24"/>
        </w:rPr>
        <w:t>ortalidad materna</w:t>
      </w:r>
      <w:r w:rsidRPr="000610E8">
        <w:rPr>
          <w:rFonts w:cstheme="minorHAnsi"/>
          <w:b/>
          <w:bCs/>
          <w:sz w:val="24"/>
          <w:szCs w:val="24"/>
        </w:rPr>
        <w:t>.</w:t>
      </w:r>
      <w:r w:rsidRPr="000610E8">
        <w:rPr>
          <w:rFonts w:cstheme="minorHAnsi"/>
          <w:sz w:val="24"/>
          <w:szCs w:val="24"/>
        </w:rPr>
        <w:t xml:space="preserve"> La mortalidad materna es </w:t>
      </w:r>
      <w:r w:rsidRPr="000B21B2">
        <w:rPr>
          <w:rFonts w:cstheme="minorHAnsi"/>
          <w:sz w:val="24"/>
          <w:szCs w:val="24"/>
        </w:rPr>
        <w:t>un</w:t>
      </w:r>
      <w:r>
        <w:rPr>
          <w:rFonts w:cstheme="minorHAnsi"/>
          <w:sz w:val="24"/>
          <w:szCs w:val="24"/>
        </w:rPr>
        <w:t xml:space="preserve"> evento obstétrico que se mide mediante el indicador conocido como razón de mortalidad materna,</w:t>
      </w:r>
      <w:r w:rsidRPr="000B21B2">
        <w:rPr>
          <w:rFonts w:cstheme="minorHAnsi"/>
          <w:sz w:val="24"/>
          <w:szCs w:val="24"/>
        </w:rPr>
        <w:t xml:space="preserve"> </w:t>
      </w:r>
      <w:r>
        <w:rPr>
          <w:rFonts w:cstheme="minorHAnsi"/>
          <w:sz w:val="24"/>
          <w:szCs w:val="24"/>
        </w:rPr>
        <w:t>que estima el número anual de mujeres fallecidas por causas relacionadas con el embarazo, el parto y el puerperio por cada 100 000 nacidos vivos.</w:t>
      </w:r>
    </w:p>
    <w:p w14:paraId="103701FB" w14:textId="77777777" w:rsidR="00572C1B" w:rsidRDefault="00572C1B" w:rsidP="000C171B">
      <w:pPr>
        <w:spacing w:after="0" w:line="240" w:lineRule="auto"/>
        <w:jc w:val="both"/>
        <w:rPr>
          <w:rFonts w:cstheme="minorHAnsi"/>
          <w:sz w:val="24"/>
          <w:szCs w:val="24"/>
        </w:rPr>
      </w:pPr>
    </w:p>
    <w:p w14:paraId="2953B6A7" w14:textId="13A3FB67" w:rsidR="000C171B" w:rsidRPr="000B21B2" w:rsidRDefault="000C171B" w:rsidP="000C171B">
      <w:pPr>
        <w:spacing w:after="0" w:line="240" w:lineRule="auto"/>
        <w:jc w:val="both"/>
        <w:rPr>
          <w:rFonts w:cstheme="minorHAnsi"/>
          <w:color w:val="000000" w:themeColor="text1"/>
          <w:sz w:val="24"/>
          <w:szCs w:val="24"/>
        </w:rPr>
      </w:pPr>
      <w:r>
        <w:rPr>
          <w:rFonts w:cstheme="minorHAnsi"/>
          <w:sz w:val="24"/>
          <w:szCs w:val="24"/>
        </w:rPr>
        <w:t xml:space="preserve">Detrás de este fenómeno se reflejan determinantes múltiples que la impactan, tales como </w:t>
      </w:r>
      <w:r w:rsidRPr="000B21B2">
        <w:rPr>
          <w:rFonts w:cstheme="minorHAnsi"/>
          <w:sz w:val="24"/>
          <w:szCs w:val="24"/>
        </w:rPr>
        <w:t>económic</w:t>
      </w:r>
      <w:r>
        <w:rPr>
          <w:rFonts w:cstheme="minorHAnsi"/>
          <w:sz w:val="24"/>
          <w:szCs w:val="24"/>
        </w:rPr>
        <w:t>o</w:t>
      </w:r>
      <w:r w:rsidRPr="000B21B2">
        <w:rPr>
          <w:rFonts w:cstheme="minorHAnsi"/>
          <w:sz w:val="24"/>
          <w:szCs w:val="24"/>
        </w:rPr>
        <w:t>s</w:t>
      </w:r>
      <w:r>
        <w:rPr>
          <w:rFonts w:cstheme="minorHAnsi"/>
          <w:sz w:val="24"/>
          <w:szCs w:val="24"/>
        </w:rPr>
        <w:t>, socioculturales</w:t>
      </w:r>
      <w:r w:rsidRPr="000B21B2">
        <w:rPr>
          <w:rFonts w:cstheme="minorHAnsi"/>
          <w:sz w:val="24"/>
          <w:szCs w:val="24"/>
        </w:rPr>
        <w:t xml:space="preserve"> e institucionales</w:t>
      </w:r>
      <w:r>
        <w:rPr>
          <w:rFonts w:cstheme="minorHAnsi"/>
          <w:sz w:val="24"/>
          <w:szCs w:val="24"/>
        </w:rPr>
        <w:t>. Estas últimas vinculadas</w:t>
      </w:r>
      <w:r w:rsidR="00572C1B">
        <w:rPr>
          <w:rFonts w:cstheme="minorHAnsi"/>
          <w:sz w:val="24"/>
          <w:szCs w:val="24"/>
        </w:rPr>
        <w:t xml:space="preserve"> </w:t>
      </w:r>
      <w:r>
        <w:rPr>
          <w:rFonts w:cstheme="minorHAnsi"/>
          <w:sz w:val="24"/>
          <w:szCs w:val="24"/>
        </w:rPr>
        <w:t>a</w:t>
      </w:r>
      <w:r w:rsidRPr="000B21B2">
        <w:rPr>
          <w:rFonts w:cstheme="minorHAnsi"/>
          <w:sz w:val="24"/>
          <w:szCs w:val="24"/>
        </w:rPr>
        <w:t xml:space="preserve"> la cobertura</w:t>
      </w:r>
      <w:r>
        <w:rPr>
          <w:rFonts w:cstheme="minorHAnsi"/>
          <w:sz w:val="24"/>
          <w:szCs w:val="24"/>
        </w:rPr>
        <w:t>, la calidad y modalidades</w:t>
      </w:r>
      <w:r w:rsidRPr="000B21B2">
        <w:rPr>
          <w:rFonts w:cstheme="minorHAnsi"/>
          <w:sz w:val="24"/>
          <w:szCs w:val="24"/>
        </w:rPr>
        <w:t xml:space="preserve"> de prestación</w:t>
      </w:r>
      <w:r>
        <w:rPr>
          <w:rFonts w:cstheme="minorHAnsi"/>
          <w:sz w:val="24"/>
          <w:szCs w:val="24"/>
        </w:rPr>
        <w:t xml:space="preserve"> de los servicios de salud</w:t>
      </w:r>
      <w:r w:rsidRPr="000B21B2">
        <w:rPr>
          <w:rFonts w:cstheme="minorHAnsi"/>
          <w:sz w:val="24"/>
          <w:szCs w:val="24"/>
        </w:rPr>
        <w:t xml:space="preserve">. Entre los años 2015 </w:t>
      </w:r>
      <w:r>
        <w:rPr>
          <w:rFonts w:cstheme="minorHAnsi"/>
          <w:sz w:val="24"/>
          <w:szCs w:val="24"/>
        </w:rPr>
        <w:t xml:space="preserve">y 2017 la razón de mortalidad materna a nivel nacional </w:t>
      </w:r>
      <w:r w:rsidRPr="000B21B2">
        <w:rPr>
          <w:rFonts w:cstheme="minorHAnsi"/>
          <w:sz w:val="24"/>
          <w:szCs w:val="24"/>
        </w:rPr>
        <w:t>varió de manera sustantiva</w:t>
      </w:r>
      <w:r>
        <w:rPr>
          <w:rFonts w:cstheme="minorHAnsi"/>
          <w:sz w:val="24"/>
          <w:szCs w:val="24"/>
        </w:rPr>
        <w:t xml:space="preserve"> de </w:t>
      </w:r>
      <w:r w:rsidRPr="000B21B2">
        <w:rPr>
          <w:rFonts w:cstheme="minorHAnsi"/>
          <w:sz w:val="24"/>
          <w:szCs w:val="24"/>
        </w:rPr>
        <w:t>52.7</w:t>
      </w:r>
      <w:r>
        <w:rPr>
          <w:rFonts w:cstheme="minorHAnsi"/>
          <w:sz w:val="24"/>
          <w:szCs w:val="24"/>
        </w:rPr>
        <w:t xml:space="preserve"> a</w:t>
      </w:r>
      <w:r w:rsidR="00572C1B">
        <w:rPr>
          <w:rFonts w:cstheme="minorHAnsi"/>
          <w:sz w:val="24"/>
          <w:szCs w:val="24"/>
        </w:rPr>
        <w:t xml:space="preserve"> </w:t>
      </w:r>
      <w:r w:rsidRPr="000B21B2">
        <w:rPr>
          <w:rFonts w:cstheme="minorHAnsi"/>
          <w:sz w:val="24"/>
          <w:szCs w:val="24"/>
        </w:rPr>
        <w:t>35.4</w:t>
      </w:r>
      <w:r>
        <w:rPr>
          <w:rFonts w:cstheme="minorHAnsi"/>
          <w:sz w:val="24"/>
          <w:szCs w:val="24"/>
        </w:rPr>
        <w:t>.</w:t>
      </w:r>
      <w:r w:rsidRPr="000B21B2">
        <w:rPr>
          <w:rFonts w:cstheme="minorHAnsi"/>
          <w:sz w:val="24"/>
          <w:szCs w:val="24"/>
        </w:rPr>
        <w:t xml:space="preserve"> </w:t>
      </w:r>
      <w:r>
        <w:rPr>
          <w:rFonts w:cstheme="minorHAnsi"/>
          <w:sz w:val="24"/>
          <w:szCs w:val="24"/>
        </w:rPr>
        <w:t xml:space="preserve">Estos cambios se deben a la implementación de </w:t>
      </w:r>
      <w:r w:rsidRPr="000B21B2">
        <w:rPr>
          <w:rFonts w:cstheme="minorHAnsi"/>
          <w:sz w:val="24"/>
          <w:szCs w:val="24"/>
        </w:rPr>
        <w:t>intervenciones específicas</w:t>
      </w:r>
      <w:r>
        <w:rPr>
          <w:rFonts w:cstheme="minorHAnsi"/>
          <w:sz w:val="24"/>
          <w:szCs w:val="24"/>
        </w:rPr>
        <w:t>,</w:t>
      </w:r>
      <w:r w:rsidRPr="000B21B2">
        <w:rPr>
          <w:rFonts w:cstheme="minorHAnsi"/>
          <w:sz w:val="24"/>
          <w:szCs w:val="24"/>
        </w:rPr>
        <w:t xml:space="preserve"> especializadas</w:t>
      </w:r>
      <w:r>
        <w:rPr>
          <w:rFonts w:cstheme="minorHAnsi"/>
          <w:sz w:val="24"/>
          <w:szCs w:val="24"/>
        </w:rPr>
        <w:t xml:space="preserve"> y focalizada.</w:t>
      </w:r>
      <w:r w:rsidRPr="000B21B2">
        <w:rPr>
          <w:rFonts w:cstheme="minorHAnsi"/>
          <w:sz w:val="24"/>
          <w:szCs w:val="24"/>
        </w:rPr>
        <w:t xml:space="preserve"> E</w:t>
      </w:r>
      <w:r w:rsidRPr="000B21B2">
        <w:rPr>
          <w:rFonts w:cstheme="minorHAnsi"/>
          <w:color w:val="000000" w:themeColor="text1"/>
          <w:sz w:val="24"/>
          <w:szCs w:val="24"/>
        </w:rPr>
        <w:t xml:space="preserve">ntre los años 2015 y 2017, </w:t>
      </w:r>
      <w:r>
        <w:rPr>
          <w:rFonts w:cstheme="minorHAnsi"/>
          <w:color w:val="000000" w:themeColor="text1"/>
          <w:sz w:val="24"/>
          <w:szCs w:val="24"/>
        </w:rPr>
        <w:t xml:space="preserve">se </w:t>
      </w:r>
      <w:r w:rsidRPr="000B21B2">
        <w:rPr>
          <w:rFonts w:cstheme="minorHAnsi"/>
          <w:color w:val="000000" w:themeColor="text1"/>
          <w:sz w:val="24"/>
          <w:szCs w:val="24"/>
        </w:rPr>
        <w:t xml:space="preserve">registraron reducciones en </w:t>
      </w:r>
      <w:r>
        <w:rPr>
          <w:rFonts w:cstheme="minorHAnsi"/>
          <w:color w:val="000000" w:themeColor="text1"/>
          <w:sz w:val="24"/>
          <w:szCs w:val="24"/>
        </w:rPr>
        <w:t>los</w:t>
      </w:r>
      <w:r w:rsidRPr="000B21B2">
        <w:rPr>
          <w:rFonts w:cstheme="minorHAnsi"/>
          <w:color w:val="000000" w:themeColor="text1"/>
          <w:sz w:val="24"/>
          <w:szCs w:val="24"/>
        </w:rPr>
        <w:t xml:space="preserve"> caso</w:t>
      </w:r>
      <w:r>
        <w:rPr>
          <w:rFonts w:cstheme="minorHAnsi"/>
          <w:color w:val="000000" w:themeColor="text1"/>
          <w:sz w:val="24"/>
          <w:szCs w:val="24"/>
        </w:rPr>
        <w:t>s</w:t>
      </w:r>
      <w:r w:rsidRPr="000B21B2">
        <w:rPr>
          <w:rFonts w:cstheme="minorHAnsi"/>
          <w:color w:val="000000" w:themeColor="text1"/>
          <w:sz w:val="24"/>
          <w:szCs w:val="24"/>
        </w:rPr>
        <w:t xml:space="preserve"> de Chiriquí (37.0 a 11.5), Colón (84.4 a 36.8), Panamá Oeste (27.5 a 18.3)</w:t>
      </w:r>
      <w:r>
        <w:rPr>
          <w:rFonts w:cstheme="minorHAnsi"/>
          <w:color w:val="000000" w:themeColor="text1"/>
          <w:sz w:val="24"/>
          <w:szCs w:val="24"/>
        </w:rPr>
        <w:t>; y, la Comarca</w:t>
      </w:r>
      <w:r w:rsidRPr="000B21B2">
        <w:rPr>
          <w:rFonts w:cstheme="minorHAnsi"/>
          <w:color w:val="000000" w:themeColor="text1"/>
          <w:sz w:val="24"/>
          <w:szCs w:val="24"/>
        </w:rPr>
        <w:t xml:space="preserve"> Ngäbe Buglé (130.3 a </w:t>
      </w:r>
      <w:r w:rsidRPr="000B21B2">
        <w:rPr>
          <w:rFonts w:eastAsia="Times New Roman" w:cstheme="minorHAnsi"/>
          <w:color w:val="000000" w:themeColor="text1"/>
          <w:sz w:val="24"/>
          <w:szCs w:val="24"/>
          <w:lang w:eastAsia="es-PA"/>
        </w:rPr>
        <w:t>83.6)</w:t>
      </w:r>
      <w:r w:rsidRPr="000B21B2">
        <w:rPr>
          <w:rFonts w:cstheme="minorHAnsi"/>
          <w:color w:val="000000" w:themeColor="text1"/>
          <w:sz w:val="24"/>
          <w:szCs w:val="24"/>
        </w:rPr>
        <w:t xml:space="preserve">.  Contrariamente donde no se adecuaron las intervenciones o las mismas no </w:t>
      </w:r>
      <w:r>
        <w:rPr>
          <w:rFonts w:cstheme="minorHAnsi"/>
          <w:color w:val="000000" w:themeColor="text1"/>
          <w:sz w:val="24"/>
          <w:szCs w:val="24"/>
        </w:rPr>
        <w:t>tuvieron</w:t>
      </w:r>
      <w:r w:rsidRPr="000B21B2">
        <w:rPr>
          <w:rFonts w:cstheme="minorHAnsi"/>
          <w:color w:val="000000" w:themeColor="text1"/>
          <w:sz w:val="24"/>
          <w:szCs w:val="24"/>
        </w:rPr>
        <w:t xml:space="preserve"> la cobertura adecuada, el índice registró incrementos</w:t>
      </w:r>
      <w:r>
        <w:rPr>
          <w:rFonts w:cstheme="minorHAnsi"/>
          <w:color w:val="000000" w:themeColor="text1"/>
          <w:sz w:val="24"/>
          <w:szCs w:val="24"/>
        </w:rPr>
        <w:t xml:space="preserve"> en</w:t>
      </w:r>
      <w:r w:rsidRPr="000B21B2">
        <w:rPr>
          <w:rFonts w:cstheme="minorHAnsi"/>
          <w:color w:val="000000" w:themeColor="text1"/>
          <w:sz w:val="24"/>
          <w:szCs w:val="24"/>
        </w:rPr>
        <w:t xml:space="preserve"> Bocas del Toro (46.7 a 67.5)</w:t>
      </w:r>
      <w:r>
        <w:rPr>
          <w:rFonts w:cstheme="minorHAnsi"/>
          <w:color w:val="000000" w:themeColor="text1"/>
          <w:sz w:val="24"/>
          <w:szCs w:val="24"/>
        </w:rPr>
        <w:t>; y</w:t>
      </w:r>
      <w:r w:rsidRPr="000B21B2">
        <w:rPr>
          <w:rFonts w:cstheme="minorHAnsi"/>
          <w:color w:val="000000" w:themeColor="text1"/>
          <w:sz w:val="24"/>
          <w:szCs w:val="24"/>
        </w:rPr>
        <w:t xml:space="preserve">, </w:t>
      </w:r>
      <w:r>
        <w:rPr>
          <w:rFonts w:cstheme="minorHAnsi"/>
          <w:color w:val="000000" w:themeColor="text1"/>
          <w:sz w:val="24"/>
          <w:szCs w:val="24"/>
        </w:rPr>
        <w:t xml:space="preserve">la Comarca </w:t>
      </w:r>
      <w:r w:rsidRPr="000B21B2">
        <w:rPr>
          <w:rFonts w:cstheme="minorHAnsi"/>
          <w:color w:val="000000" w:themeColor="text1"/>
          <w:sz w:val="24"/>
          <w:szCs w:val="24"/>
        </w:rPr>
        <w:t xml:space="preserve">Guna Yala (273.2 a 339.6). </w:t>
      </w:r>
    </w:p>
    <w:p w14:paraId="0B92EE8D" w14:textId="77777777" w:rsidR="000C171B" w:rsidRPr="000B21B2" w:rsidRDefault="000C171B" w:rsidP="000C171B">
      <w:pPr>
        <w:spacing w:after="0" w:line="240" w:lineRule="auto"/>
        <w:jc w:val="both"/>
        <w:rPr>
          <w:rFonts w:cstheme="minorHAnsi"/>
          <w:sz w:val="24"/>
          <w:szCs w:val="24"/>
        </w:rPr>
      </w:pPr>
    </w:p>
    <w:p w14:paraId="1E8C403C" w14:textId="51BECD14" w:rsidR="000C171B" w:rsidRDefault="000C171B" w:rsidP="000C171B">
      <w:pPr>
        <w:spacing w:after="0" w:line="240" w:lineRule="auto"/>
        <w:jc w:val="both"/>
        <w:rPr>
          <w:rFonts w:cstheme="minorHAnsi"/>
          <w:sz w:val="24"/>
          <w:szCs w:val="24"/>
        </w:rPr>
      </w:pPr>
      <w:r>
        <w:rPr>
          <w:rFonts w:eastAsia="Times New Roman" w:cstheme="minorHAnsi"/>
          <w:b/>
          <w:color w:val="4472C4" w:themeColor="accent1"/>
          <w:sz w:val="24"/>
          <w:szCs w:val="24"/>
          <w:lang w:eastAsia="es-PA"/>
        </w:rPr>
        <w:t>(</w:t>
      </w:r>
      <w:proofErr w:type="spellStart"/>
      <w:r>
        <w:rPr>
          <w:rFonts w:eastAsia="Times New Roman" w:cstheme="minorHAnsi"/>
          <w:b/>
          <w:color w:val="4472C4" w:themeColor="accent1"/>
          <w:sz w:val="24"/>
          <w:szCs w:val="24"/>
          <w:lang w:eastAsia="es-PA"/>
        </w:rPr>
        <w:t>ii</w:t>
      </w:r>
      <w:proofErr w:type="spellEnd"/>
      <w:r>
        <w:rPr>
          <w:rFonts w:eastAsia="Times New Roman" w:cstheme="minorHAnsi"/>
          <w:b/>
          <w:color w:val="4472C4" w:themeColor="accent1"/>
          <w:sz w:val="24"/>
          <w:szCs w:val="24"/>
          <w:lang w:eastAsia="es-PA"/>
        </w:rPr>
        <w:t xml:space="preserve">) </w:t>
      </w:r>
      <w:r w:rsidRPr="00CA6C63">
        <w:rPr>
          <w:rFonts w:eastAsia="Times New Roman" w:cstheme="minorHAnsi"/>
          <w:b/>
          <w:color w:val="4472C4" w:themeColor="accent1"/>
          <w:sz w:val="24"/>
          <w:szCs w:val="24"/>
          <w:lang w:eastAsia="es-PA"/>
        </w:rPr>
        <w:t xml:space="preserve">Partos con asistencia de personal sanitario especializado. </w:t>
      </w:r>
      <w:r w:rsidRPr="000610E8">
        <w:rPr>
          <w:rFonts w:eastAsia="Times New Roman" w:cstheme="minorHAnsi"/>
          <w:bCs/>
          <w:sz w:val="24"/>
          <w:szCs w:val="24"/>
          <w:lang w:eastAsia="es-PA"/>
        </w:rPr>
        <w:t>En el país</w:t>
      </w:r>
      <w:r w:rsidRPr="000610E8">
        <w:rPr>
          <w:rFonts w:eastAsia="Times New Roman" w:cstheme="minorHAnsi"/>
          <w:b/>
          <w:sz w:val="24"/>
          <w:szCs w:val="24"/>
          <w:lang w:eastAsia="es-PA"/>
        </w:rPr>
        <w:t xml:space="preserve"> </w:t>
      </w:r>
      <w:r w:rsidRPr="000610E8">
        <w:rPr>
          <w:rFonts w:eastAsia="Times New Roman" w:cstheme="minorHAnsi"/>
          <w:bCs/>
          <w:sz w:val="24"/>
          <w:szCs w:val="24"/>
          <w:lang w:eastAsia="es-PA"/>
        </w:rPr>
        <w:t>l</w:t>
      </w:r>
      <w:r w:rsidRPr="000B21B2">
        <w:rPr>
          <w:rFonts w:cstheme="minorHAnsi"/>
          <w:sz w:val="24"/>
          <w:szCs w:val="24"/>
        </w:rPr>
        <w:t xml:space="preserve">a cobertura de salud al momento del parto es alta. A nivel nacional, nueve de cada diez partos tiene la asistencia de personal sanitario especializado. Entre el año 2010 </w:t>
      </w:r>
      <w:r>
        <w:rPr>
          <w:rFonts w:cstheme="minorHAnsi"/>
          <w:sz w:val="24"/>
          <w:szCs w:val="24"/>
        </w:rPr>
        <w:t xml:space="preserve">y 2016 la cobertura de este indicador se incrementó en un 2.2 % de </w:t>
      </w:r>
      <w:r w:rsidRPr="000B21B2">
        <w:rPr>
          <w:rFonts w:cstheme="minorHAnsi"/>
          <w:sz w:val="24"/>
          <w:szCs w:val="24"/>
        </w:rPr>
        <w:t>92.4</w:t>
      </w:r>
      <w:r>
        <w:rPr>
          <w:rFonts w:cstheme="minorHAnsi"/>
          <w:sz w:val="24"/>
          <w:szCs w:val="24"/>
        </w:rPr>
        <w:t xml:space="preserve"> a </w:t>
      </w:r>
      <w:r w:rsidRPr="000B21B2">
        <w:rPr>
          <w:rFonts w:cstheme="minorHAnsi"/>
          <w:sz w:val="24"/>
          <w:szCs w:val="24"/>
        </w:rPr>
        <w:t>94.6</w:t>
      </w:r>
      <w:r>
        <w:rPr>
          <w:rFonts w:cstheme="minorHAnsi"/>
          <w:sz w:val="24"/>
          <w:szCs w:val="24"/>
        </w:rPr>
        <w:t>.</w:t>
      </w:r>
      <w:r w:rsidRPr="000B21B2">
        <w:rPr>
          <w:rFonts w:cstheme="minorHAnsi"/>
          <w:sz w:val="24"/>
          <w:szCs w:val="24"/>
        </w:rPr>
        <w:t xml:space="preserve"> </w:t>
      </w:r>
      <w:r>
        <w:rPr>
          <w:rFonts w:cstheme="minorHAnsi"/>
          <w:sz w:val="24"/>
          <w:szCs w:val="24"/>
        </w:rPr>
        <w:t xml:space="preserve">En las áreas urbanas la cobertura alcanza el 97.8% de los partos, en las rurales el 94.4% y en las comarcas indígenas esta cifra es menor con un 87.0%. </w:t>
      </w:r>
    </w:p>
    <w:p w14:paraId="058908F4" w14:textId="77777777" w:rsidR="000C171B" w:rsidRDefault="000C171B" w:rsidP="000C171B">
      <w:pPr>
        <w:spacing w:after="0" w:line="240" w:lineRule="auto"/>
        <w:jc w:val="both"/>
        <w:rPr>
          <w:rFonts w:cstheme="minorHAnsi"/>
          <w:sz w:val="24"/>
          <w:szCs w:val="24"/>
        </w:rPr>
      </w:pPr>
    </w:p>
    <w:p w14:paraId="7529333B" w14:textId="54DFE99D" w:rsidR="000C171B" w:rsidRPr="000B21B2" w:rsidRDefault="000C171B" w:rsidP="000C171B">
      <w:pPr>
        <w:spacing w:after="0" w:line="240" w:lineRule="auto"/>
        <w:jc w:val="both"/>
        <w:rPr>
          <w:rFonts w:cstheme="minorHAnsi"/>
          <w:sz w:val="24"/>
          <w:szCs w:val="24"/>
        </w:rPr>
      </w:pPr>
      <w:r>
        <w:rPr>
          <w:rFonts w:cstheme="minorHAnsi"/>
          <w:sz w:val="24"/>
          <w:szCs w:val="24"/>
        </w:rPr>
        <w:t>A pesar de mejoras en los últimos años, cabe mencionar que p</w:t>
      </w:r>
      <w:r w:rsidRPr="000B21B2">
        <w:rPr>
          <w:rFonts w:cstheme="minorHAnsi"/>
          <w:sz w:val="24"/>
          <w:szCs w:val="24"/>
        </w:rPr>
        <w:t xml:space="preserve">ara el año 2017, </w:t>
      </w:r>
      <w:r w:rsidR="000610E8" w:rsidRPr="000B21B2">
        <w:rPr>
          <w:rFonts w:cstheme="minorHAnsi"/>
          <w:sz w:val="24"/>
          <w:szCs w:val="24"/>
        </w:rPr>
        <w:t>las brechas en materia de asistencia de personal sanitario especializado al momento del parto se ubicaban principalmente</w:t>
      </w:r>
      <w:r w:rsidRPr="000B21B2">
        <w:rPr>
          <w:rFonts w:cstheme="minorHAnsi"/>
          <w:sz w:val="24"/>
          <w:szCs w:val="24"/>
        </w:rPr>
        <w:t xml:space="preserve"> en las áreas comarcales y rurales</w:t>
      </w:r>
      <w:r>
        <w:rPr>
          <w:rFonts w:cstheme="minorHAnsi"/>
          <w:sz w:val="24"/>
          <w:szCs w:val="24"/>
        </w:rPr>
        <w:t>;</w:t>
      </w:r>
      <w:r w:rsidRPr="000B21B2">
        <w:rPr>
          <w:rFonts w:cstheme="minorHAnsi"/>
          <w:sz w:val="24"/>
          <w:szCs w:val="24"/>
        </w:rPr>
        <w:t xml:space="preserve"> en Darién 11.0</w:t>
      </w:r>
      <w:r>
        <w:rPr>
          <w:rFonts w:cstheme="minorHAnsi"/>
          <w:sz w:val="24"/>
          <w:szCs w:val="24"/>
        </w:rPr>
        <w:t>%;</w:t>
      </w:r>
      <w:r w:rsidRPr="000B21B2">
        <w:rPr>
          <w:rFonts w:cstheme="minorHAnsi"/>
          <w:sz w:val="24"/>
          <w:szCs w:val="24"/>
        </w:rPr>
        <w:t xml:space="preserve"> Bocas del Toro 6.4</w:t>
      </w:r>
      <w:r>
        <w:rPr>
          <w:rFonts w:cstheme="minorHAnsi"/>
          <w:sz w:val="24"/>
          <w:szCs w:val="24"/>
        </w:rPr>
        <w:t>%;</w:t>
      </w:r>
      <w:r w:rsidRPr="000B21B2">
        <w:rPr>
          <w:rFonts w:cstheme="minorHAnsi"/>
          <w:sz w:val="24"/>
          <w:szCs w:val="24"/>
        </w:rPr>
        <w:t xml:space="preserve"> Coclé 5.6</w:t>
      </w:r>
      <w:r>
        <w:rPr>
          <w:rFonts w:cstheme="minorHAnsi"/>
          <w:sz w:val="24"/>
          <w:szCs w:val="24"/>
        </w:rPr>
        <w:t xml:space="preserve">%. En </w:t>
      </w:r>
      <w:r w:rsidRPr="000B21B2">
        <w:rPr>
          <w:rFonts w:cstheme="minorHAnsi"/>
          <w:sz w:val="24"/>
          <w:szCs w:val="24"/>
        </w:rPr>
        <w:t>las comarcas</w:t>
      </w:r>
      <w:r>
        <w:rPr>
          <w:rFonts w:cstheme="minorHAnsi"/>
          <w:sz w:val="24"/>
          <w:szCs w:val="24"/>
        </w:rPr>
        <w:t xml:space="preserve"> se registraron:</w:t>
      </w:r>
      <w:r w:rsidRPr="000B21B2">
        <w:rPr>
          <w:rFonts w:cstheme="minorHAnsi"/>
          <w:sz w:val="24"/>
          <w:szCs w:val="24"/>
        </w:rPr>
        <w:t xml:space="preserve"> Ngäbe Buglé 17.2</w:t>
      </w:r>
      <w:r>
        <w:rPr>
          <w:rFonts w:cstheme="minorHAnsi"/>
          <w:sz w:val="24"/>
          <w:szCs w:val="24"/>
        </w:rPr>
        <w:t>%;</w:t>
      </w:r>
      <w:r w:rsidRPr="000B21B2">
        <w:rPr>
          <w:rFonts w:cstheme="minorHAnsi"/>
          <w:sz w:val="24"/>
          <w:szCs w:val="24"/>
        </w:rPr>
        <w:t xml:space="preserve"> Guna Yala 15.0</w:t>
      </w:r>
      <w:r>
        <w:rPr>
          <w:rFonts w:cstheme="minorHAnsi"/>
          <w:sz w:val="24"/>
          <w:szCs w:val="24"/>
        </w:rPr>
        <w:t>%;</w:t>
      </w:r>
      <w:r w:rsidRPr="000B21B2">
        <w:rPr>
          <w:rFonts w:cstheme="minorHAnsi"/>
          <w:sz w:val="24"/>
          <w:szCs w:val="24"/>
        </w:rPr>
        <w:t xml:space="preserve"> y</w:t>
      </w:r>
      <w:r>
        <w:rPr>
          <w:rFonts w:cstheme="minorHAnsi"/>
          <w:sz w:val="24"/>
          <w:szCs w:val="24"/>
        </w:rPr>
        <w:t>,</w:t>
      </w:r>
      <w:r w:rsidRPr="000B21B2">
        <w:rPr>
          <w:rFonts w:cstheme="minorHAnsi"/>
          <w:sz w:val="24"/>
          <w:szCs w:val="24"/>
        </w:rPr>
        <w:t xml:space="preserve"> Emberá Wounaan 12.8</w:t>
      </w:r>
      <w:r>
        <w:rPr>
          <w:rFonts w:cstheme="minorHAnsi"/>
          <w:sz w:val="24"/>
          <w:szCs w:val="24"/>
        </w:rPr>
        <w:t>%</w:t>
      </w:r>
      <w:r w:rsidRPr="000B21B2">
        <w:rPr>
          <w:rFonts w:cstheme="minorHAnsi"/>
          <w:sz w:val="24"/>
          <w:szCs w:val="24"/>
        </w:rPr>
        <w:t xml:space="preserve">. En el caso de la provincia de Los Santos, la cobertura de personal especializado al momento del parto se mantiene casi sin variaciones. En </w:t>
      </w:r>
      <w:r>
        <w:rPr>
          <w:rFonts w:cstheme="minorHAnsi"/>
          <w:sz w:val="24"/>
          <w:szCs w:val="24"/>
        </w:rPr>
        <w:t xml:space="preserve">el </w:t>
      </w:r>
      <w:r w:rsidRPr="000B21B2">
        <w:rPr>
          <w:rFonts w:cstheme="minorHAnsi"/>
          <w:sz w:val="24"/>
          <w:szCs w:val="24"/>
        </w:rPr>
        <w:t xml:space="preserve">próximo quinquenio, las brechas en la asistencia al parto con personal sanitario especializado pueden reducirse de manera significativa, hasta alcanzar más del noventa por ciento de cobertura, sobre todo en las áreas rurales. </w:t>
      </w:r>
      <w:r>
        <w:rPr>
          <w:rFonts w:cstheme="minorHAnsi"/>
          <w:sz w:val="24"/>
          <w:szCs w:val="24"/>
        </w:rPr>
        <w:t xml:space="preserve">Si se mantiene la dinámica en la política pública, es posible que </w:t>
      </w:r>
      <w:r w:rsidRPr="000B21B2">
        <w:rPr>
          <w:rFonts w:cstheme="minorHAnsi"/>
          <w:sz w:val="24"/>
          <w:szCs w:val="24"/>
        </w:rPr>
        <w:t xml:space="preserve">para el año 2030 el país puede cumplir con esta meta. </w:t>
      </w:r>
    </w:p>
    <w:p w14:paraId="489F6049" w14:textId="77777777" w:rsidR="000C171B" w:rsidRPr="000B21B2" w:rsidRDefault="000C171B" w:rsidP="000C171B">
      <w:pPr>
        <w:spacing w:after="0" w:line="240" w:lineRule="auto"/>
        <w:jc w:val="both"/>
        <w:rPr>
          <w:rFonts w:cstheme="minorHAnsi"/>
          <w:sz w:val="24"/>
          <w:szCs w:val="24"/>
        </w:rPr>
      </w:pPr>
    </w:p>
    <w:p w14:paraId="253DA21E" w14:textId="77777777" w:rsidR="000C171B" w:rsidRPr="000B21B2" w:rsidRDefault="000C171B" w:rsidP="000C171B">
      <w:pPr>
        <w:spacing w:after="0" w:line="240" w:lineRule="auto"/>
        <w:jc w:val="both"/>
        <w:rPr>
          <w:rFonts w:cstheme="minorHAnsi"/>
          <w:sz w:val="24"/>
          <w:szCs w:val="24"/>
        </w:rPr>
      </w:pPr>
      <w:r>
        <w:rPr>
          <w:rFonts w:eastAsia="Times New Roman" w:cstheme="minorHAnsi"/>
          <w:b/>
          <w:color w:val="4472C4" w:themeColor="accent1"/>
          <w:sz w:val="24"/>
          <w:szCs w:val="24"/>
          <w:lang w:eastAsia="es-PA"/>
        </w:rPr>
        <w:t>(</w:t>
      </w:r>
      <w:proofErr w:type="spellStart"/>
      <w:r>
        <w:rPr>
          <w:rFonts w:eastAsia="Times New Roman" w:cstheme="minorHAnsi"/>
          <w:b/>
          <w:color w:val="4472C4" w:themeColor="accent1"/>
          <w:sz w:val="24"/>
          <w:szCs w:val="24"/>
          <w:lang w:eastAsia="es-PA"/>
        </w:rPr>
        <w:t>iii</w:t>
      </w:r>
      <w:proofErr w:type="spellEnd"/>
      <w:r>
        <w:rPr>
          <w:rFonts w:eastAsia="Times New Roman" w:cstheme="minorHAnsi"/>
          <w:b/>
          <w:color w:val="4472C4" w:themeColor="accent1"/>
          <w:sz w:val="24"/>
          <w:szCs w:val="24"/>
          <w:lang w:eastAsia="es-PA"/>
        </w:rPr>
        <w:t xml:space="preserve">) </w:t>
      </w:r>
      <w:r w:rsidRPr="007A3F73">
        <w:rPr>
          <w:rFonts w:eastAsia="Times New Roman" w:cstheme="minorHAnsi"/>
          <w:b/>
          <w:color w:val="4472C4" w:themeColor="accent1"/>
          <w:sz w:val="24"/>
          <w:szCs w:val="24"/>
          <w:lang w:eastAsia="es-PA"/>
        </w:rPr>
        <w:t xml:space="preserve">Tasa de mortalidad neonatal. </w:t>
      </w:r>
      <w:r w:rsidRPr="000B21B2">
        <w:rPr>
          <w:rFonts w:cstheme="minorHAnsi"/>
          <w:sz w:val="24"/>
          <w:szCs w:val="24"/>
        </w:rPr>
        <w:t xml:space="preserve">La tasa de mortalidad neonatal se incrementó del 2010 (7.2) a 2017 (7.7) en 0.5. De igual manera, durante ese periodo, en las provincias, la tasa registró </w:t>
      </w:r>
      <w:r w:rsidRPr="000B21B2">
        <w:rPr>
          <w:rFonts w:cstheme="minorHAnsi"/>
          <w:sz w:val="24"/>
          <w:szCs w:val="24"/>
        </w:rPr>
        <w:lastRenderedPageBreak/>
        <w:t xml:space="preserve">variaciones e incrementos importantes en los casos de las provincias de Coclé, Colón, Chiriquí, Darién, Los Santos, Panamá, Veraguas.  En las provincias de Bocas del Toro y Herrera y las comarcas indígenas de Guna Yala y Ngäbe Buglé la tasa de mortalidad neonatal se reduce. Las políticas orientadas hacia la reducción de la tasa de mortalidad neonatal deben identificar los cuellos de botella culturales, sociales, económicos e institucionales que reducen la velocidad del cumplimiento con las metas en la atención de salud. </w:t>
      </w:r>
    </w:p>
    <w:p w14:paraId="48812B52" w14:textId="77777777" w:rsidR="000C171B" w:rsidRPr="000B21B2" w:rsidRDefault="000C171B" w:rsidP="000C171B">
      <w:pPr>
        <w:spacing w:after="0" w:line="240" w:lineRule="auto"/>
        <w:jc w:val="both"/>
        <w:rPr>
          <w:rFonts w:cstheme="minorHAnsi"/>
          <w:sz w:val="24"/>
          <w:szCs w:val="24"/>
        </w:rPr>
      </w:pPr>
    </w:p>
    <w:p w14:paraId="1E67BB23" w14:textId="77777777" w:rsidR="000C171B" w:rsidRPr="000B21B2" w:rsidRDefault="000C171B" w:rsidP="000C171B">
      <w:pPr>
        <w:spacing w:after="0" w:line="240" w:lineRule="auto"/>
        <w:jc w:val="both"/>
        <w:rPr>
          <w:rFonts w:cstheme="minorHAnsi"/>
          <w:sz w:val="24"/>
          <w:szCs w:val="24"/>
        </w:rPr>
      </w:pPr>
      <w:r>
        <w:rPr>
          <w:rFonts w:eastAsia="Times New Roman" w:cstheme="minorHAnsi"/>
          <w:b/>
          <w:color w:val="4472C4" w:themeColor="accent1"/>
          <w:sz w:val="24"/>
          <w:szCs w:val="24"/>
          <w:lang w:eastAsia="es-PA"/>
        </w:rPr>
        <w:t>(</w:t>
      </w:r>
      <w:proofErr w:type="spellStart"/>
      <w:r>
        <w:rPr>
          <w:rFonts w:eastAsia="Times New Roman" w:cstheme="minorHAnsi"/>
          <w:b/>
          <w:color w:val="4472C4" w:themeColor="accent1"/>
          <w:sz w:val="24"/>
          <w:szCs w:val="24"/>
          <w:lang w:eastAsia="es-PA"/>
        </w:rPr>
        <w:t>iv</w:t>
      </w:r>
      <w:proofErr w:type="spellEnd"/>
      <w:r>
        <w:rPr>
          <w:rFonts w:eastAsia="Times New Roman" w:cstheme="minorHAnsi"/>
          <w:b/>
          <w:color w:val="4472C4" w:themeColor="accent1"/>
          <w:sz w:val="24"/>
          <w:szCs w:val="24"/>
          <w:lang w:eastAsia="es-PA"/>
        </w:rPr>
        <w:t xml:space="preserve">) </w:t>
      </w:r>
      <w:r w:rsidRPr="007A3F73">
        <w:rPr>
          <w:rFonts w:eastAsia="Times New Roman" w:cstheme="minorHAnsi"/>
          <w:b/>
          <w:color w:val="4472C4" w:themeColor="accent1"/>
          <w:sz w:val="24"/>
          <w:szCs w:val="24"/>
          <w:lang w:eastAsia="es-PA"/>
        </w:rPr>
        <w:t xml:space="preserve">Tasa de mortalidad de niños menores de 5 años. </w:t>
      </w:r>
      <w:r w:rsidRPr="000B21B2">
        <w:rPr>
          <w:rFonts w:cstheme="minorHAnsi"/>
          <w:sz w:val="24"/>
          <w:szCs w:val="24"/>
        </w:rPr>
        <w:t xml:space="preserve">La tasa de mortalidad de niños menores de 5 años registró pocas variaciones entre los años 2010 (17.8) y 2017 (17.4). Los cambios se presentaron </w:t>
      </w:r>
      <w:r>
        <w:rPr>
          <w:rFonts w:cstheme="minorHAnsi"/>
          <w:sz w:val="24"/>
          <w:szCs w:val="24"/>
        </w:rPr>
        <w:t xml:space="preserve">principalmente </w:t>
      </w:r>
      <w:r w:rsidRPr="000B21B2">
        <w:rPr>
          <w:rFonts w:cstheme="minorHAnsi"/>
          <w:sz w:val="24"/>
          <w:szCs w:val="24"/>
        </w:rPr>
        <w:t xml:space="preserve">en Veraguas (6.3), Bocas del Toro (5.8), Herrera (5.0) y Colón (1.0). Sin embargo, </w:t>
      </w:r>
      <w:r>
        <w:rPr>
          <w:rFonts w:cstheme="minorHAnsi"/>
          <w:sz w:val="24"/>
          <w:szCs w:val="24"/>
        </w:rPr>
        <w:t>esta</w:t>
      </w:r>
      <w:r w:rsidRPr="000B21B2">
        <w:rPr>
          <w:rFonts w:cstheme="minorHAnsi"/>
          <w:sz w:val="24"/>
          <w:szCs w:val="24"/>
        </w:rPr>
        <w:t xml:space="preserve"> tasa present</w:t>
      </w:r>
      <w:r>
        <w:rPr>
          <w:rFonts w:cstheme="minorHAnsi"/>
          <w:sz w:val="24"/>
          <w:szCs w:val="24"/>
        </w:rPr>
        <w:t>ó</w:t>
      </w:r>
      <w:r w:rsidRPr="000B21B2">
        <w:rPr>
          <w:rFonts w:cstheme="minorHAnsi"/>
          <w:sz w:val="24"/>
          <w:szCs w:val="24"/>
        </w:rPr>
        <w:t xml:space="preserve"> una mayor velocidad en su reducción en las comarcas Guna Yala (16.3) y Ngäbe Buglé (9.6). Esta variación </w:t>
      </w:r>
      <w:r>
        <w:rPr>
          <w:rFonts w:cstheme="minorHAnsi"/>
          <w:sz w:val="24"/>
          <w:szCs w:val="24"/>
        </w:rPr>
        <w:t xml:space="preserve">guarda </w:t>
      </w:r>
      <w:r w:rsidRPr="000B21B2">
        <w:rPr>
          <w:rFonts w:cstheme="minorHAnsi"/>
          <w:sz w:val="24"/>
          <w:szCs w:val="24"/>
        </w:rPr>
        <w:t xml:space="preserve">relación principalmente con el incremento de los paquetes de atención en salud y los programas de transferencias monetarias que condicionan la atención a los menores.  Por su parte, la tasa de mortalidad de niños menores de 5 años se incrementó en las siguientes provincias: Los Santos (13.5), Darién (21.9), Panamá (14.7), Coclé (15.5) y Chiriquí (21.5). En su conjunto la reducción de la tasa de mortalidad de niños menores 5 años, fue tres veces más rápida en aquellos lugares y áreas con menor dispersión y mayor concentración de la población. </w:t>
      </w:r>
    </w:p>
    <w:p w14:paraId="0C82F919" w14:textId="77777777" w:rsidR="000C171B" w:rsidRPr="000B21B2" w:rsidRDefault="000C171B" w:rsidP="000C171B">
      <w:pPr>
        <w:spacing w:after="0" w:line="240" w:lineRule="auto"/>
        <w:jc w:val="both"/>
        <w:rPr>
          <w:rFonts w:cstheme="minorHAnsi"/>
          <w:sz w:val="24"/>
          <w:szCs w:val="24"/>
        </w:rPr>
      </w:pPr>
    </w:p>
    <w:p w14:paraId="179ADD38" w14:textId="61D49012" w:rsidR="000C171B" w:rsidRDefault="000C171B" w:rsidP="000C171B">
      <w:pPr>
        <w:spacing w:after="0" w:line="240" w:lineRule="auto"/>
        <w:jc w:val="both"/>
        <w:rPr>
          <w:rFonts w:cstheme="minorHAnsi"/>
          <w:sz w:val="24"/>
          <w:szCs w:val="24"/>
        </w:rPr>
      </w:pPr>
      <w:r>
        <w:rPr>
          <w:rFonts w:cstheme="minorHAnsi"/>
          <w:b/>
          <w:color w:val="4472C4" w:themeColor="accent1"/>
          <w:sz w:val="24"/>
          <w:szCs w:val="24"/>
        </w:rPr>
        <w:t xml:space="preserve">(v) </w:t>
      </w:r>
      <w:r w:rsidRPr="007A3F73">
        <w:rPr>
          <w:rFonts w:cstheme="minorHAnsi"/>
          <w:b/>
          <w:color w:val="4472C4" w:themeColor="accent1"/>
          <w:sz w:val="24"/>
          <w:szCs w:val="24"/>
        </w:rPr>
        <w:t xml:space="preserve">Fecundidad de las adolescentes.  </w:t>
      </w:r>
      <w:r w:rsidRPr="008652E2">
        <w:rPr>
          <w:rFonts w:cstheme="minorHAnsi"/>
          <w:sz w:val="24"/>
          <w:szCs w:val="24"/>
        </w:rPr>
        <w:t>La tasa de fecundidad adolescente de 10 - 14 años al 2018 fue de 2.9 por cada 1,000 mujeres y la tasa de fecundidad de 15-19 años fue de 73.4 por cada 1.000 mujeres de este grupo etario. Cabe mencionar, que, en el 2015, 19.6% de los nacimientos vivos ocurrieron en madres adolescentes de 15–19 años, no obstante, al 2017 esta cifra se redujo a 17.8%. A pesar de esta leve disminución en 2017, se reportaron 517 nacimientos vivos en madres menores de 15 años. El aumento del número de embarazos en niñas de 10 a 14 años apunta a un problema de difícil abordaje, que legalmente se tipifica como abuso sexual. En este sentido, es importante resaltar entre las causas principales del embarazo adolescente: la ausencia de educación integral en sexualidad desde el sistema educativo formal; el abuso sexual</w:t>
      </w:r>
      <w:r>
        <w:rPr>
          <w:rFonts w:cstheme="minorHAnsi"/>
          <w:sz w:val="24"/>
          <w:szCs w:val="24"/>
        </w:rPr>
        <w:t xml:space="preserve"> a temprana edad</w:t>
      </w:r>
      <w:r w:rsidRPr="008652E2">
        <w:rPr>
          <w:rFonts w:cstheme="minorHAnsi"/>
          <w:sz w:val="24"/>
          <w:szCs w:val="24"/>
        </w:rPr>
        <w:t>; y el limitado acceso a métodos anticonceptivos</w:t>
      </w:r>
      <w:r>
        <w:rPr>
          <w:rFonts w:cstheme="minorHAnsi"/>
          <w:sz w:val="24"/>
          <w:szCs w:val="24"/>
        </w:rPr>
        <w:t xml:space="preserve"> para la regulación de la fecundidad en adolescente constituyen brechas culturales e institucionales a superar.</w:t>
      </w:r>
    </w:p>
    <w:p w14:paraId="18D53D6A" w14:textId="77777777" w:rsidR="000C171B" w:rsidRPr="000B21B2" w:rsidRDefault="000C171B" w:rsidP="000C171B">
      <w:pPr>
        <w:spacing w:after="0" w:line="240" w:lineRule="auto"/>
        <w:jc w:val="both"/>
        <w:rPr>
          <w:rFonts w:cstheme="minorHAnsi"/>
          <w:b/>
          <w:sz w:val="24"/>
          <w:szCs w:val="24"/>
        </w:rPr>
      </w:pPr>
    </w:p>
    <w:p w14:paraId="47A1CA86" w14:textId="77777777"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 xml:space="preserve">(vi) </w:t>
      </w:r>
      <w:r w:rsidRPr="007A3F73">
        <w:rPr>
          <w:rFonts w:cstheme="minorHAnsi"/>
          <w:b/>
          <w:color w:val="4472C4" w:themeColor="accent1"/>
          <w:sz w:val="24"/>
          <w:szCs w:val="24"/>
        </w:rPr>
        <w:t>Defunciones según enfermedades previsibles más comunes</w:t>
      </w:r>
      <w:r w:rsidRPr="007A3F73">
        <w:rPr>
          <w:rFonts w:cstheme="minorHAnsi"/>
          <w:color w:val="4472C4" w:themeColor="accent1"/>
          <w:sz w:val="24"/>
          <w:szCs w:val="24"/>
        </w:rPr>
        <w:t xml:space="preserve">. </w:t>
      </w:r>
      <w:r w:rsidRPr="000B21B2">
        <w:rPr>
          <w:rFonts w:cstheme="minorHAnsi"/>
          <w:sz w:val="24"/>
          <w:szCs w:val="24"/>
        </w:rPr>
        <w:t>Las defunciones por las enfermedades previsibles más comunes están en aumento. Entre los años 2010 (8,557) y 2017 (10,514) se registra</w:t>
      </w:r>
      <w:r>
        <w:rPr>
          <w:rFonts w:cstheme="minorHAnsi"/>
          <w:sz w:val="24"/>
          <w:szCs w:val="24"/>
        </w:rPr>
        <w:t xml:space="preserve"> un incremento de </w:t>
      </w:r>
      <w:r w:rsidRPr="000B21B2">
        <w:rPr>
          <w:rFonts w:cstheme="minorHAnsi"/>
          <w:sz w:val="24"/>
          <w:szCs w:val="24"/>
        </w:rPr>
        <w:t xml:space="preserve">1,957 casos de defunciones por enfermedades previsibles. Este incremento no cambia las proporciones según tipo de enfermedad. Para el año 2017, el 53.4% de las defunciones eran de hombres, mientras que sólo el 46.6% eran de mujeres. El incremento de las defunciones entre las enfermedades previsibles plantea la necesidad de desarrollar políticas preventivas de alto impacto. El Censo </w:t>
      </w:r>
      <w:r>
        <w:rPr>
          <w:rFonts w:cstheme="minorHAnsi"/>
          <w:sz w:val="24"/>
          <w:szCs w:val="24"/>
        </w:rPr>
        <w:t xml:space="preserve">Nacional </w:t>
      </w:r>
      <w:r w:rsidRPr="000B21B2">
        <w:rPr>
          <w:rFonts w:cstheme="minorHAnsi"/>
          <w:sz w:val="24"/>
          <w:szCs w:val="24"/>
        </w:rPr>
        <w:t xml:space="preserve">de Salud, como instrumento para desarrollar acciones preventivas georreferenciadas, en el corto plazo, puede incidir de manera directa en el número de defunciones por este tipo de enfermedades. </w:t>
      </w:r>
    </w:p>
    <w:p w14:paraId="24E3474E" w14:textId="77777777" w:rsidR="000C171B" w:rsidRPr="000B21B2" w:rsidRDefault="000C171B" w:rsidP="000C171B">
      <w:pPr>
        <w:spacing w:after="0" w:line="240" w:lineRule="auto"/>
        <w:jc w:val="both"/>
        <w:rPr>
          <w:rFonts w:cstheme="minorHAnsi"/>
          <w:sz w:val="24"/>
          <w:szCs w:val="24"/>
        </w:rPr>
      </w:pPr>
      <w:r w:rsidRPr="000B21B2">
        <w:rPr>
          <w:rFonts w:cstheme="minorHAnsi"/>
          <w:sz w:val="24"/>
          <w:szCs w:val="24"/>
        </w:rPr>
        <w:t xml:space="preserve">  </w:t>
      </w:r>
    </w:p>
    <w:p w14:paraId="3E333FE5" w14:textId="77777777"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w:t>
      </w:r>
      <w:proofErr w:type="spellStart"/>
      <w:r>
        <w:rPr>
          <w:rFonts w:cstheme="minorHAnsi"/>
          <w:b/>
          <w:color w:val="4472C4" w:themeColor="accent1"/>
          <w:sz w:val="24"/>
          <w:szCs w:val="24"/>
        </w:rPr>
        <w:t>vii</w:t>
      </w:r>
      <w:proofErr w:type="spellEnd"/>
      <w:r>
        <w:rPr>
          <w:rFonts w:cstheme="minorHAnsi"/>
          <w:b/>
          <w:color w:val="4472C4" w:themeColor="accent1"/>
          <w:sz w:val="24"/>
          <w:szCs w:val="24"/>
        </w:rPr>
        <w:t xml:space="preserve">) </w:t>
      </w:r>
      <w:r w:rsidRPr="007A3F73">
        <w:rPr>
          <w:rFonts w:cstheme="minorHAnsi"/>
          <w:b/>
          <w:color w:val="4472C4" w:themeColor="accent1"/>
          <w:sz w:val="24"/>
          <w:szCs w:val="24"/>
        </w:rPr>
        <w:t>Incidencia de la tuberculosis</w:t>
      </w:r>
      <w:r w:rsidRPr="007A3F73">
        <w:rPr>
          <w:rFonts w:cstheme="minorHAnsi"/>
          <w:color w:val="4472C4" w:themeColor="accent1"/>
          <w:sz w:val="24"/>
          <w:szCs w:val="24"/>
        </w:rPr>
        <w:t xml:space="preserve">. </w:t>
      </w:r>
      <w:r w:rsidRPr="000B21B2">
        <w:rPr>
          <w:rFonts w:cstheme="minorHAnsi"/>
          <w:sz w:val="24"/>
          <w:szCs w:val="24"/>
        </w:rPr>
        <w:t xml:space="preserve">Entre los años 2013 y 2016, la incidencia de la tuberculosis por cada 100.00 habitantes se redujo levemente (0.1). La reducción más importante en los casos </w:t>
      </w:r>
      <w:r w:rsidRPr="000B21B2">
        <w:rPr>
          <w:rFonts w:cstheme="minorHAnsi"/>
          <w:sz w:val="24"/>
          <w:szCs w:val="24"/>
        </w:rPr>
        <w:lastRenderedPageBreak/>
        <w:t>de tuberculosis se registró en la comarca Guna Yala (97.6). Asimismo, se redujo significativamente la incidencia en las provincias de Colón (10.3), Veraguas (9.59, Coclé (6.9), Los Santos (2.1).  En dichas provincias y comarca la política pública logró reducir la incidencia de la tuberculosis, mediante cambios en el saneamiento del entorno de los hogares y los patrones culturales en la habitabilidad.  Sin embargo</w:t>
      </w:r>
      <w:r>
        <w:rPr>
          <w:rFonts w:cstheme="minorHAnsi"/>
          <w:sz w:val="24"/>
          <w:szCs w:val="24"/>
        </w:rPr>
        <w:t>,</w:t>
      </w:r>
      <w:r w:rsidRPr="000B21B2">
        <w:rPr>
          <w:rFonts w:cstheme="minorHAnsi"/>
          <w:sz w:val="24"/>
          <w:szCs w:val="24"/>
        </w:rPr>
        <w:t xml:space="preserve"> en las provincias de Darién (20.4), Bocas del Toro (17.6), Panamá Oeste (3.5) y Panamá (0.5), los casos y la incidencia de la tuberculosis se incrementó. En las provincias con mayor presencia de población indígena como Darién y Bocas del Toro, el incremento de la incidencia fue mayor. Algo similar se registró en la Comarca Ngäbe Buglé donde la incidencia de tuberculosis se incrementó (5.9). En dichas áreas, siguiendo las lecciones aprendidas y buenas prácticas que incidieron en la velocidad de la reducción de la tuberculosis, la política pública tendría capacidad para amplificar los impactos. </w:t>
      </w:r>
    </w:p>
    <w:p w14:paraId="4F2715BF" w14:textId="77777777" w:rsidR="000C171B" w:rsidRPr="000B21B2" w:rsidRDefault="000C171B" w:rsidP="000C171B">
      <w:pPr>
        <w:spacing w:after="0" w:line="240" w:lineRule="auto"/>
        <w:jc w:val="both"/>
        <w:rPr>
          <w:rFonts w:eastAsia="Times New Roman" w:cstheme="minorHAnsi"/>
          <w:b/>
          <w:color w:val="000000"/>
          <w:sz w:val="24"/>
          <w:szCs w:val="24"/>
          <w:lang w:eastAsia="es-PA"/>
        </w:rPr>
      </w:pPr>
    </w:p>
    <w:p w14:paraId="297A2D42" w14:textId="77777777" w:rsidR="000C171B" w:rsidRPr="007A3F73" w:rsidRDefault="000C171B" w:rsidP="000C171B">
      <w:pPr>
        <w:spacing w:after="0" w:line="240" w:lineRule="auto"/>
        <w:jc w:val="both"/>
        <w:rPr>
          <w:rFonts w:eastAsia="Times New Roman" w:cstheme="minorHAnsi"/>
          <w:b/>
          <w:color w:val="4472C4" w:themeColor="accent1"/>
          <w:sz w:val="24"/>
          <w:szCs w:val="24"/>
          <w:lang w:eastAsia="es-PA"/>
        </w:rPr>
      </w:pPr>
      <w:r w:rsidRPr="007A3F73">
        <w:rPr>
          <w:rFonts w:cstheme="minorHAnsi"/>
          <w:b/>
          <w:color w:val="4472C4" w:themeColor="accent1"/>
          <w:sz w:val="24"/>
          <w:szCs w:val="24"/>
        </w:rPr>
        <w:t xml:space="preserve">3.1.4. ODS 4: </w:t>
      </w:r>
      <w:r w:rsidRPr="007A3F73">
        <w:rPr>
          <w:rFonts w:eastAsia="Times New Roman" w:cstheme="minorHAnsi"/>
          <w:b/>
          <w:color w:val="4472C4" w:themeColor="accent1"/>
          <w:sz w:val="24"/>
          <w:szCs w:val="24"/>
          <w:lang w:eastAsia="es-PA"/>
        </w:rPr>
        <w:t xml:space="preserve">Educación inclusiva, equitativa y de calidad. </w:t>
      </w:r>
    </w:p>
    <w:p w14:paraId="4F2713E5" w14:textId="77777777" w:rsidR="000C171B" w:rsidRPr="000B21B2" w:rsidRDefault="000C171B" w:rsidP="000C171B">
      <w:pPr>
        <w:spacing w:after="0" w:line="240" w:lineRule="auto"/>
        <w:jc w:val="both"/>
        <w:rPr>
          <w:rFonts w:eastAsia="Times New Roman" w:cstheme="minorHAnsi"/>
          <w:color w:val="000000"/>
          <w:sz w:val="24"/>
          <w:szCs w:val="24"/>
          <w:lang w:eastAsia="es-PA"/>
        </w:rPr>
      </w:pPr>
    </w:p>
    <w:p w14:paraId="293306A5" w14:textId="77777777" w:rsidR="000C171B" w:rsidRPr="000B21B2" w:rsidRDefault="000C171B" w:rsidP="000C171B">
      <w:pPr>
        <w:spacing w:after="0" w:line="240" w:lineRule="auto"/>
        <w:jc w:val="both"/>
        <w:rPr>
          <w:rFonts w:cstheme="minorHAnsi"/>
          <w:sz w:val="24"/>
          <w:szCs w:val="24"/>
        </w:rPr>
      </w:pPr>
      <w:r>
        <w:rPr>
          <w:rFonts w:eastAsia="Times New Roman" w:cstheme="minorHAnsi"/>
          <w:b/>
          <w:color w:val="4472C4" w:themeColor="accent1"/>
          <w:sz w:val="24"/>
          <w:szCs w:val="24"/>
          <w:lang w:eastAsia="es-PA"/>
        </w:rPr>
        <w:t xml:space="preserve">(i) </w:t>
      </w:r>
      <w:r w:rsidRPr="007A3F73">
        <w:rPr>
          <w:rFonts w:eastAsia="Times New Roman" w:cstheme="minorHAnsi"/>
          <w:b/>
          <w:color w:val="4472C4" w:themeColor="accent1"/>
          <w:sz w:val="24"/>
          <w:szCs w:val="24"/>
          <w:lang w:eastAsia="es-PA"/>
        </w:rPr>
        <w:t xml:space="preserve">Tasa de participación. </w:t>
      </w:r>
      <w:r w:rsidRPr="000B21B2">
        <w:rPr>
          <w:rFonts w:cstheme="minorHAnsi"/>
          <w:sz w:val="24"/>
          <w:szCs w:val="24"/>
        </w:rPr>
        <w:t>Actualmente existen rezago</w:t>
      </w:r>
      <w:r>
        <w:rPr>
          <w:rFonts w:cstheme="minorHAnsi"/>
          <w:sz w:val="24"/>
          <w:szCs w:val="24"/>
        </w:rPr>
        <w:t>s</w:t>
      </w:r>
      <w:r w:rsidRPr="000B21B2">
        <w:rPr>
          <w:rFonts w:cstheme="minorHAnsi"/>
          <w:sz w:val="24"/>
          <w:szCs w:val="24"/>
        </w:rPr>
        <w:t xml:space="preserve"> importantes en la tasa de participación en la enseñanza escolarizada en especial de los niños de las áreas rurales e indígenas. Esta situación muchas veces es provocada por situaciones culturales, sociales e institucionales. Entre los años 2010 y 2016, a nivel nacional, el incremento de la tasa de participación fue baja (0.01). En las provincias de Bocas del Toro (0.15), Colón (0.14), Darién (0.22), Herrera (0.15), Veraguas (0.46) y la Comarca Emberá Wounaan (1.0), los cambios fueron importantes en especial por el incremento de la cobertura en las áreas de difícil acceso.  En las provincias de Coclé (0.08), Chiriquí (0.02), Los Santos (0.01) y las Comarcas Guna Yala (0.64) y Ngäbe Buglé (0.09) los cambios fueron menos significativos porque todavía persisten barreras importantes en materia cultural y social. Es decir, persisten brechas que aún requieren de intervenciones más específicas. </w:t>
      </w:r>
    </w:p>
    <w:p w14:paraId="2592A23D" w14:textId="77777777" w:rsidR="000C171B" w:rsidRPr="000B21B2" w:rsidRDefault="000C171B" w:rsidP="000C171B">
      <w:pPr>
        <w:spacing w:after="0" w:line="240" w:lineRule="auto"/>
        <w:jc w:val="both"/>
        <w:rPr>
          <w:rFonts w:cstheme="minorHAnsi"/>
          <w:b/>
          <w:sz w:val="24"/>
          <w:szCs w:val="24"/>
        </w:rPr>
      </w:pPr>
    </w:p>
    <w:p w14:paraId="0566BDC7" w14:textId="32A7E020"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w:t>
      </w:r>
      <w:proofErr w:type="spellStart"/>
      <w:r>
        <w:rPr>
          <w:rFonts w:cstheme="minorHAnsi"/>
          <w:b/>
          <w:color w:val="4472C4" w:themeColor="accent1"/>
          <w:sz w:val="24"/>
          <w:szCs w:val="24"/>
        </w:rPr>
        <w:t>ii</w:t>
      </w:r>
      <w:proofErr w:type="spellEnd"/>
      <w:r>
        <w:rPr>
          <w:rFonts w:cstheme="minorHAnsi"/>
          <w:b/>
          <w:color w:val="4472C4" w:themeColor="accent1"/>
          <w:sz w:val="24"/>
          <w:szCs w:val="24"/>
        </w:rPr>
        <w:t xml:space="preserve">) </w:t>
      </w:r>
      <w:r w:rsidRPr="007A3F73">
        <w:rPr>
          <w:rFonts w:cstheme="minorHAnsi"/>
          <w:b/>
          <w:color w:val="4472C4" w:themeColor="accent1"/>
          <w:sz w:val="24"/>
          <w:szCs w:val="24"/>
        </w:rPr>
        <w:t xml:space="preserve">Matrícula de niñas y niños de 5 años.  </w:t>
      </w:r>
      <w:r w:rsidRPr="000B21B2">
        <w:rPr>
          <w:rFonts w:cstheme="minorHAnsi"/>
          <w:sz w:val="24"/>
          <w:szCs w:val="24"/>
        </w:rPr>
        <w:t xml:space="preserve">Los programas de transferencia monetaria condicionada y la ampliación de la cobertura en zonas rurales e indígenas de difícil acceso mejoraron la inserción a la escuela. Es decir, la matrícula de los niños y niñas menores de 5 año se incrementó en los últimos seis años.  La brecha entre la población en la edad y la matrícula escolar se redujo de manera sostenida.  En la provincia de Panamá y las Comarcas Emberá Wounaan y Ngäbe Buglé el proceso de cierre de la brecha fue más lento.  Aun y con los esfuerzos realizados a través de programas sociales, la brecha se mantiene. Un 19.7% de los niños y niñas de 5 años en edad preescolar aún no están cubiertos especialmente en las provincias de Panamá, Panamá Oeste y Chiriquí, que tienen una mayor proporción de la población en áreas urbanas. </w:t>
      </w:r>
    </w:p>
    <w:p w14:paraId="518B36EF" w14:textId="77777777" w:rsidR="000C171B" w:rsidRPr="000B21B2" w:rsidRDefault="000C171B" w:rsidP="000C171B">
      <w:pPr>
        <w:spacing w:after="0" w:line="240" w:lineRule="auto"/>
        <w:jc w:val="both"/>
        <w:rPr>
          <w:rFonts w:cstheme="minorHAnsi"/>
          <w:sz w:val="24"/>
          <w:szCs w:val="24"/>
        </w:rPr>
      </w:pPr>
    </w:p>
    <w:p w14:paraId="64C75F24" w14:textId="77777777"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w:t>
      </w:r>
      <w:proofErr w:type="spellStart"/>
      <w:r>
        <w:rPr>
          <w:rFonts w:cstheme="minorHAnsi"/>
          <w:b/>
          <w:color w:val="4472C4" w:themeColor="accent1"/>
          <w:sz w:val="24"/>
          <w:szCs w:val="24"/>
        </w:rPr>
        <w:t>iii</w:t>
      </w:r>
      <w:proofErr w:type="spellEnd"/>
      <w:r>
        <w:rPr>
          <w:rFonts w:cstheme="minorHAnsi"/>
          <w:b/>
          <w:color w:val="4472C4" w:themeColor="accent1"/>
          <w:sz w:val="24"/>
          <w:szCs w:val="24"/>
        </w:rPr>
        <w:t xml:space="preserve">) </w:t>
      </w:r>
      <w:r w:rsidRPr="007A3F73">
        <w:rPr>
          <w:rFonts w:cstheme="minorHAnsi"/>
          <w:b/>
          <w:color w:val="4472C4" w:themeColor="accent1"/>
          <w:sz w:val="24"/>
          <w:szCs w:val="24"/>
        </w:rPr>
        <w:t xml:space="preserve">Tasas netas de asistencia. </w:t>
      </w:r>
      <w:r w:rsidRPr="000B21B2">
        <w:rPr>
          <w:rFonts w:cstheme="minorHAnsi"/>
          <w:sz w:val="24"/>
          <w:szCs w:val="24"/>
        </w:rPr>
        <w:t>Las tasas netas de asistencia y el índice de paridad mantienen valores simétricos en las edades comprendidas entre los 6 y 12 años de edad.  En el año 2010, para los casos de las provincias (98.1), comarcas (95.6), área rural (97.6), área urbana (98.0), mujeres (97.9), hombres (97.9). La proporción de la asistencia parece homogénea. Asimismo</w:t>
      </w:r>
      <w:r>
        <w:rPr>
          <w:rFonts w:cstheme="minorHAnsi"/>
          <w:sz w:val="24"/>
          <w:szCs w:val="24"/>
        </w:rPr>
        <w:t>,</w:t>
      </w:r>
      <w:r w:rsidRPr="000B21B2">
        <w:rPr>
          <w:rFonts w:cstheme="minorHAnsi"/>
          <w:sz w:val="24"/>
          <w:szCs w:val="24"/>
        </w:rPr>
        <w:t xml:space="preserve"> los índices de paridad de mantienen con valores similares. Es decir, no se perciben brechas significativas en esas edades. Para el año 2017, aunque se registra una baja en la asistencia la </w:t>
      </w:r>
      <w:r w:rsidRPr="000B21B2">
        <w:rPr>
          <w:rFonts w:cstheme="minorHAnsi"/>
          <w:sz w:val="24"/>
          <w:szCs w:val="24"/>
        </w:rPr>
        <w:lastRenderedPageBreak/>
        <w:t xml:space="preserve">misma es mínima en las comarcas (94.8), provincias (95.2), áreas rurales (95.3), áreas urbanas (95.1), mujeres (95.0), hombres (95.3), indígena (93.4), no indígena (95.6), afrodescendientes (96.8), no afrodescendientes (94.9).   Estos en el índice de paridad se deben a los cambios en la matrícula de hombres y mujeres en el sistema educativo. Es decir, en la medida que la edad de los matriculados aumenta, se incrementa las tasas de asistencia de las mujeres y se reducen la tasa de asistencia de los hombres. En buena medida por la incorporación de los </w:t>
      </w:r>
      <w:r>
        <w:rPr>
          <w:rFonts w:cstheme="minorHAnsi"/>
          <w:sz w:val="24"/>
          <w:szCs w:val="24"/>
        </w:rPr>
        <w:t>estos</w:t>
      </w:r>
      <w:r w:rsidRPr="000B21B2">
        <w:rPr>
          <w:rFonts w:cstheme="minorHAnsi"/>
          <w:sz w:val="24"/>
          <w:szCs w:val="24"/>
        </w:rPr>
        <w:t xml:space="preserve"> al mundo del trabajo. </w:t>
      </w:r>
    </w:p>
    <w:p w14:paraId="4F99CCA2" w14:textId="77777777" w:rsidR="000C171B" w:rsidRPr="000B21B2" w:rsidRDefault="000C171B" w:rsidP="000C171B">
      <w:pPr>
        <w:spacing w:after="0" w:line="240" w:lineRule="auto"/>
        <w:jc w:val="both"/>
        <w:rPr>
          <w:rFonts w:cstheme="minorHAnsi"/>
          <w:b/>
          <w:sz w:val="24"/>
          <w:szCs w:val="24"/>
        </w:rPr>
      </w:pPr>
    </w:p>
    <w:p w14:paraId="5A4C338C" w14:textId="77777777" w:rsidR="000C171B" w:rsidRPr="007A3F73" w:rsidRDefault="000C171B" w:rsidP="000C171B">
      <w:pPr>
        <w:spacing w:after="0" w:line="240" w:lineRule="auto"/>
        <w:jc w:val="both"/>
        <w:outlineLvl w:val="0"/>
        <w:rPr>
          <w:rFonts w:eastAsia="Times New Roman" w:cstheme="minorHAnsi"/>
          <w:b/>
          <w:bCs/>
          <w:color w:val="4472C4" w:themeColor="accent1"/>
          <w:kern w:val="36"/>
          <w:sz w:val="24"/>
          <w:szCs w:val="24"/>
          <w:lang w:eastAsia="es-PA"/>
        </w:rPr>
      </w:pPr>
      <w:r w:rsidRPr="007A3F73">
        <w:rPr>
          <w:rFonts w:cstheme="minorHAnsi"/>
          <w:b/>
          <w:color w:val="4472C4" w:themeColor="accent1"/>
          <w:sz w:val="24"/>
          <w:szCs w:val="24"/>
        </w:rPr>
        <w:t>3.1.5. ODS 5: I</w:t>
      </w:r>
      <w:r w:rsidRPr="007A3F73">
        <w:rPr>
          <w:rFonts w:eastAsia="Times New Roman" w:cstheme="minorHAnsi"/>
          <w:b/>
          <w:bCs/>
          <w:color w:val="4472C4" w:themeColor="accent1"/>
          <w:kern w:val="36"/>
          <w:sz w:val="24"/>
          <w:szCs w:val="24"/>
          <w:lang w:eastAsia="es-PA"/>
        </w:rPr>
        <w:t xml:space="preserve">gualdad entre los géneros y empoderar a todas las mujeres y las niñas.  </w:t>
      </w:r>
    </w:p>
    <w:p w14:paraId="386273C0" w14:textId="77777777" w:rsidR="000C171B" w:rsidRPr="000B21B2" w:rsidRDefault="000C171B" w:rsidP="000C171B">
      <w:pPr>
        <w:spacing w:after="0" w:line="240" w:lineRule="auto"/>
        <w:jc w:val="both"/>
        <w:rPr>
          <w:rFonts w:cstheme="minorHAnsi"/>
          <w:b/>
          <w:sz w:val="24"/>
          <w:szCs w:val="24"/>
        </w:rPr>
      </w:pPr>
    </w:p>
    <w:p w14:paraId="33FF6A30" w14:textId="6473E091"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 xml:space="preserve">(i) </w:t>
      </w:r>
      <w:r w:rsidRPr="007A3F73">
        <w:rPr>
          <w:rFonts w:cstheme="minorHAnsi"/>
          <w:b/>
          <w:color w:val="4472C4" w:themeColor="accent1"/>
          <w:sz w:val="24"/>
          <w:szCs w:val="24"/>
        </w:rPr>
        <w:t xml:space="preserve">Paridad electoral de género. </w:t>
      </w:r>
      <w:r w:rsidRPr="000B21B2">
        <w:rPr>
          <w:rFonts w:cstheme="minorHAnsi"/>
          <w:sz w:val="24"/>
          <w:szCs w:val="24"/>
        </w:rPr>
        <w:t>La proporción de escaños ocupados por mujeres muestra una asimetría importante en la paridad de género. La misma no se resolverá a través de un</w:t>
      </w:r>
      <w:r>
        <w:rPr>
          <w:rFonts w:cstheme="minorHAnsi"/>
          <w:sz w:val="24"/>
          <w:szCs w:val="24"/>
        </w:rPr>
        <w:t xml:space="preserve">a </w:t>
      </w:r>
      <w:r w:rsidRPr="000B21B2">
        <w:rPr>
          <w:rFonts w:cstheme="minorHAnsi"/>
          <w:sz w:val="24"/>
          <w:szCs w:val="24"/>
        </w:rPr>
        <w:t>decantación acordada entre actores políticos y sociales, sino por la intervención de las políticas públicas en los contextos reducen y limitan la paridad.</w:t>
      </w:r>
      <w:r>
        <w:rPr>
          <w:rFonts w:cstheme="minorHAnsi"/>
          <w:sz w:val="24"/>
          <w:szCs w:val="24"/>
        </w:rPr>
        <w:t xml:space="preserve"> En las elecciones 2009 – 2014 el 12.0% de los cargos electorales fueron ocupados por mujeres, en comparación con el período 2019 – 2024 que tuvo una reducción de 1.47% es decir 10.5% de los cargos de las autoridades locales electas fueron mujeres</w:t>
      </w:r>
      <w:r>
        <w:rPr>
          <w:rStyle w:val="FootnoteReference"/>
          <w:rFonts w:cstheme="minorHAnsi"/>
          <w:sz w:val="24"/>
          <w:szCs w:val="24"/>
        </w:rPr>
        <w:footnoteReference w:id="14"/>
      </w:r>
      <w:r>
        <w:rPr>
          <w:rFonts w:cstheme="minorHAnsi"/>
          <w:sz w:val="24"/>
          <w:szCs w:val="24"/>
        </w:rPr>
        <w:t>.</w:t>
      </w:r>
      <w:r w:rsidRPr="000B21B2">
        <w:rPr>
          <w:rFonts w:cstheme="minorHAnsi"/>
          <w:sz w:val="24"/>
          <w:szCs w:val="24"/>
        </w:rPr>
        <w:t xml:space="preserve"> En 2</w:t>
      </w:r>
      <w:r>
        <w:rPr>
          <w:rFonts w:cstheme="minorHAnsi"/>
          <w:sz w:val="24"/>
          <w:szCs w:val="24"/>
        </w:rPr>
        <w:t>5</w:t>
      </w:r>
      <w:r w:rsidRPr="000B21B2">
        <w:rPr>
          <w:rFonts w:cstheme="minorHAnsi"/>
          <w:sz w:val="24"/>
          <w:szCs w:val="24"/>
        </w:rPr>
        <w:t xml:space="preserve"> años, la paridad de género sólo avanzó </w:t>
      </w:r>
      <w:r>
        <w:rPr>
          <w:rFonts w:cstheme="minorHAnsi"/>
          <w:sz w:val="24"/>
          <w:szCs w:val="24"/>
        </w:rPr>
        <w:t>sigue siendo un desaf</w:t>
      </w:r>
      <w:r w:rsidR="00677E4D">
        <w:rPr>
          <w:rFonts w:cstheme="minorHAnsi"/>
          <w:sz w:val="24"/>
          <w:szCs w:val="24"/>
        </w:rPr>
        <w:t>í</w:t>
      </w:r>
      <w:r>
        <w:rPr>
          <w:rFonts w:cstheme="minorHAnsi"/>
          <w:sz w:val="24"/>
          <w:szCs w:val="24"/>
        </w:rPr>
        <w:t>o.</w:t>
      </w:r>
      <w:r w:rsidRPr="000B21B2">
        <w:rPr>
          <w:rFonts w:cstheme="minorHAnsi"/>
          <w:sz w:val="24"/>
          <w:szCs w:val="24"/>
        </w:rPr>
        <w:t xml:space="preserve">  La paridad de género en el ámbito electoral mostró variaciones en el caso del </w:t>
      </w:r>
      <w:proofErr w:type="spellStart"/>
      <w:r w:rsidRPr="000B21B2">
        <w:rPr>
          <w:rFonts w:cstheme="minorHAnsi"/>
          <w:sz w:val="24"/>
          <w:szCs w:val="24"/>
        </w:rPr>
        <w:t>Parlacen</w:t>
      </w:r>
      <w:proofErr w:type="spellEnd"/>
      <w:r w:rsidRPr="000B21B2">
        <w:rPr>
          <w:rFonts w:cstheme="minorHAnsi"/>
          <w:sz w:val="24"/>
          <w:szCs w:val="24"/>
        </w:rPr>
        <w:t xml:space="preserve"> (2</w:t>
      </w:r>
      <w:r>
        <w:rPr>
          <w:rFonts w:cstheme="minorHAnsi"/>
          <w:sz w:val="24"/>
          <w:szCs w:val="24"/>
        </w:rPr>
        <w:t>5</w:t>
      </w:r>
      <w:r w:rsidRPr="000B21B2">
        <w:rPr>
          <w:rFonts w:cstheme="minorHAnsi"/>
          <w:sz w:val="24"/>
          <w:szCs w:val="24"/>
        </w:rPr>
        <w:t>%), Diputados (1</w:t>
      </w:r>
      <w:r>
        <w:rPr>
          <w:rFonts w:cstheme="minorHAnsi"/>
          <w:sz w:val="24"/>
          <w:szCs w:val="24"/>
        </w:rPr>
        <w:t>9</w:t>
      </w:r>
      <w:r w:rsidRPr="000B21B2">
        <w:rPr>
          <w:rFonts w:cstheme="minorHAnsi"/>
          <w:sz w:val="24"/>
          <w:szCs w:val="24"/>
        </w:rPr>
        <w:t>) y Alcaldes (</w:t>
      </w:r>
      <w:r>
        <w:rPr>
          <w:rFonts w:cstheme="minorHAnsi"/>
          <w:sz w:val="24"/>
          <w:szCs w:val="24"/>
        </w:rPr>
        <w:t>14.8</w:t>
      </w:r>
      <w:r w:rsidRPr="000B21B2">
        <w:rPr>
          <w:rFonts w:cstheme="minorHAnsi"/>
          <w:sz w:val="24"/>
          <w:szCs w:val="24"/>
        </w:rPr>
        <w:t>%). La paridad de género es baja en el caso de los Representantes de Corregimiento (</w:t>
      </w:r>
      <w:r>
        <w:rPr>
          <w:rFonts w:cstheme="minorHAnsi"/>
          <w:sz w:val="24"/>
          <w:szCs w:val="24"/>
        </w:rPr>
        <w:t>9.87</w:t>
      </w:r>
      <w:r w:rsidRPr="000B21B2">
        <w:rPr>
          <w:rFonts w:cstheme="minorHAnsi"/>
          <w:sz w:val="24"/>
          <w:szCs w:val="24"/>
        </w:rPr>
        <w:t xml:space="preserve">%). Con un bajo ritmo de incremento de la participación, la paridad de género por lo menos en el ámbito electoral tendría que esperar algunas décadas más para concretarse. Por ello, para modificar la asimetría en la paridad electoral de género deben impulsarse políticas públicas que, por un lado, incentiven la participación; pero por el otro, al mismo tiempo garanticen el equilibrio en la oferta electoral. </w:t>
      </w:r>
    </w:p>
    <w:p w14:paraId="68997A51" w14:textId="77777777" w:rsidR="000C171B" w:rsidRPr="000B21B2" w:rsidRDefault="000C171B" w:rsidP="000C171B">
      <w:pPr>
        <w:spacing w:after="0" w:line="240" w:lineRule="auto"/>
        <w:jc w:val="both"/>
        <w:rPr>
          <w:rFonts w:cstheme="minorHAnsi"/>
          <w:b/>
          <w:sz w:val="24"/>
          <w:szCs w:val="24"/>
        </w:rPr>
      </w:pPr>
    </w:p>
    <w:p w14:paraId="62F66F2F" w14:textId="25173136"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w:t>
      </w:r>
      <w:proofErr w:type="spellStart"/>
      <w:r>
        <w:rPr>
          <w:rFonts w:cstheme="minorHAnsi"/>
          <w:b/>
          <w:color w:val="4472C4" w:themeColor="accent1"/>
          <w:sz w:val="24"/>
          <w:szCs w:val="24"/>
        </w:rPr>
        <w:t>ii</w:t>
      </w:r>
      <w:proofErr w:type="spellEnd"/>
      <w:r>
        <w:rPr>
          <w:rFonts w:cstheme="minorHAnsi"/>
          <w:b/>
          <w:color w:val="4472C4" w:themeColor="accent1"/>
          <w:sz w:val="24"/>
          <w:szCs w:val="24"/>
        </w:rPr>
        <w:t xml:space="preserve">) </w:t>
      </w:r>
      <w:r w:rsidRPr="007A3F73">
        <w:rPr>
          <w:rFonts w:cstheme="minorHAnsi"/>
          <w:b/>
          <w:color w:val="4472C4" w:themeColor="accent1"/>
          <w:sz w:val="24"/>
          <w:szCs w:val="24"/>
        </w:rPr>
        <w:t xml:space="preserve">Paridad ocupacional de género. </w:t>
      </w:r>
      <w:r w:rsidRPr="000B21B2">
        <w:rPr>
          <w:rFonts w:cstheme="minorHAnsi"/>
          <w:sz w:val="24"/>
          <w:szCs w:val="24"/>
        </w:rPr>
        <w:t xml:space="preserve">La proporción de mujeres en cargo directivos disminuyó entre los años 2011 (46.0) y 2017 (42.6). es decir, la brecha aumentó en 3.4. Durante el período comprendido entre los años 2011 y 2017, en provincia donde la brecha de la paridad de género disminuyó se encuentran Darién (8.6), Herrera (3.9), Bocas del Toro (3.8) y Chiriquí (1.5). En el resto de provincia la brecha de amplió. Tal es el caso de las provincias de Los Santos (14.1), Veraguas (12.1), Colón (7.3), Panamá (4.3), Coclé (1.5).  Esta asimetría en la paridad de género en puestos directivos es lo que provocó el aumento en la brecha total entre los años 2011 y 2017. En las comarcas indígenas, la brecha sólo disminuyó en el caso Emberá Wounaan (10.4). En los casos de Guna Yala (19.1) y Ngäbe Buglé (32.7), la brecha se incrementó de manera importante. Según áreas, la brecha se incrementó en las áreas urbanas (3.8), mientras que disminuyó en las áreas rurales (0.2). En el caso de los grupos de edad, las brechas disminuyeron en las edades entre 19 a 30 años (0.7), pero se incrementaron en las edades entre 31 a 59 años (3.1). Es decir, aún y con el aumento de la escolaridad, las mujeres tienen menos posibilidades de ocupar puestos directivos en los años más productivos. En el caso de la ocupación, las brechas de incrementaron en todos los casos. La brecha aumentó de manera sustantiva en el caso de Patrón, dueño (15.3), Cuenta propia (12.0), Empleado del gobierno (3.4), Empleado de </w:t>
      </w:r>
      <w:r w:rsidRPr="000B21B2">
        <w:rPr>
          <w:rFonts w:cstheme="minorHAnsi"/>
          <w:sz w:val="24"/>
          <w:szCs w:val="24"/>
        </w:rPr>
        <w:lastRenderedPageBreak/>
        <w:t>la empresa privada (1.1).  En síntesis</w:t>
      </w:r>
      <w:r>
        <w:rPr>
          <w:rFonts w:cstheme="minorHAnsi"/>
          <w:sz w:val="24"/>
          <w:szCs w:val="24"/>
        </w:rPr>
        <w:t>,</w:t>
      </w:r>
      <w:r w:rsidRPr="000B21B2">
        <w:rPr>
          <w:rFonts w:cstheme="minorHAnsi"/>
          <w:sz w:val="24"/>
          <w:szCs w:val="24"/>
        </w:rPr>
        <w:t xml:space="preserve"> puede señalarse que las asimetrías son más importantes en la medida que las mujeres sean más jóvenes, tengan residencia en las áreas urbanas y trabajen en el sector privado. </w:t>
      </w:r>
    </w:p>
    <w:p w14:paraId="23143E49" w14:textId="77777777" w:rsidR="000C171B" w:rsidRPr="000B21B2" w:rsidRDefault="000C171B" w:rsidP="000C171B">
      <w:pPr>
        <w:spacing w:after="0" w:line="240" w:lineRule="auto"/>
        <w:jc w:val="both"/>
        <w:rPr>
          <w:rFonts w:cstheme="minorHAnsi"/>
          <w:b/>
          <w:sz w:val="24"/>
          <w:szCs w:val="24"/>
        </w:rPr>
      </w:pPr>
    </w:p>
    <w:p w14:paraId="5AA632B0" w14:textId="77777777" w:rsidR="000C171B" w:rsidRPr="007A3F73" w:rsidRDefault="000C171B" w:rsidP="000C171B">
      <w:pPr>
        <w:spacing w:after="0" w:line="240" w:lineRule="auto"/>
        <w:jc w:val="both"/>
        <w:rPr>
          <w:rFonts w:cstheme="minorHAnsi"/>
          <w:b/>
          <w:color w:val="4472C4" w:themeColor="accent1"/>
          <w:sz w:val="24"/>
          <w:szCs w:val="24"/>
        </w:rPr>
      </w:pPr>
      <w:r w:rsidRPr="007A3F73">
        <w:rPr>
          <w:rFonts w:cstheme="minorHAnsi"/>
          <w:b/>
          <w:color w:val="4472C4" w:themeColor="accent1"/>
          <w:sz w:val="24"/>
          <w:szCs w:val="24"/>
        </w:rPr>
        <w:t xml:space="preserve">3.1.6. ODS 6: Disposición y gestión sostenible del agua y el saneamiento. </w:t>
      </w:r>
    </w:p>
    <w:p w14:paraId="34F35E4F" w14:textId="77777777" w:rsidR="000C171B" w:rsidRPr="000B21B2" w:rsidRDefault="000C171B" w:rsidP="000C171B">
      <w:pPr>
        <w:spacing w:after="0" w:line="240" w:lineRule="auto"/>
        <w:jc w:val="both"/>
        <w:rPr>
          <w:rFonts w:cstheme="minorHAnsi"/>
          <w:b/>
          <w:sz w:val="24"/>
          <w:szCs w:val="24"/>
        </w:rPr>
      </w:pPr>
    </w:p>
    <w:p w14:paraId="7775C467" w14:textId="77777777"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 xml:space="preserve">(i) </w:t>
      </w:r>
      <w:r w:rsidRPr="007A3F73">
        <w:rPr>
          <w:rFonts w:cstheme="minorHAnsi"/>
          <w:b/>
          <w:color w:val="4472C4" w:themeColor="accent1"/>
          <w:sz w:val="24"/>
          <w:szCs w:val="24"/>
        </w:rPr>
        <w:t xml:space="preserve">Servicios de suministro de agua potable.  </w:t>
      </w:r>
      <w:r w:rsidRPr="000B21B2">
        <w:rPr>
          <w:rFonts w:cstheme="minorHAnsi"/>
          <w:sz w:val="24"/>
          <w:szCs w:val="24"/>
        </w:rPr>
        <w:t>La cobertura del suministro de agua potable es alta. Para el año 2017 alcanzó el 93.8% a nivel nacional.  Asimismo</w:t>
      </w:r>
      <w:r>
        <w:rPr>
          <w:rFonts w:cstheme="minorHAnsi"/>
          <w:sz w:val="24"/>
          <w:szCs w:val="24"/>
        </w:rPr>
        <w:t>,</w:t>
      </w:r>
      <w:r w:rsidRPr="000B21B2">
        <w:rPr>
          <w:rFonts w:cstheme="minorHAnsi"/>
          <w:sz w:val="24"/>
          <w:szCs w:val="24"/>
        </w:rPr>
        <w:t xml:space="preserve"> es alta la cobertura tanto en el caso de los hogares con mujeres, como jefe de hogar (94.0%), como en los hogares con hombres, como jefe de hogar (93.7%). La cobertura es más baja en el caso del área rural (82.9%), la población indígena (73.6%), la población en pobreza general (80.6%) y pobreza extrema (70.0%). También es baja la cobertura en las provincias con mayor población indígena como es el caso de Darién (88.4%) y Bocas del Toro (88.0%). Y las Comarca indígenas: Guna Yala (58.0%), Ngäbe Buglé (55.9%) y Emberá Wounaan (28.0%)</w:t>
      </w:r>
    </w:p>
    <w:p w14:paraId="7BFC9D19" w14:textId="77777777" w:rsidR="000C171B" w:rsidRPr="000B21B2" w:rsidRDefault="000C171B" w:rsidP="000C171B">
      <w:pPr>
        <w:spacing w:after="0" w:line="240" w:lineRule="auto"/>
        <w:jc w:val="both"/>
        <w:rPr>
          <w:rFonts w:cstheme="minorHAnsi"/>
          <w:b/>
          <w:sz w:val="24"/>
          <w:szCs w:val="24"/>
        </w:rPr>
      </w:pPr>
    </w:p>
    <w:p w14:paraId="2523C7B0" w14:textId="77777777"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w:t>
      </w:r>
      <w:proofErr w:type="spellStart"/>
      <w:r>
        <w:rPr>
          <w:rFonts w:cstheme="minorHAnsi"/>
          <w:b/>
          <w:color w:val="4472C4" w:themeColor="accent1"/>
          <w:sz w:val="24"/>
          <w:szCs w:val="24"/>
        </w:rPr>
        <w:t>ii</w:t>
      </w:r>
      <w:proofErr w:type="spellEnd"/>
      <w:r>
        <w:rPr>
          <w:rFonts w:cstheme="minorHAnsi"/>
          <w:b/>
          <w:color w:val="4472C4" w:themeColor="accent1"/>
          <w:sz w:val="24"/>
          <w:szCs w:val="24"/>
        </w:rPr>
        <w:t xml:space="preserve">) </w:t>
      </w:r>
      <w:r w:rsidRPr="007A3F73">
        <w:rPr>
          <w:rFonts w:cstheme="minorHAnsi"/>
          <w:b/>
          <w:color w:val="4472C4" w:themeColor="accent1"/>
          <w:sz w:val="24"/>
          <w:szCs w:val="24"/>
        </w:rPr>
        <w:t xml:space="preserve">Servicio de saneamiento. </w:t>
      </w:r>
      <w:r w:rsidRPr="000B21B2">
        <w:rPr>
          <w:rFonts w:cstheme="minorHAnsi"/>
          <w:sz w:val="24"/>
          <w:szCs w:val="24"/>
        </w:rPr>
        <w:t xml:space="preserve">La cobertura del servicio de saneamiento gestionado de manera segura se incrementó de manera sostenida en los últimos siete años. La conexión de los servicios sanitarios al alcantarillado paso de 59.5% en el año 2010 al 71.6% en el año 2017.  Los programas de saneamiento y alcantarillado promovidos por el Gobierno Nacional han generado la variación del indicador. El ritmo de variación del indicador en el área urbana es similar al registrado a nivel nacional. En siete años la proporción de población conectada al alcantarillado se incrementó en 8.1%. En el caso de la población ubicada en las áreas rurales la variación fue mayor (15.6). Las provincias con mayor presencia de población indígena y a la vez más rurales tienen una baja cobertura. Tal es el caso de Bocas del Toro (66.5), Coclé (59.3), Veraguas (56.0), Darién (29.3) </w:t>
      </w:r>
    </w:p>
    <w:p w14:paraId="68B06B4C" w14:textId="77777777" w:rsidR="000C171B" w:rsidRPr="000B21B2" w:rsidRDefault="000C171B" w:rsidP="000C171B">
      <w:pPr>
        <w:spacing w:after="0" w:line="240" w:lineRule="auto"/>
        <w:jc w:val="both"/>
        <w:rPr>
          <w:rFonts w:cstheme="minorHAnsi"/>
          <w:sz w:val="24"/>
          <w:szCs w:val="24"/>
        </w:rPr>
      </w:pPr>
    </w:p>
    <w:p w14:paraId="531143EF" w14:textId="590535A5"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w:t>
      </w:r>
      <w:proofErr w:type="spellStart"/>
      <w:r>
        <w:rPr>
          <w:rFonts w:cstheme="minorHAnsi"/>
          <w:b/>
          <w:color w:val="4472C4" w:themeColor="accent1"/>
          <w:sz w:val="24"/>
          <w:szCs w:val="24"/>
        </w:rPr>
        <w:t>iii</w:t>
      </w:r>
      <w:proofErr w:type="spellEnd"/>
      <w:r>
        <w:rPr>
          <w:rFonts w:cstheme="minorHAnsi"/>
          <w:b/>
          <w:color w:val="4472C4" w:themeColor="accent1"/>
          <w:sz w:val="24"/>
          <w:szCs w:val="24"/>
        </w:rPr>
        <w:t xml:space="preserve">) </w:t>
      </w:r>
      <w:r w:rsidRPr="007A3F73">
        <w:rPr>
          <w:rFonts w:cstheme="minorHAnsi"/>
          <w:b/>
          <w:color w:val="4472C4" w:themeColor="accent1"/>
          <w:sz w:val="24"/>
          <w:szCs w:val="24"/>
        </w:rPr>
        <w:t xml:space="preserve">Disposición de aguas residuales. </w:t>
      </w:r>
      <w:r w:rsidRPr="000B21B2">
        <w:rPr>
          <w:rFonts w:cstheme="minorHAnsi"/>
          <w:sz w:val="24"/>
          <w:szCs w:val="24"/>
        </w:rPr>
        <w:t xml:space="preserve">La proporción de aguas residuales tratadas se duplicó entre el año 2013 (11.1) y el año 2017 (22.7) especialmente por el programa de Saneamiento de la Bahía. </w:t>
      </w:r>
    </w:p>
    <w:p w14:paraId="5868154B" w14:textId="77777777" w:rsidR="000C171B" w:rsidRDefault="000C171B" w:rsidP="000C171B">
      <w:pPr>
        <w:spacing w:after="0" w:line="240" w:lineRule="auto"/>
        <w:jc w:val="both"/>
        <w:rPr>
          <w:rStyle w:val="st"/>
          <w:rFonts w:cstheme="minorHAnsi"/>
          <w:b/>
          <w:sz w:val="24"/>
          <w:szCs w:val="24"/>
        </w:rPr>
      </w:pPr>
    </w:p>
    <w:p w14:paraId="68C57B50" w14:textId="77777777" w:rsidR="000C171B" w:rsidRPr="007A3F73" w:rsidRDefault="000C171B" w:rsidP="000C171B">
      <w:pPr>
        <w:spacing w:after="0" w:line="240" w:lineRule="auto"/>
        <w:jc w:val="both"/>
        <w:rPr>
          <w:rStyle w:val="st"/>
          <w:rFonts w:cstheme="minorHAnsi"/>
          <w:b/>
          <w:color w:val="4472C4" w:themeColor="accent1"/>
          <w:sz w:val="24"/>
          <w:szCs w:val="24"/>
        </w:rPr>
      </w:pPr>
      <w:r w:rsidRPr="007A3F73">
        <w:rPr>
          <w:rFonts w:cstheme="minorHAnsi"/>
          <w:b/>
          <w:color w:val="4472C4" w:themeColor="accent1"/>
          <w:sz w:val="24"/>
          <w:szCs w:val="24"/>
        </w:rPr>
        <w:t xml:space="preserve">3.1.7. ODS 7: </w:t>
      </w:r>
      <w:r w:rsidRPr="007A3F73">
        <w:rPr>
          <w:rStyle w:val="st"/>
          <w:rFonts w:cstheme="minorHAnsi"/>
          <w:b/>
          <w:color w:val="4472C4" w:themeColor="accent1"/>
          <w:sz w:val="24"/>
          <w:szCs w:val="24"/>
        </w:rPr>
        <w:t xml:space="preserve">Energía asequible, fiable y sostenible.  </w:t>
      </w:r>
    </w:p>
    <w:p w14:paraId="7B18909D" w14:textId="77777777" w:rsidR="000C171B" w:rsidRPr="000B21B2" w:rsidRDefault="000C171B" w:rsidP="000C171B">
      <w:pPr>
        <w:spacing w:after="0" w:line="240" w:lineRule="auto"/>
        <w:jc w:val="both"/>
        <w:rPr>
          <w:rFonts w:cstheme="minorHAnsi"/>
          <w:b/>
          <w:sz w:val="24"/>
          <w:szCs w:val="24"/>
        </w:rPr>
      </w:pPr>
    </w:p>
    <w:p w14:paraId="7870CE18" w14:textId="77777777" w:rsidR="000C171B" w:rsidRPr="000B21B2" w:rsidRDefault="000C171B" w:rsidP="000C171B">
      <w:pPr>
        <w:spacing w:after="0" w:line="240" w:lineRule="auto"/>
        <w:jc w:val="both"/>
        <w:rPr>
          <w:rFonts w:cstheme="minorHAnsi"/>
          <w:sz w:val="24"/>
          <w:szCs w:val="24"/>
        </w:rPr>
      </w:pPr>
      <w:r>
        <w:rPr>
          <w:rFonts w:cstheme="minorHAnsi"/>
          <w:b/>
          <w:bCs/>
          <w:color w:val="4472C4" w:themeColor="accent1"/>
          <w:sz w:val="24"/>
          <w:szCs w:val="24"/>
        </w:rPr>
        <w:t xml:space="preserve">(i) </w:t>
      </w:r>
      <w:r w:rsidRPr="004E1340">
        <w:rPr>
          <w:rFonts w:cstheme="minorHAnsi"/>
          <w:b/>
          <w:bCs/>
          <w:color w:val="4472C4" w:themeColor="accent1"/>
          <w:sz w:val="24"/>
          <w:szCs w:val="24"/>
        </w:rPr>
        <w:t xml:space="preserve">Población </w:t>
      </w:r>
      <w:r>
        <w:rPr>
          <w:rFonts w:cstheme="minorHAnsi"/>
          <w:b/>
          <w:bCs/>
          <w:color w:val="4472C4" w:themeColor="accent1"/>
          <w:sz w:val="24"/>
          <w:szCs w:val="24"/>
        </w:rPr>
        <w:t xml:space="preserve">con </w:t>
      </w:r>
      <w:r w:rsidRPr="004E1340">
        <w:rPr>
          <w:rFonts w:cstheme="minorHAnsi"/>
          <w:b/>
          <w:bCs/>
          <w:color w:val="4472C4" w:themeColor="accent1"/>
          <w:sz w:val="24"/>
          <w:szCs w:val="24"/>
        </w:rPr>
        <w:t>acceso a energía eléctrica.</w:t>
      </w:r>
      <w:r w:rsidRPr="004E1340">
        <w:rPr>
          <w:rFonts w:cstheme="minorHAnsi"/>
          <w:color w:val="4472C4" w:themeColor="accent1"/>
          <w:sz w:val="24"/>
          <w:szCs w:val="24"/>
        </w:rPr>
        <w:t xml:space="preserve"> </w:t>
      </w:r>
      <w:r w:rsidRPr="000B21B2">
        <w:rPr>
          <w:rFonts w:cstheme="minorHAnsi"/>
          <w:sz w:val="24"/>
          <w:szCs w:val="24"/>
        </w:rPr>
        <w:t>La cobertura de la población que tiene acceso a energía eléctrica supera el 90% de la población en casi todas las provincias menos en Bocas del Toro (82.9%), Darién (88.4%), Veraguas (85.2%), Guna Yala (87.9%), Emberá Wounaan (74.5%) y Ngäbe Buglé (28.2%).  Es decir, las provincias con población predominantemente indígena y lugares poblados de difícil acceso son las que menos cobertura tienen. Pero al mismo tiempo son las provincias y comarcas que en los últimos años han incrementado de manera rápida la cobertura de energía eléctrica.  Sin embargo, cabe resaltarlo, en los últimos tres años la cobertura se ha incrementado de manera importante. Las áreas rurales fueron las más impactadas en tanto pasaron de una cobertura del 74.3% en 2015, al 78.6% en el 2017.  Asimismo</w:t>
      </w:r>
      <w:r w:rsidR="00413B2E">
        <w:rPr>
          <w:rFonts w:cstheme="minorHAnsi"/>
          <w:sz w:val="24"/>
          <w:szCs w:val="24"/>
        </w:rPr>
        <w:t>,</w:t>
      </w:r>
      <w:r w:rsidRPr="000B21B2">
        <w:rPr>
          <w:rFonts w:cstheme="minorHAnsi"/>
          <w:sz w:val="24"/>
          <w:szCs w:val="24"/>
        </w:rPr>
        <w:t xml:space="preserve"> se incrementó la cobertura en los hogares con jefatura de la mujer (93.1%) y los hogares con población entre 0 y 14 años (88.9%).  </w:t>
      </w:r>
    </w:p>
    <w:p w14:paraId="1A9F60B0" w14:textId="77777777" w:rsidR="000C171B" w:rsidRPr="000B21B2" w:rsidRDefault="000C171B" w:rsidP="000C171B">
      <w:pPr>
        <w:spacing w:after="0" w:line="240" w:lineRule="auto"/>
        <w:jc w:val="both"/>
        <w:rPr>
          <w:rFonts w:cstheme="minorHAnsi"/>
          <w:sz w:val="24"/>
          <w:szCs w:val="24"/>
        </w:rPr>
      </w:pPr>
    </w:p>
    <w:p w14:paraId="6F4CFE0D" w14:textId="77777777"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w:t>
      </w:r>
      <w:proofErr w:type="spellStart"/>
      <w:r>
        <w:rPr>
          <w:rFonts w:cstheme="minorHAnsi"/>
          <w:b/>
          <w:color w:val="4472C4" w:themeColor="accent1"/>
          <w:sz w:val="24"/>
          <w:szCs w:val="24"/>
        </w:rPr>
        <w:t>ii</w:t>
      </w:r>
      <w:proofErr w:type="spellEnd"/>
      <w:r>
        <w:rPr>
          <w:rFonts w:cstheme="minorHAnsi"/>
          <w:b/>
          <w:color w:val="4472C4" w:themeColor="accent1"/>
          <w:sz w:val="24"/>
          <w:szCs w:val="24"/>
        </w:rPr>
        <w:t xml:space="preserve">) </w:t>
      </w:r>
      <w:r w:rsidRPr="004E1340">
        <w:rPr>
          <w:rFonts w:cstheme="minorHAnsi"/>
          <w:b/>
          <w:color w:val="4472C4" w:themeColor="accent1"/>
          <w:sz w:val="24"/>
          <w:szCs w:val="24"/>
        </w:rPr>
        <w:t xml:space="preserve">Energía renovable en el consumo final.  </w:t>
      </w:r>
      <w:r w:rsidRPr="000B21B2">
        <w:rPr>
          <w:rFonts w:cstheme="minorHAnsi"/>
          <w:sz w:val="24"/>
          <w:szCs w:val="24"/>
        </w:rPr>
        <w:t>La proporción de energía renovable en el consumo final se incrementó a partir del año 2015 como resultado del cambio en la matriz energética. De allí que paso del 56.1%, en el año 2011, al 72.1% en el año 2017. La matriz energética ha variado en los últimos años. La producción de energía eléctrica por fuentes renovables es tres veces mayor que la producida por centrales térmicas. De igual manera varió de manera sustantiva la autogeneración y la importación. La primera se incrementa (1.6 veces), mientras que la segunda se reduce casi 11 veces entre el año 2013 y 2017. Pero al mismo tiempo que cambia la matriz energética, se incrementan los kilovatio</w:t>
      </w:r>
      <w:r w:rsidR="00413B2E">
        <w:rPr>
          <w:rFonts w:cstheme="minorHAnsi"/>
          <w:sz w:val="24"/>
          <w:szCs w:val="24"/>
        </w:rPr>
        <w:t>s</w:t>
      </w:r>
      <w:r w:rsidRPr="000B21B2">
        <w:rPr>
          <w:rFonts w:cstheme="minorHAnsi"/>
          <w:sz w:val="24"/>
          <w:szCs w:val="24"/>
        </w:rPr>
        <w:t xml:space="preserve"> hora (kWh). En cuatro años, el año 2013 (8,583,184 </w:t>
      </w:r>
      <w:proofErr w:type="spellStart"/>
      <w:r w:rsidRPr="000B21B2">
        <w:rPr>
          <w:rFonts w:cstheme="minorHAnsi"/>
          <w:sz w:val="24"/>
          <w:szCs w:val="24"/>
        </w:rPr>
        <w:t>kWH</w:t>
      </w:r>
      <w:proofErr w:type="spellEnd"/>
      <w:r w:rsidRPr="000B21B2">
        <w:rPr>
          <w:rFonts w:cstheme="minorHAnsi"/>
          <w:sz w:val="24"/>
          <w:szCs w:val="24"/>
        </w:rPr>
        <w:t xml:space="preserve">) al 2010 (10,597,330), el kWh varió 1.2 veces. La demanda de energía por parte de los edificios, el metro y los malls impactó recientemente y de manera significativa la diversificación de la generación eléctrica.  </w:t>
      </w:r>
    </w:p>
    <w:p w14:paraId="77BB28D0" w14:textId="77777777" w:rsidR="000C171B" w:rsidRPr="000B21B2" w:rsidRDefault="000C171B" w:rsidP="000C171B">
      <w:pPr>
        <w:spacing w:after="0" w:line="240" w:lineRule="auto"/>
        <w:jc w:val="both"/>
        <w:rPr>
          <w:rFonts w:cstheme="minorHAnsi"/>
          <w:b/>
          <w:sz w:val="24"/>
          <w:szCs w:val="24"/>
        </w:rPr>
      </w:pPr>
    </w:p>
    <w:p w14:paraId="6219A993" w14:textId="77777777" w:rsidR="000C171B" w:rsidRPr="004E1340" w:rsidRDefault="000C171B" w:rsidP="000C171B">
      <w:pPr>
        <w:spacing w:after="0" w:line="240" w:lineRule="auto"/>
        <w:jc w:val="both"/>
        <w:rPr>
          <w:rFonts w:cstheme="minorHAnsi"/>
          <w:b/>
          <w:color w:val="4472C4" w:themeColor="accent1"/>
          <w:sz w:val="24"/>
          <w:szCs w:val="24"/>
        </w:rPr>
      </w:pPr>
      <w:r w:rsidRPr="004E1340">
        <w:rPr>
          <w:rFonts w:cstheme="minorHAnsi"/>
          <w:b/>
          <w:color w:val="4472C4" w:themeColor="accent1"/>
          <w:sz w:val="24"/>
          <w:szCs w:val="24"/>
        </w:rPr>
        <w:t xml:space="preserve">3.1.8. ODS 8: </w:t>
      </w:r>
      <w:r w:rsidRPr="004E1340">
        <w:rPr>
          <w:rFonts w:eastAsia="Times New Roman" w:cstheme="minorHAnsi"/>
          <w:b/>
          <w:bCs/>
          <w:color w:val="4472C4" w:themeColor="accent1"/>
          <w:sz w:val="24"/>
          <w:szCs w:val="24"/>
          <w:lang w:eastAsia="es-PA"/>
        </w:rPr>
        <w:t>Crecimiento económico sostenido, inclusivo y sostenible, el empleo pleno y productivo y el trabajo decente</w:t>
      </w:r>
      <w:r w:rsidRPr="004E1340">
        <w:rPr>
          <w:rFonts w:cstheme="minorHAnsi"/>
          <w:b/>
          <w:color w:val="4472C4" w:themeColor="accent1"/>
          <w:sz w:val="24"/>
          <w:szCs w:val="24"/>
        </w:rPr>
        <w:t xml:space="preserve">. </w:t>
      </w:r>
    </w:p>
    <w:p w14:paraId="0D8B498B" w14:textId="77777777" w:rsidR="000C171B" w:rsidRPr="000B21B2" w:rsidRDefault="000C171B" w:rsidP="000C171B">
      <w:pPr>
        <w:spacing w:after="0" w:line="240" w:lineRule="auto"/>
        <w:jc w:val="both"/>
        <w:rPr>
          <w:rFonts w:cstheme="minorHAnsi"/>
          <w:b/>
          <w:sz w:val="24"/>
          <w:szCs w:val="24"/>
        </w:rPr>
      </w:pPr>
    </w:p>
    <w:p w14:paraId="33910482" w14:textId="37E7CDE3"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 xml:space="preserve">(i) </w:t>
      </w:r>
      <w:r w:rsidRPr="004E1340">
        <w:rPr>
          <w:rFonts w:cstheme="minorHAnsi"/>
          <w:b/>
          <w:color w:val="4472C4" w:themeColor="accent1"/>
          <w:sz w:val="24"/>
          <w:szCs w:val="24"/>
        </w:rPr>
        <w:t xml:space="preserve">Empleo informal. </w:t>
      </w:r>
      <w:r w:rsidRPr="000B21B2">
        <w:rPr>
          <w:rFonts w:cstheme="minorHAnsi"/>
          <w:sz w:val="24"/>
          <w:szCs w:val="24"/>
        </w:rPr>
        <w:t>El empleo informal vinculado al empleo no agrícola se está incrementando. Entre los años 2014 (39.9) y 2017 (40.8) se incrementó en 0.9. Sin embargo, los cambios que se registran en el empleo informal son pocos. Para el año 2017, la misma proporción de hombres (41.4) y mujeres (40.0) realizan alguna actividad vinculada con el empleo informal.  No existen brechas significativas en la realización de esas actividades. Las actividades informales se realizan mayormente en las comarcas indígenas (71.5)</w:t>
      </w:r>
      <w:r>
        <w:rPr>
          <w:rFonts w:cstheme="minorHAnsi"/>
          <w:sz w:val="24"/>
          <w:szCs w:val="24"/>
        </w:rPr>
        <w:t xml:space="preserve">. </w:t>
      </w:r>
      <w:r w:rsidRPr="000B21B2">
        <w:rPr>
          <w:rFonts w:cstheme="minorHAnsi"/>
          <w:sz w:val="24"/>
          <w:szCs w:val="24"/>
        </w:rPr>
        <w:t>Entre los años 2014 y 2017 las reducciones significativas de las actividades vinculadas con el empleo informal se registran en las provincias de Herrera (3.3), Veraguas (3.0), Chiriquí (2.5), Los Santos (1.3), Darién (1.0), Emberá Wounaan (9.3). Sin embargo, se registran incrementos en los casos de las provincias de Panamá (3.0), Colón (2.5), Bocas del Toro (2.2), Panamá Oeste (1.9) Coclé (0.2).  De igual manera, en las Comarcas Ngäbe Bugle (2.3) y Guna Yala (1.3), se registran incrementos.  Es decir, los incrementos más importantes en las actividades vinculadas al empleo informal se registran en las provincias con mayor proporción de población urbana. Por lo cual, cabe señalarlo, el empleo informal es un fenómeno predominantemente urbano.</w:t>
      </w:r>
    </w:p>
    <w:p w14:paraId="5D66ACBE" w14:textId="77777777" w:rsidR="000C171B" w:rsidRPr="000B21B2" w:rsidRDefault="000C171B" w:rsidP="000C171B">
      <w:pPr>
        <w:spacing w:after="0" w:line="240" w:lineRule="auto"/>
        <w:jc w:val="both"/>
        <w:rPr>
          <w:rFonts w:cstheme="minorHAnsi"/>
          <w:sz w:val="24"/>
          <w:szCs w:val="24"/>
        </w:rPr>
      </w:pPr>
    </w:p>
    <w:p w14:paraId="46FDD3BC" w14:textId="52D25A3A" w:rsidR="000C171B" w:rsidRPr="000B21B2" w:rsidRDefault="000C171B" w:rsidP="000C171B">
      <w:pPr>
        <w:spacing w:after="0" w:line="240" w:lineRule="auto"/>
        <w:jc w:val="both"/>
        <w:rPr>
          <w:rFonts w:cstheme="minorHAnsi"/>
          <w:sz w:val="24"/>
          <w:szCs w:val="24"/>
        </w:rPr>
      </w:pPr>
      <w:r>
        <w:rPr>
          <w:rFonts w:eastAsia="Times New Roman" w:cstheme="minorHAnsi"/>
          <w:b/>
          <w:color w:val="4472C4" w:themeColor="accent1"/>
          <w:sz w:val="24"/>
          <w:szCs w:val="24"/>
          <w:lang w:eastAsia="es-PA"/>
        </w:rPr>
        <w:t>(</w:t>
      </w:r>
      <w:proofErr w:type="spellStart"/>
      <w:r>
        <w:rPr>
          <w:rFonts w:eastAsia="Times New Roman" w:cstheme="minorHAnsi"/>
          <w:b/>
          <w:color w:val="4472C4" w:themeColor="accent1"/>
          <w:sz w:val="24"/>
          <w:szCs w:val="24"/>
          <w:lang w:eastAsia="es-PA"/>
        </w:rPr>
        <w:t>ii</w:t>
      </w:r>
      <w:proofErr w:type="spellEnd"/>
      <w:r>
        <w:rPr>
          <w:rFonts w:eastAsia="Times New Roman" w:cstheme="minorHAnsi"/>
          <w:b/>
          <w:color w:val="4472C4" w:themeColor="accent1"/>
          <w:sz w:val="24"/>
          <w:szCs w:val="24"/>
          <w:lang w:eastAsia="es-PA"/>
        </w:rPr>
        <w:t xml:space="preserve">) </w:t>
      </w:r>
      <w:r w:rsidRPr="004E1340">
        <w:rPr>
          <w:rFonts w:eastAsia="Times New Roman" w:cstheme="minorHAnsi"/>
          <w:b/>
          <w:color w:val="4472C4" w:themeColor="accent1"/>
          <w:sz w:val="24"/>
          <w:szCs w:val="24"/>
          <w:lang w:eastAsia="es-PA"/>
        </w:rPr>
        <w:t xml:space="preserve">Ingreso medio por hora. </w:t>
      </w:r>
      <w:r w:rsidRPr="000B21B2">
        <w:rPr>
          <w:rFonts w:cstheme="minorHAnsi"/>
          <w:sz w:val="24"/>
          <w:szCs w:val="24"/>
        </w:rPr>
        <w:t xml:space="preserve">El ingreso medio por hora se incrementó entre los años 2011 y 2017. Los mayores incrementos se dieron entre los </w:t>
      </w:r>
      <w:r>
        <w:rPr>
          <w:rFonts w:cstheme="minorHAnsi"/>
          <w:sz w:val="24"/>
          <w:szCs w:val="24"/>
        </w:rPr>
        <w:t>d</w:t>
      </w:r>
      <w:r w:rsidRPr="000B21B2">
        <w:rPr>
          <w:rFonts w:cstheme="minorHAnsi"/>
          <w:sz w:val="24"/>
          <w:szCs w:val="24"/>
        </w:rPr>
        <w:t xml:space="preserve">irectores y gerentes de los sectores público, privado y de organizaciones de interés social (2.7), por un lado; entre los Profesionales, científicos e intelectuales (2.8).  En ambos casos el impacto tiene que ver con el incremento realizado por el gobierno nacional en el caso de los docentes y distintos profesionales vinculados con los servicios públicos.  Los incrementos del ingreso medio por hora muestran las disparidades y brechas salariales entre hombres y mujeres. Las mujeres sólo vieron sus ingresos medio por hora con relación a los hombres, en los siguientes casos: </w:t>
      </w:r>
      <w:r w:rsidR="00E375CD">
        <w:rPr>
          <w:rFonts w:cstheme="minorHAnsi"/>
          <w:sz w:val="24"/>
          <w:szCs w:val="24"/>
        </w:rPr>
        <w:t>d</w:t>
      </w:r>
      <w:r w:rsidRPr="000B21B2">
        <w:rPr>
          <w:rFonts w:cstheme="minorHAnsi"/>
          <w:sz w:val="24"/>
          <w:szCs w:val="24"/>
        </w:rPr>
        <w:t xml:space="preserve">irectores y gerentes de los sectores público, privado y de organizaciones de interés social (3.2), Operadores de instalaciones fijas y máquinas; montadores, conductores y operadores de maquinarias móviles (1.7), Trabajadores no calificados de los servicios, la minería, construcción, industria manufacturera, transporte y otras (1.2). En el primer caso se debe a los incrementos salariales </w:t>
      </w:r>
      <w:r w:rsidRPr="000B21B2">
        <w:rPr>
          <w:rFonts w:cstheme="minorHAnsi"/>
          <w:sz w:val="24"/>
          <w:szCs w:val="24"/>
        </w:rPr>
        <w:lastRenderedPageBreak/>
        <w:t>realizados por el gob</w:t>
      </w:r>
      <w:r w:rsidR="00E375CD">
        <w:rPr>
          <w:rFonts w:cstheme="minorHAnsi"/>
          <w:sz w:val="24"/>
          <w:szCs w:val="24"/>
        </w:rPr>
        <w:t>i</w:t>
      </w:r>
      <w:r w:rsidRPr="000B21B2">
        <w:rPr>
          <w:rFonts w:cstheme="minorHAnsi"/>
          <w:sz w:val="24"/>
          <w:szCs w:val="24"/>
        </w:rPr>
        <w:t>ern</w:t>
      </w:r>
      <w:r>
        <w:rPr>
          <w:rFonts w:cstheme="minorHAnsi"/>
          <w:sz w:val="24"/>
          <w:szCs w:val="24"/>
        </w:rPr>
        <w:t>o</w:t>
      </w:r>
      <w:r w:rsidRPr="000B21B2">
        <w:rPr>
          <w:rFonts w:cstheme="minorHAnsi"/>
          <w:sz w:val="24"/>
          <w:szCs w:val="24"/>
        </w:rPr>
        <w:t xml:space="preserve">. En los otros dos casos, por la incorporación en ocupaciones emergentes en los trabajos relacionados con la extracción minera y la construcción.  Según grupo poblacional, las variaciones en el ingreso medio por hora en el caso de los hombres fueron mejor en las edades entre 18-91 años (2.9), entre 20-29 años (1.3), entre 30-39 años (1.7), entre 40-49 años (1.7). Es decir, mejores los incremento en el ingreso medio por hora, los hombres los reciben entre los 18 y 39 años. En el caso de la mujer, los ingresos más importantes los reciben entre los 30-39 años (2.0), entre 40-49 años (2.1), entre los 50 y 59 años (1.6). Es decir, el ingreso medio por horas de las mujeres mejora en la medida que envejece. </w:t>
      </w:r>
    </w:p>
    <w:p w14:paraId="12B09D8E" w14:textId="77777777" w:rsidR="000C171B" w:rsidRPr="000B21B2" w:rsidRDefault="000C171B" w:rsidP="000C171B">
      <w:pPr>
        <w:spacing w:after="0" w:line="240" w:lineRule="auto"/>
        <w:jc w:val="both"/>
        <w:rPr>
          <w:rFonts w:cstheme="minorHAnsi"/>
          <w:b/>
          <w:sz w:val="24"/>
          <w:szCs w:val="24"/>
        </w:rPr>
      </w:pPr>
    </w:p>
    <w:p w14:paraId="1C99044A" w14:textId="6ADC37F6"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w:t>
      </w:r>
      <w:proofErr w:type="spellStart"/>
      <w:r>
        <w:rPr>
          <w:rFonts w:cstheme="minorHAnsi"/>
          <w:b/>
          <w:color w:val="4472C4" w:themeColor="accent1"/>
          <w:sz w:val="24"/>
          <w:szCs w:val="24"/>
        </w:rPr>
        <w:t>iii</w:t>
      </w:r>
      <w:proofErr w:type="spellEnd"/>
      <w:r>
        <w:rPr>
          <w:rFonts w:cstheme="minorHAnsi"/>
          <w:b/>
          <w:color w:val="4472C4" w:themeColor="accent1"/>
          <w:sz w:val="24"/>
          <w:szCs w:val="24"/>
        </w:rPr>
        <w:t xml:space="preserve">) </w:t>
      </w:r>
      <w:r w:rsidRPr="004E1340">
        <w:rPr>
          <w:rFonts w:cstheme="minorHAnsi"/>
          <w:b/>
          <w:color w:val="4472C4" w:themeColor="accent1"/>
          <w:sz w:val="24"/>
          <w:szCs w:val="24"/>
        </w:rPr>
        <w:t xml:space="preserve">Desempleo. </w:t>
      </w:r>
      <w:r w:rsidRPr="000B21B2">
        <w:rPr>
          <w:rFonts w:cstheme="minorHAnsi"/>
          <w:sz w:val="24"/>
          <w:szCs w:val="24"/>
        </w:rPr>
        <w:t>En los años el desempleo se ha incrementado. Entre los años 2011 (4.5) y 2017 (6.1) la tasa de desempleo se incrementó 1.6. Durante ese período la tasa de desempleo sólo disminuyó en las provincias de Bocas del Toro (7.2) y Herrera (3.4). Los incrementos mayores en la tasa de desempleo se registraron en las provincias de Colón (9.6), Panamá (1.9) y Chiriquí (1.3). En buena medida el incremento se debe a la reducción de los megaproyectos en esas regiones.  La tasa de desempleo se incrementó más en las áreas rurales (1.7) que en las áreas urbanas (1.5) y al mismo tiempo, más entre las mujeres (7.7.) que entre los hombres (5.0). Con el incremento de las tasas de desempleo fueron más afectados los jóvenes entre 15 y 29 años de edad. Entre los años 2010 y 2017 la tasa de desempleo en el grupo de edad de 15 a 19 años de edad pasó de 12.3 a 18.6. Asimismo</w:t>
      </w:r>
      <w:r w:rsidR="00E375CD">
        <w:rPr>
          <w:rFonts w:cstheme="minorHAnsi"/>
          <w:sz w:val="24"/>
          <w:szCs w:val="24"/>
        </w:rPr>
        <w:t>,</w:t>
      </w:r>
      <w:r w:rsidRPr="000B21B2">
        <w:rPr>
          <w:rFonts w:cstheme="minorHAnsi"/>
          <w:sz w:val="24"/>
          <w:szCs w:val="24"/>
        </w:rPr>
        <w:t xml:space="preserve"> en el grupo de población con edades entre los 20 y 29 años de edad la tasa de desempleo pasó de 9.0 en el año 2010 a 12.6 en el año 2017.  Esto se debe rotación lenta en los puestos de trabajo, los niveles educativos de la población y las competencias laborales emergentes. Esta tendencia se mantendrá por tiempo más amplio porque se registra un cambio en el tipo de motores que impulsa la economía panameña y su ubicación geográfica de los mismos. </w:t>
      </w:r>
    </w:p>
    <w:p w14:paraId="35464B19" w14:textId="77777777" w:rsidR="000C171B" w:rsidRPr="004E1340" w:rsidRDefault="000C171B" w:rsidP="000C171B">
      <w:pPr>
        <w:spacing w:after="0" w:line="240" w:lineRule="auto"/>
        <w:jc w:val="both"/>
        <w:rPr>
          <w:rFonts w:cstheme="minorHAnsi"/>
          <w:b/>
          <w:color w:val="4472C4" w:themeColor="accent1"/>
          <w:sz w:val="24"/>
          <w:szCs w:val="24"/>
        </w:rPr>
      </w:pPr>
    </w:p>
    <w:p w14:paraId="64BBCB1B" w14:textId="77777777"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w:t>
      </w:r>
      <w:proofErr w:type="spellStart"/>
      <w:r>
        <w:rPr>
          <w:rFonts w:cstheme="minorHAnsi"/>
          <w:b/>
          <w:color w:val="4472C4" w:themeColor="accent1"/>
          <w:sz w:val="24"/>
          <w:szCs w:val="24"/>
        </w:rPr>
        <w:t>iv</w:t>
      </w:r>
      <w:proofErr w:type="spellEnd"/>
      <w:r>
        <w:rPr>
          <w:rFonts w:cstheme="minorHAnsi"/>
          <w:b/>
          <w:color w:val="4472C4" w:themeColor="accent1"/>
          <w:sz w:val="24"/>
          <w:szCs w:val="24"/>
        </w:rPr>
        <w:t xml:space="preserve">) </w:t>
      </w:r>
      <w:r w:rsidRPr="004E1340">
        <w:rPr>
          <w:rFonts w:cstheme="minorHAnsi"/>
          <w:b/>
          <w:color w:val="4472C4" w:themeColor="accent1"/>
          <w:sz w:val="24"/>
          <w:szCs w:val="24"/>
        </w:rPr>
        <w:t xml:space="preserve">Jóvenes que ni estudian ni trabajan.  </w:t>
      </w:r>
      <w:r w:rsidRPr="000B21B2">
        <w:rPr>
          <w:rFonts w:cstheme="minorHAnsi"/>
          <w:sz w:val="24"/>
          <w:szCs w:val="24"/>
        </w:rPr>
        <w:t>En las edades de 15 a 24 años se ubica la población que ni estudia ni trabaja. Dicha población se redujo lentamente entre los años 2011 (16.2) y 2017 (11.5) en 4.7. Las intervenciones orientadas hacia la reducción del trabajo infantil, la asistencia y la retención escolares han tenido efectos. Por su parte, en las provincias de Bocas del Toro (12.7), Coclé (7.3), Veraguas (6.2) y las Comarcas Emberá Wounaan (11.2), Ngäbe Buglé (11.2) y Guna Yala (5.78), la reducción de la población que ni estudia ni trabaja fue significativamente. E</w:t>
      </w:r>
      <w:r>
        <w:rPr>
          <w:rFonts w:cstheme="minorHAnsi"/>
          <w:sz w:val="24"/>
          <w:szCs w:val="24"/>
        </w:rPr>
        <w:t>n</w:t>
      </w:r>
      <w:r w:rsidRPr="000B21B2">
        <w:rPr>
          <w:rFonts w:cstheme="minorHAnsi"/>
          <w:sz w:val="24"/>
          <w:szCs w:val="24"/>
        </w:rPr>
        <w:t xml:space="preserve"> siete años la política pública cambió el panorama en esas provincias y comarcas.  En los casos de las provincias Chiriquí (0.1), Herrera (1.8) y Los Santos (0.8) las variaciones no fueron significativas. Esto sucede, en primer lugar, por la alta cobertura, matrícula y tasa de asistencia escolar. En segundo lugar</w:t>
      </w:r>
      <w:r>
        <w:rPr>
          <w:rFonts w:cstheme="minorHAnsi"/>
          <w:sz w:val="24"/>
          <w:szCs w:val="24"/>
        </w:rPr>
        <w:t>,</w:t>
      </w:r>
      <w:r w:rsidRPr="000B21B2">
        <w:rPr>
          <w:rFonts w:cstheme="minorHAnsi"/>
          <w:sz w:val="24"/>
          <w:szCs w:val="24"/>
        </w:rPr>
        <w:t xml:space="preserve"> porque son provincias en las cuales la población comienza a ubicarse mayormente en las áreas urbanas.  Las brechas en la población que ni estudia ni trabaja se mantiene en las áreas rurales (16.8), entre las mujeres (18.8). Hacia esas áreas y población deben orientarse las políticas públicas en los próximos años. </w:t>
      </w:r>
    </w:p>
    <w:p w14:paraId="136BC086" w14:textId="77777777" w:rsidR="000C171B" w:rsidRDefault="000C171B" w:rsidP="000C171B">
      <w:pPr>
        <w:spacing w:after="0" w:line="240" w:lineRule="auto"/>
        <w:jc w:val="both"/>
        <w:rPr>
          <w:rFonts w:cstheme="minorHAnsi"/>
          <w:sz w:val="24"/>
          <w:szCs w:val="24"/>
        </w:rPr>
      </w:pPr>
    </w:p>
    <w:p w14:paraId="27C595DE" w14:textId="66681808"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 xml:space="preserve">(v) </w:t>
      </w:r>
      <w:r w:rsidRPr="004E1340">
        <w:rPr>
          <w:rFonts w:cstheme="minorHAnsi"/>
          <w:b/>
          <w:color w:val="4472C4" w:themeColor="accent1"/>
          <w:sz w:val="24"/>
          <w:szCs w:val="24"/>
        </w:rPr>
        <w:t xml:space="preserve">Trabajo infantil.  </w:t>
      </w:r>
      <w:r w:rsidRPr="000B21B2">
        <w:rPr>
          <w:rFonts w:cstheme="minorHAnsi"/>
          <w:sz w:val="24"/>
          <w:szCs w:val="24"/>
        </w:rPr>
        <w:t xml:space="preserve">En el caso del trabajo infantil el país ha desarrollado una política sistemática para su reducción. Tal como lo muestran las variaciones en la proporción de menores en situación de trabajo infantil. El hecho más relevante fue la eliminación del trabajo infantil en el sector cañero.  Durante los últimos años, el trabajo infantil realizado por menores en las edades </w:t>
      </w:r>
      <w:r w:rsidRPr="000B21B2">
        <w:rPr>
          <w:rFonts w:cstheme="minorHAnsi"/>
          <w:sz w:val="24"/>
          <w:szCs w:val="24"/>
        </w:rPr>
        <w:lastRenderedPageBreak/>
        <w:t>comprendidas entre los 5 y 9 años fue casi erradicado (0.03). En el caso del trabajo realizado por menores en edades comprendidas entre los 10 y 14 años de edad, el mismo se redujo 3.9</w:t>
      </w:r>
      <w:r w:rsidR="00E375CD">
        <w:rPr>
          <w:rFonts w:cstheme="minorHAnsi"/>
          <w:sz w:val="24"/>
          <w:szCs w:val="24"/>
        </w:rPr>
        <w:t>,</w:t>
      </w:r>
      <w:r w:rsidRPr="000B21B2">
        <w:rPr>
          <w:rFonts w:cstheme="minorHAnsi"/>
          <w:sz w:val="24"/>
          <w:szCs w:val="24"/>
        </w:rPr>
        <w:t xml:space="preserve"> esto representó dos veces menos trabajo infantil en esas edades. Por su parte, el trabajo infantil que realizan los menores en edades entre los 15 y 17 años de edad se redujo 14.1. Esto significó seis veces menos trabajo infantil en esas edades. La aplicación de las normas, en combinación con las políticas de restitución de los derechos de los niños, niñas y adolescentes obtuvo resultados importantes.  No obstante, persisten las brechas en el caso de los hombres, donde la reducción del trabajo infantil ha sido importante</w:t>
      </w:r>
      <w:r w:rsidR="00E375CD">
        <w:rPr>
          <w:rFonts w:cstheme="minorHAnsi"/>
          <w:sz w:val="24"/>
          <w:szCs w:val="24"/>
        </w:rPr>
        <w:t>,</w:t>
      </w:r>
      <w:r w:rsidRPr="000B21B2">
        <w:rPr>
          <w:rFonts w:cstheme="minorHAnsi"/>
          <w:sz w:val="24"/>
          <w:szCs w:val="24"/>
        </w:rPr>
        <w:t xml:space="preserve"> pero al mismo tiempo más lenta que en el caso de las mujeres. Aunque las mujeres trabajan más en edades comprendidas entre los 5 y 9 años de edad. </w:t>
      </w:r>
    </w:p>
    <w:p w14:paraId="62134089" w14:textId="77777777" w:rsidR="000C171B" w:rsidRPr="000B21B2" w:rsidRDefault="000C171B" w:rsidP="000C171B">
      <w:pPr>
        <w:spacing w:after="0" w:line="240" w:lineRule="auto"/>
        <w:jc w:val="both"/>
        <w:rPr>
          <w:rFonts w:cstheme="minorHAnsi"/>
          <w:sz w:val="24"/>
          <w:szCs w:val="24"/>
        </w:rPr>
      </w:pPr>
    </w:p>
    <w:p w14:paraId="179FAE46" w14:textId="77777777" w:rsidR="000C171B" w:rsidRPr="000B21B2" w:rsidRDefault="000C171B" w:rsidP="000C171B">
      <w:pPr>
        <w:spacing w:after="0" w:line="240" w:lineRule="auto"/>
        <w:jc w:val="both"/>
        <w:rPr>
          <w:rStyle w:val="st"/>
          <w:rFonts w:cstheme="minorHAnsi"/>
          <w:sz w:val="24"/>
          <w:szCs w:val="24"/>
        </w:rPr>
      </w:pPr>
      <w:r w:rsidRPr="004E1340">
        <w:rPr>
          <w:rStyle w:val="st"/>
          <w:rFonts w:cstheme="minorHAnsi"/>
          <w:b/>
          <w:color w:val="4472C4" w:themeColor="accent1"/>
          <w:sz w:val="24"/>
          <w:szCs w:val="24"/>
        </w:rPr>
        <w:t>3.1.8. ODS 10: Reducir la desigualdad</w:t>
      </w:r>
      <w:r w:rsidRPr="004E1340">
        <w:rPr>
          <w:rStyle w:val="st"/>
          <w:rFonts w:cstheme="minorHAnsi"/>
          <w:color w:val="4472C4" w:themeColor="accent1"/>
          <w:sz w:val="24"/>
          <w:szCs w:val="24"/>
        </w:rPr>
        <w:t>.</w:t>
      </w:r>
    </w:p>
    <w:p w14:paraId="63ED797C" w14:textId="77777777" w:rsidR="000C171B" w:rsidRPr="000B21B2" w:rsidRDefault="000C171B" w:rsidP="000C171B">
      <w:pPr>
        <w:spacing w:after="0" w:line="240" w:lineRule="auto"/>
        <w:jc w:val="both"/>
        <w:rPr>
          <w:rStyle w:val="st"/>
          <w:rFonts w:cstheme="minorHAnsi"/>
          <w:sz w:val="24"/>
          <w:szCs w:val="24"/>
        </w:rPr>
      </w:pPr>
    </w:p>
    <w:p w14:paraId="285A83E2" w14:textId="426EC6C5"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 xml:space="preserve">(i) </w:t>
      </w:r>
      <w:r w:rsidRPr="004E1340">
        <w:rPr>
          <w:rFonts w:cstheme="minorHAnsi"/>
          <w:b/>
          <w:color w:val="4472C4" w:themeColor="accent1"/>
          <w:sz w:val="24"/>
          <w:szCs w:val="24"/>
        </w:rPr>
        <w:t xml:space="preserve">Tasa de crecimiento de los ingresos per cápita del 40% más pobre y la población total. </w:t>
      </w:r>
      <w:r w:rsidRPr="000B21B2">
        <w:rPr>
          <w:rFonts w:cstheme="minorHAnsi"/>
          <w:sz w:val="24"/>
          <w:szCs w:val="24"/>
        </w:rPr>
        <w:t xml:space="preserve">La relación entre las tasas de crecimiento de los ingresos del 40% más pobre y la población total muestra que ambas crecen y decrecen según la dinámica de la economía. Sin embargo, según el ciclo de crecimiento, una varía más que la otra. En el 2010, la tasa de crecimiento del ingreso del 40% más pobre era 0.95 menor que la tasa de crecimiento del ingreso per cápita de la población total. Para el año 2017, la casa de crecimiento del ingreso del 40% más pobre era 0.88 menor que la tasa de crecimiento del ingreso per cápita de la población total. Es decir, si la tasa de crecimiento aumenta, la relación asimétrica aumenta, asimismo si la tasa de crecimiento disminuye, la relación asimétrica disminuye.   Esta relación se mantiene tanto en el área urbana como en el área rural total, aunque los crecimientos sean negativos. En las provincias y comarcas la sensibilidad a las variaciones del crecimiento será mayor que la presentada por áreas. </w:t>
      </w:r>
    </w:p>
    <w:p w14:paraId="338235EA" w14:textId="77777777" w:rsidR="000C171B" w:rsidRPr="000B21B2" w:rsidRDefault="000C171B" w:rsidP="000C171B">
      <w:pPr>
        <w:spacing w:after="0" w:line="240" w:lineRule="auto"/>
        <w:jc w:val="both"/>
        <w:rPr>
          <w:rFonts w:cstheme="minorHAnsi"/>
          <w:sz w:val="24"/>
          <w:szCs w:val="24"/>
        </w:rPr>
      </w:pPr>
    </w:p>
    <w:p w14:paraId="255B306B" w14:textId="2AEBE290" w:rsidR="000C171B" w:rsidRPr="000B21B2" w:rsidRDefault="000C171B" w:rsidP="000C171B">
      <w:pPr>
        <w:spacing w:after="0" w:line="240" w:lineRule="auto"/>
        <w:jc w:val="both"/>
        <w:rPr>
          <w:rFonts w:cstheme="minorHAnsi"/>
          <w:sz w:val="24"/>
          <w:szCs w:val="24"/>
        </w:rPr>
      </w:pPr>
      <w:r>
        <w:rPr>
          <w:rFonts w:eastAsia="Times New Roman" w:cstheme="minorHAnsi"/>
          <w:b/>
          <w:color w:val="4472C4" w:themeColor="accent1"/>
          <w:sz w:val="24"/>
          <w:szCs w:val="24"/>
          <w:lang w:eastAsia="es-PA"/>
        </w:rPr>
        <w:t>(</w:t>
      </w:r>
      <w:proofErr w:type="spellStart"/>
      <w:r>
        <w:rPr>
          <w:rFonts w:eastAsia="Times New Roman" w:cstheme="minorHAnsi"/>
          <w:b/>
          <w:color w:val="4472C4" w:themeColor="accent1"/>
          <w:sz w:val="24"/>
          <w:szCs w:val="24"/>
          <w:lang w:eastAsia="es-PA"/>
        </w:rPr>
        <w:t>ii</w:t>
      </w:r>
      <w:proofErr w:type="spellEnd"/>
      <w:r>
        <w:rPr>
          <w:rFonts w:eastAsia="Times New Roman" w:cstheme="minorHAnsi"/>
          <w:b/>
          <w:color w:val="4472C4" w:themeColor="accent1"/>
          <w:sz w:val="24"/>
          <w:szCs w:val="24"/>
          <w:lang w:eastAsia="es-PA"/>
        </w:rPr>
        <w:t xml:space="preserve">) </w:t>
      </w:r>
      <w:r w:rsidRPr="004E1340">
        <w:rPr>
          <w:rFonts w:eastAsia="Times New Roman" w:cstheme="minorHAnsi"/>
          <w:b/>
          <w:color w:val="4472C4" w:themeColor="accent1"/>
          <w:sz w:val="24"/>
          <w:szCs w:val="24"/>
          <w:lang w:eastAsia="es-PA"/>
        </w:rPr>
        <w:t xml:space="preserve">Proporción de personas por debajo del 50% de la mediana de los ingresos. </w:t>
      </w:r>
      <w:r w:rsidRPr="000B21B2">
        <w:rPr>
          <w:rFonts w:cstheme="minorHAnsi"/>
          <w:sz w:val="24"/>
          <w:szCs w:val="24"/>
        </w:rPr>
        <w:t>Entre los años 2011 (24.3) y 2017 (24.1) la proporción de la población que vive por debajo del 50% de la mediana de ingresos no varió de manera sustantiva. Es decir, un cuarto de la población del país se mantiene en esa situación. Esta proporción se mantiene en el caso de los hombres (23.7%) y las mujeres (24.4%). En el caso rural, para el año 2017, el 50% de las personas viven por debajo del 50% de la mediana de los ingresos. En el caso urbano, para el año 2017, el 11.8% de las personas viven en esa condición. Estas proporciones se incrementan</w:t>
      </w:r>
      <w:r>
        <w:rPr>
          <w:rFonts w:cstheme="minorHAnsi"/>
          <w:sz w:val="24"/>
          <w:szCs w:val="24"/>
        </w:rPr>
        <w:t>,</w:t>
      </w:r>
      <w:r w:rsidRPr="000B21B2">
        <w:rPr>
          <w:rFonts w:cstheme="minorHAnsi"/>
          <w:sz w:val="24"/>
          <w:szCs w:val="24"/>
        </w:rPr>
        <w:t xml:space="preserve"> pero se mantienen sin variaciones a lo largo de los últimos cinco años, en el caso de la población en pobreza general (94.8%), pobreza no extrema (90.2%). Asimismo</w:t>
      </w:r>
      <w:r>
        <w:rPr>
          <w:rFonts w:cstheme="minorHAnsi"/>
          <w:sz w:val="24"/>
          <w:szCs w:val="24"/>
        </w:rPr>
        <w:t>,</w:t>
      </w:r>
      <w:r w:rsidRPr="000B21B2">
        <w:rPr>
          <w:rFonts w:cstheme="minorHAnsi"/>
          <w:sz w:val="24"/>
          <w:szCs w:val="24"/>
        </w:rPr>
        <w:t xml:space="preserve"> ocurre con la población indígena (64.9%) y afrodescendiente (15.6%). Es decir, seis de cada diez indígenas y dos de cada diez afrodescendientes viven por debajo del 50% de la media de los ingresos. </w:t>
      </w:r>
      <w:r w:rsidR="000610E8" w:rsidRPr="000B21B2">
        <w:rPr>
          <w:rFonts w:cstheme="minorHAnsi"/>
          <w:sz w:val="24"/>
          <w:szCs w:val="24"/>
        </w:rPr>
        <w:t>La sensibilidad de la proporción a l</w:t>
      </w:r>
      <w:r w:rsidR="000610E8">
        <w:rPr>
          <w:rFonts w:cstheme="minorHAnsi"/>
          <w:sz w:val="24"/>
          <w:szCs w:val="24"/>
        </w:rPr>
        <w:t>a</w:t>
      </w:r>
      <w:r w:rsidR="000610E8" w:rsidRPr="000B21B2">
        <w:rPr>
          <w:rFonts w:cstheme="minorHAnsi"/>
          <w:sz w:val="24"/>
          <w:szCs w:val="24"/>
        </w:rPr>
        <w:t>s variaciones en el crecimiento del ingreso es</w:t>
      </w:r>
      <w:r w:rsidRPr="000B21B2">
        <w:rPr>
          <w:rFonts w:cstheme="minorHAnsi"/>
          <w:sz w:val="24"/>
          <w:szCs w:val="24"/>
        </w:rPr>
        <w:t xml:space="preserve"> </w:t>
      </w:r>
      <w:r w:rsidR="0084566D" w:rsidRPr="000B21B2">
        <w:rPr>
          <w:rFonts w:cstheme="minorHAnsi"/>
          <w:sz w:val="24"/>
          <w:szCs w:val="24"/>
        </w:rPr>
        <w:t>mínima</w:t>
      </w:r>
      <w:r w:rsidR="0092156C">
        <w:rPr>
          <w:rFonts w:cstheme="minorHAnsi"/>
          <w:sz w:val="24"/>
          <w:szCs w:val="24"/>
        </w:rPr>
        <w:t>,</w:t>
      </w:r>
      <w:r w:rsidRPr="000B21B2">
        <w:rPr>
          <w:rFonts w:cstheme="minorHAnsi"/>
          <w:sz w:val="24"/>
          <w:szCs w:val="24"/>
        </w:rPr>
        <w:t xml:space="preserve"> lo que muestra las asimetrías que sostienen la desigualdad y formas históricas de reproducción. Este hecho plantea la necesidad de desarrollar herramientas de focalización territorial, etaria, étnica, así como instrumentos multidimensionales que den cuenta de las intervenciones según áreas y sectores, además mecanismos para las evaluaciones y asignaciones por resultados.</w:t>
      </w:r>
    </w:p>
    <w:p w14:paraId="365D4D9E" w14:textId="77777777" w:rsidR="000C171B" w:rsidRPr="000B21B2" w:rsidRDefault="000C171B" w:rsidP="000C171B">
      <w:pPr>
        <w:spacing w:after="0" w:line="240" w:lineRule="auto"/>
        <w:jc w:val="both"/>
        <w:rPr>
          <w:rFonts w:cstheme="minorHAnsi"/>
          <w:sz w:val="24"/>
          <w:szCs w:val="24"/>
        </w:rPr>
      </w:pPr>
    </w:p>
    <w:p w14:paraId="34776A96" w14:textId="69706CB2"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lastRenderedPageBreak/>
        <w:t>(</w:t>
      </w:r>
      <w:proofErr w:type="spellStart"/>
      <w:r>
        <w:rPr>
          <w:rFonts w:cstheme="minorHAnsi"/>
          <w:b/>
          <w:color w:val="4472C4" w:themeColor="accent1"/>
          <w:sz w:val="24"/>
          <w:szCs w:val="24"/>
        </w:rPr>
        <w:t>iii</w:t>
      </w:r>
      <w:proofErr w:type="spellEnd"/>
      <w:r>
        <w:rPr>
          <w:rFonts w:cstheme="minorHAnsi"/>
          <w:b/>
          <w:color w:val="4472C4" w:themeColor="accent1"/>
          <w:sz w:val="24"/>
          <w:szCs w:val="24"/>
        </w:rPr>
        <w:t xml:space="preserve">) </w:t>
      </w:r>
      <w:r w:rsidRPr="004E1340">
        <w:rPr>
          <w:rFonts w:cstheme="minorHAnsi"/>
          <w:b/>
          <w:color w:val="4472C4" w:themeColor="accent1"/>
          <w:sz w:val="24"/>
          <w:szCs w:val="24"/>
        </w:rPr>
        <w:t xml:space="preserve">Solidez financiera. </w:t>
      </w:r>
      <w:r w:rsidRPr="000B21B2">
        <w:rPr>
          <w:rFonts w:cstheme="minorHAnsi"/>
          <w:sz w:val="24"/>
          <w:szCs w:val="24"/>
        </w:rPr>
        <w:t xml:space="preserve">Los indicadores de solidez financiera indican que el sistema bancario muestra que la relación Activos líquidos / Depósitos ha disminuido durante los últimos siete años. En especial el año 2017 (19.0%) con relación al año 2010 (25.3%). De igual manera, para el año 2017, ha disminuido la relación Activo líquido/Total de Activos (13.7%), con relación al año 2010 (19.4%). No obstante, se mantienen los niveles de liquidez por encima de los identificados por las regulaciones existentes. El resto de los indicadores, sin embargo, muestra pocas variaciones a lo largo de los últimos siete años. </w:t>
      </w:r>
    </w:p>
    <w:p w14:paraId="6440BB35" w14:textId="77777777" w:rsidR="000C171B" w:rsidRPr="000B21B2" w:rsidRDefault="000C171B" w:rsidP="000C171B">
      <w:pPr>
        <w:spacing w:after="0" w:line="240" w:lineRule="auto"/>
        <w:jc w:val="both"/>
        <w:rPr>
          <w:rFonts w:cstheme="minorHAnsi"/>
          <w:sz w:val="24"/>
          <w:szCs w:val="24"/>
        </w:rPr>
      </w:pPr>
    </w:p>
    <w:p w14:paraId="225ABB5E" w14:textId="77777777" w:rsidR="000C171B" w:rsidRPr="004E1340" w:rsidRDefault="000C171B" w:rsidP="000C171B">
      <w:pPr>
        <w:spacing w:after="0" w:line="240" w:lineRule="auto"/>
        <w:jc w:val="both"/>
        <w:rPr>
          <w:rFonts w:cstheme="minorHAnsi"/>
          <w:b/>
          <w:color w:val="4472C4" w:themeColor="accent1"/>
          <w:sz w:val="24"/>
          <w:szCs w:val="24"/>
        </w:rPr>
      </w:pPr>
      <w:r w:rsidRPr="004E1340">
        <w:rPr>
          <w:rStyle w:val="st"/>
          <w:rFonts w:cstheme="minorHAnsi"/>
          <w:b/>
          <w:color w:val="4472C4" w:themeColor="accent1"/>
          <w:sz w:val="24"/>
          <w:szCs w:val="24"/>
        </w:rPr>
        <w:t xml:space="preserve">3.1.9. </w:t>
      </w:r>
      <w:r w:rsidRPr="004E1340">
        <w:rPr>
          <w:rFonts w:cstheme="minorHAnsi"/>
          <w:b/>
          <w:color w:val="4472C4" w:themeColor="accent1"/>
          <w:sz w:val="24"/>
          <w:szCs w:val="24"/>
        </w:rPr>
        <w:t xml:space="preserve">ODS 11: Ciudades y comunidades sostenibles. </w:t>
      </w:r>
    </w:p>
    <w:p w14:paraId="0DD2DA32" w14:textId="77777777" w:rsidR="000C171B" w:rsidRPr="000B21B2" w:rsidRDefault="000C171B" w:rsidP="000C171B">
      <w:pPr>
        <w:spacing w:after="0" w:line="240" w:lineRule="auto"/>
        <w:jc w:val="both"/>
        <w:rPr>
          <w:rFonts w:cstheme="minorHAnsi"/>
          <w:sz w:val="24"/>
          <w:szCs w:val="24"/>
        </w:rPr>
      </w:pPr>
    </w:p>
    <w:p w14:paraId="6D0969DB" w14:textId="77777777"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 xml:space="preserve">(i) </w:t>
      </w:r>
      <w:r w:rsidRPr="004E1340">
        <w:rPr>
          <w:rFonts w:cstheme="minorHAnsi"/>
          <w:b/>
          <w:color w:val="4472C4" w:themeColor="accent1"/>
          <w:sz w:val="24"/>
          <w:szCs w:val="24"/>
        </w:rPr>
        <w:t xml:space="preserve">Población urbana que vive en viviendas inadecuadas.  </w:t>
      </w:r>
      <w:r w:rsidRPr="000B21B2">
        <w:rPr>
          <w:rFonts w:cstheme="minorHAnsi"/>
          <w:sz w:val="24"/>
          <w:szCs w:val="24"/>
        </w:rPr>
        <w:t>La proporción de la población urbana que vive en viviendas inadecuadas se incrementó entre los años 2014 (3.8%) y 2017 (4.2%). Pero disminuyó con relación al año 2015 (4.4%). Esta reducción es el resultado de los programas de mejora de las viviendas y sus condiciones de habitabilidad.  Las reducciones más importantes se registraron en las provincias de Chiriquí (2.8%), Herrera (1.4%), Veraguas (0.5%) y Coclé (0.3%).  Sin embargo, en las provincias de Darién (3.0%), Colón (2.9%), Los Santos (2.8%), Bocas del Toro (2.0%), Panamá Oeste (0.5%) y Panamá (0.5%). Un hecho significativo es que las provincias con mayor concentración de población crecieron menos.  Estos crecimiento</w:t>
      </w:r>
      <w:r>
        <w:rPr>
          <w:rFonts w:cstheme="minorHAnsi"/>
          <w:sz w:val="24"/>
          <w:szCs w:val="24"/>
        </w:rPr>
        <w:t>s</w:t>
      </w:r>
      <w:r w:rsidRPr="000B21B2">
        <w:rPr>
          <w:rFonts w:cstheme="minorHAnsi"/>
          <w:sz w:val="24"/>
          <w:szCs w:val="24"/>
        </w:rPr>
        <w:t xml:space="preserve"> se deben a los cambios en las proporciones de la población asentada en las áreas urbanas. En el caso de Panamá, sistemáticamente la población se está concentrando en las cabeceras de provincias y comarcas. </w:t>
      </w:r>
    </w:p>
    <w:p w14:paraId="1D2EF185" w14:textId="77777777" w:rsidR="000C171B" w:rsidRPr="000B21B2" w:rsidRDefault="000C171B" w:rsidP="000C171B">
      <w:pPr>
        <w:spacing w:after="0" w:line="240" w:lineRule="auto"/>
        <w:jc w:val="both"/>
        <w:rPr>
          <w:rFonts w:cstheme="minorHAnsi"/>
          <w:sz w:val="24"/>
          <w:szCs w:val="24"/>
        </w:rPr>
      </w:pPr>
    </w:p>
    <w:p w14:paraId="2CF431A4" w14:textId="77777777"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w:t>
      </w:r>
      <w:proofErr w:type="spellStart"/>
      <w:r>
        <w:rPr>
          <w:rFonts w:cstheme="minorHAnsi"/>
          <w:b/>
          <w:color w:val="4472C4" w:themeColor="accent1"/>
          <w:sz w:val="24"/>
          <w:szCs w:val="24"/>
        </w:rPr>
        <w:t>ii</w:t>
      </w:r>
      <w:proofErr w:type="spellEnd"/>
      <w:r>
        <w:rPr>
          <w:rFonts w:cstheme="minorHAnsi"/>
          <w:b/>
          <w:color w:val="4472C4" w:themeColor="accent1"/>
          <w:sz w:val="24"/>
          <w:szCs w:val="24"/>
        </w:rPr>
        <w:t xml:space="preserve">) </w:t>
      </w:r>
      <w:r w:rsidRPr="004E1340">
        <w:rPr>
          <w:rFonts w:cstheme="minorHAnsi"/>
          <w:b/>
          <w:color w:val="4472C4" w:themeColor="accent1"/>
          <w:sz w:val="24"/>
          <w:szCs w:val="24"/>
        </w:rPr>
        <w:t xml:space="preserve">Personas que viven en viviendas inadecuadas en las Áreas urbanas. </w:t>
      </w:r>
      <w:r w:rsidRPr="000B21B2">
        <w:rPr>
          <w:rFonts w:cstheme="minorHAnsi"/>
          <w:sz w:val="24"/>
          <w:szCs w:val="24"/>
        </w:rPr>
        <w:t xml:space="preserve">El total de personas en las áreas urbanas que vive en viviendas inadecuadas se incrementó en 17,837, entre el año 2014 (98,083) y el año 2017 (115, 920). El crecimiento de la población registró en las provincias de Bocas del Toro (10, 623 personas), Coclé (6,579 personas), Colón (2,960 personas), Herrera (1,326 personas), Veraguas (605 personas) y Chiriquí (193 personas).  El número de personas se incrementa en la medida que existen más inmigración interna al interior de las provincias.  Para el año 2017 (115,920 personas), las provincias con mayor concentración de personas en las áreas urbanas con viviendas inadecuadas fueron Panamá (33.6%), Colón (22.8%), Bocas del Toro (18.2%), Panamá Oeste (9.4%), Chiriquí (7.7%). Es decir, en la región interoceánica, donde existe una mayor proporción de lugares poblados urbanos, se ubica también el 65.8% de las personas que viven en las áreas urbanas y viven en viviendas inadecuadas.  </w:t>
      </w:r>
    </w:p>
    <w:p w14:paraId="2F212E81" w14:textId="77777777" w:rsidR="000C171B" w:rsidRPr="000B21B2" w:rsidRDefault="000C171B" w:rsidP="000C171B">
      <w:pPr>
        <w:spacing w:after="0" w:line="240" w:lineRule="auto"/>
        <w:jc w:val="both"/>
        <w:rPr>
          <w:rFonts w:cstheme="minorHAnsi"/>
          <w:b/>
          <w:sz w:val="24"/>
          <w:szCs w:val="24"/>
        </w:rPr>
      </w:pPr>
    </w:p>
    <w:p w14:paraId="2701E11C" w14:textId="77777777" w:rsidR="000C171B" w:rsidRPr="004E1340" w:rsidRDefault="000C171B" w:rsidP="000C171B">
      <w:pPr>
        <w:spacing w:after="0" w:line="240" w:lineRule="auto"/>
        <w:jc w:val="both"/>
        <w:rPr>
          <w:rFonts w:cstheme="minorHAnsi"/>
          <w:b/>
          <w:color w:val="4472C4" w:themeColor="accent1"/>
          <w:sz w:val="24"/>
          <w:szCs w:val="24"/>
        </w:rPr>
      </w:pPr>
      <w:r w:rsidRPr="004E1340">
        <w:rPr>
          <w:rFonts w:cstheme="minorHAnsi"/>
          <w:b/>
          <w:color w:val="4472C4" w:themeColor="accent1"/>
          <w:sz w:val="24"/>
          <w:szCs w:val="24"/>
        </w:rPr>
        <w:t xml:space="preserve">3.1.10. ODS 12: Producción y consumos responsables. </w:t>
      </w:r>
    </w:p>
    <w:p w14:paraId="0E25A546" w14:textId="77777777" w:rsidR="000C171B" w:rsidRPr="000B21B2" w:rsidRDefault="000C171B" w:rsidP="000C171B">
      <w:pPr>
        <w:spacing w:after="0" w:line="240" w:lineRule="auto"/>
        <w:jc w:val="both"/>
        <w:rPr>
          <w:rFonts w:cstheme="minorHAnsi"/>
          <w:b/>
          <w:sz w:val="24"/>
          <w:szCs w:val="24"/>
        </w:rPr>
      </w:pPr>
    </w:p>
    <w:p w14:paraId="55422773" w14:textId="77777777"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w:t>
      </w:r>
      <w:proofErr w:type="spellStart"/>
      <w:r>
        <w:rPr>
          <w:rFonts w:cstheme="minorHAnsi"/>
          <w:b/>
          <w:color w:val="4472C4" w:themeColor="accent1"/>
          <w:sz w:val="24"/>
          <w:szCs w:val="24"/>
        </w:rPr>
        <w:t>iii</w:t>
      </w:r>
      <w:proofErr w:type="spellEnd"/>
      <w:r>
        <w:rPr>
          <w:rFonts w:cstheme="minorHAnsi"/>
          <w:b/>
          <w:color w:val="4472C4" w:themeColor="accent1"/>
          <w:sz w:val="24"/>
          <w:szCs w:val="24"/>
        </w:rPr>
        <w:t xml:space="preserve">) </w:t>
      </w:r>
      <w:r w:rsidRPr="004E1340">
        <w:rPr>
          <w:rFonts w:cstheme="minorHAnsi"/>
          <w:b/>
          <w:color w:val="4472C4" w:themeColor="accent1"/>
          <w:sz w:val="24"/>
          <w:szCs w:val="24"/>
        </w:rPr>
        <w:t xml:space="preserve">Subsidios a los combustibles fósiles.  </w:t>
      </w:r>
      <w:r w:rsidRPr="000B21B2">
        <w:rPr>
          <w:rFonts w:cstheme="minorHAnsi"/>
          <w:sz w:val="24"/>
          <w:szCs w:val="24"/>
        </w:rPr>
        <w:t>El subsidio a los combustibles fósiles como proporción del PIB bajó entre el año 2010 (0.3% del PIB) y el año 2017 (0.2% del PIB).  La mayor proporción del subsidio del combustible fósil se destina a los derivados del petróleo: diésel y gas licuado. En ambos ca</w:t>
      </w:r>
      <w:r>
        <w:rPr>
          <w:rFonts w:cstheme="minorHAnsi"/>
          <w:sz w:val="24"/>
          <w:szCs w:val="24"/>
        </w:rPr>
        <w:t>s</w:t>
      </w:r>
      <w:r w:rsidRPr="000B21B2">
        <w:rPr>
          <w:rFonts w:cstheme="minorHAnsi"/>
          <w:sz w:val="24"/>
          <w:szCs w:val="24"/>
        </w:rPr>
        <w:t xml:space="preserve">os los subsidios han disminuido entre los años 2010 y 2017. En el caso del diésel, el subsidio se redujo y posteriormente se eliminó porque estaba vinculado con el sistema de transporte urbano que fue reemplazado por el Metro Bus.  Sin embargo, las exoneraciones del </w:t>
      </w:r>
      <w:r w:rsidRPr="000B21B2">
        <w:rPr>
          <w:rFonts w:cstheme="minorHAnsi"/>
          <w:sz w:val="24"/>
          <w:szCs w:val="24"/>
        </w:rPr>
        <w:lastRenderedPageBreak/>
        <w:t xml:space="preserve">impuesto a los combustibles derivados del petróleo, denominados también sacrificios fiscales, se han incrementado entre el año 2010 (8.5) y 2017 (30.0). </w:t>
      </w:r>
    </w:p>
    <w:p w14:paraId="65F04962" w14:textId="77777777" w:rsidR="000C171B" w:rsidRPr="000B21B2" w:rsidRDefault="000C171B" w:rsidP="000C171B">
      <w:pPr>
        <w:spacing w:after="0" w:line="240" w:lineRule="auto"/>
        <w:jc w:val="both"/>
        <w:rPr>
          <w:rFonts w:cstheme="minorHAnsi"/>
          <w:b/>
          <w:sz w:val="24"/>
          <w:szCs w:val="24"/>
        </w:rPr>
      </w:pPr>
    </w:p>
    <w:p w14:paraId="4E3C0FF0" w14:textId="77777777" w:rsidR="000C171B" w:rsidRPr="004E1340" w:rsidRDefault="000C171B" w:rsidP="000C171B">
      <w:pPr>
        <w:spacing w:after="0" w:line="240" w:lineRule="auto"/>
        <w:jc w:val="both"/>
        <w:rPr>
          <w:rFonts w:cstheme="minorHAnsi"/>
          <w:b/>
          <w:color w:val="4472C4" w:themeColor="accent1"/>
          <w:sz w:val="24"/>
          <w:szCs w:val="24"/>
        </w:rPr>
      </w:pPr>
      <w:r w:rsidRPr="004E1340">
        <w:rPr>
          <w:rFonts w:cstheme="minorHAnsi"/>
          <w:b/>
          <w:color w:val="4472C4" w:themeColor="accent1"/>
          <w:sz w:val="24"/>
          <w:szCs w:val="24"/>
        </w:rPr>
        <w:t xml:space="preserve">3.1.11. ODS 14: Conservación y uso sostenible de los océanos, los mares y los recursos marinos.  </w:t>
      </w:r>
    </w:p>
    <w:p w14:paraId="713C5422" w14:textId="77777777" w:rsidR="000C171B" w:rsidRPr="000B21B2" w:rsidRDefault="000C171B" w:rsidP="000C171B">
      <w:pPr>
        <w:spacing w:after="0" w:line="240" w:lineRule="auto"/>
        <w:jc w:val="both"/>
        <w:rPr>
          <w:rFonts w:cstheme="minorHAnsi"/>
          <w:b/>
          <w:sz w:val="24"/>
          <w:szCs w:val="24"/>
        </w:rPr>
      </w:pPr>
    </w:p>
    <w:p w14:paraId="32749669" w14:textId="77777777"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w:t>
      </w:r>
      <w:proofErr w:type="spellStart"/>
      <w:r>
        <w:rPr>
          <w:rFonts w:cstheme="minorHAnsi"/>
          <w:b/>
          <w:color w:val="4472C4" w:themeColor="accent1"/>
          <w:sz w:val="24"/>
          <w:szCs w:val="24"/>
        </w:rPr>
        <w:t>iv</w:t>
      </w:r>
      <w:proofErr w:type="spellEnd"/>
      <w:r>
        <w:rPr>
          <w:rFonts w:cstheme="minorHAnsi"/>
          <w:b/>
          <w:color w:val="4472C4" w:themeColor="accent1"/>
          <w:sz w:val="24"/>
          <w:szCs w:val="24"/>
        </w:rPr>
        <w:t xml:space="preserve">) </w:t>
      </w:r>
      <w:r w:rsidRPr="004E1340">
        <w:rPr>
          <w:rFonts w:cstheme="minorHAnsi"/>
          <w:b/>
          <w:color w:val="4472C4" w:themeColor="accent1"/>
          <w:sz w:val="24"/>
          <w:szCs w:val="24"/>
        </w:rPr>
        <w:t>Áreas marinas protegidas.</w:t>
      </w:r>
      <w:r w:rsidRPr="004E1340">
        <w:rPr>
          <w:rFonts w:cstheme="minorHAnsi"/>
          <w:sz w:val="24"/>
          <w:szCs w:val="24"/>
        </w:rPr>
        <w:t xml:space="preserve"> </w:t>
      </w:r>
      <w:r w:rsidRPr="000B21B2">
        <w:rPr>
          <w:rFonts w:cstheme="minorHAnsi"/>
          <w:sz w:val="24"/>
          <w:szCs w:val="24"/>
        </w:rPr>
        <w:t xml:space="preserve">En Panamá, las áreas protegidas la constituyen aquellas que se encuentran comprendidas por área geográfica terrestre, costera, marina o lacustre, que legalmente tiene como fin la conservación, recreación, educación o investigación de los recursos naturales y culturales. Según la Agenda 2030, una de las acciones relevantes que deben desarrollar los países tiene relación con la conservación del 10% de las zonas costeras y marinas, de conformidad con las leyes nacionales y el derecho internacional y sobre la base de la mejor información científica disponible. Desde el año 2015, en Panamá, están bajo régimen de protección el 12.8% de las áreas marinas. Es decir, el país por disposición propia decidió proteger sus áreas marinas. Con ello avanzó de manera significativa en el cumplimiento de las metas ODS. </w:t>
      </w:r>
    </w:p>
    <w:p w14:paraId="3DBB0FF0" w14:textId="77777777" w:rsidR="000C171B" w:rsidRPr="000B21B2" w:rsidRDefault="000C171B" w:rsidP="000C171B">
      <w:pPr>
        <w:spacing w:after="0" w:line="240" w:lineRule="auto"/>
        <w:jc w:val="both"/>
        <w:rPr>
          <w:rFonts w:cstheme="minorHAnsi"/>
          <w:sz w:val="24"/>
          <w:szCs w:val="24"/>
        </w:rPr>
      </w:pPr>
    </w:p>
    <w:p w14:paraId="4C5F4334" w14:textId="77777777" w:rsidR="000C171B" w:rsidRPr="004E1340" w:rsidRDefault="000C171B" w:rsidP="000C171B">
      <w:pPr>
        <w:spacing w:after="0" w:line="240" w:lineRule="auto"/>
        <w:jc w:val="both"/>
        <w:rPr>
          <w:rFonts w:cstheme="minorHAnsi"/>
          <w:b/>
          <w:color w:val="4472C4" w:themeColor="accent1"/>
          <w:sz w:val="24"/>
          <w:szCs w:val="24"/>
        </w:rPr>
      </w:pPr>
      <w:r w:rsidRPr="004E1340">
        <w:rPr>
          <w:rFonts w:cstheme="minorHAnsi"/>
          <w:b/>
          <w:color w:val="4472C4" w:themeColor="accent1"/>
          <w:sz w:val="24"/>
          <w:szCs w:val="24"/>
        </w:rPr>
        <w:t xml:space="preserve">3.1.12. ODS 15: Gestión sostenible de los bosques y biodiversidad. </w:t>
      </w:r>
    </w:p>
    <w:p w14:paraId="7DA1F3A2" w14:textId="77777777" w:rsidR="000C171B" w:rsidRPr="000B21B2" w:rsidRDefault="000C171B" w:rsidP="000C171B">
      <w:pPr>
        <w:spacing w:after="0" w:line="240" w:lineRule="auto"/>
        <w:jc w:val="both"/>
        <w:rPr>
          <w:rFonts w:cstheme="minorHAnsi"/>
          <w:b/>
          <w:sz w:val="24"/>
          <w:szCs w:val="24"/>
        </w:rPr>
      </w:pPr>
    </w:p>
    <w:p w14:paraId="490C9493" w14:textId="1906E1E7"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 xml:space="preserve">(i) </w:t>
      </w:r>
      <w:r w:rsidRPr="004E1340">
        <w:rPr>
          <w:rFonts w:cstheme="minorHAnsi"/>
          <w:b/>
          <w:color w:val="4472C4" w:themeColor="accent1"/>
          <w:sz w:val="24"/>
          <w:szCs w:val="24"/>
        </w:rPr>
        <w:t xml:space="preserve">Áreas terrestres protegidas.  </w:t>
      </w:r>
      <w:r w:rsidRPr="000B21B2">
        <w:rPr>
          <w:rFonts w:cstheme="minorHAnsi"/>
          <w:sz w:val="24"/>
          <w:szCs w:val="24"/>
        </w:rPr>
        <w:t xml:space="preserve">En el país desde el año 2010, un 30% de las áreas terrestres se encuentran incluidas en algún régimen de protección con el fin de asegurar la conservación y preservación de los ecosistemas y la diversidad biológica.  </w:t>
      </w:r>
    </w:p>
    <w:p w14:paraId="02AC95A9" w14:textId="77777777" w:rsidR="000C171B" w:rsidRPr="000B21B2" w:rsidRDefault="000C171B" w:rsidP="000C171B">
      <w:pPr>
        <w:spacing w:after="0" w:line="240" w:lineRule="auto"/>
        <w:jc w:val="both"/>
        <w:rPr>
          <w:rFonts w:cstheme="minorHAnsi"/>
          <w:sz w:val="24"/>
          <w:szCs w:val="24"/>
        </w:rPr>
      </w:pPr>
    </w:p>
    <w:p w14:paraId="31F62819" w14:textId="3282D32F"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w:t>
      </w:r>
      <w:proofErr w:type="spellStart"/>
      <w:r>
        <w:rPr>
          <w:rFonts w:cstheme="minorHAnsi"/>
          <w:b/>
          <w:color w:val="4472C4" w:themeColor="accent1"/>
          <w:sz w:val="24"/>
          <w:szCs w:val="24"/>
        </w:rPr>
        <w:t>ii</w:t>
      </w:r>
      <w:proofErr w:type="spellEnd"/>
      <w:r>
        <w:rPr>
          <w:rFonts w:cstheme="minorHAnsi"/>
          <w:b/>
          <w:color w:val="4472C4" w:themeColor="accent1"/>
          <w:sz w:val="24"/>
          <w:szCs w:val="24"/>
        </w:rPr>
        <w:t xml:space="preserve">) </w:t>
      </w:r>
      <w:r w:rsidRPr="004E1340">
        <w:rPr>
          <w:rFonts w:cstheme="minorHAnsi"/>
          <w:b/>
          <w:color w:val="4472C4" w:themeColor="accent1"/>
          <w:sz w:val="24"/>
          <w:szCs w:val="24"/>
        </w:rPr>
        <w:t xml:space="preserve">Cobertura de Zonas protegidas.  </w:t>
      </w:r>
      <w:r w:rsidRPr="000B21B2">
        <w:rPr>
          <w:rFonts w:cstheme="minorHAnsi"/>
          <w:sz w:val="24"/>
          <w:szCs w:val="24"/>
        </w:rPr>
        <w:t xml:space="preserve">De ese total </w:t>
      </w:r>
      <w:r w:rsidR="006B5122">
        <w:rPr>
          <w:rFonts w:cstheme="minorHAnsi"/>
          <w:sz w:val="24"/>
          <w:szCs w:val="24"/>
        </w:rPr>
        <w:t xml:space="preserve">de </w:t>
      </w:r>
      <w:r w:rsidRPr="000B21B2">
        <w:rPr>
          <w:rFonts w:cstheme="minorHAnsi"/>
          <w:sz w:val="24"/>
          <w:szCs w:val="24"/>
        </w:rPr>
        <w:t xml:space="preserve">cobertura forestal existente en el país, más de 30% se encuentra protegida desde el año 2010 (34.2%). Es decir, Panamá cuenta con una proporción importante de su superficie boscosa bajo régimen de protección, conservación y preservación. </w:t>
      </w:r>
    </w:p>
    <w:p w14:paraId="4B6D074C" w14:textId="77777777" w:rsidR="000C171B" w:rsidRPr="000B21B2" w:rsidRDefault="000C171B" w:rsidP="000C171B">
      <w:pPr>
        <w:spacing w:after="0" w:line="240" w:lineRule="auto"/>
        <w:jc w:val="both"/>
        <w:rPr>
          <w:rFonts w:eastAsia="Times New Roman" w:cstheme="minorHAnsi"/>
          <w:b/>
          <w:bCs/>
          <w:kern w:val="36"/>
          <w:sz w:val="24"/>
          <w:szCs w:val="24"/>
          <w:lang w:eastAsia="es-PA"/>
        </w:rPr>
      </w:pPr>
    </w:p>
    <w:p w14:paraId="30BDD2A4" w14:textId="77777777" w:rsidR="000C171B" w:rsidRPr="000B21B2" w:rsidRDefault="000C171B" w:rsidP="000C171B">
      <w:pPr>
        <w:spacing w:after="0" w:line="240" w:lineRule="auto"/>
        <w:jc w:val="both"/>
        <w:outlineLvl w:val="0"/>
        <w:rPr>
          <w:rFonts w:eastAsia="Times New Roman" w:cstheme="minorHAnsi"/>
          <w:b/>
          <w:bCs/>
          <w:kern w:val="36"/>
          <w:sz w:val="24"/>
          <w:szCs w:val="24"/>
          <w:lang w:eastAsia="es-PA"/>
        </w:rPr>
      </w:pPr>
      <w:r w:rsidRPr="004E1340">
        <w:rPr>
          <w:rFonts w:eastAsia="Times New Roman" w:cstheme="minorHAnsi"/>
          <w:b/>
          <w:bCs/>
          <w:color w:val="4472C4" w:themeColor="accent1"/>
          <w:kern w:val="36"/>
          <w:sz w:val="24"/>
          <w:szCs w:val="24"/>
          <w:lang w:eastAsia="es-PA"/>
        </w:rPr>
        <w:t xml:space="preserve">3.1.13. ODS 16: Promover sociedades, justas, pacíficas e inclusivas. </w:t>
      </w:r>
    </w:p>
    <w:p w14:paraId="7D46A3DC" w14:textId="77777777" w:rsidR="000C171B" w:rsidRPr="000B21B2" w:rsidRDefault="000C171B" w:rsidP="000C171B">
      <w:pPr>
        <w:spacing w:after="0" w:line="240" w:lineRule="auto"/>
        <w:jc w:val="both"/>
        <w:outlineLvl w:val="0"/>
        <w:rPr>
          <w:rFonts w:eastAsia="Times New Roman" w:cstheme="minorHAnsi"/>
          <w:bCs/>
          <w:kern w:val="36"/>
          <w:sz w:val="24"/>
          <w:szCs w:val="24"/>
          <w:lang w:eastAsia="es-PA"/>
        </w:rPr>
      </w:pPr>
    </w:p>
    <w:p w14:paraId="1A09174D" w14:textId="77777777" w:rsidR="000C171B" w:rsidRPr="000B21B2" w:rsidRDefault="000C171B" w:rsidP="000C171B">
      <w:pPr>
        <w:spacing w:after="0" w:line="240" w:lineRule="auto"/>
        <w:jc w:val="both"/>
        <w:rPr>
          <w:rFonts w:cstheme="minorHAnsi"/>
          <w:sz w:val="24"/>
          <w:szCs w:val="24"/>
        </w:rPr>
      </w:pPr>
      <w:r>
        <w:rPr>
          <w:rFonts w:cstheme="minorHAnsi"/>
          <w:b/>
          <w:color w:val="4472C4" w:themeColor="accent1"/>
          <w:sz w:val="24"/>
          <w:szCs w:val="24"/>
        </w:rPr>
        <w:t xml:space="preserve">(i) </w:t>
      </w:r>
      <w:r w:rsidRPr="00B17E6F">
        <w:rPr>
          <w:rFonts w:cstheme="minorHAnsi"/>
          <w:b/>
          <w:color w:val="4472C4" w:themeColor="accent1"/>
          <w:sz w:val="24"/>
          <w:szCs w:val="24"/>
        </w:rPr>
        <w:t xml:space="preserve">Registro civil. </w:t>
      </w:r>
      <w:r w:rsidRPr="000B21B2">
        <w:rPr>
          <w:rFonts w:cstheme="minorHAnsi"/>
          <w:bCs/>
          <w:sz w:val="24"/>
          <w:szCs w:val="24"/>
        </w:rPr>
        <w:t xml:space="preserve">En la última década se han realizado cambios sustantivos en el proceso de registro de los </w:t>
      </w:r>
      <w:r>
        <w:rPr>
          <w:rFonts w:cstheme="minorHAnsi"/>
          <w:bCs/>
          <w:sz w:val="24"/>
          <w:szCs w:val="24"/>
        </w:rPr>
        <w:t xml:space="preserve">niños y niñas </w:t>
      </w:r>
      <w:r w:rsidRPr="000B21B2">
        <w:rPr>
          <w:rFonts w:cstheme="minorHAnsi"/>
          <w:bCs/>
          <w:sz w:val="24"/>
          <w:szCs w:val="24"/>
        </w:rPr>
        <w:t>menores de cinco años. Con ello se ha reducido el número de niños</w:t>
      </w:r>
      <w:r>
        <w:rPr>
          <w:rFonts w:cstheme="minorHAnsi"/>
          <w:bCs/>
          <w:sz w:val="24"/>
          <w:szCs w:val="24"/>
        </w:rPr>
        <w:t xml:space="preserve"> y niñas</w:t>
      </w:r>
      <w:r w:rsidRPr="000B21B2">
        <w:rPr>
          <w:rFonts w:cstheme="minorHAnsi"/>
          <w:bCs/>
          <w:sz w:val="24"/>
          <w:szCs w:val="24"/>
        </w:rPr>
        <w:t xml:space="preserve"> sin registro tanto por sexo como por áreas, provincias</w:t>
      </w:r>
      <w:r w:rsidRPr="000B21B2">
        <w:rPr>
          <w:rFonts w:cstheme="minorHAnsi"/>
          <w:sz w:val="24"/>
          <w:szCs w:val="24"/>
        </w:rPr>
        <w:t xml:space="preserve">, comarcas y tipos de población. Entre los años 2015 y 2017 la proporción de niños </w:t>
      </w:r>
      <w:r>
        <w:rPr>
          <w:rFonts w:cstheme="minorHAnsi"/>
          <w:sz w:val="24"/>
          <w:szCs w:val="24"/>
        </w:rPr>
        <w:t xml:space="preserve">y niñas </w:t>
      </w:r>
      <w:r w:rsidRPr="000B21B2">
        <w:rPr>
          <w:rFonts w:cstheme="minorHAnsi"/>
          <w:sz w:val="24"/>
          <w:szCs w:val="24"/>
        </w:rPr>
        <w:t xml:space="preserve">menores de 5 años registrados varió en 1.2 y alcanzó el 97.3%.  Durante ese periodo la brecha de niños </w:t>
      </w:r>
      <w:r>
        <w:rPr>
          <w:rFonts w:cstheme="minorHAnsi"/>
          <w:sz w:val="24"/>
          <w:szCs w:val="24"/>
        </w:rPr>
        <w:t xml:space="preserve">y niñas </w:t>
      </w:r>
      <w:r w:rsidRPr="000B21B2">
        <w:rPr>
          <w:rFonts w:cstheme="minorHAnsi"/>
          <w:sz w:val="24"/>
          <w:szCs w:val="24"/>
        </w:rPr>
        <w:t>sin registro disminuyó un 1.4. Asimismo</w:t>
      </w:r>
      <w:r>
        <w:rPr>
          <w:rFonts w:cstheme="minorHAnsi"/>
          <w:sz w:val="24"/>
          <w:szCs w:val="24"/>
        </w:rPr>
        <w:t>,</w:t>
      </w:r>
      <w:r w:rsidRPr="000B21B2">
        <w:rPr>
          <w:rFonts w:cstheme="minorHAnsi"/>
          <w:sz w:val="24"/>
          <w:szCs w:val="24"/>
        </w:rPr>
        <w:t xml:space="preserve"> disminuy</w:t>
      </w:r>
      <w:r>
        <w:rPr>
          <w:rFonts w:cstheme="minorHAnsi"/>
          <w:sz w:val="24"/>
          <w:szCs w:val="24"/>
        </w:rPr>
        <w:t>ó</w:t>
      </w:r>
      <w:r w:rsidRPr="000B21B2">
        <w:rPr>
          <w:rFonts w:cstheme="minorHAnsi"/>
          <w:sz w:val="24"/>
          <w:szCs w:val="24"/>
        </w:rPr>
        <w:t xml:space="preserve"> en 2.5, la brecha en el caso de los niños y niñas menores de 5 años residentes en las áreas rurales. Según población, en ese mismo periodo, la brecha se redujo mayormente entre la población indígena (2.6). Un hecho significativo es que la proporción de </w:t>
      </w:r>
      <w:r>
        <w:rPr>
          <w:rFonts w:cstheme="minorHAnsi"/>
          <w:sz w:val="24"/>
          <w:szCs w:val="24"/>
        </w:rPr>
        <w:t xml:space="preserve">niños y niñas </w:t>
      </w:r>
      <w:r w:rsidRPr="000B21B2">
        <w:rPr>
          <w:rFonts w:cstheme="minorHAnsi"/>
          <w:sz w:val="24"/>
          <w:szCs w:val="24"/>
        </w:rPr>
        <w:t xml:space="preserve">menores de 5 años afrodescendientes registrado disminuyó 1.0. Lo que es consistente con el proceso de transición demográfica que vive ese grupo poblacional.  En las comarcas, el cierre de la brecha fue significativo. En la comarca Ngäbe Buglé la brecha se redujo en 7.1. Por su parte, en la comarca Guna Yala la brecha disminuyó en 1.4. En la comarca que la reducción fue menos significativa, fue en la Emberá Wounaan, donde sólo alcanzó los 0.6.  Por </w:t>
      </w:r>
      <w:r w:rsidRPr="000B21B2">
        <w:rPr>
          <w:rFonts w:cstheme="minorHAnsi"/>
          <w:sz w:val="24"/>
          <w:szCs w:val="24"/>
        </w:rPr>
        <w:lastRenderedPageBreak/>
        <w:t xml:space="preserve">último, las brechas más importantes en materia de registro se producen en aquellas poblaciones, áreas y divisiones políticas donde existe un bono demográfico importante. Entre mayor el bono demográfico y más baja la edad promedio más amplia la brecha en los registros de nacimiento </w:t>
      </w:r>
      <w:r>
        <w:rPr>
          <w:rFonts w:cstheme="minorHAnsi"/>
          <w:sz w:val="24"/>
          <w:szCs w:val="24"/>
        </w:rPr>
        <w:t xml:space="preserve">niños y niñas </w:t>
      </w:r>
      <w:r w:rsidRPr="000B21B2">
        <w:rPr>
          <w:rFonts w:cstheme="minorHAnsi"/>
          <w:sz w:val="24"/>
          <w:szCs w:val="24"/>
        </w:rPr>
        <w:t xml:space="preserve">de los menores de 5 años. </w:t>
      </w:r>
    </w:p>
    <w:p w14:paraId="69CF997F" w14:textId="77777777" w:rsidR="000C171B" w:rsidRPr="000B21B2" w:rsidRDefault="000C171B" w:rsidP="000C171B">
      <w:pPr>
        <w:spacing w:after="0" w:line="240" w:lineRule="auto"/>
        <w:jc w:val="both"/>
        <w:rPr>
          <w:rFonts w:cstheme="minorHAnsi"/>
          <w:sz w:val="24"/>
          <w:szCs w:val="24"/>
        </w:rPr>
      </w:pPr>
    </w:p>
    <w:p w14:paraId="5C4083A3" w14:textId="77777777" w:rsidR="000C171B" w:rsidRPr="00D73BA5" w:rsidRDefault="000C171B" w:rsidP="000C171B">
      <w:pPr>
        <w:spacing w:after="0" w:line="240" w:lineRule="auto"/>
        <w:jc w:val="both"/>
        <w:rPr>
          <w:rFonts w:cstheme="minorHAnsi"/>
          <w:b/>
          <w:i/>
          <w:iCs/>
          <w:color w:val="4472C4" w:themeColor="accent1"/>
          <w:sz w:val="24"/>
          <w:szCs w:val="24"/>
        </w:rPr>
      </w:pPr>
      <w:r w:rsidRPr="009110B7">
        <w:rPr>
          <w:rStyle w:val="Emphasis"/>
          <w:rFonts w:cstheme="minorHAnsi"/>
          <w:b/>
          <w:i w:val="0"/>
          <w:iCs w:val="0"/>
          <w:color w:val="4472C4" w:themeColor="accent1"/>
          <w:sz w:val="24"/>
          <w:szCs w:val="24"/>
        </w:rPr>
        <w:t>3.1.14. ODS 17</w:t>
      </w:r>
      <w:r w:rsidRPr="009110B7">
        <w:rPr>
          <w:rStyle w:val="Emphasis"/>
          <w:rFonts w:cstheme="minorHAnsi"/>
          <w:b/>
          <w:color w:val="4472C4" w:themeColor="accent1"/>
          <w:sz w:val="24"/>
          <w:szCs w:val="24"/>
        </w:rPr>
        <w:t>. A</w:t>
      </w:r>
      <w:r w:rsidRPr="009110B7">
        <w:rPr>
          <w:rStyle w:val="st"/>
          <w:rFonts w:cstheme="minorHAnsi"/>
          <w:b/>
          <w:color w:val="4472C4" w:themeColor="accent1"/>
          <w:sz w:val="24"/>
          <w:szCs w:val="24"/>
        </w:rPr>
        <w:t>lianzas para el desarrollo sostenible.</w:t>
      </w:r>
      <w:r w:rsidRPr="00D73BA5">
        <w:rPr>
          <w:rStyle w:val="st"/>
          <w:rFonts w:cstheme="minorHAnsi"/>
          <w:b/>
          <w:i/>
          <w:iCs/>
          <w:color w:val="4472C4" w:themeColor="accent1"/>
          <w:sz w:val="24"/>
          <w:szCs w:val="24"/>
        </w:rPr>
        <w:t xml:space="preserve"> </w:t>
      </w:r>
    </w:p>
    <w:p w14:paraId="3206F0A3" w14:textId="77777777" w:rsidR="000C171B" w:rsidRPr="000B21B2" w:rsidRDefault="000C171B" w:rsidP="000C171B">
      <w:pPr>
        <w:spacing w:after="0" w:line="240" w:lineRule="auto"/>
        <w:jc w:val="both"/>
        <w:rPr>
          <w:rFonts w:cstheme="minorHAnsi"/>
          <w:sz w:val="24"/>
          <w:szCs w:val="24"/>
        </w:rPr>
      </w:pPr>
    </w:p>
    <w:p w14:paraId="4F4A70AF" w14:textId="5FEC762F" w:rsidR="000C171B" w:rsidRPr="000B21B2" w:rsidRDefault="000C171B" w:rsidP="000C171B">
      <w:pPr>
        <w:spacing w:after="0" w:line="240" w:lineRule="auto"/>
        <w:jc w:val="both"/>
        <w:rPr>
          <w:rFonts w:cstheme="minorHAnsi"/>
          <w:sz w:val="24"/>
          <w:szCs w:val="24"/>
        </w:rPr>
      </w:pPr>
      <w:r>
        <w:rPr>
          <w:rFonts w:eastAsia="Times New Roman" w:cstheme="minorHAnsi"/>
          <w:b/>
          <w:color w:val="4472C4" w:themeColor="accent1"/>
          <w:sz w:val="24"/>
          <w:szCs w:val="24"/>
          <w:lang w:eastAsia="es-PA"/>
        </w:rPr>
        <w:t>(i)</w:t>
      </w:r>
      <w:r w:rsidR="006B5122">
        <w:rPr>
          <w:rFonts w:eastAsia="Times New Roman" w:cstheme="minorHAnsi"/>
          <w:b/>
          <w:color w:val="4472C4" w:themeColor="accent1"/>
          <w:sz w:val="24"/>
          <w:szCs w:val="24"/>
          <w:lang w:eastAsia="es-PA"/>
        </w:rPr>
        <w:t xml:space="preserve"> </w:t>
      </w:r>
      <w:r w:rsidRPr="00B17E6F">
        <w:rPr>
          <w:rFonts w:eastAsia="Times New Roman" w:cstheme="minorHAnsi"/>
          <w:b/>
          <w:color w:val="4472C4" w:themeColor="accent1"/>
          <w:sz w:val="24"/>
          <w:szCs w:val="24"/>
          <w:lang w:eastAsia="es-PA"/>
        </w:rPr>
        <w:t>Proporción del presupuesto nacional ejecutado financiado por impuestos internos.</w:t>
      </w:r>
      <w:r w:rsidRPr="00B17E6F">
        <w:rPr>
          <w:rFonts w:cstheme="minorHAnsi"/>
          <w:color w:val="4472C4" w:themeColor="accent1"/>
          <w:sz w:val="24"/>
          <w:szCs w:val="24"/>
        </w:rPr>
        <w:t xml:space="preserve"> </w:t>
      </w:r>
      <w:r w:rsidRPr="000B21B2">
        <w:rPr>
          <w:rFonts w:cstheme="minorHAnsi"/>
          <w:sz w:val="24"/>
          <w:szCs w:val="24"/>
        </w:rPr>
        <w:t xml:space="preserve">La proporción del presupuesto nacional que es financiado por los impuestos internos ha variado poco entres los años 2010 (27.9) y 2017 (27.7), aunque los ingresos tributarios se incrementen gradualmente.  </w:t>
      </w:r>
    </w:p>
    <w:p w14:paraId="75D1D0BF" w14:textId="77777777" w:rsidR="000C171B" w:rsidRPr="000B21B2" w:rsidRDefault="000C171B" w:rsidP="000C171B">
      <w:pPr>
        <w:spacing w:after="0" w:line="240" w:lineRule="auto"/>
        <w:jc w:val="both"/>
        <w:rPr>
          <w:rFonts w:cstheme="minorHAnsi"/>
          <w:sz w:val="24"/>
          <w:szCs w:val="24"/>
        </w:rPr>
      </w:pPr>
    </w:p>
    <w:p w14:paraId="0D42342A" w14:textId="77777777" w:rsidR="000C171B" w:rsidRPr="000B21B2" w:rsidRDefault="000C171B" w:rsidP="000C171B">
      <w:pPr>
        <w:spacing w:after="0" w:line="240" w:lineRule="auto"/>
        <w:jc w:val="both"/>
        <w:rPr>
          <w:rFonts w:cstheme="minorHAnsi"/>
          <w:sz w:val="24"/>
          <w:szCs w:val="24"/>
        </w:rPr>
      </w:pPr>
      <w:r>
        <w:rPr>
          <w:rFonts w:eastAsia="Times New Roman" w:cstheme="minorHAnsi"/>
          <w:b/>
          <w:color w:val="4472C4" w:themeColor="accent1"/>
          <w:sz w:val="24"/>
          <w:szCs w:val="24"/>
          <w:lang w:eastAsia="es-PA"/>
        </w:rPr>
        <w:t>(</w:t>
      </w:r>
      <w:proofErr w:type="spellStart"/>
      <w:r>
        <w:rPr>
          <w:rFonts w:eastAsia="Times New Roman" w:cstheme="minorHAnsi"/>
          <w:b/>
          <w:color w:val="4472C4" w:themeColor="accent1"/>
          <w:sz w:val="24"/>
          <w:szCs w:val="24"/>
          <w:lang w:eastAsia="es-PA"/>
        </w:rPr>
        <w:t>ii</w:t>
      </w:r>
      <w:proofErr w:type="spellEnd"/>
      <w:r>
        <w:rPr>
          <w:rFonts w:eastAsia="Times New Roman" w:cstheme="minorHAnsi"/>
          <w:b/>
          <w:color w:val="4472C4" w:themeColor="accent1"/>
          <w:sz w:val="24"/>
          <w:szCs w:val="24"/>
          <w:lang w:eastAsia="es-PA"/>
        </w:rPr>
        <w:t xml:space="preserve">) </w:t>
      </w:r>
      <w:r w:rsidRPr="00B17E6F">
        <w:rPr>
          <w:rFonts w:eastAsia="Times New Roman" w:cstheme="minorHAnsi"/>
          <w:b/>
          <w:color w:val="4472C4" w:themeColor="accent1"/>
          <w:sz w:val="24"/>
          <w:szCs w:val="24"/>
          <w:lang w:eastAsia="es-PA"/>
        </w:rPr>
        <w:t>Movilizar recursos financieros adicionales de múltiples fuentes para los países en desarrollo.</w:t>
      </w:r>
      <w:r w:rsidRPr="00B17E6F">
        <w:rPr>
          <w:rFonts w:cstheme="minorHAnsi"/>
          <w:color w:val="4472C4" w:themeColor="accent1"/>
          <w:sz w:val="24"/>
          <w:szCs w:val="24"/>
        </w:rPr>
        <w:t xml:space="preserve"> </w:t>
      </w:r>
      <w:r w:rsidRPr="000B21B2">
        <w:rPr>
          <w:rFonts w:cstheme="minorHAnsi"/>
          <w:sz w:val="24"/>
          <w:szCs w:val="24"/>
        </w:rPr>
        <w:t xml:space="preserve">La inversión extranjera se ha incrementado de manera sostenida en los últimos cuatro años. Entre los años 2010 (2,362.5)  y 2017 (5,319.2) la inversión extranjera anual se duplicó. Porcentualmente pasó del 21.2% al 25.8% en ese mismo periodo. Por su parte el gasto del sector público se duplicó entre los años 2010 (11,136.3) y 2017 (20,618.5). </w:t>
      </w:r>
    </w:p>
    <w:p w14:paraId="3FD7DDA4" w14:textId="77777777" w:rsidR="000C171B" w:rsidRPr="000B21B2" w:rsidRDefault="000C171B" w:rsidP="000C171B">
      <w:pPr>
        <w:spacing w:after="0" w:line="240" w:lineRule="auto"/>
        <w:jc w:val="both"/>
        <w:rPr>
          <w:rFonts w:cstheme="minorHAnsi"/>
          <w:sz w:val="24"/>
          <w:szCs w:val="24"/>
        </w:rPr>
      </w:pPr>
    </w:p>
    <w:p w14:paraId="575EA0C3" w14:textId="77777777" w:rsidR="000C171B" w:rsidRPr="000B21B2" w:rsidRDefault="000C171B" w:rsidP="000C171B">
      <w:pPr>
        <w:spacing w:after="0" w:line="240" w:lineRule="auto"/>
        <w:jc w:val="both"/>
        <w:rPr>
          <w:rFonts w:cstheme="minorHAnsi"/>
          <w:sz w:val="24"/>
          <w:szCs w:val="24"/>
        </w:rPr>
      </w:pPr>
      <w:r>
        <w:rPr>
          <w:rFonts w:cstheme="minorHAnsi"/>
          <w:b/>
          <w:bCs/>
          <w:color w:val="4472C4" w:themeColor="accent1"/>
          <w:sz w:val="24"/>
          <w:szCs w:val="24"/>
        </w:rPr>
        <w:t>(</w:t>
      </w:r>
      <w:proofErr w:type="spellStart"/>
      <w:r>
        <w:rPr>
          <w:rFonts w:cstheme="minorHAnsi"/>
          <w:b/>
          <w:bCs/>
          <w:color w:val="4472C4" w:themeColor="accent1"/>
          <w:sz w:val="24"/>
          <w:szCs w:val="24"/>
        </w:rPr>
        <w:t>iii</w:t>
      </w:r>
      <w:proofErr w:type="spellEnd"/>
      <w:r>
        <w:rPr>
          <w:rFonts w:cstheme="minorHAnsi"/>
          <w:b/>
          <w:bCs/>
          <w:color w:val="4472C4" w:themeColor="accent1"/>
          <w:sz w:val="24"/>
          <w:szCs w:val="24"/>
        </w:rPr>
        <w:t xml:space="preserve">) </w:t>
      </w:r>
      <w:r w:rsidRPr="00B17E6F">
        <w:rPr>
          <w:rFonts w:cstheme="minorHAnsi"/>
          <w:b/>
          <w:bCs/>
          <w:color w:val="4472C4" w:themeColor="accent1"/>
          <w:sz w:val="24"/>
          <w:szCs w:val="24"/>
        </w:rPr>
        <w:t>Servicio de la deuda como proporción de las exportaciones de bienes y servicios.</w:t>
      </w:r>
      <w:r w:rsidRPr="00B17E6F">
        <w:rPr>
          <w:rFonts w:cstheme="minorHAnsi"/>
          <w:color w:val="4472C4" w:themeColor="accent1"/>
          <w:sz w:val="24"/>
          <w:szCs w:val="24"/>
        </w:rPr>
        <w:t xml:space="preserve"> </w:t>
      </w:r>
      <w:r w:rsidRPr="000B21B2">
        <w:rPr>
          <w:rFonts w:cstheme="minorHAnsi"/>
          <w:sz w:val="24"/>
          <w:szCs w:val="24"/>
        </w:rPr>
        <w:t>Los servicios de la deuda como proporción de las exportaciones de bienes y servicios pasaron del 5.8 en el año 2010 al 7.9 en el año 2017. Es decir, se incrementó en 2.1.</w:t>
      </w:r>
    </w:p>
    <w:p w14:paraId="644A3DEB" w14:textId="77777777" w:rsidR="000C171B" w:rsidRPr="000B21B2" w:rsidRDefault="000C171B" w:rsidP="000C171B">
      <w:pPr>
        <w:spacing w:after="0" w:line="240" w:lineRule="auto"/>
        <w:jc w:val="both"/>
        <w:rPr>
          <w:rFonts w:cstheme="minorHAnsi"/>
          <w:sz w:val="24"/>
          <w:szCs w:val="24"/>
        </w:rPr>
      </w:pPr>
    </w:p>
    <w:p w14:paraId="0F363B7D" w14:textId="77777777" w:rsidR="000C171B" w:rsidRPr="000B21B2" w:rsidRDefault="000C171B" w:rsidP="000C171B">
      <w:pPr>
        <w:spacing w:after="0" w:line="240" w:lineRule="auto"/>
        <w:jc w:val="both"/>
        <w:rPr>
          <w:rFonts w:cstheme="minorHAnsi"/>
          <w:sz w:val="24"/>
          <w:szCs w:val="24"/>
        </w:rPr>
      </w:pPr>
      <w:r>
        <w:rPr>
          <w:rFonts w:eastAsia="Times New Roman" w:cstheme="minorHAnsi"/>
          <w:b/>
          <w:color w:val="4472C4" w:themeColor="accent1"/>
          <w:sz w:val="24"/>
          <w:szCs w:val="24"/>
          <w:lang w:eastAsia="es-PA"/>
        </w:rPr>
        <w:t>(</w:t>
      </w:r>
      <w:proofErr w:type="spellStart"/>
      <w:r>
        <w:rPr>
          <w:rFonts w:eastAsia="Times New Roman" w:cstheme="minorHAnsi"/>
          <w:b/>
          <w:color w:val="4472C4" w:themeColor="accent1"/>
          <w:sz w:val="24"/>
          <w:szCs w:val="24"/>
          <w:lang w:eastAsia="es-PA"/>
        </w:rPr>
        <w:t>iv</w:t>
      </w:r>
      <w:proofErr w:type="spellEnd"/>
      <w:r>
        <w:rPr>
          <w:rFonts w:eastAsia="Times New Roman" w:cstheme="minorHAnsi"/>
          <w:b/>
          <w:color w:val="4472C4" w:themeColor="accent1"/>
          <w:sz w:val="24"/>
          <w:szCs w:val="24"/>
          <w:lang w:eastAsia="es-PA"/>
        </w:rPr>
        <w:t xml:space="preserve">) </w:t>
      </w:r>
      <w:r w:rsidRPr="00B17E6F">
        <w:rPr>
          <w:rFonts w:eastAsia="Times New Roman" w:cstheme="minorHAnsi"/>
          <w:b/>
          <w:color w:val="4472C4" w:themeColor="accent1"/>
          <w:sz w:val="24"/>
          <w:szCs w:val="24"/>
          <w:lang w:eastAsia="es-PA"/>
        </w:rPr>
        <w:t xml:space="preserve">Volumen de las remesas enviadas.  </w:t>
      </w:r>
      <w:r w:rsidRPr="000B21B2">
        <w:rPr>
          <w:rFonts w:cstheme="minorHAnsi"/>
          <w:sz w:val="24"/>
          <w:szCs w:val="24"/>
        </w:rPr>
        <w:t xml:space="preserve">Las remesas se han incrementado a medida que el país acoge inmigrantes y los mismos se integran al mundo del trabajo. Actualmente, en 2017, las remesas representan el 1.3% del PIB. Lo que muestra el impacto de la migración en la economía del país.  </w:t>
      </w:r>
    </w:p>
    <w:p w14:paraId="2E94D918" w14:textId="77777777" w:rsidR="000C171B" w:rsidRDefault="000C171B" w:rsidP="000C171B">
      <w:pPr>
        <w:spacing w:after="0" w:line="240" w:lineRule="auto"/>
        <w:jc w:val="both"/>
        <w:rPr>
          <w:rFonts w:cstheme="minorHAnsi"/>
          <w:color w:val="FF0000"/>
          <w:sz w:val="24"/>
          <w:szCs w:val="24"/>
        </w:rPr>
      </w:pPr>
    </w:p>
    <w:p w14:paraId="1F59276A" w14:textId="77777777" w:rsidR="000C171B" w:rsidRPr="006A54CB" w:rsidRDefault="000C171B" w:rsidP="000C171B">
      <w:pPr>
        <w:spacing w:after="0" w:line="240" w:lineRule="auto"/>
        <w:jc w:val="both"/>
        <w:rPr>
          <w:rFonts w:ascii="Calibri" w:hAnsi="Calibri" w:cs="Calibri"/>
          <w:b/>
          <w:bCs/>
          <w:color w:val="4472C4" w:themeColor="accent1"/>
          <w:sz w:val="24"/>
          <w:szCs w:val="24"/>
        </w:rPr>
      </w:pPr>
      <w:r w:rsidRPr="006A54CB">
        <w:rPr>
          <w:rFonts w:ascii="Calibri" w:hAnsi="Calibri" w:cs="Calibri"/>
          <w:b/>
          <w:bCs/>
          <w:color w:val="4472C4" w:themeColor="accent1"/>
          <w:sz w:val="24"/>
          <w:szCs w:val="24"/>
        </w:rPr>
        <w:t>3.2. Mecanismos institucionales que apoyan la implementación de los ODS.</w:t>
      </w:r>
    </w:p>
    <w:p w14:paraId="3A49E21A" w14:textId="77777777" w:rsidR="000C171B" w:rsidRPr="001F1596" w:rsidRDefault="000C171B" w:rsidP="000C171B">
      <w:pPr>
        <w:spacing w:after="0" w:line="240" w:lineRule="auto"/>
        <w:jc w:val="both"/>
        <w:rPr>
          <w:rFonts w:ascii="Calibri" w:hAnsi="Calibri" w:cs="Calibri"/>
          <w:color w:val="000000" w:themeColor="text1"/>
          <w:sz w:val="24"/>
          <w:szCs w:val="24"/>
        </w:rPr>
      </w:pPr>
    </w:p>
    <w:p w14:paraId="3F73DC0F" w14:textId="77777777" w:rsidR="000C171B" w:rsidRPr="00511148" w:rsidRDefault="000C171B" w:rsidP="000C171B">
      <w:pPr>
        <w:spacing w:after="0" w:line="240" w:lineRule="auto"/>
        <w:jc w:val="both"/>
        <w:rPr>
          <w:rFonts w:ascii="Calibri" w:hAnsi="Calibri" w:cs="Calibri"/>
          <w:color w:val="000000" w:themeColor="text1"/>
          <w:sz w:val="24"/>
          <w:szCs w:val="24"/>
        </w:rPr>
      </w:pPr>
      <w:r w:rsidRPr="00511148">
        <w:rPr>
          <w:rFonts w:ascii="Calibri" w:hAnsi="Calibri" w:cs="Calibri"/>
          <w:color w:val="000000" w:themeColor="text1"/>
          <w:sz w:val="24"/>
          <w:szCs w:val="24"/>
        </w:rPr>
        <w:t>A partir de la aprobación de los Objetivos de Desarrollo Sostenible (ODS) en la Asamblea General de Naciones Unidas de septiembre de 2015, Panamá los adopta como pauta para el desarrollo de políticas públicas pro-igualdad. A través del Decreto Ejecutivo 393 se establece el compromiso de reducir las brechas y desigualdades y se adopta la Agenda 2030 como una pauta para orientar los esfuerzos hacia el desarrollo humano inclusivo y sostenible. Con ello emerge un nuevo ciclo de políticas públicas pro-igualdad. El Decreto Ejecutivo 393 es un marco normativo que establece un mecanismo de coordinación entre Gabinete Social, Concertación Nacional para el Desarrollo y Secretaria de Metas Presidenciales y además determina las pautas para asumir el compromiso fundamental de saldar las brechas de desarrollo territorial y social a fin de mejorar la calidad de vida de la población con un crecimiento económico inclusivo y sostenible.</w:t>
      </w:r>
    </w:p>
    <w:p w14:paraId="5ACDF268" w14:textId="77777777" w:rsidR="000C171B" w:rsidRPr="00511148" w:rsidRDefault="000C171B" w:rsidP="000C171B">
      <w:pPr>
        <w:spacing w:after="0" w:line="240" w:lineRule="auto"/>
        <w:jc w:val="both"/>
        <w:rPr>
          <w:rFonts w:ascii="Calibri" w:hAnsi="Calibri" w:cs="Calibri"/>
          <w:color w:val="000000" w:themeColor="text1"/>
          <w:sz w:val="24"/>
          <w:szCs w:val="24"/>
        </w:rPr>
      </w:pPr>
    </w:p>
    <w:p w14:paraId="29D95A25" w14:textId="77777777" w:rsidR="000C171B" w:rsidRPr="00511148" w:rsidRDefault="000C171B" w:rsidP="000C171B">
      <w:pPr>
        <w:spacing w:after="0" w:line="240" w:lineRule="auto"/>
        <w:jc w:val="both"/>
        <w:rPr>
          <w:rFonts w:ascii="Calibri" w:hAnsi="Calibri" w:cs="Calibri"/>
          <w:color w:val="000000" w:themeColor="text1"/>
          <w:sz w:val="24"/>
          <w:szCs w:val="24"/>
        </w:rPr>
      </w:pPr>
      <w:r w:rsidRPr="00511148">
        <w:rPr>
          <w:rFonts w:ascii="Calibri" w:hAnsi="Calibri" w:cs="Calibri"/>
          <w:color w:val="000000" w:themeColor="text1"/>
          <w:sz w:val="24"/>
          <w:szCs w:val="24"/>
        </w:rPr>
        <w:t xml:space="preserve">De allí que de conformidad con el artículo 7 del Decreto Ejecutivo No. 393 de septiembre de 2015, el Gobierno Nacional, instaló la Dirección Superior de la Comisión Interinstitucional y de </w:t>
      </w:r>
      <w:r w:rsidRPr="00511148">
        <w:rPr>
          <w:rFonts w:ascii="Calibri" w:hAnsi="Calibri" w:cs="Calibri"/>
          <w:color w:val="000000" w:themeColor="text1"/>
          <w:sz w:val="24"/>
          <w:szCs w:val="24"/>
        </w:rPr>
        <w:lastRenderedPageBreak/>
        <w:t xml:space="preserve">la Sociedad Civil, así como su Comité Técnico, con sus respectivos proyectos de reglamentación y funcionamiento. Estos esfuerzos tienen la finalidad de garantizar el alineamiento normativo, político y operativo de las prioridades nacionales con los ODS.  -Este mecanismo de gobernanza impulsa el cumplimiento de los ODS y con ello la agenda pro-igualdad con la participación de la Concertación Nacional para el Desarrollo (CND), Gabinete Social y la Secretaría de Metas. </w:t>
      </w:r>
    </w:p>
    <w:p w14:paraId="12641988" w14:textId="77777777" w:rsidR="000C171B" w:rsidRPr="00511148" w:rsidRDefault="000C171B" w:rsidP="000C171B">
      <w:pPr>
        <w:spacing w:after="0" w:line="240" w:lineRule="auto"/>
        <w:jc w:val="both"/>
        <w:rPr>
          <w:rFonts w:ascii="Calibri" w:hAnsi="Calibri" w:cs="Calibri"/>
          <w:color w:val="000000" w:themeColor="text1"/>
          <w:sz w:val="24"/>
          <w:szCs w:val="24"/>
        </w:rPr>
      </w:pPr>
    </w:p>
    <w:p w14:paraId="253432F3" w14:textId="77777777" w:rsidR="000C171B" w:rsidRPr="00511148" w:rsidRDefault="000C171B" w:rsidP="000C171B">
      <w:pPr>
        <w:spacing w:after="0" w:line="240" w:lineRule="auto"/>
        <w:jc w:val="both"/>
        <w:rPr>
          <w:rFonts w:ascii="Calibri" w:hAnsi="Calibri" w:cs="Calibri"/>
          <w:color w:val="000000" w:themeColor="text1"/>
          <w:sz w:val="24"/>
          <w:szCs w:val="24"/>
        </w:rPr>
      </w:pPr>
      <w:r w:rsidRPr="00511148">
        <w:rPr>
          <w:rFonts w:ascii="Calibri" w:hAnsi="Calibri" w:cs="Calibri"/>
          <w:color w:val="000000" w:themeColor="text1"/>
          <w:sz w:val="24"/>
          <w:szCs w:val="24"/>
        </w:rPr>
        <w:t>Para la implementación y seguimiento a los Objetivos de Desarrollo Sostenible, mediante el Decreto Ejecutivo # 393 de 2015, se creó una Dirección Superior integrada por (i) Ministro/a de Desarrollo Social, quien la preside, en su carácter de coordinador/a del Gabinete Social, (</w:t>
      </w:r>
      <w:proofErr w:type="spellStart"/>
      <w:r w:rsidRPr="00511148">
        <w:rPr>
          <w:rFonts w:ascii="Calibri" w:hAnsi="Calibri" w:cs="Calibri"/>
          <w:color w:val="000000" w:themeColor="text1"/>
          <w:sz w:val="24"/>
          <w:szCs w:val="24"/>
        </w:rPr>
        <w:t>ii</w:t>
      </w:r>
      <w:proofErr w:type="spellEnd"/>
      <w:r w:rsidRPr="00511148">
        <w:rPr>
          <w:rFonts w:ascii="Calibri" w:hAnsi="Calibri" w:cs="Calibri"/>
          <w:color w:val="000000" w:themeColor="text1"/>
          <w:sz w:val="24"/>
          <w:szCs w:val="24"/>
        </w:rPr>
        <w:t>) Secretario Ejecutivo de la Secretaría de Metas Presidenciales, (</w:t>
      </w:r>
      <w:proofErr w:type="spellStart"/>
      <w:r w:rsidRPr="00511148">
        <w:rPr>
          <w:rFonts w:ascii="Calibri" w:hAnsi="Calibri" w:cs="Calibri"/>
          <w:color w:val="000000" w:themeColor="text1"/>
          <w:sz w:val="24"/>
          <w:szCs w:val="24"/>
        </w:rPr>
        <w:t>iii</w:t>
      </w:r>
      <w:proofErr w:type="spellEnd"/>
      <w:r w:rsidRPr="00511148">
        <w:rPr>
          <w:rFonts w:ascii="Calibri" w:hAnsi="Calibri" w:cs="Calibri"/>
          <w:color w:val="000000" w:themeColor="text1"/>
          <w:sz w:val="24"/>
          <w:szCs w:val="24"/>
        </w:rPr>
        <w:t xml:space="preserve">) Presidente del Consejo de la Concertación Nacional para el Desarrollo. El funcionamiento y operación de este mecanismo requiere en el corto plazo una evaluación para determinar su efectividad. </w:t>
      </w:r>
    </w:p>
    <w:p w14:paraId="5E936520" w14:textId="77777777" w:rsidR="000C171B" w:rsidRPr="00511148" w:rsidRDefault="000C171B" w:rsidP="000C171B">
      <w:pPr>
        <w:spacing w:after="0" w:line="240" w:lineRule="auto"/>
        <w:jc w:val="both"/>
        <w:rPr>
          <w:rFonts w:ascii="Calibri" w:hAnsi="Calibri" w:cs="Calibri"/>
          <w:color w:val="000000" w:themeColor="text1"/>
          <w:sz w:val="24"/>
          <w:szCs w:val="24"/>
        </w:rPr>
      </w:pPr>
    </w:p>
    <w:p w14:paraId="579B5617" w14:textId="77777777" w:rsidR="000C171B" w:rsidRPr="00511148" w:rsidRDefault="000C171B" w:rsidP="000C171B">
      <w:pPr>
        <w:spacing w:after="0" w:line="240" w:lineRule="auto"/>
        <w:jc w:val="both"/>
        <w:rPr>
          <w:rFonts w:ascii="Calibri" w:hAnsi="Calibri" w:cs="Calibri"/>
          <w:color w:val="000000" w:themeColor="text1"/>
          <w:sz w:val="24"/>
          <w:szCs w:val="24"/>
        </w:rPr>
      </w:pPr>
      <w:r w:rsidRPr="00511148">
        <w:rPr>
          <w:rFonts w:ascii="Calibri" w:hAnsi="Calibri" w:cs="Calibri"/>
          <w:color w:val="000000" w:themeColor="text1"/>
          <w:sz w:val="24"/>
          <w:szCs w:val="24"/>
        </w:rPr>
        <w:t>La Dirección Superior tiene entre sus funciones (i) dirigir el proceso de alineamiento entre los ODS, el Plan Estratégico de Gobierno y las prioridades actualizadas de la Concertación Nacional para el Desarrollo; (</w:t>
      </w:r>
      <w:proofErr w:type="spellStart"/>
      <w:r w:rsidRPr="00511148">
        <w:rPr>
          <w:rFonts w:ascii="Calibri" w:hAnsi="Calibri" w:cs="Calibri"/>
          <w:color w:val="000000" w:themeColor="text1"/>
          <w:sz w:val="24"/>
          <w:szCs w:val="24"/>
        </w:rPr>
        <w:t>ii</w:t>
      </w:r>
      <w:proofErr w:type="spellEnd"/>
      <w:r w:rsidRPr="00511148">
        <w:rPr>
          <w:rFonts w:ascii="Calibri" w:hAnsi="Calibri" w:cs="Calibri"/>
          <w:color w:val="000000" w:themeColor="text1"/>
          <w:sz w:val="24"/>
          <w:szCs w:val="24"/>
        </w:rPr>
        <w:t>) establecer los criterios y metodología que apoyen el proceso de actualización de las prioridades de la Concertación Nacional para el Desarrollo; (</w:t>
      </w:r>
      <w:proofErr w:type="spellStart"/>
      <w:r w:rsidRPr="00511148">
        <w:rPr>
          <w:rFonts w:ascii="Calibri" w:hAnsi="Calibri" w:cs="Calibri"/>
          <w:color w:val="000000" w:themeColor="text1"/>
          <w:sz w:val="24"/>
          <w:szCs w:val="24"/>
        </w:rPr>
        <w:t>iii</w:t>
      </w:r>
      <w:proofErr w:type="spellEnd"/>
      <w:r w:rsidRPr="00511148">
        <w:rPr>
          <w:rFonts w:ascii="Calibri" w:hAnsi="Calibri" w:cs="Calibri"/>
          <w:color w:val="000000" w:themeColor="text1"/>
          <w:sz w:val="24"/>
          <w:szCs w:val="24"/>
        </w:rPr>
        <w:t>) dirigir el proceso de formulación de propuestas de políticas públicas, planes, programas y recomendaciones de acción que ayuden a que Panamá alcance progresivamente los ODS; (</w:t>
      </w:r>
      <w:proofErr w:type="spellStart"/>
      <w:r w:rsidRPr="00511148">
        <w:rPr>
          <w:rFonts w:ascii="Calibri" w:hAnsi="Calibri" w:cs="Calibri"/>
          <w:color w:val="000000" w:themeColor="text1"/>
          <w:sz w:val="24"/>
          <w:szCs w:val="24"/>
        </w:rPr>
        <w:t>iv</w:t>
      </w:r>
      <w:proofErr w:type="spellEnd"/>
      <w:r w:rsidRPr="00511148">
        <w:rPr>
          <w:rFonts w:ascii="Calibri" w:hAnsi="Calibri" w:cs="Calibri"/>
          <w:color w:val="000000" w:themeColor="text1"/>
          <w:sz w:val="24"/>
          <w:szCs w:val="24"/>
        </w:rPr>
        <w:t>) promover el establecimiento de alianzas público – privadas que articulen las políticas y acciones de diferentes sectores para la consecución de los ODS; (v) diseñar y ejecutar, conjuntamente con organismos internacionales, en especial el Sistema de Naciones Unidas, un mecanismo de seguimiento y monitoreo de los ODS, y de sus metas e indicadores, y definir una política de comunicación al respecto; (vi) promover espacios de cooperación nacional e internacional para intercambio de experiencias y conocimientos que ayuden a la consecución de los ODS. Finalmente, el Gabinete Social, como instancia de coordinación operativa y evaluación estratégica de la política social, es el mecanismo de coordinación técnico interministerial que liderará la implementación de la Agenda de Desarrollo Sostenible (GS, 2017).</w:t>
      </w:r>
    </w:p>
    <w:p w14:paraId="7D42858C" w14:textId="77777777" w:rsidR="000C171B" w:rsidRPr="00511148" w:rsidRDefault="000C171B" w:rsidP="000C171B">
      <w:pPr>
        <w:spacing w:after="0" w:line="240" w:lineRule="auto"/>
        <w:jc w:val="both"/>
        <w:rPr>
          <w:rFonts w:ascii="Calibri" w:hAnsi="Calibri" w:cs="Calibri"/>
          <w:color w:val="000000" w:themeColor="text1"/>
          <w:sz w:val="24"/>
          <w:szCs w:val="24"/>
        </w:rPr>
      </w:pPr>
    </w:p>
    <w:p w14:paraId="7C0A39DA" w14:textId="77777777" w:rsidR="000C171B" w:rsidRPr="00511148" w:rsidRDefault="000C171B" w:rsidP="000C171B">
      <w:pPr>
        <w:spacing w:after="0" w:line="240" w:lineRule="auto"/>
        <w:jc w:val="both"/>
        <w:rPr>
          <w:rFonts w:ascii="Calibri" w:hAnsi="Calibri" w:cs="Calibri"/>
          <w:color w:val="000000" w:themeColor="text1"/>
          <w:sz w:val="24"/>
          <w:szCs w:val="24"/>
        </w:rPr>
      </w:pPr>
      <w:r w:rsidRPr="00511148">
        <w:rPr>
          <w:rFonts w:ascii="Calibri" w:hAnsi="Calibri" w:cs="Calibri"/>
          <w:color w:val="000000" w:themeColor="text1"/>
          <w:sz w:val="24"/>
          <w:szCs w:val="24"/>
        </w:rPr>
        <w:t>Así mismo en el marco del cumplimiento de la Agenda de Desarrollo Sostenible, se convocó a todas las fuerzas políticas y sociales del país para que a través de la Concertación Nacional para el Desarrollo se elaborara y adoptara un Plan Estratégico Nacional con Visión de Estado (PEN2030) (PNUD 2017). En la elaboración del Plan Estratégico Nacional participaron los representantes del Consejo de la Concertación Nacional para el Desarrollo: empresarios, obreros, organizaciones no gubernamentales, iglesias, instituciones académicas, pueblos indígenas, partidos políticos, autoridades gubernamentales. El PEN 2030 impulsado por la Concertación Nacional para el Desarrollo, actualiza los parámetros que rigen al Plan Estratégico de Gobierno (PEG) y establece un marco estratégico para políticas públicas integrales tanto en lo nacional como en lo regional y local.</w:t>
      </w:r>
    </w:p>
    <w:p w14:paraId="2F5A52E9" w14:textId="77777777" w:rsidR="000C171B" w:rsidRPr="00511148" w:rsidRDefault="000C171B" w:rsidP="000C171B">
      <w:pPr>
        <w:spacing w:after="0" w:line="240" w:lineRule="auto"/>
        <w:jc w:val="both"/>
        <w:rPr>
          <w:rFonts w:ascii="Calibri" w:hAnsi="Calibri" w:cs="Calibri"/>
          <w:color w:val="000000" w:themeColor="text1"/>
          <w:sz w:val="24"/>
          <w:szCs w:val="24"/>
        </w:rPr>
      </w:pPr>
    </w:p>
    <w:p w14:paraId="372B9215" w14:textId="77777777" w:rsidR="000C171B" w:rsidRPr="00511148" w:rsidRDefault="000C171B" w:rsidP="000C171B">
      <w:pPr>
        <w:spacing w:after="0" w:line="240" w:lineRule="auto"/>
        <w:jc w:val="both"/>
        <w:rPr>
          <w:rFonts w:ascii="Calibri" w:hAnsi="Calibri" w:cs="Calibri"/>
          <w:color w:val="000000" w:themeColor="text1"/>
          <w:sz w:val="24"/>
          <w:szCs w:val="24"/>
        </w:rPr>
      </w:pPr>
      <w:r w:rsidRPr="00511148">
        <w:rPr>
          <w:rFonts w:ascii="Calibri" w:hAnsi="Calibri" w:cs="Calibri"/>
          <w:color w:val="000000" w:themeColor="text1"/>
          <w:sz w:val="24"/>
          <w:szCs w:val="24"/>
        </w:rPr>
        <w:t>El Plan Estratégico Nacional</w:t>
      </w:r>
      <w:r>
        <w:rPr>
          <w:rFonts w:ascii="Calibri" w:hAnsi="Calibri" w:cs="Calibri"/>
          <w:color w:val="000000" w:themeColor="text1"/>
          <w:sz w:val="24"/>
          <w:szCs w:val="24"/>
        </w:rPr>
        <w:t xml:space="preserve"> (PEN, 2030)</w:t>
      </w:r>
      <w:r w:rsidRPr="00511148">
        <w:rPr>
          <w:rFonts w:ascii="Calibri" w:hAnsi="Calibri" w:cs="Calibri"/>
          <w:color w:val="000000" w:themeColor="text1"/>
          <w:sz w:val="24"/>
          <w:szCs w:val="24"/>
        </w:rPr>
        <w:t xml:space="preserve">, impulsado por la Concertación Nacional para el Desarrollo, establece un marco estratégico para alcanzar una sociedad inclusiva, equitativa y sostenible teniendo en cuenta políticas públicas integrales que transversalicen los énfasis </w:t>
      </w:r>
      <w:r w:rsidRPr="00511148">
        <w:rPr>
          <w:rFonts w:ascii="Calibri" w:hAnsi="Calibri" w:cs="Calibri"/>
          <w:color w:val="000000" w:themeColor="text1"/>
          <w:sz w:val="24"/>
          <w:szCs w:val="24"/>
        </w:rPr>
        <w:lastRenderedPageBreak/>
        <w:t xml:space="preserve">emergentes en la gestión pública. Tal es el caso de la interculturalidad, la sostenibilidad ambiental y la igualdad de oportunidades. Tres líneas transversales que definen la integralidad de la política pública y su ruta hacia el desarrollo sostenible. Es decir, las políticas públicas que se definan para alcanzar las metas en el año 2030 deben garantizar las intervenciones que fomenten la igualdad de oportunidades, la interculturalidad, la sostenibilidad y la descentralización. Por lo tanto, la nueva gama de políticas públicas pro-igualdad contribuirán con el desarrollo sostenible, una necesidad urgente por atender en el país. </w:t>
      </w:r>
    </w:p>
    <w:p w14:paraId="1D8FF683" w14:textId="77777777" w:rsidR="000C171B" w:rsidRPr="00511148" w:rsidRDefault="000C171B" w:rsidP="000C171B">
      <w:pPr>
        <w:spacing w:after="0" w:line="240" w:lineRule="auto"/>
        <w:jc w:val="both"/>
        <w:rPr>
          <w:rFonts w:ascii="Calibri" w:hAnsi="Calibri" w:cs="Calibri"/>
          <w:color w:val="000000" w:themeColor="text1"/>
          <w:sz w:val="24"/>
          <w:szCs w:val="24"/>
        </w:rPr>
      </w:pPr>
    </w:p>
    <w:p w14:paraId="36F0D2FC" w14:textId="77777777" w:rsidR="000C171B" w:rsidRPr="00511148" w:rsidRDefault="000C171B" w:rsidP="000C171B">
      <w:pPr>
        <w:spacing w:after="0" w:line="240" w:lineRule="auto"/>
        <w:jc w:val="both"/>
        <w:rPr>
          <w:rFonts w:ascii="Calibri" w:hAnsi="Calibri" w:cs="Calibri"/>
          <w:color w:val="000000" w:themeColor="text1"/>
          <w:sz w:val="24"/>
          <w:szCs w:val="24"/>
        </w:rPr>
      </w:pPr>
      <w:r w:rsidRPr="00511148">
        <w:rPr>
          <w:rFonts w:ascii="Calibri" w:hAnsi="Calibri" w:cs="Calibri"/>
          <w:color w:val="000000" w:themeColor="text1"/>
          <w:sz w:val="24"/>
          <w:szCs w:val="24"/>
        </w:rPr>
        <w:t xml:space="preserve">El Plan Estratégico Nacional con Visión de Estado, fue elaborado con la participación de representantes del Consejo de la Concertación Nacional para el Desarrollo donde convergen empresarios, obreros, organizaciones no gubernamentales, iglesias, instituciones académicas, pueblos indígenas, partidos políticos, Gobierno Nacional.  </w:t>
      </w:r>
      <w:r>
        <w:rPr>
          <w:rFonts w:ascii="Calibri" w:hAnsi="Calibri" w:cs="Calibri"/>
          <w:color w:val="000000" w:themeColor="text1"/>
          <w:sz w:val="24"/>
          <w:szCs w:val="24"/>
        </w:rPr>
        <w:t xml:space="preserve">El </w:t>
      </w:r>
      <w:r w:rsidRPr="00511148">
        <w:rPr>
          <w:rFonts w:ascii="Calibri" w:hAnsi="Calibri" w:cs="Calibri"/>
          <w:color w:val="000000" w:themeColor="text1"/>
          <w:sz w:val="24"/>
          <w:szCs w:val="24"/>
        </w:rPr>
        <w:t>Plan Estratégico combina estrategias para alcanzar alto desarrollo humano; desarrollo económico, social y tecnológico en armonía con la naturaleza; recursos naturales sostenibles que satisfagan las necesidades de las generaciones presentes y futuras; justicia, inclusión, interculturalidad e igualdad de oportunidades; y redes que movilizan la solidaridad con mecanismos de verificación, indicadores y metas.</w:t>
      </w:r>
    </w:p>
    <w:p w14:paraId="4FDAEDC1" w14:textId="77777777" w:rsidR="000C171B" w:rsidRPr="00511148" w:rsidRDefault="000C171B" w:rsidP="000C171B">
      <w:pPr>
        <w:spacing w:after="0" w:line="240" w:lineRule="auto"/>
        <w:jc w:val="both"/>
        <w:rPr>
          <w:rFonts w:ascii="Calibri" w:hAnsi="Calibri" w:cs="Calibri"/>
          <w:color w:val="000000" w:themeColor="text1"/>
          <w:sz w:val="24"/>
          <w:szCs w:val="24"/>
        </w:rPr>
      </w:pPr>
    </w:p>
    <w:p w14:paraId="1CDFE7A5" w14:textId="77777777" w:rsidR="000C171B" w:rsidRPr="00511148" w:rsidRDefault="000C171B" w:rsidP="000C171B">
      <w:pPr>
        <w:spacing w:after="0" w:line="240" w:lineRule="auto"/>
        <w:jc w:val="both"/>
        <w:rPr>
          <w:rFonts w:ascii="Calibri" w:hAnsi="Calibri" w:cs="Calibri"/>
          <w:color w:val="000000" w:themeColor="text1"/>
          <w:sz w:val="24"/>
          <w:szCs w:val="24"/>
        </w:rPr>
      </w:pPr>
      <w:r w:rsidRPr="00511148">
        <w:rPr>
          <w:rFonts w:ascii="Calibri" w:hAnsi="Calibri" w:cs="Calibri"/>
          <w:color w:val="000000" w:themeColor="text1"/>
          <w:sz w:val="24"/>
          <w:szCs w:val="24"/>
        </w:rPr>
        <w:t>El PEN 2030 define los Objetivos de Desarrollo Sostenible prioritarios para acelerar el desarrollo humano sostenible en el país. De allí que los objetivos meta hacia el año 2030 en los cuales se deben desarrollar efectos sustantivos y prioritarios son: (i) Garantizar una vida sana y promover el bienestar para todos en todas las edades (ODS 3); (</w:t>
      </w:r>
      <w:proofErr w:type="spellStart"/>
      <w:r w:rsidRPr="00511148">
        <w:rPr>
          <w:rFonts w:ascii="Calibri" w:hAnsi="Calibri" w:cs="Calibri"/>
          <w:color w:val="000000" w:themeColor="text1"/>
          <w:sz w:val="24"/>
          <w:szCs w:val="24"/>
        </w:rPr>
        <w:t>ii</w:t>
      </w:r>
      <w:proofErr w:type="spellEnd"/>
      <w:r w:rsidRPr="00511148">
        <w:rPr>
          <w:rFonts w:ascii="Calibri" w:hAnsi="Calibri" w:cs="Calibri"/>
          <w:color w:val="000000" w:themeColor="text1"/>
          <w:sz w:val="24"/>
          <w:szCs w:val="24"/>
        </w:rPr>
        <w:t>) Garantizar una educación inclusiva, equitativa y de calidad y promover oportunidades de aprendizaje durante toda la vida para todos (ODS 4); (</w:t>
      </w:r>
      <w:proofErr w:type="spellStart"/>
      <w:r w:rsidRPr="00511148">
        <w:rPr>
          <w:rFonts w:ascii="Calibri" w:hAnsi="Calibri" w:cs="Calibri"/>
          <w:color w:val="000000" w:themeColor="text1"/>
          <w:sz w:val="24"/>
          <w:szCs w:val="24"/>
        </w:rPr>
        <w:t>iii</w:t>
      </w:r>
      <w:proofErr w:type="spellEnd"/>
      <w:r w:rsidRPr="00511148">
        <w:rPr>
          <w:rFonts w:ascii="Calibri" w:hAnsi="Calibri" w:cs="Calibri"/>
          <w:color w:val="000000" w:themeColor="text1"/>
          <w:sz w:val="24"/>
          <w:szCs w:val="24"/>
        </w:rPr>
        <w:t>) Promover el crecimiento económico sostenido, inclusivo y sostenible, el empleo pleno y productivo y el trabajo decente para todos (ODS 8); (</w:t>
      </w:r>
      <w:proofErr w:type="spellStart"/>
      <w:r w:rsidRPr="00511148">
        <w:rPr>
          <w:rFonts w:ascii="Calibri" w:hAnsi="Calibri" w:cs="Calibri"/>
          <w:color w:val="000000" w:themeColor="text1"/>
          <w:sz w:val="24"/>
          <w:szCs w:val="24"/>
        </w:rPr>
        <w:t>iv</w:t>
      </w:r>
      <w:proofErr w:type="spellEnd"/>
      <w:r w:rsidRPr="00511148">
        <w:rPr>
          <w:rFonts w:ascii="Calibri" w:hAnsi="Calibri" w:cs="Calibri"/>
          <w:color w:val="000000" w:themeColor="text1"/>
          <w:sz w:val="24"/>
          <w:szCs w:val="24"/>
        </w:rPr>
        <w:t>) Promover sociedades pacíficas e inclusivas para el desarrollo sostenible, facilitar el acceso a la justicia para todos y crear instituciones eficaces, responsables e inclusivas a todos los niveles (ODS 16).</w:t>
      </w:r>
    </w:p>
    <w:p w14:paraId="54C6794F" w14:textId="77777777" w:rsidR="000C171B" w:rsidRPr="00511148" w:rsidRDefault="000C171B" w:rsidP="000C171B">
      <w:pPr>
        <w:spacing w:after="0" w:line="240" w:lineRule="auto"/>
        <w:jc w:val="both"/>
        <w:rPr>
          <w:rFonts w:ascii="Calibri" w:hAnsi="Calibri" w:cs="Calibri"/>
          <w:color w:val="000000" w:themeColor="text1"/>
          <w:sz w:val="24"/>
          <w:szCs w:val="24"/>
        </w:rPr>
      </w:pPr>
    </w:p>
    <w:p w14:paraId="5D28B9C4" w14:textId="77777777" w:rsidR="000C171B" w:rsidRPr="00511148" w:rsidRDefault="000C171B" w:rsidP="000C171B">
      <w:pPr>
        <w:spacing w:after="0" w:line="240" w:lineRule="auto"/>
        <w:jc w:val="both"/>
        <w:rPr>
          <w:rFonts w:ascii="Calibri" w:hAnsi="Calibri" w:cs="Calibri"/>
          <w:color w:val="000000" w:themeColor="text1"/>
          <w:sz w:val="24"/>
          <w:szCs w:val="24"/>
        </w:rPr>
      </w:pPr>
      <w:r w:rsidRPr="00511148">
        <w:rPr>
          <w:rFonts w:ascii="Calibri" w:hAnsi="Calibri" w:cs="Calibri"/>
          <w:color w:val="000000" w:themeColor="text1"/>
          <w:sz w:val="24"/>
          <w:szCs w:val="24"/>
        </w:rPr>
        <w:t xml:space="preserve">Además, con el objetivo de agilizar el proceso de cumplimiento de los ODS, el Gabinete Social a través de la Comisión Multisectorial un proceso de alineamiento de las políticas públicas con el fin de avanzar de acuerdo con las prioridades del desarrollo del país. Entre las acciones estratégicas y relevantes que desarrolla Gabinete Social para alcanzar el alineamiento efectivo de las políticas públicas se encuentran: adaptación de los indicadores y metas ODS al contexto nacional; establecimiento de un mecanismo de monitoreo y seguimiento de los ODS; elaboración de un plan de comunicación, diseminación e información sobre los ODS que genere condiciones para una gran alianza nacional para el cumplimiento de la Agenda 2030. </w:t>
      </w:r>
    </w:p>
    <w:p w14:paraId="7E6B8DE2" w14:textId="77777777" w:rsidR="000C171B" w:rsidRPr="00511148" w:rsidRDefault="000C171B" w:rsidP="000C171B">
      <w:pPr>
        <w:spacing w:after="0" w:line="240" w:lineRule="auto"/>
        <w:jc w:val="both"/>
        <w:rPr>
          <w:rFonts w:ascii="Calibri" w:hAnsi="Calibri" w:cs="Calibri"/>
          <w:color w:val="000000" w:themeColor="text1"/>
          <w:sz w:val="24"/>
          <w:szCs w:val="24"/>
        </w:rPr>
      </w:pPr>
    </w:p>
    <w:p w14:paraId="7F2F16B3" w14:textId="77777777" w:rsidR="000C171B" w:rsidRPr="00511148" w:rsidRDefault="000C171B" w:rsidP="000C171B">
      <w:pPr>
        <w:spacing w:after="0" w:line="240" w:lineRule="auto"/>
        <w:jc w:val="both"/>
        <w:rPr>
          <w:rFonts w:ascii="Calibri" w:hAnsi="Calibri" w:cs="Calibri"/>
          <w:color w:val="000000" w:themeColor="text1"/>
          <w:sz w:val="24"/>
          <w:szCs w:val="24"/>
        </w:rPr>
      </w:pPr>
      <w:r w:rsidRPr="00511148">
        <w:rPr>
          <w:rFonts w:ascii="Calibri" w:hAnsi="Calibri" w:cs="Calibri"/>
          <w:color w:val="000000" w:themeColor="text1"/>
          <w:sz w:val="24"/>
          <w:szCs w:val="24"/>
        </w:rPr>
        <w:t xml:space="preserve">Para agilizar el cumplimiento de meta en el mediano plazo, la Secretaría Técnica del Gabinete Social a través de una serie de reuniones interinstitucionales, definió que el sistema de información y gestión para la gobernabilidad (SIGOB) sería la herramienta para la alineación de la políticas y estrategias sectoriales relacionada con los ODS. El SIGOB debe operar, también, como articulador entre los mecanismos de seguimiento, monitoreo y evaluación de los ODS con </w:t>
      </w:r>
      <w:r w:rsidRPr="00511148">
        <w:rPr>
          <w:rFonts w:ascii="Calibri" w:hAnsi="Calibri" w:cs="Calibri"/>
          <w:color w:val="000000" w:themeColor="text1"/>
          <w:sz w:val="24"/>
          <w:szCs w:val="24"/>
        </w:rPr>
        <w:lastRenderedPageBreak/>
        <w:t xml:space="preserve">los procesos de asistencia técnica y cooperación impulsados por los organismos internacionales para el desarrollo. </w:t>
      </w:r>
    </w:p>
    <w:p w14:paraId="4C86DE1E" w14:textId="77777777" w:rsidR="000C171B" w:rsidRPr="00511148" w:rsidRDefault="000C171B" w:rsidP="000C171B">
      <w:pPr>
        <w:spacing w:after="0" w:line="240" w:lineRule="auto"/>
        <w:jc w:val="both"/>
        <w:rPr>
          <w:rFonts w:ascii="Calibri" w:hAnsi="Calibri" w:cs="Calibri"/>
          <w:color w:val="000000" w:themeColor="text1"/>
          <w:sz w:val="24"/>
          <w:szCs w:val="24"/>
        </w:rPr>
      </w:pPr>
    </w:p>
    <w:p w14:paraId="6D03FFEF" w14:textId="77777777" w:rsidR="000C171B" w:rsidRPr="00511148" w:rsidRDefault="000C171B" w:rsidP="000C171B">
      <w:pPr>
        <w:spacing w:after="0" w:line="240" w:lineRule="auto"/>
        <w:jc w:val="both"/>
        <w:rPr>
          <w:rFonts w:ascii="Calibri" w:hAnsi="Calibri" w:cs="Calibri"/>
          <w:color w:val="000000" w:themeColor="text1"/>
          <w:sz w:val="24"/>
          <w:szCs w:val="24"/>
        </w:rPr>
      </w:pPr>
      <w:r w:rsidRPr="00511148">
        <w:rPr>
          <w:rFonts w:ascii="Calibri" w:hAnsi="Calibri" w:cs="Calibri"/>
          <w:color w:val="000000" w:themeColor="text1"/>
          <w:sz w:val="24"/>
          <w:szCs w:val="24"/>
        </w:rPr>
        <w:t>En segundo lugar, con la coordinación interinstitucional del Gabinete Social, se identificó la línea base de los indicadores nacionales en seguimiento a los ODS contribuirán al proceso de focalización y adecuación de los programas e intervenciones dirigidas hacia la inclusión social y productiva. Por último, en tercer lugar, Gabinete Social impulsó una serie de Mesas de Políticas Públicas sectoriales con la finalidad de adecuar y definir un marco de aceleración de los ODS.</w:t>
      </w:r>
    </w:p>
    <w:p w14:paraId="4D7E6843" w14:textId="77777777" w:rsidR="000C171B" w:rsidRPr="00511148" w:rsidRDefault="000C171B" w:rsidP="000C171B">
      <w:pPr>
        <w:spacing w:after="0" w:line="240" w:lineRule="auto"/>
        <w:jc w:val="both"/>
        <w:rPr>
          <w:rFonts w:ascii="Calibri" w:hAnsi="Calibri" w:cs="Calibri"/>
          <w:color w:val="000000" w:themeColor="text1"/>
          <w:sz w:val="24"/>
          <w:szCs w:val="24"/>
        </w:rPr>
      </w:pPr>
    </w:p>
    <w:p w14:paraId="0572B6AC" w14:textId="77777777" w:rsidR="000C171B" w:rsidRPr="00511148" w:rsidRDefault="000C171B" w:rsidP="000C171B">
      <w:pPr>
        <w:spacing w:after="0" w:line="240" w:lineRule="auto"/>
        <w:jc w:val="both"/>
        <w:rPr>
          <w:rFonts w:ascii="Calibri" w:hAnsi="Calibri" w:cs="Calibri"/>
          <w:color w:val="000000" w:themeColor="text1"/>
          <w:sz w:val="24"/>
          <w:szCs w:val="24"/>
        </w:rPr>
      </w:pPr>
      <w:r w:rsidRPr="00511148">
        <w:rPr>
          <w:rFonts w:ascii="Calibri" w:hAnsi="Calibri" w:cs="Calibri"/>
          <w:color w:val="000000" w:themeColor="text1"/>
          <w:sz w:val="24"/>
          <w:szCs w:val="24"/>
        </w:rPr>
        <w:t>Entre las herramientas identificadas, tanto por la Dirección Superior, como por el Comité Técnico, para garantizar la focalización y la articulación de las acciones encaminadas a desarrollar políticas sociales integrales se encuentran:</w:t>
      </w:r>
    </w:p>
    <w:p w14:paraId="1CD6A048" w14:textId="77777777" w:rsidR="000C171B" w:rsidRPr="00511148" w:rsidRDefault="000C171B" w:rsidP="000C171B">
      <w:pPr>
        <w:spacing w:after="0" w:line="240" w:lineRule="auto"/>
        <w:jc w:val="both"/>
        <w:rPr>
          <w:rFonts w:ascii="Calibri" w:hAnsi="Calibri" w:cs="Calibri"/>
          <w:color w:val="000000" w:themeColor="text1"/>
          <w:sz w:val="24"/>
          <w:szCs w:val="24"/>
        </w:rPr>
      </w:pPr>
    </w:p>
    <w:p w14:paraId="70CF9BAE" w14:textId="77777777" w:rsidR="000C171B" w:rsidRPr="00511148" w:rsidRDefault="000C171B" w:rsidP="000C171B">
      <w:pPr>
        <w:spacing w:after="0" w:line="240" w:lineRule="auto"/>
        <w:jc w:val="both"/>
        <w:rPr>
          <w:rFonts w:ascii="Calibri" w:hAnsi="Calibri" w:cs="Calibri"/>
          <w:color w:val="000000" w:themeColor="text1"/>
          <w:sz w:val="24"/>
          <w:szCs w:val="24"/>
        </w:rPr>
      </w:pPr>
      <w:r w:rsidRPr="00511148">
        <w:rPr>
          <w:rFonts w:ascii="Calibri" w:hAnsi="Calibri" w:cs="Calibri"/>
          <w:color w:val="000000" w:themeColor="text1"/>
          <w:sz w:val="24"/>
          <w:szCs w:val="24"/>
        </w:rPr>
        <w:t>(i) Registro Nacional de Beneficiarios (RENAB). Que facilita a través de una plataforma: (</w:t>
      </w:r>
      <w:r>
        <w:rPr>
          <w:rFonts w:ascii="Calibri" w:hAnsi="Calibri" w:cs="Calibri"/>
          <w:color w:val="000000" w:themeColor="text1"/>
          <w:sz w:val="24"/>
          <w:szCs w:val="24"/>
        </w:rPr>
        <w:t>a</w:t>
      </w:r>
      <w:r w:rsidRPr="00511148">
        <w:rPr>
          <w:rFonts w:ascii="Calibri" w:hAnsi="Calibri" w:cs="Calibri"/>
          <w:color w:val="000000" w:themeColor="text1"/>
          <w:sz w:val="24"/>
          <w:szCs w:val="24"/>
        </w:rPr>
        <w:t>) manejar el padrón de beneficiarios de los diferentes programas de transferencias monetarias; (</w:t>
      </w:r>
      <w:r>
        <w:rPr>
          <w:rFonts w:ascii="Calibri" w:hAnsi="Calibri" w:cs="Calibri"/>
          <w:color w:val="000000" w:themeColor="text1"/>
          <w:sz w:val="24"/>
          <w:szCs w:val="24"/>
        </w:rPr>
        <w:t>b</w:t>
      </w:r>
      <w:r w:rsidRPr="00511148">
        <w:rPr>
          <w:rFonts w:ascii="Calibri" w:hAnsi="Calibri" w:cs="Calibri"/>
          <w:color w:val="000000" w:themeColor="text1"/>
          <w:sz w:val="24"/>
          <w:szCs w:val="24"/>
        </w:rPr>
        <w:t>) dar seguimiento a los beneficiarios monitoreando la entrega de las transferencias y certificando las corresponsabilidades; (</w:t>
      </w:r>
      <w:r>
        <w:rPr>
          <w:rFonts w:ascii="Calibri" w:hAnsi="Calibri" w:cs="Calibri"/>
          <w:color w:val="000000" w:themeColor="text1"/>
          <w:sz w:val="24"/>
          <w:szCs w:val="24"/>
        </w:rPr>
        <w:t>c</w:t>
      </w:r>
      <w:r w:rsidRPr="00511148">
        <w:rPr>
          <w:rFonts w:ascii="Calibri" w:hAnsi="Calibri" w:cs="Calibri"/>
          <w:color w:val="000000" w:themeColor="text1"/>
          <w:sz w:val="24"/>
          <w:szCs w:val="24"/>
        </w:rPr>
        <w:t>) evaluar el progreso de los programas con el propósito de manejar de manera más eficiente los recursos y el diseño de las políticas sociales.</w:t>
      </w:r>
    </w:p>
    <w:p w14:paraId="679464E2" w14:textId="77777777" w:rsidR="000C171B" w:rsidRPr="00511148" w:rsidRDefault="000C171B" w:rsidP="000C171B">
      <w:pPr>
        <w:spacing w:after="0" w:line="240" w:lineRule="auto"/>
        <w:jc w:val="both"/>
        <w:rPr>
          <w:rFonts w:ascii="Calibri" w:hAnsi="Calibri" w:cs="Calibri"/>
          <w:color w:val="000000" w:themeColor="text1"/>
          <w:sz w:val="24"/>
          <w:szCs w:val="24"/>
        </w:rPr>
      </w:pPr>
    </w:p>
    <w:p w14:paraId="42EF29E9" w14:textId="77777777" w:rsidR="000C171B" w:rsidRPr="00511148" w:rsidRDefault="000C171B" w:rsidP="000C171B">
      <w:pPr>
        <w:spacing w:after="0" w:line="240" w:lineRule="auto"/>
        <w:jc w:val="both"/>
        <w:rPr>
          <w:rFonts w:ascii="Calibri" w:hAnsi="Calibri" w:cs="Calibri"/>
          <w:color w:val="000000" w:themeColor="text1"/>
          <w:sz w:val="24"/>
          <w:szCs w:val="24"/>
        </w:rPr>
      </w:pPr>
      <w:r w:rsidRPr="00511148">
        <w:rPr>
          <w:rFonts w:ascii="Calibri" w:hAnsi="Calibri" w:cs="Calibri"/>
          <w:color w:val="000000" w:themeColor="text1"/>
          <w:sz w:val="24"/>
          <w:szCs w:val="24"/>
        </w:rPr>
        <w:t>(</w:t>
      </w:r>
      <w:proofErr w:type="spellStart"/>
      <w:r w:rsidRPr="00511148">
        <w:rPr>
          <w:rFonts w:ascii="Calibri" w:hAnsi="Calibri" w:cs="Calibri"/>
          <w:color w:val="000000" w:themeColor="text1"/>
          <w:sz w:val="24"/>
          <w:szCs w:val="24"/>
        </w:rPr>
        <w:t>ii</w:t>
      </w:r>
      <w:proofErr w:type="spellEnd"/>
      <w:r w:rsidRPr="00511148">
        <w:rPr>
          <w:rFonts w:ascii="Calibri" w:hAnsi="Calibri" w:cs="Calibri"/>
          <w:color w:val="000000" w:themeColor="text1"/>
          <w:sz w:val="24"/>
          <w:szCs w:val="24"/>
        </w:rPr>
        <w:t xml:space="preserve">). Mapas Sociales. Que proporcionan información estadística sobre la población, los territorios y la inversión social. Los mapas sociales buscan orientar las asignaciones presupuestarias a partir del análisis de brechas institucionales, territoriales y sociales. </w:t>
      </w:r>
    </w:p>
    <w:p w14:paraId="6C27BA7D" w14:textId="77777777" w:rsidR="000C171B" w:rsidRPr="00511148" w:rsidRDefault="000C171B" w:rsidP="000C171B">
      <w:pPr>
        <w:spacing w:after="0" w:line="240" w:lineRule="auto"/>
        <w:jc w:val="both"/>
        <w:rPr>
          <w:rFonts w:ascii="Calibri" w:hAnsi="Calibri" w:cs="Calibri"/>
          <w:color w:val="000000" w:themeColor="text1"/>
          <w:sz w:val="24"/>
          <w:szCs w:val="24"/>
        </w:rPr>
      </w:pPr>
    </w:p>
    <w:p w14:paraId="4B2A4E5D" w14:textId="77777777" w:rsidR="000C171B" w:rsidRPr="00511148" w:rsidRDefault="000C171B" w:rsidP="000C171B">
      <w:pPr>
        <w:spacing w:after="0" w:line="240" w:lineRule="auto"/>
        <w:jc w:val="both"/>
        <w:rPr>
          <w:rFonts w:ascii="Calibri" w:hAnsi="Calibri" w:cs="Calibri"/>
          <w:color w:val="000000" w:themeColor="text1"/>
          <w:sz w:val="24"/>
          <w:szCs w:val="24"/>
        </w:rPr>
      </w:pPr>
      <w:r w:rsidRPr="00511148">
        <w:rPr>
          <w:rFonts w:ascii="Calibri" w:hAnsi="Calibri" w:cs="Calibri"/>
          <w:color w:val="000000" w:themeColor="text1"/>
          <w:sz w:val="24"/>
          <w:szCs w:val="24"/>
        </w:rPr>
        <w:t>(</w:t>
      </w:r>
      <w:proofErr w:type="spellStart"/>
      <w:r w:rsidRPr="00511148">
        <w:rPr>
          <w:rFonts w:ascii="Calibri" w:hAnsi="Calibri" w:cs="Calibri"/>
          <w:color w:val="000000" w:themeColor="text1"/>
          <w:sz w:val="24"/>
          <w:szCs w:val="24"/>
        </w:rPr>
        <w:t>iii</w:t>
      </w:r>
      <w:proofErr w:type="spellEnd"/>
      <w:r w:rsidRPr="00511148">
        <w:rPr>
          <w:rFonts w:ascii="Calibri" w:hAnsi="Calibri" w:cs="Calibri"/>
          <w:color w:val="000000" w:themeColor="text1"/>
          <w:sz w:val="24"/>
          <w:szCs w:val="24"/>
        </w:rPr>
        <w:t>). Medición multidimensional de los desempeños y los impactos de los programas e intervenciones. Que permite en un mismo índice multidimensional, combinar los parámetros de ingresos con otros tipos de privaciones que afectan el bienestar de las personas, las familias y los hogares, como es el caso de la educación, la salud, nivel de vida, entre otros, facilitando la medición del desempeño de las políticas e intervenciones para con ello reducir las brechas y las desigualdades entre grupos de edad, sexo, etnia y territorios. Por lo que proporciona una visión integral de la pobreza; identifica las carencias y privaciones en ámbitos como el empleo, educación, protección y seguridad social; y, facilita la reorientación de las políticas de Estado (MEF, 2014; PEG, 2015-2019).</w:t>
      </w:r>
    </w:p>
    <w:p w14:paraId="310D107D" w14:textId="77777777" w:rsidR="000C171B" w:rsidRPr="00322C4F" w:rsidRDefault="000C171B" w:rsidP="000C171B">
      <w:pPr>
        <w:spacing w:after="0" w:line="240" w:lineRule="auto"/>
        <w:jc w:val="both"/>
        <w:rPr>
          <w:rFonts w:ascii="Calibri" w:hAnsi="Calibri" w:cs="Calibri"/>
          <w:color w:val="000000" w:themeColor="text1"/>
          <w:sz w:val="24"/>
          <w:szCs w:val="24"/>
        </w:rPr>
      </w:pPr>
    </w:p>
    <w:p w14:paraId="5D3E68EB" w14:textId="77777777" w:rsidR="000C171B" w:rsidRPr="009B2D49" w:rsidRDefault="000C171B" w:rsidP="000C171B">
      <w:pPr>
        <w:spacing w:after="0" w:line="240" w:lineRule="auto"/>
        <w:jc w:val="both"/>
        <w:rPr>
          <w:rFonts w:cstheme="minorHAnsi"/>
          <w:color w:val="000000" w:themeColor="text1"/>
          <w:sz w:val="24"/>
          <w:szCs w:val="24"/>
        </w:rPr>
      </w:pPr>
    </w:p>
    <w:p w14:paraId="3E4BF396" w14:textId="77777777" w:rsidR="000C171B" w:rsidRPr="00B17E6F" w:rsidRDefault="000C171B" w:rsidP="000C171B">
      <w:pPr>
        <w:spacing w:after="0" w:line="240" w:lineRule="auto"/>
        <w:jc w:val="both"/>
        <w:rPr>
          <w:rFonts w:cstheme="minorHAnsi"/>
          <w:b/>
          <w:bCs/>
          <w:color w:val="4472C4" w:themeColor="accent1"/>
          <w:sz w:val="24"/>
          <w:szCs w:val="24"/>
        </w:rPr>
      </w:pPr>
      <w:r w:rsidRPr="00B17E6F">
        <w:rPr>
          <w:rFonts w:cstheme="minorHAnsi"/>
          <w:b/>
          <w:bCs/>
          <w:color w:val="4472C4" w:themeColor="accent1"/>
          <w:sz w:val="24"/>
          <w:szCs w:val="24"/>
        </w:rPr>
        <w:t>4. NO DEJAR A NADIE ATRÁS.</w:t>
      </w:r>
    </w:p>
    <w:p w14:paraId="02CC90C5" w14:textId="77777777" w:rsidR="000C171B" w:rsidRPr="009B2D49" w:rsidRDefault="000C171B" w:rsidP="000C171B">
      <w:pPr>
        <w:spacing w:after="0" w:line="240" w:lineRule="auto"/>
        <w:jc w:val="both"/>
        <w:rPr>
          <w:rFonts w:cstheme="minorHAnsi"/>
          <w:sz w:val="24"/>
          <w:szCs w:val="24"/>
        </w:rPr>
      </w:pPr>
    </w:p>
    <w:p w14:paraId="7CDA8FC8" w14:textId="1A3AD159" w:rsidR="000C171B" w:rsidRPr="009B2D49" w:rsidRDefault="000C171B" w:rsidP="000C171B">
      <w:pPr>
        <w:spacing w:after="0" w:line="240" w:lineRule="auto"/>
        <w:jc w:val="both"/>
        <w:rPr>
          <w:rFonts w:cstheme="minorHAnsi"/>
          <w:sz w:val="24"/>
          <w:szCs w:val="24"/>
        </w:rPr>
      </w:pPr>
      <w:r w:rsidRPr="009B2D49">
        <w:rPr>
          <w:rFonts w:cstheme="minorHAnsi"/>
          <w:color w:val="212121"/>
          <w:sz w:val="24"/>
          <w:szCs w:val="24"/>
        </w:rPr>
        <w:t>L</w:t>
      </w:r>
      <w:r w:rsidRPr="009B2D49">
        <w:rPr>
          <w:rFonts w:cstheme="minorHAnsi"/>
          <w:color w:val="212121"/>
          <w:sz w:val="24"/>
          <w:szCs w:val="24"/>
          <w:lang w:val="es-ES"/>
        </w:rPr>
        <w:t xml:space="preserve">a implementación del principio de "no dejar a nadie atrás" está centrado en </w:t>
      </w:r>
      <w:r>
        <w:rPr>
          <w:rFonts w:cstheme="minorHAnsi"/>
          <w:color w:val="212121"/>
          <w:sz w:val="24"/>
          <w:szCs w:val="24"/>
          <w:lang w:val="es-ES"/>
        </w:rPr>
        <w:t xml:space="preserve">prevenir, </w:t>
      </w:r>
      <w:r w:rsidRPr="009B2D49">
        <w:rPr>
          <w:rFonts w:cstheme="minorHAnsi"/>
          <w:color w:val="212121"/>
          <w:sz w:val="24"/>
          <w:szCs w:val="24"/>
          <w:lang w:val="es-ES"/>
        </w:rPr>
        <w:t>combatir</w:t>
      </w:r>
      <w:r>
        <w:rPr>
          <w:rFonts w:cstheme="minorHAnsi"/>
          <w:color w:val="212121"/>
          <w:sz w:val="24"/>
          <w:szCs w:val="24"/>
          <w:lang w:val="es-ES"/>
        </w:rPr>
        <w:t xml:space="preserve"> y mitigar</w:t>
      </w:r>
      <w:r w:rsidRPr="009B2D49">
        <w:rPr>
          <w:rFonts w:cstheme="minorHAnsi"/>
          <w:color w:val="212121"/>
          <w:sz w:val="24"/>
          <w:szCs w:val="24"/>
          <w:lang w:val="es-ES"/>
        </w:rPr>
        <w:t xml:space="preserve"> la discriminación, la exclusión y las desigualdades que enfrentan </w:t>
      </w:r>
      <w:r>
        <w:rPr>
          <w:rFonts w:cstheme="minorHAnsi"/>
          <w:color w:val="212121"/>
          <w:sz w:val="24"/>
          <w:szCs w:val="24"/>
          <w:lang w:val="es-ES"/>
        </w:rPr>
        <w:t xml:space="preserve">distintos grupos poblacionales </w:t>
      </w:r>
      <w:r w:rsidRPr="009B2D49">
        <w:rPr>
          <w:rFonts w:cstheme="minorHAnsi"/>
          <w:color w:val="212121"/>
          <w:sz w:val="24"/>
          <w:szCs w:val="24"/>
          <w:lang w:val="es-ES"/>
        </w:rPr>
        <w:t xml:space="preserve">abordando las causas </w:t>
      </w:r>
      <w:r>
        <w:rPr>
          <w:rFonts w:cstheme="minorHAnsi"/>
          <w:color w:val="212121"/>
          <w:sz w:val="24"/>
          <w:szCs w:val="24"/>
          <w:lang w:val="es-ES"/>
        </w:rPr>
        <w:t xml:space="preserve">estructurales y </w:t>
      </w:r>
      <w:r w:rsidRPr="009B2D49">
        <w:rPr>
          <w:rFonts w:cstheme="minorHAnsi"/>
          <w:color w:val="212121"/>
          <w:sz w:val="24"/>
          <w:szCs w:val="24"/>
          <w:lang w:val="es-ES"/>
        </w:rPr>
        <w:t>fundamentales de</w:t>
      </w:r>
      <w:r>
        <w:rPr>
          <w:rFonts w:cstheme="minorHAnsi"/>
          <w:color w:val="212121"/>
          <w:sz w:val="24"/>
          <w:szCs w:val="24"/>
          <w:lang w:val="es-ES"/>
        </w:rPr>
        <w:t xml:space="preserve"> sus vulneraciones y privaciones</w:t>
      </w:r>
      <w:r w:rsidRPr="009B2D49">
        <w:rPr>
          <w:rFonts w:cstheme="minorHAnsi"/>
          <w:color w:val="212121"/>
          <w:sz w:val="24"/>
          <w:szCs w:val="24"/>
          <w:lang w:val="es-ES"/>
        </w:rPr>
        <w:t xml:space="preserve">. De allí que los programas y políticas de desarrollo </w:t>
      </w:r>
      <w:r>
        <w:rPr>
          <w:rFonts w:cstheme="minorHAnsi"/>
          <w:color w:val="212121"/>
          <w:sz w:val="24"/>
          <w:szCs w:val="24"/>
          <w:lang w:val="es-ES"/>
        </w:rPr>
        <w:t xml:space="preserve">por equidad e igualdad, </w:t>
      </w:r>
      <w:r w:rsidRPr="009B2D49">
        <w:rPr>
          <w:rFonts w:cstheme="minorHAnsi"/>
          <w:color w:val="212121"/>
          <w:sz w:val="24"/>
          <w:szCs w:val="24"/>
          <w:lang w:val="es-ES"/>
        </w:rPr>
        <w:t>deben por lo tanto utilizar los datos des</w:t>
      </w:r>
      <w:r>
        <w:rPr>
          <w:rFonts w:cstheme="minorHAnsi"/>
          <w:color w:val="212121"/>
          <w:sz w:val="24"/>
          <w:szCs w:val="24"/>
          <w:lang w:val="es-ES"/>
        </w:rPr>
        <w:t>agregados</w:t>
      </w:r>
      <w:r w:rsidRPr="009B2D49">
        <w:rPr>
          <w:rFonts w:cstheme="minorHAnsi"/>
          <w:color w:val="212121"/>
          <w:sz w:val="24"/>
          <w:szCs w:val="24"/>
          <w:lang w:val="es-ES"/>
        </w:rPr>
        <w:t xml:space="preserve"> ​​para identificar y abordar quiénes se han quedado atrás y por qué, y priorizar los esfuerzos dirigidos a eliminar la discriminación y reducir las desigualdades.</w:t>
      </w:r>
      <w:r w:rsidRPr="009B2D49">
        <w:rPr>
          <w:rFonts w:cstheme="minorHAnsi"/>
          <w:sz w:val="24"/>
          <w:szCs w:val="24"/>
        </w:rPr>
        <w:t xml:space="preserve">  Provocadas o por la falta de inclusión en la implementación de las políticas </w:t>
      </w:r>
      <w:r w:rsidRPr="009B2D49">
        <w:rPr>
          <w:rFonts w:cstheme="minorHAnsi"/>
          <w:sz w:val="24"/>
          <w:szCs w:val="24"/>
        </w:rPr>
        <w:lastRenderedPageBreak/>
        <w:t xml:space="preserve">estatales o por la ausencia de políticas universales pero sensibles, según problema/situación en áreas, zonas y lugares con participación de la población en el diseño y adecuación de las intervenciones. </w:t>
      </w:r>
    </w:p>
    <w:p w14:paraId="67CAF107" w14:textId="77777777" w:rsidR="000C171B" w:rsidRPr="009B2D49" w:rsidRDefault="000C171B" w:rsidP="000C171B">
      <w:pPr>
        <w:pStyle w:val="HTMLPreformatted"/>
        <w:shd w:val="clear" w:color="auto" w:fill="FFFFFF"/>
        <w:jc w:val="both"/>
        <w:rPr>
          <w:rFonts w:asciiTheme="minorHAnsi" w:hAnsiTheme="minorHAnsi" w:cstheme="minorHAnsi"/>
          <w:color w:val="212121"/>
          <w:sz w:val="24"/>
          <w:szCs w:val="24"/>
          <w:lang w:val="es-PA"/>
        </w:rPr>
      </w:pPr>
    </w:p>
    <w:p w14:paraId="6F8D96BF" w14:textId="4E466BC2" w:rsidR="000C171B" w:rsidRPr="009B2D49" w:rsidRDefault="000C171B" w:rsidP="000C171B">
      <w:pPr>
        <w:spacing w:after="0" w:line="240" w:lineRule="auto"/>
        <w:jc w:val="both"/>
        <w:rPr>
          <w:rFonts w:cstheme="minorHAnsi"/>
          <w:sz w:val="24"/>
          <w:szCs w:val="24"/>
          <w:lang w:val="es-CO"/>
        </w:rPr>
      </w:pPr>
      <w:r w:rsidRPr="009B2D49">
        <w:rPr>
          <w:rFonts w:cstheme="minorHAnsi"/>
          <w:sz w:val="24"/>
          <w:szCs w:val="24"/>
          <w:lang w:val="es-CO"/>
        </w:rPr>
        <w:t xml:space="preserve">En este marco las recomendaciones internacionales de derechos humanos formuladas a Panamá por los órganos de tratados y procedimientos especiales son primordiales para identificar quienes se han quedado atrás o están en riesgo de quedarse </w:t>
      </w:r>
      <w:r>
        <w:rPr>
          <w:rFonts w:cstheme="minorHAnsi"/>
          <w:sz w:val="24"/>
          <w:szCs w:val="24"/>
          <w:lang w:val="es-CO"/>
        </w:rPr>
        <w:t xml:space="preserve">rezagados; e identificar </w:t>
      </w:r>
      <w:r w:rsidRPr="009B2D49">
        <w:rPr>
          <w:rFonts w:cstheme="minorHAnsi"/>
          <w:sz w:val="24"/>
          <w:szCs w:val="24"/>
          <w:lang w:val="es-CO"/>
        </w:rPr>
        <w:t xml:space="preserve">las oportunidades en la implementación de la </w:t>
      </w:r>
      <w:r w:rsidR="000264D3">
        <w:rPr>
          <w:rFonts w:cstheme="minorHAnsi"/>
          <w:sz w:val="24"/>
          <w:szCs w:val="24"/>
          <w:lang w:val="es-CO"/>
        </w:rPr>
        <w:t>A</w:t>
      </w:r>
      <w:r w:rsidRPr="009B2D49">
        <w:rPr>
          <w:rFonts w:cstheme="minorHAnsi"/>
          <w:sz w:val="24"/>
          <w:szCs w:val="24"/>
          <w:lang w:val="es-CO"/>
        </w:rPr>
        <w:t>genda 2030.</w:t>
      </w:r>
      <w:r w:rsidR="000264D3">
        <w:rPr>
          <w:rFonts w:cstheme="minorHAnsi"/>
          <w:sz w:val="24"/>
          <w:szCs w:val="24"/>
          <w:lang w:val="es-CO"/>
        </w:rPr>
        <w:t xml:space="preserve"> Tal es el caso de las recomendaciones derivadas, entre otros, por EPU, DUDH, CEDAW, CRPD, UNDDPI, </w:t>
      </w:r>
      <w:r w:rsidR="00C8113B" w:rsidRPr="00C8113B">
        <w:rPr>
          <w:rFonts w:cstheme="minorHAnsi"/>
          <w:sz w:val="24"/>
          <w:szCs w:val="24"/>
          <w:lang w:val="es-CO"/>
        </w:rPr>
        <w:t>CRC</w:t>
      </w:r>
      <w:r w:rsidR="00C8113B">
        <w:rPr>
          <w:rFonts w:cstheme="minorHAnsi"/>
          <w:sz w:val="24"/>
          <w:szCs w:val="24"/>
          <w:lang w:val="es-CO"/>
        </w:rPr>
        <w:t>, entre otros.</w:t>
      </w:r>
      <w:r w:rsidR="00C8113B" w:rsidRPr="00C8113B">
        <w:rPr>
          <w:rFonts w:cstheme="minorHAnsi"/>
          <w:sz w:val="24"/>
          <w:szCs w:val="24"/>
          <w:lang w:val="es-CO"/>
        </w:rPr>
        <w:t xml:space="preserve"> </w:t>
      </w:r>
      <w:r w:rsidRPr="009B2D49">
        <w:rPr>
          <w:rFonts w:cstheme="minorHAnsi"/>
          <w:sz w:val="24"/>
          <w:szCs w:val="24"/>
          <w:lang w:val="es-CO"/>
        </w:rPr>
        <w:t xml:space="preserve"> </w:t>
      </w:r>
    </w:p>
    <w:p w14:paraId="25DD0B3C" w14:textId="77777777" w:rsidR="000C171B" w:rsidRPr="009B2D49" w:rsidRDefault="000C171B" w:rsidP="000C171B">
      <w:pPr>
        <w:spacing w:after="0" w:line="240" w:lineRule="auto"/>
        <w:jc w:val="both"/>
        <w:rPr>
          <w:rFonts w:cstheme="minorHAnsi"/>
          <w:color w:val="000000" w:themeColor="text1"/>
          <w:sz w:val="24"/>
          <w:szCs w:val="24"/>
          <w:lang w:val="es-CO"/>
        </w:rPr>
      </w:pPr>
    </w:p>
    <w:p w14:paraId="2C04BB5D" w14:textId="77777777" w:rsidR="000C171B" w:rsidRPr="009B2D49" w:rsidRDefault="000C171B" w:rsidP="000C171B">
      <w:pPr>
        <w:spacing w:after="0" w:line="240" w:lineRule="auto"/>
        <w:jc w:val="both"/>
        <w:rPr>
          <w:rFonts w:cstheme="minorHAnsi"/>
          <w:color w:val="000000" w:themeColor="text1"/>
          <w:sz w:val="24"/>
          <w:szCs w:val="24"/>
        </w:rPr>
      </w:pPr>
      <w:r w:rsidRPr="009B2D49">
        <w:rPr>
          <w:rFonts w:cstheme="minorHAnsi"/>
          <w:color w:val="000000" w:themeColor="text1"/>
          <w:sz w:val="24"/>
          <w:szCs w:val="24"/>
        </w:rPr>
        <w:t xml:space="preserve">Por razones de diseño de la política pública, por segregación territorial, por características culturales y otras situaciones emergentes, en el país </w:t>
      </w:r>
      <w:r>
        <w:rPr>
          <w:rFonts w:cstheme="minorHAnsi"/>
          <w:color w:val="000000" w:themeColor="text1"/>
          <w:sz w:val="24"/>
          <w:szCs w:val="24"/>
        </w:rPr>
        <w:t>existe</w:t>
      </w:r>
      <w:r w:rsidRPr="009B2D49">
        <w:rPr>
          <w:rFonts w:cstheme="minorHAnsi"/>
          <w:color w:val="000000" w:themeColor="text1"/>
          <w:sz w:val="24"/>
          <w:szCs w:val="24"/>
        </w:rPr>
        <w:t xml:space="preserve"> un conjunto de poblaciones y grupos de personas que se están quedando atrás o pueden quedarse atrás. Según los distintos exámenes que realiza periódicamente el país se trata, según grupo etario de los niños, niñas, adolescentes y jóvenes; según etnia de los indígenas y afrodescendientes; según el género sexo son las mujeres jóvenes; según edad,  la primera infancia y las personas </w:t>
      </w:r>
      <w:r>
        <w:rPr>
          <w:rFonts w:cstheme="minorHAnsi"/>
          <w:color w:val="000000" w:themeColor="text1"/>
          <w:sz w:val="24"/>
          <w:szCs w:val="24"/>
        </w:rPr>
        <w:t xml:space="preserve">adultas </w:t>
      </w:r>
      <w:r w:rsidRPr="009B2D49">
        <w:rPr>
          <w:rFonts w:cstheme="minorHAnsi"/>
          <w:color w:val="000000" w:themeColor="text1"/>
          <w:sz w:val="24"/>
          <w:szCs w:val="24"/>
        </w:rPr>
        <w:t xml:space="preserve">mayores; según condición son los pobres, migrantes, refugiados, trabajadores sexuales; y según su orientación sexual los miembros de la comunidad LGBTIQ+. No obstante, un análisis transversal de las características y determinantes de los rezagos según distintos grupos poblacionales resulta importante en el corto plazo. </w:t>
      </w:r>
    </w:p>
    <w:p w14:paraId="4C94ABF6" w14:textId="77777777" w:rsidR="000C171B" w:rsidRPr="009B2D49" w:rsidRDefault="000C171B" w:rsidP="000C171B">
      <w:pPr>
        <w:spacing w:after="0" w:line="240" w:lineRule="auto"/>
        <w:jc w:val="both"/>
        <w:rPr>
          <w:rFonts w:cstheme="minorHAnsi"/>
          <w:color w:val="000000" w:themeColor="text1"/>
          <w:sz w:val="24"/>
          <w:szCs w:val="24"/>
        </w:rPr>
      </w:pPr>
    </w:p>
    <w:p w14:paraId="7E95D9A6" w14:textId="7174D9B4" w:rsidR="000C171B" w:rsidRPr="009B2D49" w:rsidRDefault="000C171B" w:rsidP="000C171B">
      <w:pPr>
        <w:spacing w:after="0" w:line="240" w:lineRule="auto"/>
        <w:jc w:val="both"/>
        <w:rPr>
          <w:rFonts w:cstheme="minorHAnsi"/>
          <w:sz w:val="24"/>
          <w:szCs w:val="24"/>
        </w:rPr>
      </w:pPr>
      <w:r w:rsidRPr="009B2D49">
        <w:rPr>
          <w:rFonts w:cstheme="minorHAnsi"/>
          <w:color w:val="000000" w:themeColor="text1"/>
          <w:sz w:val="24"/>
          <w:szCs w:val="24"/>
        </w:rPr>
        <w:t xml:space="preserve">En su conjunto, en el caso de estos grupos poblacionales, existen también retos de cara a la </w:t>
      </w:r>
      <w:r>
        <w:rPr>
          <w:rFonts w:cstheme="minorHAnsi"/>
          <w:color w:val="000000" w:themeColor="text1"/>
          <w:sz w:val="24"/>
          <w:szCs w:val="24"/>
        </w:rPr>
        <w:t xml:space="preserve">equidad, </w:t>
      </w:r>
      <w:r w:rsidRPr="009B2D49">
        <w:rPr>
          <w:rFonts w:cstheme="minorHAnsi"/>
          <w:color w:val="000000" w:themeColor="text1"/>
          <w:sz w:val="24"/>
          <w:szCs w:val="24"/>
        </w:rPr>
        <w:t xml:space="preserve">igualdad y no discriminación en el caso de los extranjeros, más concretamente los refugiados y solicitantes de asilo, debido principalmente a la ausencia de políticas públicas que garanticen su efectiva integración. Las mujeres “solicitantes de la condición de refugio”, como denomina Panamá a quienes han solicitado el reconocimiento de la condición de refugiado ante la Oficina Nacional para Atención a Refugiados, así como las refugiadas, son más vulnerables por su condición especial de protección, </w:t>
      </w:r>
      <w:r>
        <w:rPr>
          <w:rFonts w:cstheme="minorHAnsi"/>
          <w:color w:val="000000" w:themeColor="text1"/>
          <w:sz w:val="24"/>
          <w:szCs w:val="24"/>
        </w:rPr>
        <w:t xml:space="preserve">debido a la </w:t>
      </w:r>
      <w:r w:rsidRPr="009B2D49">
        <w:rPr>
          <w:rFonts w:cstheme="minorHAnsi"/>
          <w:color w:val="000000" w:themeColor="text1"/>
          <w:sz w:val="24"/>
          <w:szCs w:val="24"/>
        </w:rPr>
        <w:t xml:space="preserve">falta de reconocimiento de </w:t>
      </w:r>
      <w:r>
        <w:rPr>
          <w:rFonts w:cstheme="minorHAnsi"/>
          <w:color w:val="000000" w:themeColor="text1"/>
          <w:sz w:val="24"/>
          <w:szCs w:val="24"/>
        </w:rPr>
        <w:t xml:space="preserve">los </w:t>
      </w:r>
      <w:r w:rsidRPr="009B2D49">
        <w:rPr>
          <w:rFonts w:cstheme="minorHAnsi"/>
          <w:color w:val="000000" w:themeColor="text1"/>
          <w:sz w:val="24"/>
          <w:szCs w:val="24"/>
        </w:rPr>
        <w:t xml:space="preserve">documentos de identidad y de sus cualificaciones adquiridas en el extranjero, lo que </w:t>
      </w:r>
      <w:r>
        <w:rPr>
          <w:rFonts w:cstheme="minorHAnsi"/>
          <w:color w:val="000000" w:themeColor="text1"/>
          <w:sz w:val="24"/>
          <w:szCs w:val="24"/>
        </w:rPr>
        <w:t xml:space="preserve">usualmente </w:t>
      </w:r>
      <w:r w:rsidRPr="009B2D49">
        <w:rPr>
          <w:rFonts w:cstheme="minorHAnsi"/>
          <w:color w:val="000000" w:themeColor="text1"/>
          <w:sz w:val="24"/>
          <w:szCs w:val="24"/>
        </w:rPr>
        <w:t>las expone a riesgos de explotación y discriminación (</w:t>
      </w:r>
      <w:r w:rsidR="000610E8">
        <w:rPr>
          <w:rFonts w:cstheme="minorHAnsi"/>
          <w:color w:val="000000" w:themeColor="text1"/>
          <w:sz w:val="24"/>
          <w:szCs w:val="24"/>
        </w:rPr>
        <w:t>SNU</w:t>
      </w:r>
      <w:r>
        <w:rPr>
          <w:rFonts w:cstheme="minorHAnsi"/>
          <w:color w:val="000000" w:themeColor="text1"/>
          <w:sz w:val="24"/>
          <w:szCs w:val="24"/>
        </w:rPr>
        <w:t>,</w:t>
      </w:r>
      <w:r w:rsidRPr="009B2D49">
        <w:rPr>
          <w:rFonts w:cstheme="minorHAnsi"/>
          <w:color w:val="000000" w:themeColor="text1"/>
          <w:sz w:val="24"/>
          <w:szCs w:val="24"/>
        </w:rPr>
        <w:t xml:space="preserve"> 2019).</w:t>
      </w:r>
    </w:p>
    <w:p w14:paraId="55CBBAFA" w14:textId="77777777" w:rsidR="000C171B" w:rsidRPr="009B2D49" w:rsidRDefault="000C171B" w:rsidP="000C171B">
      <w:pPr>
        <w:spacing w:after="0" w:line="240" w:lineRule="auto"/>
        <w:jc w:val="both"/>
        <w:rPr>
          <w:rFonts w:cstheme="minorHAnsi"/>
          <w:sz w:val="24"/>
          <w:szCs w:val="24"/>
        </w:rPr>
      </w:pPr>
    </w:p>
    <w:p w14:paraId="03D0E476" w14:textId="77777777" w:rsidR="000C171B" w:rsidRPr="009B2D49" w:rsidRDefault="000C171B" w:rsidP="000C171B">
      <w:pPr>
        <w:spacing w:after="0" w:line="240" w:lineRule="auto"/>
        <w:jc w:val="both"/>
        <w:rPr>
          <w:rFonts w:cstheme="minorHAnsi"/>
          <w:sz w:val="24"/>
          <w:szCs w:val="24"/>
        </w:rPr>
      </w:pPr>
      <w:r w:rsidRPr="009B2D49">
        <w:rPr>
          <w:rFonts w:cstheme="minorHAnsi"/>
          <w:sz w:val="24"/>
          <w:szCs w:val="24"/>
        </w:rPr>
        <w:t xml:space="preserve">No obstante, para no dejar a nadie atrás deben realizarse acciones planificadas, articuladas, inclusivas y coordinadas tanto en los niveles nacional, regional y local como en las áreas urbanas, rurales e indígenas al mismo tiempo. Es decir, no se trata de acciones en sólo un nivel y una de las áreas. Las políticas deben abarcar a todo el territorio nacional, a todos los grupos poblacionales, incluyendo extranjeros, y las áreas que lo componen. </w:t>
      </w:r>
    </w:p>
    <w:p w14:paraId="7FD93BF5" w14:textId="77777777" w:rsidR="000C171B" w:rsidRPr="009B2D49" w:rsidRDefault="000C171B" w:rsidP="000C171B">
      <w:pPr>
        <w:spacing w:after="0" w:line="240" w:lineRule="auto"/>
        <w:jc w:val="both"/>
        <w:rPr>
          <w:rFonts w:cstheme="minorHAnsi"/>
          <w:sz w:val="24"/>
          <w:szCs w:val="24"/>
        </w:rPr>
      </w:pPr>
    </w:p>
    <w:p w14:paraId="4BDE35F1" w14:textId="77777777" w:rsidR="000C171B" w:rsidRPr="009B2D49" w:rsidRDefault="000C171B" w:rsidP="000C171B">
      <w:pPr>
        <w:spacing w:after="0" w:line="240" w:lineRule="auto"/>
        <w:jc w:val="both"/>
        <w:rPr>
          <w:rFonts w:cstheme="minorHAnsi"/>
          <w:sz w:val="24"/>
          <w:szCs w:val="24"/>
        </w:rPr>
      </w:pPr>
      <w:r w:rsidRPr="009B2D49">
        <w:rPr>
          <w:rFonts w:cstheme="minorHAnsi"/>
          <w:sz w:val="24"/>
          <w:szCs w:val="24"/>
        </w:rPr>
        <w:t xml:space="preserve">En lo nacional las políticas públicas deben, por un lado, sectorizarse y alinearse con las metas e indicadores establecidos en el Plan Estratégico Nacional (PEN 2030); por el otro, deben territorializarse según cuencas (hidrográficas, biogeográficas), unidades productivas (polos de desarrollo) y unidades político-administrativas (distritos y corregimientos). En lo regional los servicios deben universalizarse a través de una red de atención según sectores y considerando </w:t>
      </w:r>
      <w:r w:rsidRPr="009B2D49">
        <w:rPr>
          <w:rFonts w:cstheme="minorHAnsi"/>
          <w:sz w:val="24"/>
          <w:szCs w:val="24"/>
        </w:rPr>
        <w:lastRenderedPageBreak/>
        <w:t>además las brechas y desigualdades asociadas con el género, el grupo étnico, los ingresos, que coexisten en y entre los territorios. Asimismo, deben establecerse mecanismos de gobernanza regional que garanticen las sinergias entre las acciones y las intervenciones. Por último, en lo local deben desarrollarse dos acciones estratégicas, la primera, las inversiones de impacto inmediato en la calidad de vida de la población como agua, saneamiento y seguridad alimentaria. La segunda, la participación ciudadana en la gestión de las formas de desarrollo y las formas de planificación local.</w:t>
      </w:r>
    </w:p>
    <w:p w14:paraId="26C835D8" w14:textId="77777777" w:rsidR="000C171B" w:rsidRPr="009B2D49" w:rsidRDefault="000C171B" w:rsidP="000C171B">
      <w:pPr>
        <w:spacing w:after="0" w:line="240" w:lineRule="auto"/>
        <w:jc w:val="both"/>
        <w:rPr>
          <w:rFonts w:cstheme="minorHAnsi"/>
          <w:sz w:val="24"/>
          <w:szCs w:val="24"/>
        </w:rPr>
      </w:pPr>
    </w:p>
    <w:p w14:paraId="69C66A65" w14:textId="77777777" w:rsidR="000C171B" w:rsidRPr="0074426E" w:rsidRDefault="000C171B" w:rsidP="000C171B">
      <w:pPr>
        <w:spacing w:after="0" w:line="240" w:lineRule="auto"/>
        <w:jc w:val="both"/>
        <w:rPr>
          <w:rFonts w:cstheme="minorHAnsi"/>
          <w:b/>
          <w:bCs/>
          <w:color w:val="4472C4" w:themeColor="accent1"/>
          <w:sz w:val="24"/>
          <w:szCs w:val="24"/>
        </w:rPr>
      </w:pPr>
      <w:r w:rsidRPr="0074426E">
        <w:rPr>
          <w:rFonts w:cstheme="minorHAnsi"/>
          <w:b/>
          <w:bCs/>
          <w:color w:val="4472C4" w:themeColor="accent1"/>
          <w:sz w:val="24"/>
          <w:szCs w:val="24"/>
        </w:rPr>
        <w:t>4.1. Análisis de los grupos específicos que se han quedado atrás o están en riesgo de quedarse atrás.</w:t>
      </w:r>
    </w:p>
    <w:p w14:paraId="7BEC971B" w14:textId="77777777" w:rsidR="000C171B" w:rsidRPr="009B2D49" w:rsidRDefault="000C171B" w:rsidP="000C171B">
      <w:pPr>
        <w:spacing w:after="0" w:line="240" w:lineRule="auto"/>
        <w:jc w:val="both"/>
        <w:rPr>
          <w:rFonts w:cstheme="minorHAnsi"/>
          <w:sz w:val="24"/>
          <w:szCs w:val="24"/>
        </w:rPr>
      </w:pPr>
    </w:p>
    <w:p w14:paraId="3E6DCEA9" w14:textId="77777777" w:rsidR="000C171B" w:rsidRPr="0074426E" w:rsidRDefault="000C171B" w:rsidP="000C171B">
      <w:pPr>
        <w:spacing w:after="0" w:line="240" w:lineRule="auto"/>
        <w:jc w:val="both"/>
        <w:rPr>
          <w:rFonts w:cstheme="minorHAnsi"/>
          <w:b/>
          <w:bCs/>
          <w:color w:val="4472C4" w:themeColor="accent1"/>
          <w:sz w:val="24"/>
          <w:szCs w:val="24"/>
        </w:rPr>
      </w:pPr>
      <w:r w:rsidRPr="0074426E">
        <w:rPr>
          <w:rFonts w:cstheme="minorHAnsi"/>
          <w:b/>
          <w:bCs/>
          <w:color w:val="4472C4" w:themeColor="accent1"/>
          <w:sz w:val="24"/>
          <w:szCs w:val="24"/>
        </w:rPr>
        <w:t>4.1.1. Niños, niñas, adolescentes.</w:t>
      </w:r>
    </w:p>
    <w:p w14:paraId="159DF9F2" w14:textId="77777777" w:rsidR="000C171B" w:rsidRPr="009B2D49" w:rsidRDefault="000C171B" w:rsidP="000C171B">
      <w:pPr>
        <w:spacing w:after="0" w:line="240" w:lineRule="auto"/>
        <w:jc w:val="both"/>
        <w:rPr>
          <w:rFonts w:cstheme="minorHAnsi"/>
          <w:sz w:val="24"/>
          <w:szCs w:val="24"/>
        </w:rPr>
      </w:pPr>
    </w:p>
    <w:p w14:paraId="688A7681" w14:textId="3474307C" w:rsidR="000C171B" w:rsidRPr="009B2D49" w:rsidRDefault="000C171B" w:rsidP="000C171B">
      <w:pPr>
        <w:spacing w:after="0" w:line="240" w:lineRule="auto"/>
        <w:jc w:val="both"/>
        <w:rPr>
          <w:rFonts w:cstheme="minorHAnsi"/>
          <w:sz w:val="24"/>
          <w:szCs w:val="24"/>
        </w:rPr>
      </w:pPr>
      <w:r w:rsidRPr="009B2D49">
        <w:rPr>
          <w:rFonts w:cstheme="minorHAnsi"/>
          <w:sz w:val="24"/>
          <w:szCs w:val="24"/>
        </w:rPr>
        <w:t>En primer lugar, existen claras privaciones que impiden el desarrollo de niños y niñas de 0 a 6 años.  Hay insuficiente atención prenatal y servicios de estimulación temprana para garantizar el desarrollo físico, emocional y cognitivo de todos los niños y niñas (tasa de mortalidad infantil es 14 por cada 1,000 nacidos, en Bocas del Toro alcanza 24 por cada 1,000; MINSA, 2017). Se evidencian altas tasas de bajo peso y sobrepeso a nivel nacional en menores de 5 años (16% tiene baja talla para la edad y 12% tiene exceso de peso</w:t>
      </w:r>
      <w:r w:rsidR="00E07218">
        <w:rPr>
          <w:rFonts w:cstheme="minorHAnsi"/>
          <w:sz w:val="24"/>
          <w:szCs w:val="24"/>
        </w:rPr>
        <w:t xml:space="preserve"> (</w:t>
      </w:r>
      <w:r w:rsidRPr="009B2D49">
        <w:rPr>
          <w:rFonts w:cstheme="minorHAnsi"/>
          <w:sz w:val="24"/>
          <w:szCs w:val="24"/>
        </w:rPr>
        <w:t>MINSA, 2017</w:t>
      </w:r>
      <w:r w:rsidR="00E07218">
        <w:rPr>
          <w:rFonts w:cstheme="minorHAnsi"/>
          <w:sz w:val="24"/>
          <w:szCs w:val="24"/>
        </w:rPr>
        <w:t>)</w:t>
      </w:r>
      <w:r w:rsidRPr="009B2D49">
        <w:rPr>
          <w:rFonts w:cstheme="minorHAnsi"/>
          <w:sz w:val="24"/>
          <w:szCs w:val="24"/>
        </w:rPr>
        <w:t xml:space="preserve">).  Cuatro de cada diez niños y niñas entre 4 y 5 años no reciben educación preescolar (Cobertura neta en preescolar es 60%; MEDUCA, 2018).  La Primera Infancia requiere acciones integrales en diferentes etapas del ciclo de 0 a 6 años. </w:t>
      </w:r>
    </w:p>
    <w:p w14:paraId="22F1188B" w14:textId="77777777" w:rsidR="000C171B" w:rsidRPr="009B2D49" w:rsidRDefault="000C171B" w:rsidP="000C171B">
      <w:pPr>
        <w:spacing w:after="0" w:line="240" w:lineRule="auto"/>
        <w:jc w:val="both"/>
        <w:rPr>
          <w:rFonts w:cstheme="minorHAnsi"/>
          <w:sz w:val="24"/>
          <w:szCs w:val="24"/>
        </w:rPr>
      </w:pPr>
    </w:p>
    <w:p w14:paraId="164752A2" w14:textId="77777777" w:rsidR="000C171B" w:rsidRPr="009B2D49" w:rsidRDefault="000C171B" w:rsidP="000C171B">
      <w:pPr>
        <w:spacing w:after="0" w:line="240" w:lineRule="auto"/>
        <w:jc w:val="both"/>
        <w:rPr>
          <w:rFonts w:cstheme="minorHAnsi"/>
          <w:sz w:val="24"/>
          <w:szCs w:val="24"/>
        </w:rPr>
      </w:pPr>
      <w:r w:rsidRPr="009B2D49">
        <w:rPr>
          <w:rFonts w:cstheme="minorHAnsi"/>
          <w:sz w:val="24"/>
          <w:szCs w:val="24"/>
        </w:rPr>
        <w:t xml:space="preserve">En segundo lugar, los niños, niñas y adolescentes no reciben servicios adecuados de prevención y protección contra todo tipo de violencia. Las niñas son víctimas de violencia sexual y de género (68% de aumento en víctimas de violencia sexual de 2017 a 2018, 91% de las víctimas son niñas; Ministerio Público, 2018). Los adolescentes, especialmente en la periferia urbana y aquellos de grupos afrodescendientes, son discriminados a través de medidas como el toque de queda (7,551 niños detenidos por toque de queda. 79% eran hombres y 81% tenían entre 15 y 17 años. Policía de Niñez y Adolescencia, 2018). Los niños, las niñas y las mujeres lactantes y gestantes en situaciones de crisis (incluida la migración y el desplazamiento forzado) no reciben servicios de atención pertinentes ni medidas de protección (2,768 niños cruzaron la frontera con Colombia; Servicio Nacional de Migración,2019).  </w:t>
      </w:r>
    </w:p>
    <w:p w14:paraId="4939C4ED" w14:textId="77777777" w:rsidR="000C171B" w:rsidRPr="009B2D49" w:rsidRDefault="000C171B" w:rsidP="000C171B">
      <w:pPr>
        <w:spacing w:after="0" w:line="240" w:lineRule="auto"/>
        <w:jc w:val="both"/>
        <w:rPr>
          <w:rFonts w:cstheme="minorHAnsi"/>
          <w:sz w:val="24"/>
          <w:szCs w:val="24"/>
        </w:rPr>
      </w:pPr>
    </w:p>
    <w:p w14:paraId="48449B27" w14:textId="77777777" w:rsidR="000C171B" w:rsidRPr="009B2D49" w:rsidRDefault="000C171B" w:rsidP="000C171B">
      <w:pPr>
        <w:spacing w:after="0" w:line="240" w:lineRule="auto"/>
        <w:jc w:val="both"/>
        <w:rPr>
          <w:rFonts w:cstheme="minorHAnsi"/>
          <w:sz w:val="24"/>
          <w:szCs w:val="24"/>
        </w:rPr>
      </w:pPr>
      <w:r w:rsidRPr="009B2D49">
        <w:rPr>
          <w:rFonts w:cstheme="minorHAnsi"/>
          <w:sz w:val="24"/>
          <w:szCs w:val="24"/>
        </w:rPr>
        <w:t>En tercer lugar, las y los adolescentes en Panamá están en riesgo de exclusión educativa y social.  Solo la mitad de los adolescentes entre 15 y 17 años están matriculados en educación media (52% de cobertura neta en media; MEDUCA, 2018). No existen mecanismos para que las y los adolescentes participen de manera efectiva en su comunidad y tengan las habilidades necesarias para entrar al mercado laboral (119,340 jóvenes entre 15 y 24 años no están en educación, empleo o entrenamiento vocacional; MITRADEL, 2019). Y tampoco existen</w:t>
      </w:r>
      <w:r>
        <w:rPr>
          <w:rFonts w:cstheme="minorHAnsi"/>
          <w:sz w:val="24"/>
          <w:szCs w:val="24"/>
        </w:rPr>
        <w:t xml:space="preserve"> lineamientos </w:t>
      </w:r>
      <w:r w:rsidRPr="009B2D49">
        <w:rPr>
          <w:rFonts w:cstheme="minorHAnsi"/>
          <w:sz w:val="24"/>
          <w:szCs w:val="24"/>
        </w:rPr>
        <w:t xml:space="preserve">estandarizados para la </w:t>
      </w:r>
      <w:r>
        <w:rPr>
          <w:rFonts w:cstheme="minorHAnsi"/>
          <w:sz w:val="24"/>
          <w:szCs w:val="24"/>
        </w:rPr>
        <w:t xml:space="preserve">promoción de la </w:t>
      </w:r>
      <w:r w:rsidRPr="009B2D49">
        <w:rPr>
          <w:rFonts w:cstheme="minorHAnsi"/>
          <w:sz w:val="24"/>
          <w:szCs w:val="24"/>
        </w:rPr>
        <w:t xml:space="preserve">reintegración escolar para solicitantes de asilo y refugiados, lo que dificulta el acceso a la educación y, por ende, los expone al abuso y la explotación. Finalmente, de manera general, la ausencia de políticas públicas que garanticen </w:t>
      </w:r>
      <w:r w:rsidRPr="009B2D49">
        <w:rPr>
          <w:rFonts w:cstheme="minorHAnsi"/>
          <w:sz w:val="24"/>
          <w:szCs w:val="24"/>
        </w:rPr>
        <w:lastRenderedPageBreak/>
        <w:t>una efectiv</w:t>
      </w:r>
      <w:r>
        <w:rPr>
          <w:rFonts w:cstheme="minorHAnsi"/>
          <w:sz w:val="24"/>
          <w:szCs w:val="24"/>
        </w:rPr>
        <w:t>a</w:t>
      </w:r>
      <w:r w:rsidRPr="009B2D49">
        <w:rPr>
          <w:rFonts w:cstheme="minorHAnsi"/>
          <w:sz w:val="24"/>
          <w:szCs w:val="24"/>
        </w:rPr>
        <w:t xml:space="preserve"> in</w:t>
      </w:r>
      <w:r>
        <w:rPr>
          <w:rFonts w:cstheme="minorHAnsi"/>
          <w:sz w:val="24"/>
          <w:szCs w:val="24"/>
        </w:rPr>
        <w:t>clusión</w:t>
      </w:r>
      <w:r w:rsidRPr="009B2D49">
        <w:rPr>
          <w:rFonts w:cstheme="minorHAnsi"/>
          <w:sz w:val="24"/>
          <w:szCs w:val="24"/>
        </w:rPr>
        <w:t xml:space="preserve"> de refugiados y solicitantes de refugio obliga a la niñez a asumir responsabilidades de adultos, con la carga de tener </w:t>
      </w:r>
      <w:r>
        <w:rPr>
          <w:rFonts w:cstheme="minorHAnsi"/>
          <w:sz w:val="24"/>
          <w:szCs w:val="24"/>
        </w:rPr>
        <w:t xml:space="preserve">muchas veces </w:t>
      </w:r>
      <w:r w:rsidRPr="009B2D49">
        <w:rPr>
          <w:rFonts w:cstheme="minorHAnsi"/>
          <w:sz w:val="24"/>
          <w:szCs w:val="24"/>
        </w:rPr>
        <w:t>que trabajar para apoyar financieramente a sus familias.</w:t>
      </w:r>
    </w:p>
    <w:p w14:paraId="0B0105F5" w14:textId="77777777" w:rsidR="000C171B" w:rsidRPr="009B2D49" w:rsidRDefault="000C171B" w:rsidP="000C171B">
      <w:pPr>
        <w:spacing w:after="0" w:line="240" w:lineRule="auto"/>
        <w:jc w:val="both"/>
        <w:rPr>
          <w:rFonts w:cstheme="minorHAnsi"/>
          <w:sz w:val="24"/>
          <w:szCs w:val="24"/>
        </w:rPr>
      </w:pPr>
    </w:p>
    <w:p w14:paraId="414E32DD" w14:textId="00284851" w:rsidR="000C171B" w:rsidRPr="009B2D49" w:rsidRDefault="000C171B" w:rsidP="000C171B">
      <w:pPr>
        <w:spacing w:after="0" w:line="240" w:lineRule="auto"/>
        <w:jc w:val="both"/>
        <w:rPr>
          <w:rFonts w:cstheme="minorHAnsi"/>
          <w:sz w:val="24"/>
          <w:szCs w:val="24"/>
        </w:rPr>
      </w:pPr>
      <w:r w:rsidRPr="009B2D49">
        <w:rPr>
          <w:rFonts w:cstheme="minorHAnsi"/>
          <w:sz w:val="24"/>
          <w:szCs w:val="24"/>
        </w:rPr>
        <w:t xml:space="preserve">En cuarto lugar, según el índice de pobreza multidimensional para niños, niñas y adolescentes (2018), la pobreza multidimensional afecta al 33.6%  (235,849) de los niños y adolescentes. </w:t>
      </w:r>
      <w:r>
        <w:rPr>
          <w:rFonts w:cstheme="minorHAnsi"/>
          <w:sz w:val="24"/>
          <w:szCs w:val="24"/>
        </w:rPr>
        <w:t>En términos de distribución porcentual por provincia y comarca, un 25% de los NNA en pobreza multidimensional viven en la comarca Ngäbe-Buglé y 20% en la provincia de Panamá.  La privación que más contribuye a la pobreza multidimensional es el cuidado, las actividades infantiles y la recreación. Solo 1 de cada 4 NNA en pobreza multidimensional (aproximadamente 109,529) son beneficiados por la Red de Oportunidades (MIDES, 2018).</w:t>
      </w:r>
    </w:p>
    <w:p w14:paraId="70021E3A" w14:textId="77777777" w:rsidR="000C171B" w:rsidRPr="009B2D49" w:rsidRDefault="000C171B" w:rsidP="000C171B">
      <w:pPr>
        <w:spacing w:after="0" w:line="240" w:lineRule="auto"/>
        <w:jc w:val="both"/>
        <w:rPr>
          <w:rFonts w:cstheme="minorHAnsi"/>
          <w:b/>
          <w:bCs/>
          <w:sz w:val="24"/>
          <w:szCs w:val="24"/>
        </w:rPr>
      </w:pPr>
    </w:p>
    <w:p w14:paraId="1C4E7E06" w14:textId="77777777" w:rsidR="000C171B" w:rsidRPr="0074426E" w:rsidRDefault="000C171B" w:rsidP="000C171B">
      <w:pPr>
        <w:spacing w:after="0" w:line="240" w:lineRule="auto"/>
        <w:jc w:val="both"/>
        <w:rPr>
          <w:rFonts w:cstheme="minorHAnsi"/>
          <w:b/>
          <w:bCs/>
          <w:color w:val="4472C4" w:themeColor="accent1"/>
          <w:sz w:val="24"/>
          <w:szCs w:val="24"/>
        </w:rPr>
      </w:pPr>
      <w:r w:rsidRPr="0074426E">
        <w:rPr>
          <w:rFonts w:cstheme="minorHAnsi"/>
          <w:b/>
          <w:bCs/>
          <w:color w:val="4472C4" w:themeColor="accent1"/>
          <w:sz w:val="24"/>
          <w:szCs w:val="24"/>
        </w:rPr>
        <w:t xml:space="preserve">4.1.2. Mujeres. </w:t>
      </w:r>
    </w:p>
    <w:p w14:paraId="0A4575D6" w14:textId="77777777" w:rsidR="000C171B" w:rsidRPr="009B2D49" w:rsidRDefault="000C171B" w:rsidP="000C171B">
      <w:pPr>
        <w:spacing w:after="0" w:line="240" w:lineRule="auto"/>
        <w:jc w:val="both"/>
        <w:rPr>
          <w:rFonts w:cstheme="minorHAnsi"/>
          <w:color w:val="000000" w:themeColor="text1"/>
          <w:sz w:val="24"/>
          <w:szCs w:val="24"/>
        </w:rPr>
      </w:pPr>
    </w:p>
    <w:p w14:paraId="25C65B6D" w14:textId="77777777" w:rsidR="000C171B" w:rsidRPr="009B2D49" w:rsidRDefault="000C171B" w:rsidP="000C171B">
      <w:pPr>
        <w:spacing w:after="0" w:line="240" w:lineRule="auto"/>
        <w:jc w:val="both"/>
        <w:rPr>
          <w:rFonts w:cstheme="minorHAnsi"/>
          <w:color w:val="000000" w:themeColor="text1"/>
          <w:sz w:val="24"/>
          <w:szCs w:val="24"/>
        </w:rPr>
      </w:pPr>
      <w:r w:rsidRPr="009B2D49">
        <w:rPr>
          <w:rFonts w:cstheme="minorHAnsi"/>
          <w:color w:val="000000" w:themeColor="text1"/>
          <w:sz w:val="24"/>
          <w:szCs w:val="24"/>
        </w:rPr>
        <w:t>Panamá clasifica en el número 109</w:t>
      </w:r>
      <w:r>
        <w:rPr>
          <w:rFonts w:cstheme="minorHAnsi"/>
          <w:color w:val="000000" w:themeColor="text1"/>
          <w:sz w:val="24"/>
          <w:szCs w:val="24"/>
        </w:rPr>
        <w:t>/161</w:t>
      </w:r>
      <w:r w:rsidRPr="009B2D49">
        <w:rPr>
          <w:rFonts w:cstheme="minorHAnsi"/>
          <w:color w:val="000000" w:themeColor="text1"/>
          <w:sz w:val="24"/>
          <w:szCs w:val="24"/>
        </w:rPr>
        <w:t xml:space="preserve"> en el índice de desigualdad de género, con un valor de 0.461. Este índice mide la mortalidad materna, la natalidad entre adolescentes, la representación política de las mujeres a nivel nacional, la educación secundaria por sexo, así como la participación de las mujeres en la fuerza de trabajo formal (UNFPA</w:t>
      </w:r>
      <w:r>
        <w:rPr>
          <w:rFonts w:cstheme="minorHAnsi"/>
          <w:color w:val="000000" w:themeColor="text1"/>
          <w:sz w:val="24"/>
          <w:szCs w:val="24"/>
        </w:rPr>
        <w:t>,</w:t>
      </w:r>
      <w:r w:rsidRPr="009B2D49">
        <w:rPr>
          <w:rFonts w:cstheme="minorHAnsi"/>
          <w:color w:val="000000" w:themeColor="text1"/>
          <w:sz w:val="24"/>
          <w:szCs w:val="24"/>
        </w:rPr>
        <w:t xml:space="preserve"> 2019).</w:t>
      </w:r>
    </w:p>
    <w:p w14:paraId="45AE1F6B" w14:textId="77777777" w:rsidR="000C171B" w:rsidRPr="009B2D49" w:rsidRDefault="000C171B" w:rsidP="000C171B">
      <w:pPr>
        <w:spacing w:after="0" w:line="240" w:lineRule="auto"/>
        <w:jc w:val="both"/>
        <w:rPr>
          <w:rFonts w:cstheme="minorHAnsi"/>
          <w:color w:val="000000" w:themeColor="text1"/>
          <w:sz w:val="24"/>
          <w:szCs w:val="24"/>
        </w:rPr>
      </w:pPr>
    </w:p>
    <w:p w14:paraId="43F815E6" w14:textId="77777777" w:rsidR="000C171B" w:rsidRPr="009B2D49" w:rsidRDefault="000C171B" w:rsidP="000C171B">
      <w:pPr>
        <w:spacing w:after="0" w:line="240" w:lineRule="auto"/>
        <w:jc w:val="both"/>
        <w:rPr>
          <w:rFonts w:cstheme="minorHAnsi"/>
          <w:color w:val="000000" w:themeColor="text1"/>
          <w:sz w:val="24"/>
          <w:szCs w:val="24"/>
        </w:rPr>
      </w:pPr>
      <w:r w:rsidRPr="009B2D49">
        <w:rPr>
          <w:rFonts w:cstheme="minorHAnsi"/>
          <w:color w:val="000000" w:themeColor="text1"/>
          <w:sz w:val="24"/>
          <w:szCs w:val="24"/>
        </w:rPr>
        <w:t>La discriminación y exclusión de las mujeres y niñas afecta particularmente a mujeres del ámbito rural y mujeres indígenas y afrodescendientes en distintas áreas. Existe discriminación por estatus migratorio que conlleva desigualdades importantes y que no están siendo atendidas por políticas públicas en Panamá. Las mujeres solicitantes de asilo y refugiadas se encuentran aún en una condición más vulnerable</w:t>
      </w:r>
      <w:r>
        <w:rPr>
          <w:rFonts w:cstheme="minorHAnsi"/>
          <w:color w:val="000000" w:themeColor="text1"/>
          <w:sz w:val="24"/>
          <w:szCs w:val="24"/>
        </w:rPr>
        <w:t xml:space="preserve"> debido al desconocimiento de sus necesidades</w:t>
      </w:r>
      <w:r w:rsidRPr="009B2D49">
        <w:rPr>
          <w:rFonts w:cstheme="minorHAnsi"/>
          <w:color w:val="000000" w:themeColor="text1"/>
          <w:sz w:val="24"/>
          <w:szCs w:val="24"/>
        </w:rPr>
        <w:t xml:space="preserve"> de protección</w:t>
      </w:r>
      <w:r>
        <w:rPr>
          <w:rFonts w:cstheme="minorHAnsi"/>
          <w:color w:val="000000" w:themeColor="text1"/>
          <w:sz w:val="24"/>
          <w:szCs w:val="24"/>
        </w:rPr>
        <w:t xml:space="preserve"> y los retos que encuentran en su proceso de integración</w:t>
      </w:r>
      <w:r w:rsidRPr="009B2D49">
        <w:rPr>
          <w:rFonts w:cstheme="minorHAnsi"/>
          <w:color w:val="000000" w:themeColor="text1"/>
          <w:sz w:val="24"/>
          <w:szCs w:val="24"/>
        </w:rPr>
        <w:t xml:space="preserve">, lo cual </w:t>
      </w:r>
      <w:r>
        <w:rPr>
          <w:rFonts w:cstheme="minorHAnsi"/>
          <w:color w:val="000000" w:themeColor="text1"/>
          <w:sz w:val="24"/>
          <w:szCs w:val="24"/>
        </w:rPr>
        <w:t>limita su efectiva inclusión en las comunidades y la sociedad en general</w:t>
      </w:r>
      <w:r w:rsidRPr="009B2D49">
        <w:rPr>
          <w:rFonts w:cstheme="minorHAnsi"/>
          <w:color w:val="000000" w:themeColor="text1"/>
          <w:sz w:val="24"/>
          <w:szCs w:val="24"/>
        </w:rPr>
        <w:t xml:space="preserve">. </w:t>
      </w:r>
    </w:p>
    <w:p w14:paraId="1F6D0414" w14:textId="77777777" w:rsidR="000C171B" w:rsidRPr="009B2D49" w:rsidRDefault="000C171B" w:rsidP="000C171B">
      <w:pPr>
        <w:spacing w:after="0" w:line="240" w:lineRule="auto"/>
        <w:jc w:val="both"/>
        <w:rPr>
          <w:rFonts w:cstheme="minorHAnsi"/>
          <w:color w:val="000000" w:themeColor="text1"/>
          <w:sz w:val="24"/>
          <w:szCs w:val="24"/>
        </w:rPr>
      </w:pPr>
    </w:p>
    <w:p w14:paraId="34423FD8" w14:textId="1C8330C3" w:rsidR="000C171B" w:rsidRPr="009B2D49" w:rsidRDefault="000C171B" w:rsidP="000C171B">
      <w:pPr>
        <w:spacing w:after="0" w:line="240" w:lineRule="auto"/>
        <w:jc w:val="both"/>
        <w:rPr>
          <w:rFonts w:cstheme="minorHAnsi"/>
          <w:color w:val="000000" w:themeColor="text1"/>
          <w:sz w:val="24"/>
          <w:szCs w:val="24"/>
        </w:rPr>
      </w:pPr>
      <w:r w:rsidRPr="009B2D49">
        <w:rPr>
          <w:rFonts w:cstheme="minorHAnsi"/>
          <w:color w:val="000000" w:themeColor="text1"/>
          <w:sz w:val="24"/>
          <w:szCs w:val="24"/>
        </w:rPr>
        <w:t>La mortalidad materna muestra los resultados del proceso de discriminación y exclusión. La mortalidad materna mostró una razón de 35.4 (2017) por cien mil nacimientos vivos lo que representa una mejoría con respecto al período 2012-2016(PEG, 2019-2024).  No obstante, en el área rural, la mortalidad materna tiende a ser superior al promedio nacional: 45.9 por cien mil nacimientos vivos (MINSA</w:t>
      </w:r>
      <w:r>
        <w:rPr>
          <w:rFonts w:cstheme="minorHAnsi"/>
          <w:color w:val="000000" w:themeColor="text1"/>
          <w:sz w:val="24"/>
          <w:szCs w:val="24"/>
        </w:rPr>
        <w:t>,</w:t>
      </w:r>
      <w:r w:rsidRPr="009B2D49">
        <w:rPr>
          <w:rFonts w:cstheme="minorHAnsi"/>
          <w:color w:val="000000" w:themeColor="text1"/>
          <w:sz w:val="24"/>
          <w:szCs w:val="24"/>
        </w:rPr>
        <w:t xml:space="preserve"> 2018). Las Comarcas Emberá-Wounaan (392.2), Guna Yala (339.6) y Ngäbe-Buglé (83.6) y la provincia de Darién (95.4) tienen las mayores tasas de mortalidad materna del país. Entre las principales causas de estas brechas se encuentra la desigual distribución territorial de instalaciones y personal de salud (UNICEF, 2019). </w:t>
      </w:r>
    </w:p>
    <w:p w14:paraId="6C980D5E" w14:textId="77777777" w:rsidR="000C171B" w:rsidRPr="009B2D49" w:rsidRDefault="000C171B" w:rsidP="000C171B">
      <w:pPr>
        <w:spacing w:after="0" w:line="240" w:lineRule="auto"/>
        <w:jc w:val="both"/>
        <w:rPr>
          <w:rFonts w:cstheme="minorHAnsi"/>
          <w:color w:val="000000" w:themeColor="text1"/>
          <w:sz w:val="24"/>
          <w:szCs w:val="24"/>
        </w:rPr>
      </w:pPr>
    </w:p>
    <w:p w14:paraId="2045CF6E" w14:textId="2DEB3A5C" w:rsidR="000C171B" w:rsidRPr="009B2D49" w:rsidRDefault="000C171B" w:rsidP="000C171B">
      <w:pPr>
        <w:spacing w:after="0" w:line="240" w:lineRule="auto"/>
        <w:jc w:val="both"/>
        <w:rPr>
          <w:rFonts w:cstheme="minorHAnsi"/>
          <w:color w:val="000000" w:themeColor="text1"/>
          <w:sz w:val="24"/>
          <w:szCs w:val="24"/>
        </w:rPr>
      </w:pPr>
      <w:r w:rsidRPr="009B2D49">
        <w:rPr>
          <w:rFonts w:cstheme="minorHAnsi"/>
          <w:color w:val="000000" w:themeColor="text1"/>
          <w:sz w:val="24"/>
          <w:szCs w:val="24"/>
        </w:rPr>
        <w:t>En el país persisten también prácticas culturales y sociales que legitiman la violencia. Estas prácticas están muy extendidas y arraigadas, y se manifiestan en actitudes y patrones de conducta que requieren buscar soluciones en el corto, medio y largo plazo (UNICEF</w:t>
      </w:r>
      <w:r>
        <w:rPr>
          <w:rFonts w:cstheme="minorHAnsi"/>
          <w:color w:val="000000" w:themeColor="text1"/>
          <w:sz w:val="24"/>
          <w:szCs w:val="24"/>
        </w:rPr>
        <w:t>,</w:t>
      </w:r>
      <w:r w:rsidRPr="009B2D49">
        <w:rPr>
          <w:rFonts w:cstheme="minorHAnsi"/>
          <w:color w:val="000000" w:themeColor="text1"/>
          <w:sz w:val="24"/>
          <w:szCs w:val="24"/>
        </w:rPr>
        <w:t xml:space="preserve"> 2019). Según el Centro de Estadísticas del Ministerio Público, entre 2015 y 2017, se registraron 16,025 casos de violencia doméstica: violaciones (42%), acoso sexual a personas entre 14 y 18 años de edad (25%), pornografía infantil (14.0%), entre otros (</w:t>
      </w:r>
      <w:r w:rsidR="000610E8">
        <w:rPr>
          <w:rFonts w:cstheme="minorHAnsi"/>
          <w:color w:val="000000" w:themeColor="text1"/>
          <w:sz w:val="24"/>
          <w:szCs w:val="24"/>
        </w:rPr>
        <w:t>SNU</w:t>
      </w:r>
      <w:r>
        <w:rPr>
          <w:rFonts w:cstheme="minorHAnsi"/>
          <w:color w:val="000000" w:themeColor="text1"/>
          <w:sz w:val="24"/>
          <w:szCs w:val="24"/>
        </w:rPr>
        <w:t>,</w:t>
      </w:r>
      <w:r w:rsidRPr="009B2D49">
        <w:rPr>
          <w:rFonts w:cstheme="minorHAnsi"/>
          <w:color w:val="000000" w:themeColor="text1"/>
          <w:sz w:val="24"/>
          <w:szCs w:val="24"/>
        </w:rPr>
        <w:t xml:space="preserve"> 2019).  Sin embargo, la violencia de género tiene otras aristas. Según la Encuesta Nacional de Salud Sexual Reproductiva (ENASSER, </w:t>
      </w:r>
      <w:r w:rsidRPr="009B2D49">
        <w:rPr>
          <w:rFonts w:cstheme="minorHAnsi"/>
          <w:color w:val="000000" w:themeColor="text1"/>
          <w:sz w:val="24"/>
          <w:szCs w:val="24"/>
        </w:rPr>
        <w:lastRenderedPageBreak/>
        <w:t>2014-2015), el 34% de las mujeres han experimentado violencia conyugal (física, sexual o emocional); el 27.8% experimentó violencia emocional; 15.7% violencia física; 16.4% violencia física o sexual; el 6% violencia sexual</w:t>
      </w:r>
      <w:r>
        <w:rPr>
          <w:rFonts w:cstheme="minorHAnsi"/>
          <w:color w:val="000000" w:themeColor="text1"/>
          <w:sz w:val="24"/>
          <w:szCs w:val="24"/>
        </w:rPr>
        <w:t xml:space="preserve"> (</w:t>
      </w:r>
      <w:r w:rsidR="000610E8">
        <w:rPr>
          <w:rFonts w:cstheme="minorHAnsi"/>
          <w:color w:val="000000" w:themeColor="text1"/>
          <w:sz w:val="24"/>
          <w:szCs w:val="24"/>
        </w:rPr>
        <w:t>SNU</w:t>
      </w:r>
      <w:r>
        <w:rPr>
          <w:rFonts w:cstheme="minorHAnsi"/>
          <w:color w:val="000000" w:themeColor="text1"/>
          <w:sz w:val="24"/>
          <w:szCs w:val="24"/>
        </w:rPr>
        <w:t>,</w:t>
      </w:r>
      <w:r w:rsidRPr="009B2D49">
        <w:rPr>
          <w:rFonts w:cstheme="minorHAnsi"/>
          <w:color w:val="000000" w:themeColor="text1"/>
          <w:sz w:val="24"/>
          <w:szCs w:val="24"/>
        </w:rPr>
        <w:t xml:space="preserve"> 2019).  No obstante, muchas de estas formas de violencia están invisibilizadas por lo que hay carencias tanto en la producción sistemática de datos, como en la implementación de acciones integrales. Pero, aun así, no hay un análisis, por un lado, para comprender mejor las causas y efectos de la violencia (UNICEF, 2019); por el otro, las contradicciones entre algunas legislaciones recientes y los estándares internacionales para la atención a las víctimas de violencia de género (</w:t>
      </w:r>
      <w:r w:rsidR="000610E8">
        <w:rPr>
          <w:rFonts w:cstheme="minorHAnsi"/>
          <w:color w:val="000000" w:themeColor="text1"/>
          <w:sz w:val="24"/>
          <w:szCs w:val="24"/>
        </w:rPr>
        <w:t>SNU</w:t>
      </w:r>
      <w:r>
        <w:rPr>
          <w:rFonts w:cstheme="minorHAnsi"/>
          <w:color w:val="000000" w:themeColor="text1"/>
          <w:sz w:val="24"/>
          <w:szCs w:val="24"/>
        </w:rPr>
        <w:t>,</w:t>
      </w:r>
      <w:r w:rsidRPr="009B2D49">
        <w:rPr>
          <w:rFonts w:cstheme="minorHAnsi"/>
          <w:color w:val="000000" w:themeColor="text1"/>
          <w:sz w:val="24"/>
          <w:szCs w:val="24"/>
        </w:rPr>
        <w:t xml:space="preserve"> 2019). La desconfianza en la justicia para denunciar, entre otros, delitos sexuales, es abonada por casos, hechos públicos, en los que agresores reincidentes o con varias denuncias son puestos en libertad (</w:t>
      </w:r>
      <w:r w:rsidR="000610E8">
        <w:rPr>
          <w:rFonts w:cstheme="minorHAnsi"/>
          <w:color w:val="000000" w:themeColor="text1"/>
          <w:sz w:val="24"/>
          <w:szCs w:val="24"/>
        </w:rPr>
        <w:t>SNU</w:t>
      </w:r>
      <w:r>
        <w:rPr>
          <w:rFonts w:cstheme="minorHAnsi"/>
          <w:color w:val="000000" w:themeColor="text1"/>
          <w:sz w:val="24"/>
          <w:szCs w:val="24"/>
        </w:rPr>
        <w:t>,</w:t>
      </w:r>
      <w:r w:rsidRPr="009B2D49">
        <w:rPr>
          <w:rFonts w:cstheme="minorHAnsi"/>
          <w:color w:val="000000" w:themeColor="text1"/>
          <w:sz w:val="24"/>
          <w:szCs w:val="24"/>
        </w:rPr>
        <w:t xml:space="preserve"> 2019). </w:t>
      </w:r>
    </w:p>
    <w:p w14:paraId="3133613D" w14:textId="77777777" w:rsidR="000C171B" w:rsidRPr="009B2D49" w:rsidRDefault="000C171B" w:rsidP="000C171B">
      <w:pPr>
        <w:spacing w:after="0" w:line="240" w:lineRule="auto"/>
        <w:jc w:val="both"/>
        <w:rPr>
          <w:rFonts w:cstheme="minorHAnsi"/>
          <w:color w:val="000000" w:themeColor="text1"/>
          <w:sz w:val="24"/>
          <w:szCs w:val="24"/>
        </w:rPr>
      </w:pPr>
    </w:p>
    <w:p w14:paraId="1B26366E" w14:textId="342AB4D0" w:rsidR="000C171B" w:rsidRPr="009B2D49" w:rsidRDefault="000C171B" w:rsidP="000C171B">
      <w:pPr>
        <w:spacing w:after="0" w:line="240" w:lineRule="auto"/>
        <w:jc w:val="both"/>
        <w:rPr>
          <w:rFonts w:cstheme="minorHAnsi"/>
          <w:color w:val="000000" w:themeColor="text1"/>
          <w:sz w:val="24"/>
          <w:szCs w:val="24"/>
        </w:rPr>
      </w:pPr>
      <w:r w:rsidRPr="009B2D49">
        <w:rPr>
          <w:rFonts w:cstheme="minorHAnsi"/>
          <w:color w:val="000000" w:themeColor="text1"/>
          <w:sz w:val="24"/>
          <w:szCs w:val="24"/>
        </w:rPr>
        <w:t xml:space="preserve">En el caso de la paridad de género, según el </w:t>
      </w:r>
      <w:proofErr w:type="spellStart"/>
      <w:r w:rsidRPr="009B2D49">
        <w:rPr>
          <w:rFonts w:cstheme="minorHAnsi"/>
          <w:color w:val="000000" w:themeColor="text1"/>
          <w:sz w:val="24"/>
          <w:szCs w:val="24"/>
        </w:rPr>
        <w:t>World</w:t>
      </w:r>
      <w:proofErr w:type="spellEnd"/>
      <w:r w:rsidRPr="009B2D49">
        <w:rPr>
          <w:rFonts w:cstheme="minorHAnsi"/>
          <w:color w:val="000000" w:themeColor="text1"/>
          <w:sz w:val="24"/>
          <w:szCs w:val="24"/>
        </w:rPr>
        <w:t xml:space="preserve"> </w:t>
      </w:r>
      <w:proofErr w:type="spellStart"/>
      <w:r w:rsidRPr="009B2D49">
        <w:rPr>
          <w:rFonts w:cstheme="minorHAnsi"/>
          <w:color w:val="000000" w:themeColor="text1"/>
          <w:sz w:val="24"/>
          <w:szCs w:val="24"/>
        </w:rPr>
        <w:t>Economic</w:t>
      </w:r>
      <w:proofErr w:type="spellEnd"/>
      <w:r w:rsidRPr="009B2D49">
        <w:rPr>
          <w:rFonts w:cstheme="minorHAnsi"/>
          <w:color w:val="000000" w:themeColor="text1"/>
          <w:sz w:val="24"/>
          <w:szCs w:val="24"/>
        </w:rPr>
        <w:t xml:space="preserve"> </w:t>
      </w:r>
      <w:proofErr w:type="spellStart"/>
      <w:r w:rsidRPr="009B2D49">
        <w:rPr>
          <w:rFonts w:cstheme="minorHAnsi"/>
          <w:color w:val="000000" w:themeColor="text1"/>
          <w:sz w:val="24"/>
          <w:szCs w:val="24"/>
        </w:rPr>
        <w:t>Forum</w:t>
      </w:r>
      <w:proofErr w:type="spellEnd"/>
      <w:r w:rsidRPr="009B2D49">
        <w:rPr>
          <w:rFonts w:cstheme="minorHAnsi"/>
          <w:color w:val="000000" w:themeColor="text1"/>
          <w:sz w:val="24"/>
          <w:szCs w:val="24"/>
        </w:rPr>
        <w:t xml:space="preserve"> (2017), en Panamá, el 31% de las empresas contaba con un 45% de mujeres en cargos directivos, sobre todo, por el grado de cualificación y profesionalización de la fuerza de trabajo femenina (mayor que la masculina). Sin embargo, la representación de mujeres en Juntas Directivas, tanto en el sector público (18%), como en el sector privado (14%) aún es baja. Es decir, las mujeres gerencian en el nivel intermedio, pero están prácticamente ausentes en los niveles superiores. Con la Ley 56 de 2017 sobre la participación de las mujeres en las juntas directivas estatales, se registran avances, pero los mismos no son suficientes (</w:t>
      </w:r>
      <w:r w:rsidR="000610E8">
        <w:rPr>
          <w:rFonts w:cstheme="minorHAnsi"/>
          <w:color w:val="000000" w:themeColor="text1"/>
          <w:sz w:val="24"/>
          <w:szCs w:val="24"/>
        </w:rPr>
        <w:t>SNU</w:t>
      </w:r>
      <w:r>
        <w:rPr>
          <w:rFonts w:cstheme="minorHAnsi"/>
          <w:color w:val="000000" w:themeColor="text1"/>
          <w:sz w:val="24"/>
          <w:szCs w:val="24"/>
        </w:rPr>
        <w:t>,</w:t>
      </w:r>
      <w:r w:rsidRPr="009B2D49">
        <w:rPr>
          <w:rFonts w:cstheme="minorHAnsi"/>
          <w:color w:val="000000" w:themeColor="text1"/>
          <w:sz w:val="24"/>
          <w:szCs w:val="24"/>
        </w:rPr>
        <w:t xml:space="preserve"> 2019).</w:t>
      </w:r>
    </w:p>
    <w:p w14:paraId="2402E890" w14:textId="77777777" w:rsidR="000C171B" w:rsidRDefault="000C171B" w:rsidP="000C171B">
      <w:pPr>
        <w:spacing w:after="0" w:line="240" w:lineRule="auto"/>
        <w:jc w:val="both"/>
        <w:rPr>
          <w:rFonts w:cstheme="minorHAnsi"/>
          <w:color w:val="000000" w:themeColor="text1"/>
          <w:sz w:val="24"/>
          <w:szCs w:val="24"/>
        </w:rPr>
      </w:pPr>
    </w:p>
    <w:p w14:paraId="77F42830" w14:textId="77777777" w:rsidR="000C171B" w:rsidRPr="0074426E" w:rsidRDefault="000C171B" w:rsidP="000C171B">
      <w:pPr>
        <w:spacing w:after="0" w:line="240" w:lineRule="auto"/>
        <w:jc w:val="both"/>
        <w:rPr>
          <w:rFonts w:cstheme="minorHAnsi"/>
          <w:b/>
          <w:bCs/>
          <w:color w:val="4472C4" w:themeColor="accent1"/>
          <w:sz w:val="24"/>
          <w:szCs w:val="24"/>
        </w:rPr>
      </w:pPr>
      <w:r w:rsidRPr="0074426E">
        <w:rPr>
          <w:rFonts w:cstheme="minorHAnsi"/>
          <w:b/>
          <w:bCs/>
          <w:color w:val="4472C4" w:themeColor="accent1"/>
          <w:sz w:val="24"/>
          <w:szCs w:val="24"/>
        </w:rPr>
        <w:t>4.1.3. Adolescentes embarazadas.</w:t>
      </w:r>
    </w:p>
    <w:p w14:paraId="6CB6A2B6" w14:textId="77777777" w:rsidR="000C171B" w:rsidRPr="009B2D49" w:rsidRDefault="000C171B" w:rsidP="000C171B">
      <w:pPr>
        <w:spacing w:after="0" w:line="240" w:lineRule="auto"/>
        <w:jc w:val="both"/>
        <w:rPr>
          <w:rFonts w:cstheme="minorHAnsi"/>
          <w:b/>
          <w:bCs/>
          <w:sz w:val="24"/>
          <w:szCs w:val="24"/>
        </w:rPr>
      </w:pPr>
    </w:p>
    <w:p w14:paraId="358D01E6" w14:textId="503B332F" w:rsidR="000C171B" w:rsidRPr="009B2D49" w:rsidRDefault="000C171B" w:rsidP="000C171B">
      <w:pPr>
        <w:spacing w:after="0" w:line="240" w:lineRule="auto"/>
        <w:jc w:val="both"/>
        <w:rPr>
          <w:rFonts w:cstheme="minorHAnsi"/>
          <w:sz w:val="24"/>
          <w:szCs w:val="24"/>
        </w:rPr>
      </w:pPr>
      <w:r w:rsidRPr="009B2D49">
        <w:rPr>
          <w:rFonts w:cstheme="minorHAnsi"/>
          <w:sz w:val="24"/>
          <w:szCs w:val="24"/>
        </w:rPr>
        <w:t>El embarazo en la adolescencia muestra desde distintos ángulos, formas de discriminación y exclusión. Discriminación de género porque no se garantizan la integralidad de los derechos como personas; exclusión porque además no se prestan integralmente los servicios especializados de atención. En el país se han realizado esfuerzos en ambas direcciones, pero los mismos no abarcan toda la población. Por lado a través de la Ley 60 de 2016, que reforma la Ley 29 de 2002, sobre la adolescente embarazada, por el otro mediante las Normas Técnicas y Administrativas del Programa Nacional de Niñez y Adolescencia y los servicios de salud amigables para adolescentes, para atender la salud integral de adolescentes y jóvenes, reducir embarazos, y factores de riesgo (</w:t>
      </w:r>
      <w:r w:rsidR="000610E8">
        <w:rPr>
          <w:rFonts w:cstheme="minorHAnsi"/>
          <w:sz w:val="24"/>
          <w:szCs w:val="24"/>
        </w:rPr>
        <w:t>SNU</w:t>
      </w:r>
      <w:r w:rsidRPr="009B2D49">
        <w:rPr>
          <w:rFonts w:cstheme="minorHAnsi"/>
          <w:sz w:val="24"/>
          <w:szCs w:val="24"/>
        </w:rPr>
        <w:t xml:space="preserve">, 2019). </w:t>
      </w:r>
    </w:p>
    <w:p w14:paraId="7D8EB00A" w14:textId="77777777" w:rsidR="000C171B" w:rsidRPr="009B2D49" w:rsidRDefault="000C171B" w:rsidP="000C171B">
      <w:pPr>
        <w:spacing w:after="0" w:line="240" w:lineRule="auto"/>
        <w:jc w:val="both"/>
        <w:rPr>
          <w:rFonts w:cstheme="minorHAnsi"/>
          <w:sz w:val="24"/>
          <w:szCs w:val="24"/>
        </w:rPr>
      </w:pPr>
    </w:p>
    <w:p w14:paraId="66046784" w14:textId="0FC40445" w:rsidR="000C171B" w:rsidRPr="009B2D49" w:rsidRDefault="000C171B" w:rsidP="000C171B">
      <w:pPr>
        <w:spacing w:after="0" w:line="240" w:lineRule="auto"/>
        <w:jc w:val="both"/>
        <w:rPr>
          <w:rFonts w:cstheme="minorHAnsi"/>
          <w:color w:val="000000" w:themeColor="text1"/>
          <w:sz w:val="24"/>
          <w:szCs w:val="24"/>
        </w:rPr>
      </w:pPr>
      <w:r w:rsidRPr="009B2D49">
        <w:rPr>
          <w:rFonts w:cstheme="minorHAnsi"/>
          <w:sz w:val="24"/>
          <w:szCs w:val="24"/>
        </w:rPr>
        <w:t>En 2016, casi la mitad de los nacidos vivos (46.8%) lo fueron de madres menores de 25 años, siendo el 18.7% del total de madres adolescentes. La tasa de embarazo adolescente en 2017 fue de 79 n</w:t>
      </w:r>
      <w:r w:rsidR="007236EB">
        <w:rPr>
          <w:rFonts w:cstheme="minorHAnsi"/>
          <w:sz w:val="24"/>
          <w:szCs w:val="24"/>
        </w:rPr>
        <w:t xml:space="preserve">acidos </w:t>
      </w:r>
      <w:r w:rsidRPr="009B2D49">
        <w:rPr>
          <w:rFonts w:cstheme="minorHAnsi"/>
          <w:sz w:val="24"/>
          <w:szCs w:val="24"/>
        </w:rPr>
        <w:t>v</w:t>
      </w:r>
      <w:r w:rsidR="007236EB">
        <w:rPr>
          <w:rFonts w:cstheme="minorHAnsi"/>
          <w:sz w:val="24"/>
          <w:szCs w:val="24"/>
        </w:rPr>
        <w:t>ivos</w:t>
      </w:r>
      <w:r w:rsidRPr="009B2D49">
        <w:rPr>
          <w:rFonts w:cstheme="minorHAnsi"/>
          <w:sz w:val="24"/>
          <w:szCs w:val="24"/>
        </w:rPr>
        <w:t xml:space="preserve"> por cada mil mujeres entre 10 y 19 años. Asimismo, el 18.5% de las defunciones maternas en al año 2017 fueron en mujeres de 15 a 19 años. Estos embarazos se deben básicamente a </w:t>
      </w:r>
      <w:r w:rsidRPr="009B2D49">
        <w:rPr>
          <w:rFonts w:cstheme="minorHAnsi"/>
          <w:color w:val="000000" w:themeColor="text1"/>
          <w:sz w:val="24"/>
          <w:szCs w:val="24"/>
        </w:rPr>
        <w:t xml:space="preserve">las condiciones socioculturales, patrones socioculturales patriarcales y de posiciones conservaduristas cada vez más profundas en la sociedad, aconteciendo con mayor frecuencia en sectores socioeconómicos donde prevalece la pobreza, aunque se presenta en todos los sectores económicos de la sociedad. </w:t>
      </w:r>
    </w:p>
    <w:p w14:paraId="520424C5" w14:textId="77777777" w:rsidR="000C171B" w:rsidRPr="009B2D49" w:rsidRDefault="000C171B" w:rsidP="000C171B">
      <w:pPr>
        <w:spacing w:after="0" w:line="240" w:lineRule="auto"/>
        <w:jc w:val="both"/>
        <w:rPr>
          <w:rFonts w:cstheme="minorHAnsi"/>
          <w:color w:val="000000" w:themeColor="text1"/>
          <w:sz w:val="24"/>
          <w:szCs w:val="24"/>
        </w:rPr>
      </w:pPr>
    </w:p>
    <w:p w14:paraId="0403700A" w14:textId="77777777" w:rsidR="000C171B" w:rsidRPr="009B2D49" w:rsidRDefault="000C171B" w:rsidP="000C171B">
      <w:pPr>
        <w:spacing w:after="0" w:line="240" w:lineRule="auto"/>
        <w:jc w:val="both"/>
        <w:rPr>
          <w:rFonts w:cstheme="minorHAnsi"/>
          <w:sz w:val="24"/>
          <w:szCs w:val="24"/>
        </w:rPr>
      </w:pPr>
      <w:r w:rsidRPr="009B2D49">
        <w:rPr>
          <w:rFonts w:cstheme="minorHAnsi"/>
          <w:sz w:val="24"/>
          <w:szCs w:val="24"/>
        </w:rPr>
        <w:t>En las dimensiones socioeconómicas, la maternidad temprana suele ocasionar: (i) abandono escolar, (</w:t>
      </w:r>
      <w:proofErr w:type="spellStart"/>
      <w:r w:rsidRPr="009B2D49">
        <w:rPr>
          <w:rFonts w:cstheme="minorHAnsi"/>
          <w:sz w:val="24"/>
          <w:szCs w:val="24"/>
        </w:rPr>
        <w:t>ii</w:t>
      </w:r>
      <w:proofErr w:type="spellEnd"/>
      <w:r w:rsidRPr="009B2D49">
        <w:rPr>
          <w:rFonts w:cstheme="minorHAnsi"/>
          <w:sz w:val="24"/>
          <w:szCs w:val="24"/>
        </w:rPr>
        <w:t>) límites de profesionalización, (</w:t>
      </w:r>
      <w:proofErr w:type="spellStart"/>
      <w:r w:rsidRPr="009B2D49">
        <w:rPr>
          <w:rFonts w:cstheme="minorHAnsi"/>
          <w:sz w:val="24"/>
          <w:szCs w:val="24"/>
        </w:rPr>
        <w:t>iii</w:t>
      </w:r>
      <w:proofErr w:type="spellEnd"/>
      <w:r w:rsidRPr="009B2D49">
        <w:rPr>
          <w:rFonts w:cstheme="minorHAnsi"/>
          <w:sz w:val="24"/>
          <w:szCs w:val="24"/>
        </w:rPr>
        <w:t xml:space="preserve">) incrementa las brechas de ingresos y participación </w:t>
      </w:r>
      <w:r w:rsidRPr="009B2D49">
        <w:rPr>
          <w:rFonts w:cstheme="minorHAnsi"/>
          <w:sz w:val="24"/>
          <w:szCs w:val="24"/>
        </w:rPr>
        <w:lastRenderedPageBreak/>
        <w:t xml:space="preserve">laboral de las mujeres que fueron madres en la adolescencia. Es decir, los efectos sobre el nivel educativo, los ingresos, la participación y los ingresos fiscales son evidentes.  </w:t>
      </w:r>
    </w:p>
    <w:p w14:paraId="12EDD447" w14:textId="77777777" w:rsidR="000C171B" w:rsidRPr="009B2D49" w:rsidRDefault="000C171B" w:rsidP="000C171B">
      <w:pPr>
        <w:spacing w:after="0" w:line="240" w:lineRule="auto"/>
        <w:jc w:val="both"/>
        <w:rPr>
          <w:rFonts w:cstheme="minorHAnsi"/>
          <w:sz w:val="24"/>
          <w:szCs w:val="24"/>
        </w:rPr>
      </w:pPr>
    </w:p>
    <w:p w14:paraId="48F55473" w14:textId="77777777" w:rsidR="000C171B" w:rsidRPr="009B2D49" w:rsidRDefault="000C171B" w:rsidP="000C171B">
      <w:pPr>
        <w:spacing w:after="0" w:line="240" w:lineRule="auto"/>
        <w:jc w:val="both"/>
        <w:rPr>
          <w:rFonts w:cstheme="minorHAnsi"/>
          <w:sz w:val="24"/>
          <w:szCs w:val="24"/>
        </w:rPr>
      </w:pPr>
      <w:r w:rsidRPr="009B2D49">
        <w:rPr>
          <w:rFonts w:cstheme="minorHAnsi"/>
          <w:sz w:val="24"/>
          <w:szCs w:val="24"/>
        </w:rPr>
        <w:t>En el caso de la educación, el 57.1% de las mujeres que tuvieron su primer hijo en la adolescencia no terminaron la educación secundaria por lo que la población de mujeres que tuvieron su primer hijo en edad adulta tiene una eficiencia terminal educativa mayor. Sólo el 17.7% de las mujeres que tuvieron su primer hijo en la adolescencia tienen estudios superiores, mientras que el 39.5% de las mujeres que tuvieron su primer hijo en la edad adulta lo tienen. El abandono y rezago educativos de las mujeres con hijos en la adolescencia, debido al embarazo adolescente y/o maternidad temprana, genera una reducción de impositiva de B/. 98.7 millones al año (UNFPA</w:t>
      </w:r>
      <w:r>
        <w:rPr>
          <w:rFonts w:cstheme="minorHAnsi"/>
          <w:sz w:val="24"/>
          <w:szCs w:val="24"/>
        </w:rPr>
        <w:t>,</w:t>
      </w:r>
      <w:r w:rsidRPr="009B2D49">
        <w:rPr>
          <w:rFonts w:cstheme="minorHAnsi"/>
          <w:sz w:val="24"/>
          <w:szCs w:val="24"/>
        </w:rPr>
        <w:t xml:space="preserve"> 2019).</w:t>
      </w:r>
    </w:p>
    <w:p w14:paraId="06B5A383" w14:textId="77777777" w:rsidR="000C171B" w:rsidRPr="009B2D49" w:rsidRDefault="000C171B" w:rsidP="000C171B">
      <w:pPr>
        <w:spacing w:after="0" w:line="240" w:lineRule="auto"/>
        <w:jc w:val="both"/>
        <w:rPr>
          <w:rFonts w:cstheme="minorHAnsi"/>
          <w:sz w:val="24"/>
          <w:szCs w:val="24"/>
        </w:rPr>
      </w:pPr>
    </w:p>
    <w:p w14:paraId="014E8301" w14:textId="77777777" w:rsidR="000C171B" w:rsidRPr="009B2D49" w:rsidRDefault="000C171B" w:rsidP="000C171B">
      <w:pPr>
        <w:spacing w:after="0" w:line="240" w:lineRule="auto"/>
        <w:jc w:val="both"/>
        <w:rPr>
          <w:rFonts w:cstheme="minorHAnsi"/>
          <w:sz w:val="24"/>
          <w:szCs w:val="24"/>
        </w:rPr>
      </w:pPr>
      <w:r w:rsidRPr="009B2D49">
        <w:rPr>
          <w:rFonts w:cstheme="minorHAnsi"/>
          <w:sz w:val="24"/>
          <w:szCs w:val="24"/>
        </w:rPr>
        <w:t>En el caso de la participación Laboral, la inactividad laboral de las mujeres con hijos en la adolescencia es un 16.9% mayor que las mujeres que fueron madre en una edad adulta, por lo que el desempleo en mujeres con hijos en la adolescencia es 79.8% mayor que las mujeres que fueron madres en una edad adulta. De allí que la pérdida estimada de ingresos en mujeres por desempleo debido al embarazo adolescente y la maternidad temprana sea de B/.6,2 millones (UNFPA</w:t>
      </w:r>
      <w:r>
        <w:rPr>
          <w:rFonts w:cstheme="minorHAnsi"/>
          <w:sz w:val="24"/>
          <w:szCs w:val="24"/>
        </w:rPr>
        <w:t>,</w:t>
      </w:r>
      <w:r w:rsidRPr="009B2D49">
        <w:rPr>
          <w:rFonts w:cstheme="minorHAnsi"/>
          <w:sz w:val="24"/>
          <w:szCs w:val="24"/>
        </w:rPr>
        <w:t xml:space="preserve"> 2019).</w:t>
      </w:r>
    </w:p>
    <w:p w14:paraId="3C04697F" w14:textId="77777777" w:rsidR="000C171B" w:rsidRPr="009B2D49" w:rsidRDefault="000C171B" w:rsidP="000C171B">
      <w:pPr>
        <w:spacing w:after="0" w:line="240" w:lineRule="auto"/>
        <w:jc w:val="both"/>
        <w:rPr>
          <w:rFonts w:cstheme="minorHAnsi"/>
          <w:sz w:val="24"/>
          <w:szCs w:val="24"/>
        </w:rPr>
      </w:pPr>
    </w:p>
    <w:p w14:paraId="10500675" w14:textId="77777777" w:rsidR="000C171B" w:rsidRPr="009B2D49" w:rsidRDefault="000C171B" w:rsidP="000C171B">
      <w:pPr>
        <w:spacing w:after="0" w:line="240" w:lineRule="auto"/>
        <w:jc w:val="both"/>
        <w:rPr>
          <w:rFonts w:cstheme="minorHAnsi"/>
          <w:sz w:val="24"/>
          <w:szCs w:val="24"/>
        </w:rPr>
      </w:pPr>
      <w:r w:rsidRPr="009B2D49">
        <w:rPr>
          <w:rFonts w:cstheme="minorHAnsi"/>
          <w:sz w:val="24"/>
          <w:szCs w:val="24"/>
        </w:rPr>
        <w:t>Por su parte, en el caso de los ingresos laborales, las mujeres con hijos en la adolescencia tiene un 43% menos ingresos que las mujeres que tuvieron su primer hijo en la edad adulta, es decir, el ingreso laboral anual promedio de las mujeres que tuvieron su primer hijo en edad adulta es 74.6% más que el percibido por las mujeres con hijos en la adolescencia, por lo cual la pérdida estimada debido a la brecha de ingresos es de B/.72.3 millones. Asimismo, la tasa de desempleo de las mujeres que tuvieron su primer hijo en la adolescencia, casi duplica a las que tuvieron su primer hijo en edad adulta (UNFPA</w:t>
      </w:r>
      <w:r>
        <w:rPr>
          <w:rFonts w:cstheme="minorHAnsi"/>
          <w:sz w:val="24"/>
          <w:szCs w:val="24"/>
        </w:rPr>
        <w:t>,</w:t>
      </w:r>
      <w:r w:rsidRPr="009B2D49">
        <w:rPr>
          <w:rFonts w:cstheme="minorHAnsi"/>
          <w:sz w:val="24"/>
          <w:szCs w:val="24"/>
        </w:rPr>
        <w:t xml:space="preserve"> 2019). </w:t>
      </w:r>
    </w:p>
    <w:p w14:paraId="691462DC" w14:textId="77777777" w:rsidR="000C171B" w:rsidRPr="009B2D49" w:rsidRDefault="000C171B" w:rsidP="000C171B">
      <w:pPr>
        <w:spacing w:after="0" w:line="240" w:lineRule="auto"/>
        <w:jc w:val="both"/>
        <w:rPr>
          <w:rFonts w:cstheme="minorHAnsi"/>
          <w:sz w:val="24"/>
          <w:szCs w:val="24"/>
        </w:rPr>
      </w:pPr>
    </w:p>
    <w:p w14:paraId="4E218024" w14:textId="77777777" w:rsidR="000C171B" w:rsidRPr="009B2D49" w:rsidRDefault="000C171B" w:rsidP="000C171B">
      <w:pPr>
        <w:spacing w:after="0" w:line="240" w:lineRule="auto"/>
        <w:jc w:val="both"/>
        <w:rPr>
          <w:rFonts w:cstheme="minorHAnsi"/>
          <w:sz w:val="24"/>
          <w:szCs w:val="24"/>
        </w:rPr>
      </w:pPr>
      <w:r w:rsidRPr="009B2D49">
        <w:rPr>
          <w:rFonts w:cstheme="minorHAnsi"/>
          <w:sz w:val="24"/>
          <w:szCs w:val="24"/>
        </w:rPr>
        <w:t>Por último, en el caso de la salud, cada año se pierden 307 años potenciales de las adolescentes fallecidas por causas relacionadas con el embarazo. Es decir, cada año se pierden 200 años de vida productiva de las adolescentes fallecidas por causas relacionadas con el embarazo, lo que representa una pérdida económica valorada en B/. 1,089,828 (UNFPA</w:t>
      </w:r>
      <w:r>
        <w:rPr>
          <w:rFonts w:cstheme="minorHAnsi"/>
          <w:sz w:val="24"/>
          <w:szCs w:val="24"/>
        </w:rPr>
        <w:t>,</w:t>
      </w:r>
      <w:r w:rsidRPr="009B2D49">
        <w:rPr>
          <w:rFonts w:cstheme="minorHAnsi"/>
          <w:sz w:val="24"/>
          <w:szCs w:val="24"/>
        </w:rPr>
        <w:t xml:space="preserve"> 2019).</w:t>
      </w:r>
    </w:p>
    <w:p w14:paraId="763DC655" w14:textId="77777777" w:rsidR="000C171B" w:rsidRPr="009B2D49" w:rsidRDefault="000C171B" w:rsidP="000C171B">
      <w:pPr>
        <w:spacing w:after="0" w:line="240" w:lineRule="auto"/>
        <w:jc w:val="both"/>
        <w:rPr>
          <w:rFonts w:cstheme="minorHAnsi"/>
          <w:b/>
          <w:bCs/>
          <w:sz w:val="24"/>
          <w:szCs w:val="24"/>
        </w:rPr>
      </w:pPr>
    </w:p>
    <w:p w14:paraId="3AEEA23E" w14:textId="0A276699" w:rsidR="000C171B" w:rsidRPr="009B2D49" w:rsidRDefault="000C171B" w:rsidP="000C171B">
      <w:pPr>
        <w:spacing w:after="0" w:line="240" w:lineRule="auto"/>
        <w:jc w:val="both"/>
        <w:rPr>
          <w:rFonts w:cstheme="minorHAnsi"/>
          <w:color w:val="000000" w:themeColor="text1"/>
          <w:sz w:val="24"/>
          <w:szCs w:val="24"/>
        </w:rPr>
      </w:pPr>
      <w:r w:rsidRPr="009B2D49">
        <w:rPr>
          <w:rFonts w:cstheme="minorHAnsi"/>
          <w:color w:val="000000" w:themeColor="text1"/>
          <w:sz w:val="24"/>
          <w:szCs w:val="24"/>
        </w:rPr>
        <w:t>Pero, pese a las tasas de embarazo en adolescentes, Panamá no ha desarrollado la estrategia de educación en sexualidad y reproducción en las escuelas.  Es necesario garantizar acceso al Programa de Beca Universal para niñas y adolescentes, refugiadas y solicitantes de asilo, de acuerdo con lo recomendado por el Comité de los Derechos del Niño, en sus observaciones finales; específicamente el literal H inciso d, sobre los informes periódicos combinados quinto y sexto de Panamá del 28 de febrero de 2018 (</w:t>
      </w:r>
      <w:r w:rsidR="000610E8">
        <w:rPr>
          <w:rFonts w:cstheme="minorHAnsi"/>
          <w:color w:val="000000" w:themeColor="text1"/>
          <w:sz w:val="24"/>
          <w:szCs w:val="24"/>
        </w:rPr>
        <w:t>SNU</w:t>
      </w:r>
      <w:r>
        <w:rPr>
          <w:rFonts w:cstheme="minorHAnsi"/>
          <w:color w:val="000000" w:themeColor="text1"/>
          <w:sz w:val="24"/>
          <w:szCs w:val="24"/>
        </w:rPr>
        <w:t>,</w:t>
      </w:r>
      <w:r w:rsidRPr="009B2D49">
        <w:rPr>
          <w:rFonts w:cstheme="minorHAnsi"/>
          <w:color w:val="000000" w:themeColor="text1"/>
          <w:sz w:val="24"/>
          <w:szCs w:val="24"/>
        </w:rPr>
        <w:t xml:space="preserve"> 2019).</w:t>
      </w:r>
    </w:p>
    <w:p w14:paraId="6FD2E5A2" w14:textId="77777777" w:rsidR="000C171B" w:rsidRPr="009B2D49" w:rsidRDefault="000C171B" w:rsidP="000C171B">
      <w:pPr>
        <w:spacing w:after="0" w:line="240" w:lineRule="auto"/>
        <w:jc w:val="both"/>
        <w:rPr>
          <w:rFonts w:cstheme="minorHAnsi"/>
          <w:color w:val="000000" w:themeColor="text1"/>
          <w:sz w:val="24"/>
          <w:szCs w:val="24"/>
        </w:rPr>
      </w:pPr>
    </w:p>
    <w:p w14:paraId="08C07223" w14:textId="2497AADD" w:rsidR="000C171B" w:rsidRDefault="000C171B" w:rsidP="000C171B">
      <w:pPr>
        <w:spacing w:after="0" w:line="240" w:lineRule="auto"/>
        <w:jc w:val="both"/>
        <w:rPr>
          <w:rFonts w:cstheme="minorHAnsi"/>
          <w:sz w:val="24"/>
          <w:szCs w:val="24"/>
        </w:rPr>
      </w:pPr>
      <w:r w:rsidRPr="009B2D49">
        <w:rPr>
          <w:rFonts w:cstheme="minorHAnsi"/>
          <w:sz w:val="24"/>
          <w:szCs w:val="24"/>
        </w:rPr>
        <w:t xml:space="preserve">Por último, es urgente la aprobación e implementación de una Ley de Educación Integral en Sexualidad, como cumplimiento a los diferentes convenios internacionales ratificados en materia de derechos sexuales y reproductivos de las mujeres como la Convención para la Eliminación de todas las formas de Discriminación contra la Mujer (CEDAW), la Plataforma de </w:t>
      </w:r>
      <w:r w:rsidRPr="009B2D49">
        <w:rPr>
          <w:rFonts w:cstheme="minorHAnsi"/>
          <w:sz w:val="24"/>
          <w:szCs w:val="24"/>
        </w:rPr>
        <w:lastRenderedPageBreak/>
        <w:t>Acción de Beijing, Conferencias Internacionales sobre Población y Desarrollo y las metas establecidas en la Agenda de Desarrollo Sostenible 2030 (Objetivos de Desarrollo Sostenible 3 y 5) (PNUD, 2019).</w:t>
      </w:r>
    </w:p>
    <w:p w14:paraId="59E76CF9" w14:textId="77777777" w:rsidR="000C171B" w:rsidRPr="009B2D49" w:rsidRDefault="000C171B" w:rsidP="000C171B">
      <w:pPr>
        <w:spacing w:after="0" w:line="240" w:lineRule="auto"/>
        <w:jc w:val="both"/>
        <w:rPr>
          <w:rFonts w:cstheme="minorHAnsi"/>
          <w:sz w:val="24"/>
          <w:szCs w:val="24"/>
        </w:rPr>
      </w:pPr>
    </w:p>
    <w:p w14:paraId="1E4C7882" w14:textId="77777777" w:rsidR="000C171B" w:rsidRPr="0074426E" w:rsidRDefault="000C171B" w:rsidP="000C171B">
      <w:pPr>
        <w:spacing w:after="0" w:line="240" w:lineRule="auto"/>
        <w:jc w:val="both"/>
        <w:rPr>
          <w:rFonts w:cstheme="minorHAnsi"/>
          <w:b/>
          <w:bCs/>
          <w:color w:val="4472C4" w:themeColor="accent1"/>
          <w:sz w:val="24"/>
          <w:szCs w:val="24"/>
        </w:rPr>
      </w:pPr>
      <w:r w:rsidRPr="0074426E">
        <w:rPr>
          <w:rFonts w:cstheme="minorHAnsi"/>
          <w:b/>
          <w:bCs/>
          <w:color w:val="4472C4" w:themeColor="accent1"/>
          <w:sz w:val="24"/>
          <w:szCs w:val="24"/>
        </w:rPr>
        <w:t>4.1.4. Personas LGBTIQ+</w:t>
      </w:r>
    </w:p>
    <w:p w14:paraId="76B7C3DA" w14:textId="77777777" w:rsidR="000C171B" w:rsidRPr="009B2D49" w:rsidRDefault="000C171B" w:rsidP="000C171B">
      <w:pPr>
        <w:spacing w:after="0" w:line="240" w:lineRule="auto"/>
        <w:jc w:val="both"/>
        <w:rPr>
          <w:rFonts w:cstheme="minorHAnsi"/>
          <w:sz w:val="24"/>
          <w:szCs w:val="24"/>
        </w:rPr>
      </w:pPr>
    </w:p>
    <w:p w14:paraId="02E17DFB" w14:textId="5292D38A" w:rsidR="000C171B" w:rsidRPr="009B2D49" w:rsidRDefault="000C171B" w:rsidP="000C171B">
      <w:pPr>
        <w:spacing w:after="0" w:line="240" w:lineRule="auto"/>
        <w:jc w:val="both"/>
        <w:rPr>
          <w:rFonts w:cstheme="minorHAnsi"/>
          <w:sz w:val="24"/>
          <w:szCs w:val="24"/>
        </w:rPr>
      </w:pPr>
      <w:r w:rsidRPr="009B2D49">
        <w:rPr>
          <w:rFonts w:cstheme="minorHAnsi"/>
          <w:sz w:val="24"/>
          <w:szCs w:val="24"/>
        </w:rPr>
        <w:t xml:space="preserve">En Panamá, existe </w:t>
      </w:r>
      <w:r>
        <w:rPr>
          <w:rFonts w:cstheme="minorHAnsi"/>
          <w:sz w:val="24"/>
          <w:szCs w:val="24"/>
        </w:rPr>
        <w:t>aún</w:t>
      </w:r>
      <w:r w:rsidRPr="009B2D49">
        <w:rPr>
          <w:rFonts w:cstheme="minorHAnsi"/>
          <w:sz w:val="24"/>
          <w:szCs w:val="24"/>
        </w:rPr>
        <w:t xml:space="preserve"> </w:t>
      </w:r>
      <w:r>
        <w:rPr>
          <w:rFonts w:cstheme="minorHAnsi"/>
          <w:sz w:val="24"/>
          <w:szCs w:val="24"/>
        </w:rPr>
        <w:t xml:space="preserve">la tarea y necesidad de abordar la </w:t>
      </w:r>
      <w:r w:rsidRPr="009B2D49">
        <w:rPr>
          <w:rFonts w:cstheme="minorHAnsi"/>
          <w:sz w:val="24"/>
          <w:szCs w:val="24"/>
        </w:rPr>
        <w:t>discriminación y exclusión social, económica y política contra los colectivos de sexualidad diversa tanto por razones de orientación sexual como por identidad de género.</w:t>
      </w:r>
      <w:r w:rsidR="00DA1D66">
        <w:rPr>
          <w:rFonts w:cstheme="minorHAnsi"/>
          <w:sz w:val="24"/>
          <w:szCs w:val="24"/>
        </w:rPr>
        <w:t xml:space="preserve"> </w:t>
      </w:r>
      <w:r>
        <w:rPr>
          <w:rFonts w:cstheme="minorHAnsi"/>
          <w:sz w:val="24"/>
          <w:szCs w:val="24"/>
        </w:rPr>
        <w:t xml:space="preserve">Es importante revisar el alcance de </w:t>
      </w:r>
      <w:r w:rsidRPr="009B2D49">
        <w:rPr>
          <w:rFonts w:cstheme="minorHAnsi"/>
          <w:sz w:val="24"/>
          <w:szCs w:val="24"/>
        </w:rPr>
        <w:t>la Constitución de Panamá (Artículo 19)</w:t>
      </w:r>
      <w:r>
        <w:rPr>
          <w:rFonts w:cstheme="minorHAnsi"/>
          <w:sz w:val="24"/>
          <w:szCs w:val="24"/>
        </w:rPr>
        <w:t xml:space="preserve">, en cuanto a que </w:t>
      </w:r>
      <w:r w:rsidRPr="009B2D49">
        <w:rPr>
          <w:rFonts w:cstheme="minorHAnsi"/>
          <w:sz w:val="24"/>
          <w:szCs w:val="24"/>
        </w:rPr>
        <w:t>prohíbe la discriminación basada en el sexo</w:t>
      </w:r>
      <w:r>
        <w:rPr>
          <w:rFonts w:cstheme="minorHAnsi"/>
          <w:sz w:val="24"/>
          <w:szCs w:val="24"/>
        </w:rPr>
        <w:t xml:space="preserve">. Sin embargo, </w:t>
      </w:r>
      <w:r w:rsidRPr="009B2D49">
        <w:rPr>
          <w:rFonts w:cstheme="minorHAnsi"/>
          <w:sz w:val="24"/>
          <w:szCs w:val="24"/>
        </w:rPr>
        <w:t xml:space="preserve">todavía no existe una </w:t>
      </w:r>
      <w:r>
        <w:rPr>
          <w:rFonts w:cstheme="minorHAnsi"/>
          <w:sz w:val="24"/>
          <w:szCs w:val="24"/>
        </w:rPr>
        <w:t xml:space="preserve">cultura e institucionalidad que facilite </w:t>
      </w:r>
      <w:r w:rsidRPr="009B2D49">
        <w:rPr>
          <w:rFonts w:cstheme="minorHAnsi"/>
          <w:sz w:val="24"/>
          <w:szCs w:val="24"/>
        </w:rPr>
        <w:t xml:space="preserve">la </w:t>
      </w:r>
      <w:r>
        <w:rPr>
          <w:rFonts w:cstheme="minorHAnsi"/>
          <w:sz w:val="24"/>
          <w:szCs w:val="24"/>
        </w:rPr>
        <w:t xml:space="preserve">no </w:t>
      </w:r>
      <w:r w:rsidRPr="009B2D49">
        <w:rPr>
          <w:rFonts w:cstheme="minorHAnsi"/>
          <w:sz w:val="24"/>
          <w:szCs w:val="24"/>
        </w:rPr>
        <w:t>discriminación por razón de orientación sexual e identidad de género. Las personas con orientación sexual e identidad de género diversas no reciben un trato sensible a su realidad por parte de instituciones de gobierno en general.</w:t>
      </w:r>
    </w:p>
    <w:p w14:paraId="1FAABC5C" w14:textId="77777777" w:rsidR="000C171B" w:rsidRPr="009B2D49" w:rsidRDefault="000C171B" w:rsidP="000C171B">
      <w:pPr>
        <w:spacing w:after="0" w:line="240" w:lineRule="auto"/>
        <w:jc w:val="both"/>
        <w:rPr>
          <w:rFonts w:cstheme="minorHAnsi"/>
          <w:sz w:val="24"/>
          <w:szCs w:val="24"/>
        </w:rPr>
      </w:pPr>
    </w:p>
    <w:p w14:paraId="7408D569" w14:textId="65CA2647" w:rsidR="000C171B" w:rsidRPr="009B2D49" w:rsidRDefault="000C171B" w:rsidP="000C171B">
      <w:pPr>
        <w:spacing w:after="0" w:line="240" w:lineRule="auto"/>
        <w:jc w:val="both"/>
        <w:rPr>
          <w:rFonts w:cstheme="minorHAnsi"/>
          <w:sz w:val="24"/>
          <w:szCs w:val="24"/>
        </w:rPr>
      </w:pPr>
      <w:r w:rsidRPr="009B2D49">
        <w:rPr>
          <w:rFonts w:cstheme="minorHAnsi"/>
          <w:sz w:val="24"/>
          <w:szCs w:val="24"/>
        </w:rPr>
        <w:t xml:space="preserve"> </w:t>
      </w:r>
      <w:r>
        <w:rPr>
          <w:rFonts w:cstheme="minorHAnsi"/>
          <w:sz w:val="24"/>
          <w:szCs w:val="24"/>
        </w:rPr>
        <w:t>E</w:t>
      </w:r>
      <w:r w:rsidRPr="009B2D49">
        <w:rPr>
          <w:rFonts w:cstheme="minorHAnsi"/>
          <w:sz w:val="24"/>
          <w:szCs w:val="24"/>
        </w:rPr>
        <w:t xml:space="preserve">s de gran importancia </w:t>
      </w:r>
      <w:r>
        <w:rPr>
          <w:rFonts w:cstheme="minorHAnsi"/>
          <w:sz w:val="24"/>
          <w:szCs w:val="24"/>
        </w:rPr>
        <w:t xml:space="preserve">sugerir al </w:t>
      </w:r>
      <w:r w:rsidRPr="009B2D49">
        <w:rPr>
          <w:rFonts w:cstheme="minorHAnsi"/>
          <w:sz w:val="24"/>
          <w:szCs w:val="24"/>
        </w:rPr>
        <w:t xml:space="preserve">Estado panameño </w:t>
      </w:r>
      <w:r>
        <w:rPr>
          <w:rFonts w:cstheme="minorHAnsi"/>
          <w:sz w:val="24"/>
          <w:szCs w:val="24"/>
        </w:rPr>
        <w:t xml:space="preserve">que adopte políticas y normativas </w:t>
      </w:r>
      <w:r w:rsidRPr="009B2D49">
        <w:rPr>
          <w:rFonts w:cstheme="minorHAnsi"/>
          <w:sz w:val="24"/>
          <w:szCs w:val="24"/>
        </w:rPr>
        <w:t>que sancione la discriminación contra estos grupos y que les proteja en aspectos laborales, de educación, salud y justicia. En 2015, la asociación Hombres y Mujeres Nuevos de Panamá (AHMNP) presentó un anteproyecto de Ley impulsado por la Asociación Hombres y Mujeres Nuevos de Panamá que fue declarado como viable en 2017 y que fue remitido para la consideración de la Comisión de Gobierno y Justicia y Asuntos Constitucionales. Sin embargo, dicho anteproyecto no ha sido considerado desde entonces por parte de la Asamblea de Diputados.</w:t>
      </w:r>
    </w:p>
    <w:p w14:paraId="11F012A3" w14:textId="77777777" w:rsidR="000C171B" w:rsidRPr="009B2D49" w:rsidRDefault="000C171B" w:rsidP="000C171B">
      <w:pPr>
        <w:spacing w:after="0" w:line="240" w:lineRule="auto"/>
        <w:jc w:val="both"/>
        <w:rPr>
          <w:rFonts w:cstheme="minorHAnsi"/>
          <w:sz w:val="24"/>
          <w:szCs w:val="24"/>
        </w:rPr>
      </w:pPr>
    </w:p>
    <w:p w14:paraId="4207A37F" w14:textId="77777777" w:rsidR="000C171B" w:rsidRPr="009B2D49" w:rsidRDefault="000C171B" w:rsidP="000C171B">
      <w:pPr>
        <w:spacing w:after="0" w:line="240" w:lineRule="auto"/>
        <w:jc w:val="both"/>
        <w:rPr>
          <w:rFonts w:cstheme="minorHAnsi"/>
          <w:sz w:val="24"/>
          <w:szCs w:val="24"/>
        </w:rPr>
      </w:pPr>
      <w:r w:rsidRPr="009B2D49">
        <w:rPr>
          <w:rFonts w:cstheme="minorHAnsi"/>
          <w:sz w:val="24"/>
          <w:szCs w:val="24"/>
        </w:rPr>
        <w:t>No existe el reconocimiento de la unión y/o matrimonio entre parejas del mismo sexo. En 2004, fue rechazada una propuesta legislativa en este sentido. Actualmente, la Corte Suprema de Justicia está considerando varios recursos de casos presentados con relación a una advertencia de inconstitucionalidad contra el artículo del Código de Familia que limita el matrimonio a un acto “entre hombre y una mujer”. Esta decisión aún está pendiente de resolverse por parte de la Corte Suprema de Justicia.</w:t>
      </w:r>
    </w:p>
    <w:p w14:paraId="3A182663" w14:textId="77777777" w:rsidR="000C171B" w:rsidRPr="009B2D49" w:rsidRDefault="000C171B" w:rsidP="000C171B">
      <w:pPr>
        <w:spacing w:after="0" w:line="240" w:lineRule="auto"/>
        <w:jc w:val="both"/>
        <w:rPr>
          <w:rFonts w:cstheme="minorHAnsi"/>
          <w:sz w:val="24"/>
          <w:szCs w:val="24"/>
        </w:rPr>
      </w:pPr>
    </w:p>
    <w:p w14:paraId="4B858958" w14:textId="77777777" w:rsidR="000C171B" w:rsidRPr="009B2D49" w:rsidRDefault="000C171B" w:rsidP="000C171B">
      <w:pPr>
        <w:spacing w:after="0" w:line="240" w:lineRule="auto"/>
        <w:jc w:val="both"/>
        <w:rPr>
          <w:rFonts w:eastAsia="Calibri" w:cstheme="minorHAnsi"/>
          <w:sz w:val="24"/>
          <w:szCs w:val="24"/>
        </w:rPr>
      </w:pPr>
      <w:r w:rsidRPr="009B2D49">
        <w:rPr>
          <w:rFonts w:eastAsia="Calibri" w:cstheme="minorHAnsi"/>
          <w:sz w:val="24"/>
          <w:szCs w:val="24"/>
        </w:rPr>
        <w:t xml:space="preserve">Cabe destacar que en 2018 se generó un gran debate por las peticiones de inconstitucionalidad sobre la prohibición del matrimonio igualitario, que desencadenó una gran manifestación el 6 de marzo de 2018, lo que se considera un indicador de discriminación ante los </w:t>
      </w:r>
      <w:r w:rsidRPr="000610E8">
        <w:rPr>
          <w:rFonts w:eastAsia="Calibri" w:cstheme="minorHAnsi"/>
          <w:sz w:val="24"/>
          <w:szCs w:val="24"/>
        </w:rPr>
        <w:t xml:space="preserve">grupos </w:t>
      </w:r>
      <w:r w:rsidRPr="000610E8">
        <w:rPr>
          <w:rFonts w:cstheme="minorHAnsi"/>
          <w:color w:val="000000" w:themeColor="text1"/>
          <w:sz w:val="24"/>
          <w:szCs w:val="24"/>
        </w:rPr>
        <w:t>LGBTIQ+</w:t>
      </w:r>
      <w:r w:rsidRPr="000610E8">
        <w:rPr>
          <w:rFonts w:eastAsia="Calibri" w:cstheme="minorHAnsi"/>
          <w:sz w:val="24"/>
          <w:szCs w:val="24"/>
        </w:rPr>
        <w:t>.</w:t>
      </w:r>
      <w:r w:rsidRPr="009B2D49">
        <w:rPr>
          <w:rFonts w:eastAsia="Calibri" w:cstheme="minorHAnsi"/>
          <w:sz w:val="24"/>
          <w:szCs w:val="24"/>
        </w:rPr>
        <w:t xml:space="preserve"> Así mismo, se destaca que estas manifestaciones fueron contrarrestadas por otros movimientos que defienden el matrimonio entre personas del mismo sexo, encabezadas por la primera dama de Panamá, que fue embajadora de ONUSIDA.  </w:t>
      </w:r>
    </w:p>
    <w:p w14:paraId="5CF2C597" w14:textId="77777777" w:rsidR="000C171B" w:rsidRPr="009B2D49" w:rsidRDefault="000C171B" w:rsidP="000C171B">
      <w:pPr>
        <w:spacing w:after="0" w:line="240" w:lineRule="auto"/>
        <w:jc w:val="both"/>
        <w:rPr>
          <w:rFonts w:eastAsia="Calibri" w:cstheme="minorHAnsi"/>
          <w:sz w:val="24"/>
          <w:szCs w:val="24"/>
        </w:rPr>
      </w:pPr>
    </w:p>
    <w:p w14:paraId="68931CC7" w14:textId="172B6722" w:rsidR="000C171B" w:rsidRPr="009B2D49" w:rsidRDefault="000C171B" w:rsidP="000C171B">
      <w:pPr>
        <w:spacing w:after="0" w:line="240" w:lineRule="auto"/>
        <w:jc w:val="both"/>
        <w:rPr>
          <w:rFonts w:eastAsia="Calibri" w:cstheme="minorHAnsi"/>
          <w:sz w:val="24"/>
          <w:szCs w:val="24"/>
        </w:rPr>
      </w:pPr>
      <w:r w:rsidRPr="009B2D49">
        <w:rPr>
          <w:rFonts w:eastAsia="Calibri" w:cstheme="minorHAnsi"/>
          <w:sz w:val="24"/>
          <w:szCs w:val="24"/>
        </w:rPr>
        <w:t xml:space="preserve">Además, </w:t>
      </w:r>
      <w:r>
        <w:rPr>
          <w:rFonts w:eastAsia="Calibri" w:cstheme="minorHAnsi"/>
          <w:sz w:val="24"/>
          <w:szCs w:val="24"/>
        </w:rPr>
        <w:t>e</w:t>
      </w:r>
      <w:r w:rsidRPr="009B2D49">
        <w:rPr>
          <w:rFonts w:eastAsia="Calibri" w:cstheme="minorHAnsi"/>
          <w:sz w:val="24"/>
          <w:szCs w:val="24"/>
        </w:rPr>
        <w:t>l 14 de febrero de 2018 fue promulgada la Ley 7</w:t>
      </w:r>
      <w:r>
        <w:rPr>
          <w:rFonts w:eastAsia="Calibri" w:cstheme="minorHAnsi"/>
          <w:sz w:val="24"/>
          <w:szCs w:val="24"/>
        </w:rPr>
        <w:t>, q</w:t>
      </w:r>
      <w:r w:rsidRPr="009B2D49">
        <w:rPr>
          <w:rFonts w:eastAsia="Calibri" w:cstheme="minorHAnsi"/>
          <w:sz w:val="24"/>
          <w:szCs w:val="24"/>
        </w:rPr>
        <w:t>ue adopta medidas para prevenir y sancionar acoso y actos discriminatorio</w:t>
      </w:r>
      <w:r>
        <w:rPr>
          <w:rFonts w:eastAsia="Calibri" w:cstheme="minorHAnsi"/>
          <w:sz w:val="24"/>
          <w:szCs w:val="24"/>
        </w:rPr>
        <w:t>s</w:t>
      </w:r>
      <w:r w:rsidRPr="009B2D49">
        <w:rPr>
          <w:rFonts w:eastAsia="Calibri" w:cstheme="minorHAnsi"/>
          <w:sz w:val="24"/>
          <w:szCs w:val="24"/>
        </w:rPr>
        <w:t xml:space="preserve">. </w:t>
      </w:r>
      <w:r>
        <w:rPr>
          <w:rFonts w:eastAsia="Calibri" w:cstheme="minorHAnsi"/>
          <w:sz w:val="24"/>
          <w:szCs w:val="24"/>
        </w:rPr>
        <w:t xml:space="preserve">En la misma </w:t>
      </w:r>
      <w:r w:rsidRPr="009B2D49">
        <w:rPr>
          <w:rFonts w:eastAsia="Calibri" w:cstheme="minorHAnsi"/>
          <w:sz w:val="24"/>
          <w:szCs w:val="24"/>
        </w:rPr>
        <w:t xml:space="preserve">se </w:t>
      </w:r>
      <w:r>
        <w:rPr>
          <w:rFonts w:eastAsia="Calibri" w:cstheme="minorHAnsi"/>
          <w:sz w:val="24"/>
          <w:szCs w:val="24"/>
        </w:rPr>
        <w:t>definen</w:t>
      </w:r>
      <w:r w:rsidRPr="009B2D49">
        <w:rPr>
          <w:rFonts w:eastAsia="Calibri" w:cstheme="minorHAnsi"/>
          <w:sz w:val="24"/>
          <w:szCs w:val="24"/>
        </w:rPr>
        <w:t xml:space="preserve"> medidas concretas para sancionar este tipo de conductas. Sin embargo, a pesar de que esa ley es considerada un paso en la dirección correcta, los grupos de la diversidad sexual han criticado que no menciona </w:t>
      </w:r>
      <w:r w:rsidRPr="009B2D49">
        <w:rPr>
          <w:rFonts w:eastAsia="Calibri" w:cstheme="minorHAnsi"/>
          <w:sz w:val="24"/>
          <w:szCs w:val="24"/>
        </w:rPr>
        <w:lastRenderedPageBreak/>
        <w:t>expresamente la discriminación por motivos de orientación sexual e identidades de género entre las prohibiciones de discriminación.</w:t>
      </w:r>
    </w:p>
    <w:p w14:paraId="6EC3DFD9" w14:textId="77777777" w:rsidR="000C171B" w:rsidRPr="009B2D49" w:rsidRDefault="000C171B" w:rsidP="000C171B">
      <w:pPr>
        <w:spacing w:after="0" w:line="240" w:lineRule="auto"/>
        <w:jc w:val="both"/>
        <w:rPr>
          <w:rFonts w:cstheme="minorHAnsi"/>
          <w:sz w:val="24"/>
          <w:szCs w:val="24"/>
        </w:rPr>
      </w:pPr>
    </w:p>
    <w:p w14:paraId="6B6F74B3" w14:textId="2967385B" w:rsidR="000C171B" w:rsidRDefault="000C171B" w:rsidP="000C171B">
      <w:pPr>
        <w:spacing w:after="0" w:line="240" w:lineRule="auto"/>
        <w:jc w:val="both"/>
        <w:rPr>
          <w:rFonts w:cstheme="minorHAnsi"/>
          <w:b/>
          <w:bCs/>
          <w:color w:val="4472C4" w:themeColor="accent1"/>
          <w:sz w:val="24"/>
          <w:szCs w:val="24"/>
        </w:rPr>
      </w:pPr>
      <w:r w:rsidRPr="0074426E">
        <w:rPr>
          <w:rFonts w:cstheme="minorHAnsi"/>
          <w:b/>
          <w:bCs/>
          <w:color w:val="4472C4" w:themeColor="accent1"/>
          <w:sz w:val="24"/>
          <w:szCs w:val="24"/>
        </w:rPr>
        <w:t xml:space="preserve">4.1.5. Personas </w:t>
      </w:r>
      <w:r w:rsidR="009110B7">
        <w:rPr>
          <w:rFonts w:cstheme="minorHAnsi"/>
          <w:b/>
          <w:bCs/>
          <w:color w:val="4472C4" w:themeColor="accent1"/>
          <w:sz w:val="24"/>
          <w:szCs w:val="24"/>
        </w:rPr>
        <w:t xml:space="preserve">que viven </w:t>
      </w:r>
      <w:r w:rsidRPr="0074426E">
        <w:rPr>
          <w:rFonts w:cstheme="minorHAnsi"/>
          <w:b/>
          <w:bCs/>
          <w:color w:val="4472C4" w:themeColor="accent1"/>
          <w:sz w:val="24"/>
          <w:szCs w:val="24"/>
        </w:rPr>
        <w:t>con VIH.</w:t>
      </w:r>
    </w:p>
    <w:p w14:paraId="2DDCF462" w14:textId="77777777" w:rsidR="000C171B" w:rsidRPr="0074426E" w:rsidRDefault="000C171B" w:rsidP="000C171B">
      <w:pPr>
        <w:spacing w:after="0" w:line="240" w:lineRule="auto"/>
        <w:jc w:val="both"/>
        <w:rPr>
          <w:rFonts w:cstheme="minorHAnsi"/>
          <w:b/>
          <w:bCs/>
          <w:color w:val="4472C4" w:themeColor="accent1"/>
          <w:sz w:val="24"/>
          <w:szCs w:val="24"/>
        </w:rPr>
      </w:pPr>
    </w:p>
    <w:p w14:paraId="10982919" w14:textId="77777777" w:rsidR="000C171B" w:rsidRPr="009B2D49" w:rsidRDefault="000C171B" w:rsidP="000C171B">
      <w:pPr>
        <w:spacing w:after="0" w:line="240" w:lineRule="auto"/>
        <w:jc w:val="both"/>
        <w:rPr>
          <w:rFonts w:cstheme="minorHAnsi"/>
          <w:sz w:val="24"/>
          <w:szCs w:val="24"/>
        </w:rPr>
      </w:pPr>
      <w:r w:rsidRPr="009B2D49">
        <w:rPr>
          <w:rFonts w:cstheme="minorHAnsi"/>
          <w:sz w:val="24"/>
          <w:szCs w:val="24"/>
        </w:rPr>
        <w:t>Panamá tiene una epidemia concentrada de VIH</w:t>
      </w:r>
      <w:r w:rsidRPr="009B2D49">
        <w:rPr>
          <w:rStyle w:val="FootnoteReference"/>
          <w:rFonts w:cstheme="minorHAnsi"/>
          <w:sz w:val="24"/>
          <w:szCs w:val="24"/>
        </w:rPr>
        <w:footnoteReference w:id="15"/>
      </w:r>
      <w:r w:rsidRPr="009B2D49">
        <w:rPr>
          <w:rFonts w:cstheme="minorHAnsi"/>
          <w:sz w:val="24"/>
          <w:szCs w:val="24"/>
        </w:rPr>
        <w:t xml:space="preserve">. La prevalencia en la población de personas mayores de 14 años es uno de los más altos de América Latina.  Sin embargo, la incidencia estimada del VIH se ha mantenido estable en los últimos 10 años, con un aumento en el número absoluto de casos nuevos lo que indica la necesidad de mejorar los esfuerzos de prevención, particularmente en poblaciones clave. </w:t>
      </w:r>
    </w:p>
    <w:p w14:paraId="386D6139" w14:textId="77777777" w:rsidR="000C171B" w:rsidRPr="009B2D49" w:rsidRDefault="000C171B" w:rsidP="000C171B">
      <w:pPr>
        <w:spacing w:after="0" w:line="240" w:lineRule="auto"/>
        <w:jc w:val="both"/>
        <w:rPr>
          <w:rFonts w:cstheme="minorHAnsi"/>
          <w:sz w:val="24"/>
          <w:szCs w:val="24"/>
        </w:rPr>
      </w:pPr>
    </w:p>
    <w:p w14:paraId="5737A9F0" w14:textId="4B15DD64" w:rsidR="000C171B" w:rsidRPr="009B2D49" w:rsidRDefault="001037E5" w:rsidP="000C171B">
      <w:pPr>
        <w:spacing w:after="0" w:line="240" w:lineRule="auto"/>
        <w:jc w:val="both"/>
        <w:rPr>
          <w:rFonts w:eastAsia="Calibri" w:cstheme="minorHAnsi"/>
          <w:sz w:val="24"/>
          <w:szCs w:val="24"/>
        </w:rPr>
      </w:pPr>
      <w:r>
        <w:rPr>
          <w:rFonts w:eastAsia="Calibri" w:cstheme="minorHAnsi"/>
          <w:sz w:val="24"/>
          <w:szCs w:val="24"/>
        </w:rPr>
        <w:t>De hecho, l</w:t>
      </w:r>
      <w:r w:rsidR="000C171B" w:rsidRPr="009B2D49">
        <w:rPr>
          <w:rFonts w:eastAsia="Calibri" w:cstheme="minorHAnsi"/>
          <w:sz w:val="24"/>
          <w:szCs w:val="24"/>
        </w:rPr>
        <w:t xml:space="preserve">as nuevas infecciones por VIH ocurrieron entre </w:t>
      </w:r>
      <w:r w:rsidR="000C171B">
        <w:rPr>
          <w:rFonts w:eastAsia="Calibri" w:cstheme="minorHAnsi"/>
          <w:sz w:val="24"/>
          <w:szCs w:val="24"/>
        </w:rPr>
        <w:t>hombres que tienen relaciones sexuales con hombres (</w:t>
      </w:r>
      <w:r w:rsidR="000C171B" w:rsidRPr="009B2D49">
        <w:rPr>
          <w:rFonts w:eastAsia="Calibri" w:cstheme="minorHAnsi"/>
          <w:sz w:val="24"/>
          <w:szCs w:val="24"/>
        </w:rPr>
        <w:t>HSH</w:t>
      </w:r>
      <w:r w:rsidR="000C171B">
        <w:rPr>
          <w:rFonts w:eastAsia="Calibri" w:cstheme="minorHAnsi"/>
          <w:sz w:val="24"/>
          <w:szCs w:val="24"/>
        </w:rPr>
        <w:t>)</w:t>
      </w:r>
      <w:r w:rsidR="000C171B" w:rsidRPr="009B2D49">
        <w:rPr>
          <w:rFonts w:eastAsia="Calibri" w:cstheme="minorHAnsi"/>
          <w:sz w:val="24"/>
          <w:szCs w:val="24"/>
        </w:rPr>
        <w:t xml:space="preserve">. </w:t>
      </w:r>
      <w:r>
        <w:rPr>
          <w:rFonts w:eastAsia="Calibri" w:cstheme="minorHAnsi"/>
          <w:sz w:val="24"/>
          <w:szCs w:val="24"/>
        </w:rPr>
        <w:t>Así mismo, l</w:t>
      </w:r>
      <w:r w:rsidR="000C171B" w:rsidRPr="009B2D49">
        <w:rPr>
          <w:rFonts w:eastAsia="Calibri" w:cstheme="minorHAnsi"/>
          <w:sz w:val="24"/>
          <w:szCs w:val="24"/>
        </w:rPr>
        <w:t>a vulnerabilidad al riesgo entre esta población y las mujeres transgénero fue desproporcionadamente alta en comparación con el resto de la población. La población de trabajadoras sexuales ha logrado protección a lo largo de los años, lo que debe mantenerse. Sin embargo, uno de los principales retos que enfrenta el país para lograr las metas son las profundas desigualdades que se encuentran en el país, y que marginan especialmente a las poblaciones indígenas y a la población rural.</w:t>
      </w:r>
    </w:p>
    <w:p w14:paraId="0D7F3B0D" w14:textId="77777777" w:rsidR="000C171B" w:rsidRPr="009B2D49" w:rsidRDefault="000C171B" w:rsidP="000C171B">
      <w:pPr>
        <w:spacing w:after="0" w:line="240" w:lineRule="auto"/>
        <w:jc w:val="both"/>
        <w:rPr>
          <w:rFonts w:eastAsia="Calibri" w:cstheme="minorHAnsi"/>
          <w:sz w:val="24"/>
          <w:szCs w:val="24"/>
        </w:rPr>
      </w:pPr>
    </w:p>
    <w:p w14:paraId="6509138C" w14:textId="77777777" w:rsidR="000C171B" w:rsidRPr="009B2D49" w:rsidRDefault="000C171B" w:rsidP="000C171B">
      <w:pPr>
        <w:spacing w:after="0" w:line="240" w:lineRule="auto"/>
        <w:jc w:val="both"/>
        <w:rPr>
          <w:rFonts w:eastAsia="Calibri" w:cstheme="minorHAnsi"/>
          <w:sz w:val="24"/>
          <w:szCs w:val="24"/>
        </w:rPr>
      </w:pPr>
      <w:r w:rsidRPr="009B2D49">
        <w:rPr>
          <w:rFonts w:cstheme="minorHAnsi"/>
          <w:sz w:val="24"/>
          <w:szCs w:val="24"/>
        </w:rPr>
        <w:t>El VIH tiene una presencia muy desigual entre provincias y comarcas indígenas. Para el año 2006, las 3 regiones de salud con mayor registro de casos por cien mil habitantes eran Colón (451.3), Guna Yala (398.9) y Panamá Metro (336.7). Para el año 2018, las poblaciones con mayor prevalencia de VIH son las mujeres transgénero (29,6%); los hombres que tienen relaciones sexuales con hombres (6,7%), las trabajadoras sexuales independientes con 0,6% de prevalencia y personas privadas de libertad con la prevalencia al VIH de 1,1%.  Pero, s</w:t>
      </w:r>
      <w:r w:rsidRPr="009B2D49">
        <w:rPr>
          <w:rFonts w:eastAsia="Calibri" w:cstheme="minorHAnsi"/>
          <w:sz w:val="24"/>
          <w:szCs w:val="24"/>
        </w:rPr>
        <w:t xml:space="preserve">egún el estudio </w:t>
      </w:r>
      <w:proofErr w:type="spellStart"/>
      <w:r w:rsidRPr="009B2D49">
        <w:rPr>
          <w:rFonts w:eastAsia="Calibri" w:cstheme="minorHAnsi"/>
          <w:sz w:val="24"/>
          <w:szCs w:val="24"/>
        </w:rPr>
        <w:t>TrAC</w:t>
      </w:r>
      <w:proofErr w:type="spellEnd"/>
      <w:r w:rsidRPr="009B2D49">
        <w:rPr>
          <w:rFonts w:eastAsia="Calibri" w:cstheme="minorHAnsi"/>
          <w:sz w:val="24"/>
          <w:szCs w:val="24"/>
        </w:rPr>
        <w:t xml:space="preserve"> (PASMO, 2016), las poblaciones HSH (84%), mujeres transgénero (91%) y trabajadoras sexuales (96%), utilizan condones durante la relación sexual.  De igual manera los HSH (66%), las mujeres transgénero (77%) y las trabajadoras sexuales (89%) se someten a pruebas de VIH. Estas cifras se han mantenido relativamente estables en mediciones recientes.</w:t>
      </w:r>
    </w:p>
    <w:p w14:paraId="283FDA0C" w14:textId="77777777" w:rsidR="000C171B" w:rsidRPr="009B2D49" w:rsidRDefault="000C171B" w:rsidP="000C171B">
      <w:pPr>
        <w:spacing w:after="0" w:line="240" w:lineRule="auto"/>
        <w:jc w:val="both"/>
        <w:rPr>
          <w:rFonts w:cstheme="minorHAnsi"/>
          <w:sz w:val="24"/>
          <w:szCs w:val="24"/>
        </w:rPr>
      </w:pPr>
    </w:p>
    <w:p w14:paraId="349CBF53" w14:textId="6DDDA5E8" w:rsidR="000C171B" w:rsidRPr="009B2D49" w:rsidRDefault="000C171B" w:rsidP="000C171B">
      <w:pPr>
        <w:spacing w:after="0" w:line="240" w:lineRule="auto"/>
        <w:jc w:val="both"/>
        <w:rPr>
          <w:rFonts w:cstheme="minorHAnsi"/>
          <w:sz w:val="24"/>
          <w:szCs w:val="24"/>
        </w:rPr>
      </w:pPr>
      <w:r w:rsidRPr="009B2D49">
        <w:rPr>
          <w:rFonts w:cstheme="minorHAnsi"/>
          <w:sz w:val="24"/>
          <w:szCs w:val="24"/>
        </w:rPr>
        <w:t>En los últimos años se avanzó en la reducción de la transmisión materno infantil del VIH. Entre los años 2016 (4.7%) y 2018 (2.6%) el porcentaje de casos de transmisión en mujeres embarazadas con VIH bajó (MINSA, 2019). Acercándose a la meta (2%), establecida por la Iniciativa Regional para la Eliminación de la Transmisión Materno infantil del VIH y de la Sífilis Congénita en América Latina y el Caribe</w:t>
      </w:r>
      <w:r w:rsidRPr="009B2D49">
        <w:rPr>
          <w:rStyle w:val="FootnoteReference"/>
          <w:rFonts w:cstheme="minorHAnsi"/>
          <w:sz w:val="24"/>
          <w:szCs w:val="24"/>
        </w:rPr>
        <w:footnoteReference w:id="16"/>
      </w:r>
      <w:r w:rsidRPr="009B2D49">
        <w:rPr>
          <w:rFonts w:cstheme="minorHAnsi"/>
          <w:sz w:val="24"/>
          <w:szCs w:val="24"/>
        </w:rPr>
        <w:t>. Sobre todo</w:t>
      </w:r>
      <w:r w:rsidR="00DA1D66">
        <w:rPr>
          <w:rFonts w:cstheme="minorHAnsi"/>
          <w:sz w:val="24"/>
          <w:szCs w:val="24"/>
        </w:rPr>
        <w:t>,</w:t>
      </w:r>
      <w:r w:rsidRPr="009B2D49">
        <w:rPr>
          <w:rFonts w:cstheme="minorHAnsi"/>
          <w:sz w:val="24"/>
          <w:szCs w:val="24"/>
        </w:rPr>
        <w:t xml:space="preserve"> por la prueba a mujeres embarazadas. No obstante, las sucesivas evaluaciones del programa de Prevención de la Transmisión Materno Infantil del VIH y la Sífilis (PTMI) que han realizado OPS/OMS y ONUSIDA identificaron debilidades en la rectoría y deficiencias en la captación y retención en control prenatal de embarazadas con VIH, además de la aplicación deficiente de las normas de atención. </w:t>
      </w:r>
    </w:p>
    <w:p w14:paraId="7C649922" w14:textId="77777777" w:rsidR="000C171B" w:rsidRPr="009B2D49" w:rsidRDefault="000C171B" w:rsidP="000C171B">
      <w:pPr>
        <w:spacing w:after="0" w:line="240" w:lineRule="auto"/>
        <w:jc w:val="both"/>
        <w:rPr>
          <w:rFonts w:eastAsia="Calibri" w:cstheme="minorHAnsi"/>
          <w:sz w:val="24"/>
          <w:szCs w:val="24"/>
        </w:rPr>
      </w:pPr>
    </w:p>
    <w:p w14:paraId="3A53A038" w14:textId="77777777" w:rsidR="000C171B" w:rsidRPr="009B2D49" w:rsidRDefault="000C171B" w:rsidP="000C171B">
      <w:pPr>
        <w:spacing w:after="0" w:line="240" w:lineRule="auto"/>
        <w:jc w:val="both"/>
        <w:rPr>
          <w:rFonts w:eastAsia="Calibri" w:cstheme="minorHAnsi"/>
          <w:sz w:val="24"/>
          <w:szCs w:val="24"/>
        </w:rPr>
      </w:pPr>
      <w:r w:rsidRPr="009B2D49">
        <w:rPr>
          <w:rFonts w:eastAsia="Calibri" w:cstheme="minorHAnsi"/>
          <w:sz w:val="24"/>
          <w:szCs w:val="24"/>
        </w:rPr>
        <w:lastRenderedPageBreak/>
        <w:t xml:space="preserve">Por su parte, según los resultados </w:t>
      </w:r>
      <w:r>
        <w:rPr>
          <w:rFonts w:eastAsia="Calibri" w:cstheme="minorHAnsi"/>
          <w:sz w:val="24"/>
          <w:szCs w:val="24"/>
        </w:rPr>
        <w:t xml:space="preserve">de </w:t>
      </w:r>
      <w:r w:rsidRPr="009B2D49">
        <w:rPr>
          <w:rFonts w:eastAsia="Calibri" w:cstheme="minorHAnsi"/>
          <w:sz w:val="24"/>
          <w:szCs w:val="24"/>
        </w:rPr>
        <w:t xml:space="preserve">la cascada de tratamiento y testeo del VIH en Panamá (2018), el 71% de las personas con VIH conocen su </w:t>
      </w:r>
      <w:r>
        <w:rPr>
          <w:rFonts w:eastAsia="Calibri" w:cstheme="minorHAnsi"/>
          <w:sz w:val="24"/>
          <w:szCs w:val="24"/>
        </w:rPr>
        <w:t>estado serológico</w:t>
      </w:r>
      <w:r w:rsidRPr="009B2D49">
        <w:rPr>
          <w:rFonts w:eastAsia="Calibri" w:cstheme="minorHAnsi"/>
          <w:sz w:val="24"/>
          <w:szCs w:val="24"/>
        </w:rPr>
        <w:t xml:space="preserve">. De ese 71%, el 40% está en tratamiento, y asimismo de ese 40%, sólo un 32% tiene una carga viral indetectable.  Pero con la información disponible, no es posible elaborar cascadas de atención para cada una de las poblaciones clave, ni las tasas de VIH entre las poblaciones clave por región geográfica. </w:t>
      </w:r>
    </w:p>
    <w:p w14:paraId="3536495B" w14:textId="77777777" w:rsidR="000C171B" w:rsidRPr="009B2D49" w:rsidRDefault="000C171B" w:rsidP="000C171B">
      <w:pPr>
        <w:spacing w:after="0" w:line="240" w:lineRule="auto"/>
        <w:jc w:val="both"/>
        <w:rPr>
          <w:rFonts w:eastAsia="Calibri" w:cstheme="minorHAnsi"/>
          <w:sz w:val="24"/>
          <w:szCs w:val="24"/>
        </w:rPr>
      </w:pPr>
    </w:p>
    <w:p w14:paraId="7EA8E6B2" w14:textId="77777777" w:rsidR="000C171B" w:rsidRDefault="000C171B" w:rsidP="000C171B">
      <w:pPr>
        <w:spacing w:after="0" w:line="240" w:lineRule="auto"/>
        <w:jc w:val="both"/>
        <w:rPr>
          <w:rFonts w:eastAsia="Calibri" w:cstheme="minorHAnsi"/>
          <w:sz w:val="24"/>
          <w:szCs w:val="24"/>
        </w:rPr>
      </w:pPr>
      <w:r w:rsidRPr="009B2D49">
        <w:rPr>
          <w:rFonts w:eastAsia="Calibri" w:cstheme="minorHAnsi"/>
          <w:sz w:val="24"/>
          <w:szCs w:val="24"/>
        </w:rPr>
        <w:t xml:space="preserve">En el corto plazo, el país debe transitar gradualmente hacia una respuesta sostenible contra el VIH y la tuberculosis según poblaciones clave. Actualmente el Global </w:t>
      </w:r>
      <w:proofErr w:type="spellStart"/>
      <w:r w:rsidRPr="009B2D49">
        <w:rPr>
          <w:rFonts w:eastAsia="Calibri" w:cstheme="minorHAnsi"/>
          <w:sz w:val="24"/>
          <w:szCs w:val="24"/>
        </w:rPr>
        <w:t>Fund</w:t>
      </w:r>
      <w:proofErr w:type="spellEnd"/>
      <w:r w:rsidRPr="009B2D49">
        <w:rPr>
          <w:rFonts w:eastAsia="Calibri" w:cstheme="minorHAnsi"/>
          <w:sz w:val="24"/>
          <w:szCs w:val="24"/>
        </w:rPr>
        <w:t xml:space="preserve"> </w:t>
      </w:r>
      <w:proofErr w:type="spellStart"/>
      <w:r w:rsidRPr="009B2D49">
        <w:rPr>
          <w:rFonts w:eastAsia="Calibri" w:cstheme="minorHAnsi"/>
          <w:sz w:val="24"/>
          <w:szCs w:val="24"/>
        </w:rPr>
        <w:t>to</w:t>
      </w:r>
      <w:proofErr w:type="spellEnd"/>
      <w:r w:rsidRPr="009B2D49">
        <w:rPr>
          <w:rFonts w:eastAsia="Calibri" w:cstheme="minorHAnsi"/>
          <w:sz w:val="24"/>
          <w:szCs w:val="24"/>
        </w:rPr>
        <w:t xml:space="preserve"> </w:t>
      </w:r>
      <w:proofErr w:type="spellStart"/>
      <w:r w:rsidRPr="009B2D49">
        <w:rPr>
          <w:rFonts w:eastAsia="Calibri" w:cstheme="minorHAnsi"/>
          <w:sz w:val="24"/>
          <w:szCs w:val="24"/>
        </w:rPr>
        <w:t>Fight</w:t>
      </w:r>
      <w:proofErr w:type="spellEnd"/>
      <w:r w:rsidRPr="009B2D49">
        <w:rPr>
          <w:rFonts w:eastAsia="Calibri" w:cstheme="minorHAnsi"/>
          <w:sz w:val="24"/>
          <w:szCs w:val="24"/>
        </w:rPr>
        <w:t xml:space="preserve"> AIDS, Tuberculosis and Malaria (GFATM) apoya y financia la sostenibilidad de la respuesta nacional al VIH a través de la adopción de estrategias que han demostrado ser efectivas. Dichas estrategias incluyen el mecanismo de contratación social para ampliar la cobertura de los servicios de salud, la expansión de servicios amigables para poblaciones clave y la implementación de todas las políticas de la OMS, entre otros. </w:t>
      </w:r>
    </w:p>
    <w:p w14:paraId="30A7352C" w14:textId="77777777" w:rsidR="000C171B" w:rsidRDefault="000C171B" w:rsidP="000C171B">
      <w:pPr>
        <w:spacing w:after="0" w:line="240" w:lineRule="auto"/>
        <w:jc w:val="both"/>
        <w:rPr>
          <w:rFonts w:cstheme="minorHAnsi"/>
          <w:sz w:val="24"/>
          <w:szCs w:val="24"/>
        </w:rPr>
      </w:pPr>
    </w:p>
    <w:p w14:paraId="19AFB23A" w14:textId="6B32B329" w:rsidR="000C171B" w:rsidRPr="009B2D49" w:rsidRDefault="000C171B" w:rsidP="000C171B">
      <w:pPr>
        <w:spacing w:after="0" w:line="240" w:lineRule="auto"/>
        <w:jc w:val="both"/>
        <w:rPr>
          <w:rFonts w:eastAsia="Calibri" w:cstheme="minorHAnsi"/>
          <w:sz w:val="24"/>
          <w:szCs w:val="24"/>
        </w:rPr>
      </w:pPr>
      <w:r w:rsidRPr="00A14E54">
        <w:rPr>
          <w:rFonts w:cstheme="minorHAnsi"/>
          <w:sz w:val="24"/>
          <w:szCs w:val="24"/>
        </w:rPr>
        <w:t>Para 2018, las poblaciones con mayor prevalencia de VIH son las mujeres transgénero (29,6%); los hombres que tienen relaciones sexuales con hombres (6,7%), las trabajadoras sexuales independientes con 0,6% de prevalencia y personas privadas de libertad con la prevalencia al VIH de 1,1%.</w:t>
      </w:r>
    </w:p>
    <w:p w14:paraId="04551B5D" w14:textId="77777777" w:rsidR="000C171B" w:rsidRPr="009B2D49" w:rsidRDefault="000C171B" w:rsidP="000C171B">
      <w:pPr>
        <w:spacing w:after="0" w:line="240" w:lineRule="auto"/>
        <w:jc w:val="both"/>
        <w:rPr>
          <w:rFonts w:eastAsia="Calibri" w:cstheme="minorHAnsi"/>
          <w:sz w:val="24"/>
          <w:szCs w:val="24"/>
        </w:rPr>
      </w:pPr>
    </w:p>
    <w:p w14:paraId="50076C6A" w14:textId="77777777" w:rsidR="000C171B" w:rsidRDefault="000C171B" w:rsidP="000C171B">
      <w:pPr>
        <w:spacing w:after="0" w:line="240" w:lineRule="auto"/>
        <w:jc w:val="both"/>
        <w:rPr>
          <w:rFonts w:eastAsia="Calibri" w:cstheme="minorHAnsi"/>
          <w:sz w:val="24"/>
          <w:szCs w:val="24"/>
        </w:rPr>
      </w:pPr>
      <w:r w:rsidRPr="009B2D49">
        <w:rPr>
          <w:rFonts w:eastAsia="Calibri" w:cstheme="minorHAnsi"/>
          <w:sz w:val="24"/>
          <w:szCs w:val="24"/>
        </w:rPr>
        <w:t>Sin embargo, como Panamá es un país de renta alta, es necesario adoptar estrategias que garanticen la sostenibilidad de la prevención combinada en poblaciones claves. La incidencia de VIH y de sífilis en la población joven sigue siendo superior a la de la población general, por lo que son necesarias estrategias de prevención primaria más enfocadas en estas poblaciones. De manera paralela, se hace necesaria la expansión de los servicios de salud dirigidos a la población adolescente.</w:t>
      </w:r>
    </w:p>
    <w:p w14:paraId="47D71019" w14:textId="77777777" w:rsidR="000C171B" w:rsidRPr="009B2D49" w:rsidRDefault="000C171B" w:rsidP="000C171B">
      <w:pPr>
        <w:spacing w:after="0" w:line="240" w:lineRule="auto"/>
        <w:jc w:val="both"/>
        <w:rPr>
          <w:rFonts w:eastAsia="Calibri" w:cstheme="minorHAnsi"/>
          <w:sz w:val="24"/>
          <w:szCs w:val="24"/>
        </w:rPr>
      </w:pPr>
    </w:p>
    <w:p w14:paraId="20917703" w14:textId="77777777" w:rsidR="000C171B" w:rsidRDefault="000C171B" w:rsidP="000C171B">
      <w:pPr>
        <w:spacing w:after="0" w:line="240" w:lineRule="auto"/>
        <w:jc w:val="both"/>
        <w:rPr>
          <w:rFonts w:eastAsia="Calibri" w:cstheme="minorHAnsi"/>
          <w:sz w:val="24"/>
          <w:szCs w:val="24"/>
        </w:rPr>
      </w:pPr>
      <w:r w:rsidRPr="0053557D">
        <w:rPr>
          <w:rFonts w:eastAsia="Calibri" w:cstheme="minorHAnsi"/>
          <w:sz w:val="24"/>
          <w:szCs w:val="24"/>
        </w:rPr>
        <w:t xml:space="preserve">Por otra parte, la incidencia de VIH y de sífilis en la población joven sigue siendo superior a la de la población general, por lo que son necesarias estrategias de prevención primaria más enfocadas en estas poblaciones. De manera paralela, se hace necesaria la expansión de los servicios de salud dirigidos a la población adolescente. Se detecta una falta de claridad institucional respecto del liderazgo en la implementación de la PTMI, que debe ser resuelta para conseguir estrategias más enfocadas y resolutivas. Las instancias responsables de algunos de los componentes de la estrategia de PTMI, especialmente salud sexual y reproductiva y laboratorio, adolecen de una escasez de recursos humanos que puede impedir la completa implementación de dichos componentes. El éxito de la estrategia </w:t>
      </w:r>
      <w:r>
        <w:rPr>
          <w:rFonts w:eastAsia="Calibri" w:cstheme="minorHAnsi"/>
          <w:sz w:val="24"/>
          <w:szCs w:val="24"/>
        </w:rPr>
        <w:t xml:space="preserve">parte </w:t>
      </w:r>
      <w:r w:rsidRPr="0053557D">
        <w:rPr>
          <w:rFonts w:eastAsia="Calibri" w:cstheme="minorHAnsi"/>
          <w:sz w:val="24"/>
          <w:szCs w:val="24"/>
        </w:rPr>
        <w:t xml:space="preserve">por la definición de los algoritmos de diagnóstico de sífilis y de sífilis congénita, cuya inexistencia imposibilita el adecuado monitoreo de las intervenciones. Igualmente, parece lógico simplificar el algoritmo de diagnóstico para VIH, y unificar el utilizado en el segundo nivel de atención con el que se utiliza en el primer nivel. </w:t>
      </w:r>
    </w:p>
    <w:p w14:paraId="078F5F19" w14:textId="77777777" w:rsidR="000C171B" w:rsidRPr="0053557D" w:rsidRDefault="000C171B" w:rsidP="000C171B">
      <w:pPr>
        <w:spacing w:after="0" w:line="240" w:lineRule="auto"/>
        <w:jc w:val="both"/>
        <w:rPr>
          <w:rFonts w:eastAsia="Calibri" w:cstheme="minorHAnsi"/>
          <w:sz w:val="24"/>
          <w:szCs w:val="24"/>
        </w:rPr>
      </w:pPr>
    </w:p>
    <w:p w14:paraId="223FED9E" w14:textId="77777777" w:rsidR="000C171B" w:rsidRPr="0053557D" w:rsidRDefault="000C171B" w:rsidP="000C171B">
      <w:pPr>
        <w:spacing w:after="0" w:line="240" w:lineRule="auto"/>
        <w:jc w:val="both"/>
        <w:rPr>
          <w:rFonts w:eastAsia="Calibri" w:cstheme="minorHAnsi"/>
          <w:sz w:val="24"/>
          <w:szCs w:val="24"/>
        </w:rPr>
      </w:pPr>
      <w:r w:rsidRPr="0053557D">
        <w:rPr>
          <w:rFonts w:eastAsia="Calibri" w:cstheme="minorHAnsi"/>
          <w:sz w:val="24"/>
          <w:szCs w:val="24"/>
        </w:rPr>
        <w:t xml:space="preserve">Así mismo, la obligatoriedad de la prueba para mujeres embarazadas, y en general para cualquier población, supone una barrera al acceso, que debe eliminarse. Igualmente, debe </w:t>
      </w:r>
      <w:r w:rsidRPr="0053557D">
        <w:rPr>
          <w:rFonts w:eastAsia="Calibri" w:cstheme="minorHAnsi"/>
          <w:sz w:val="24"/>
          <w:szCs w:val="24"/>
        </w:rPr>
        <w:lastRenderedPageBreak/>
        <w:t>vigilarse el aseguramiento de la confidencialidad de los resultados, especialmente en el primer nivel de atención.</w:t>
      </w:r>
    </w:p>
    <w:p w14:paraId="49E014BE" w14:textId="77777777" w:rsidR="000C171B" w:rsidRPr="009B2D49" w:rsidRDefault="000C171B" w:rsidP="000C171B">
      <w:pPr>
        <w:spacing w:after="0" w:line="240" w:lineRule="auto"/>
        <w:jc w:val="both"/>
        <w:rPr>
          <w:rFonts w:cstheme="minorHAnsi"/>
          <w:sz w:val="24"/>
          <w:szCs w:val="24"/>
        </w:rPr>
      </w:pPr>
    </w:p>
    <w:p w14:paraId="348889E7" w14:textId="77777777" w:rsidR="000C171B" w:rsidRPr="0074426E" w:rsidRDefault="000C171B" w:rsidP="000C171B">
      <w:pPr>
        <w:spacing w:after="0" w:line="240" w:lineRule="auto"/>
        <w:jc w:val="both"/>
        <w:rPr>
          <w:rFonts w:cstheme="minorHAnsi"/>
          <w:b/>
          <w:bCs/>
          <w:color w:val="4472C4" w:themeColor="accent1"/>
          <w:sz w:val="24"/>
          <w:szCs w:val="24"/>
        </w:rPr>
      </w:pPr>
      <w:r w:rsidRPr="0074426E">
        <w:rPr>
          <w:rFonts w:cstheme="minorHAnsi"/>
          <w:b/>
          <w:bCs/>
          <w:color w:val="4472C4" w:themeColor="accent1"/>
          <w:sz w:val="24"/>
          <w:szCs w:val="24"/>
        </w:rPr>
        <w:t xml:space="preserve">4.1.6. </w:t>
      </w:r>
      <w:r w:rsidRPr="0074426E">
        <w:rPr>
          <w:rFonts w:cstheme="minorHAnsi"/>
          <w:color w:val="4472C4" w:themeColor="accent1"/>
          <w:sz w:val="24"/>
          <w:szCs w:val="24"/>
        </w:rPr>
        <w:t xml:space="preserve"> </w:t>
      </w:r>
      <w:r w:rsidRPr="0074426E">
        <w:rPr>
          <w:rFonts w:cstheme="minorHAnsi"/>
          <w:b/>
          <w:bCs/>
          <w:color w:val="4472C4" w:themeColor="accent1"/>
          <w:sz w:val="24"/>
          <w:szCs w:val="24"/>
        </w:rPr>
        <w:t>Pueblos indígenas.</w:t>
      </w:r>
    </w:p>
    <w:p w14:paraId="751F2454" w14:textId="77777777" w:rsidR="000C171B" w:rsidRPr="009B2D49" w:rsidRDefault="000C171B" w:rsidP="000C171B">
      <w:pPr>
        <w:spacing w:after="0" w:line="240" w:lineRule="auto"/>
        <w:jc w:val="both"/>
        <w:rPr>
          <w:rFonts w:cstheme="minorHAnsi"/>
          <w:b/>
          <w:bCs/>
          <w:sz w:val="24"/>
          <w:szCs w:val="24"/>
        </w:rPr>
      </w:pPr>
    </w:p>
    <w:p w14:paraId="46C19A4F" w14:textId="77777777" w:rsidR="000C171B" w:rsidRPr="009B2D49" w:rsidRDefault="000C171B" w:rsidP="000C171B">
      <w:pPr>
        <w:spacing w:after="0" w:line="240" w:lineRule="auto"/>
        <w:jc w:val="both"/>
        <w:rPr>
          <w:rFonts w:cstheme="minorHAnsi"/>
          <w:sz w:val="24"/>
          <w:szCs w:val="24"/>
        </w:rPr>
      </w:pPr>
      <w:r w:rsidRPr="009B2D49">
        <w:rPr>
          <w:rFonts w:cstheme="minorHAnsi"/>
          <w:sz w:val="24"/>
          <w:szCs w:val="24"/>
        </w:rPr>
        <w:t>Los pueblos indígenas se están quedando atrás. Del total de la población indígenas que hay en</w:t>
      </w:r>
    </w:p>
    <w:p w14:paraId="0C49A2D7" w14:textId="77777777" w:rsidR="000C171B" w:rsidRPr="009B2D49" w:rsidRDefault="000C171B" w:rsidP="000C171B">
      <w:pPr>
        <w:spacing w:after="0" w:line="240" w:lineRule="auto"/>
        <w:jc w:val="both"/>
        <w:rPr>
          <w:rFonts w:cstheme="minorHAnsi"/>
          <w:sz w:val="24"/>
          <w:szCs w:val="24"/>
        </w:rPr>
      </w:pPr>
      <w:r w:rsidRPr="009B2D49">
        <w:rPr>
          <w:rFonts w:cstheme="minorHAnsi"/>
          <w:sz w:val="24"/>
          <w:szCs w:val="24"/>
        </w:rPr>
        <w:t>Panamá, 53% vive fuera de las áreas comarcales, mientras que el 47% permanece en sus tierras. Sin embargo, 5 de cada 10 indígenas dejan sus tierras, principalmente en búsqueda de mejores oportunidades. Los pueblos originarios son, sin duda, la población más vulnerable y donde se concentra la pobreza multidimensional. Los principales retos que debemos atender es el tema de la educación y la salud, ya que los pueblos originarios mantienen altas tasas de analfabetismo y mortalidad infantil, sumado con una desnutrición que compromete su futuro (PEG</w:t>
      </w:r>
      <w:r>
        <w:rPr>
          <w:rFonts w:cstheme="minorHAnsi"/>
          <w:sz w:val="24"/>
          <w:szCs w:val="24"/>
        </w:rPr>
        <w:t>,</w:t>
      </w:r>
      <w:r w:rsidRPr="009B2D49">
        <w:rPr>
          <w:rFonts w:cstheme="minorHAnsi"/>
          <w:sz w:val="24"/>
          <w:szCs w:val="24"/>
        </w:rPr>
        <w:t xml:space="preserve"> 2019-2024).</w:t>
      </w:r>
    </w:p>
    <w:p w14:paraId="7FF8D949" w14:textId="77777777" w:rsidR="000C171B" w:rsidRPr="009B2D49" w:rsidRDefault="000C171B" w:rsidP="000C171B">
      <w:pPr>
        <w:spacing w:after="0" w:line="240" w:lineRule="auto"/>
        <w:jc w:val="both"/>
        <w:rPr>
          <w:rFonts w:cstheme="minorHAnsi"/>
          <w:sz w:val="24"/>
          <w:szCs w:val="24"/>
        </w:rPr>
      </w:pPr>
    </w:p>
    <w:p w14:paraId="08B4B4CB" w14:textId="77777777" w:rsidR="000C171B" w:rsidRPr="009B2D49" w:rsidRDefault="000C171B" w:rsidP="000C171B">
      <w:pPr>
        <w:spacing w:after="0" w:line="240" w:lineRule="auto"/>
        <w:jc w:val="both"/>
        <w:rPr>
          <w:rFonts w:cstheme="minorHAnsi"/>
          <w:sz w:val="24"/>
          <w:szCs w:val="24"/>
        </w:rPr>
      </w:pPr>
      <w:r w:rsidRPr="009B2D49">
        <w:rPr>
          <w:rFonts w:cstheme="minorHAnsi"/>
          <w:sz w:val="24"/>
          <w:szCs w:val="24"/>
        </w:rPr>
        <w:t>Los índices de pobreza y desnutrición de las poblaciones indígenas en Panamá reflejan la marcada desigualdad existente en el país, y la vulnerabilidad de estas poblaciones para quedarse atrás pese a la prosperidad económica de un país de renta alta como Panamá. Es decir, las comarcas indígenas y en las áreas rurales de difícil acceso del país residen quienes aún permanecen dentro del umbral de pobreza y se dedican en su mayoría a la agricultura de subsistencia (PEG, 2019-2024). Según las mediciones multidimensionales, en promedio, un 9% de la población en provincias no indígenas vive en extrema pobreza, porcentaje que se eleva al 55% en las comarcas indígenas. Asimismo, las comarcas indígenas presentan las mayores proporciones de niños, aniñas y adolescentes pobres multidimensionales: Comarca de Guna Yala, 99.3%, Comarca Ngäbe Buglé, 95.4% y Comarca Emberá, 81.0%. El promedio de la incidencia de pobreza multidimensional de las comarcas supera 3.3 veces el promedio de las provincias, muestra de la existente y conocida disparidad (PEG, 2019-2024).</w:t>
      </w:r>
    </w:p>
    <w:p w14:paraId="1788792F" w14:textId="77777777" w:rsidR="000C171B" w:rsidRPr="009B2D49" w:rsidRDefault="000C171B" w:rsidP="000C171B">
      <w:pPr>
        <w:spacing w:after="0" w:line="240" w:lineRule="auto"/>
        <w:jc w:val="both"/>
        <w:rPr>
          <w:rFonts w:cstheme="minorHAnsi"/>
          <w:sz w:val="24"/>
          <w:szCs w:val="24"/>
        </w:rPr>
      </w:pPr>
    </w:p>
    <w:p w14:paraId="699DC4B5" w14:textId="77777777" w:rsidR="000C171B" w:rsidRPr="009B2D49" w:rsidRDefault="000C171B" w:rsidP="000C171B">
      <w:pPr>
        <w:spacing w:after="0" w:line="240" w:lineRule="auto"/>
        <w:jc w:val="both"/>
        <w:rPr>
          <w:rFonts w:cstheme="minorHAnsi"/>
          <w:sz w:val="24"/>
          <w:szCs w:val="24"/>
        </w:rPr>
      </w:pPr>
      <w:r w:rsidRPr="009B2D49">
        <w:rPr>
          <w:rFonts w:cstheme="minorHAnsi"/>
          <w:sz w:val="24"/>
          <w:szCs w:val="24"/>
        </w:rPr>
        <w:t xml:space="preserve">En términos de pobreza multidimensional, los índices en comarcas indígenas son 4.5 veces más altos que el promedio del resto del país, elevándose por encima del 90% en las comarcas de Guna Yala y Ngäbe Buglé. </w:t>
      </w:r>
      <w:r>
        <w:rPr>
          <w:rFonts w:cstheme="minorHAnsi"/>
          <w:sz w:val="24"/>
          <w:szCs w:val="24"/>
        </w:rPr>
        <w:t>U</w:t>
      </w:r>
      <w:r w:rsidRPr="00155657">
        <w:rPr>
          <w:rFonts w:cstheme="minorHAnsi"/>
          <w:sz w:val="24"/>
          <w:szCs w:val="24"/>
        </w:rPr>
        <w:t xml:space="preserve">na primera aproximación a la medición de la desigualdad territorial con relación a la pobreza existente en un país a través del rango (o la diferencia) entre el valor máximo y mínimo de pobreza existente entre los territorios. En </w:t>
      </w:r>
      <w:r>
        <w:rPr>
          <w:rFonts w:cstheme="minorHAnsi"/>
          <w:sz w:val="24"/>
          <w:szCs w:val="24"/>
        </w:rPr>
        <w:t xml:space="preserve">el país </w:t>
      </w:r>
      <w:r w:rsidRPr="00155657">
        <w:rPr>
          <w:rFonts w:cstheme="minorHAnsi"/>
          <w:sz w:val="24"/>
          <w:szCs w:val="24"/>
        </w:rPr>
        <w:t>el rango es superior a 40 puntos porcentuales</w:t>
      </w:r>
      <w:r>
        <w:rPr>
          <w:rFonts w:cstheme="minorHAnsi"/>
          <w:sz w:val="24"/>
          <w:szCs w:val="24"/>
        </w:rPr>
        <w:t xml:space="preserve">, mientras que, en las </w:t>
      </w:r>
      <w:r w:rsidRPr="00155657">
        <w:rPr>
          <w:rFonts w:cstheme="minorHAnsi"/>
          <w:sz w:val="24"/>
          <w:szCs w:val="24"/>
        </w:rPr>
        <w:t xml:space="preserve">comarcas indígenas, el 85% de la población vive en situación de pobreza </w:t>
      </w:r>
      <w:r>
        <w:rPr>
          <w:rFonts w:cstheme="minorHAnsi"/>
          <w:sz w:val="24"/>
          <w:szCs w:val="24"/>
        </w:rPr>
        <w:t>(CEPAL, 2016)</w:t>
      </w:r>
      <w:r w:rsidRPr="00155657">
        <w:rPr>
          <w:rFonts w:cstheme="minorHAnsi"/>
          <w:sz w:val="24"/>
          <w:szCs w:val="24"/>
        </w:rPr>
        <w:t>.</w:t>
      </w:r>
      <w:r>
        <w:rPr>
          <w:rFonts w:cstheme="minorHAnsi"/>
          <w:sz w:val="24"/>
          <w:szCs w:val="24"/>
        </w:rPr>
        <w:t xml:space="preserve"> Asimismo, l</w:t>
      </w:r>
      <w:r w:rsidRPr="009B2D49">
        <w:rPr>
          <w:rFonts w:cstheme="minorHAnsi"/>
          <w:sz w:val="24"/>
          <w:szCs w:val="24"/>
        </w:rPr>
        <w:t>a prevalencia de la desnutrición crónica infantil también refleja la vulnerabilidad de las poblaciones indígenas, dado que frente a una tasa nacional del 19.1%, la desnutrición crónica infantil afectaba a más del 62% de los menores de 5 años en las poblaciones indígenas en 2008.</w:t>
      </w:r>
    </w:p>
    <w:p w14:paraId="64903C47" w14:textId="77777777" w:rsidR="000C171B" w:rsidRDefault="000C171B" w:rsidP="000C171B">
      <w:pPr>
        <w:spacing w:after="0" w:line="240" w:lineRule="auto"/>
        <w:jc w:val="both"/>
        <w:rPr>
          <w:rFonts w:cstheme="minorHAnsi"/>
          <w:sz w:val="24"/>
          <w:szCs w:val="24"/>
        </w:rPr>
      </w:pPr>
    </w:p>
    <w:p w14:paraId="0C65588C" w14:textId="77777777" w:rsidR="000C171B" w:rsidRPr="00155657" w:rsidRDefault="000C171B" w:rsidP="000C171B">
      <w:pPr>
        <w:spacing w:after="0" w:line="240" w:lineRule="auto"/>
        <w:jc w:val="both"/>
        <w:rPr>
          <w:rFonts w:cstheme="minorHAnsi"/>
          <w:sz w:val="24"/>
          <w:szCs w:val="24"/>
        </w:rPr>
      </w:pPr>
      <w:r>
        <w:rPr>
          <w:rFonts w:cstheme="minorHAnsi"/>
          <w:sz w:val="24"/>
          <w:szCs w:val="24"/>
        </w:rPr>
        <w:t>No obstante, p</w:t>
      </w:r>
      <w:r w:rsidRPr="00155657">
        <w:rPr>
          <w:rFonts w:cstheme="minorHAnsi"/>
          <w:sz w:val="24"/>
          <w:szCs w:val="24"/>
        </w:rPr>
        <w:t xml:space="preserve">ese a los avances </w:t>
      </w:r>
      <w:r>
        <w:rPr>
          <w:rFonts w:cstheme="minorHAnsi"/>
          <w:sz w:val="24"/>
          <w:szCs w:val="24"/>
        </w:rPr>
        <w:t xml:space="preserve">registrados, en los </w:t>
      </w:r>
      <w:r w:rsidRPr="00155657">
        <w:rPr>
          <w:rFonts w:cstheme="minorHAnsi"/>
          <w:sz w:val="24"/>
          <w:szCs w:val="24"/>
        </w:rPr>
        <w:t xml:space="preserve">últimos años, </w:t>
      </w:r>
      <w:r>
        <w:rPr>
          <w:rFonts w:cstheme="minorHAnsi"/>
          <w:sz w:val="24"/>
          <w:szCs w:val="24"/>
        </w:rPr>
        <w:t>sobre todo en el derecho a los servicios, las p</w:t>
      </w:r>
      <w:r w:rsidRPr="00155657">
        <w:rPr>
          <w:rFonts w:cstheme="minorHAnsi"/>
          <w:sz w:val="24"/>
          <w:szCs w:val="24"/>
        </w:rPr>
        <w:t xml:space="preserve">ersonas pertenecientes a los pueblos indígenas siguen enfrentando más dificultades de acceso, progresión, rezago y permanencia en el sistema educacional en comparación con el resto de la población, además de frecuentar escuelas de peor calidad. En </w:t>
      </w:r>
      <w:r>
        <w:rPr>
          <w:rFonts w:cstheme="minorHAnsi"/>
          <w:sz w:val="24"/>
          <w:szCs w:val="24"/>
        </w:rPr>
        <w:t>el país</w:t>
      </w:r>
      <w:r w:rsidRPr="00155657">
        <w:rPr>
          <w:rFonts w:cstheme="minorHAnsi"/>
          <w:sz w:val="24"/>
          <w:szCs w:val="24"/>
        </w:rPr>
        <w:t xml:space="preserve">, menos del 5% de los jóvenes indígenas rurales de 20 a 29 años tiene 13 años o más de </w:t>
      </w:r>
      <w:r w:rsidRPr="00155657">
        <w:rPr>
          <w:rFonts w:cstheme="minorHAnsi"/>
          <w:sz w:val="24"/>
          <w:szCs w:val="24"/>
        </w:rPr>
        <w:lastRenderedPageBreak/>
        <w:t>estudio (CEPAL, 2016). Es decir, son territorios con los mayores niveles de pobreza (más del 70% de su población) y el menor nivel educativo. Las comarcas indígenas en Panamá tienen el nivel educativo más bajo de América Latina (CEPAL, 2016).</w:t>
      </w:r>
    </w:p>
    <w:p w14:paraId="2702A3CA" w14:textId="77777777" w:rsidR="000C171B" w:rsidRPr="009B2D49" w:rsidRDefault="000C171B" w:rsidP="000C171B">
      <w:pPr>
        <w:spacing w:after="0" w:line="240" w:lineRule="auto"/>
        <w:jc w:val="both"/>
        <w:rPr>
          <w:rFonts w:cstheme="minorHAnsi"/>
          <w:sz w:val="24"/>
          <w:szCs w:val="24"/>
        </w:rPr>
      </w:pPr>
    </w:p>
    <w:p w14:paraId="2B524750" w14:textId="77777777" w:rsidR="000C171B" w:rsidRPr="0074426E" w:rsidRDefault="000C171B" w:rsidP="000C171B">
      <w:pPr>
        <w:spacing w:after="0" w:line="240" w:lineRule="auto"/>
        <w:jc w:val="both"/>
        <w:rPr>
          <w:rFonts w:cstheme="minorHAnsi"/>
          <w:b/>
          <w:bCs/>
          <w:color w:val="4472C4" w:themeColor="accent1"/>
          <w:sz w:val="24"/>
          <w:szCs w:val="24"/>
        </w:rPr>
      </w:pPr>
      <w:r w:rsidRPr="0074426E">
        <w:rPr>
          <w:rFonts w:cstheme="minorHAnsi"/>
          <w:b/>
          <w:bCs/>
          <w:color w:val="4472C4" w:themeColor="accent1"/>
          <w:sz w:val="24"/>
          <w:szCs w:val="24"/>
        </w:rPr>
        <w:t xml:space="preserve">4.1.7. Población afro panameña. </w:t>
      </w:r>
    </w:p>
    <w:p w14:paraId="0E86941E" w14:textId="77777777" w:rsidR="000C171B" w:rsidRPr="008E75C0" w:rsidRDefault="000C171B" w:rsidP="000C171B">
      <w:pPr>
        <w:spacing w:after="0" w:line="240" w:lineRule="auto"/>
        <w:jc w:val="both"/>
        <w:rPr>
          <w:rFonts w:cstheme="minorHAnsi"/>
          <w:sz w:val="24"/>
          <w:szCs w:val="24"/>
        </w:rPr>
      </w:pPr>
    </w:p>
    <w:p w14:paraId="5BED0462" w14:textId="77777777" w:rsidR="000C171B" w:rsidRPr="00582976" w:rsidRDefault="000C171B" w:rsidP="000C171B">
      <w:pPr>
        <w:spacing w:after="0" w:line="240" w:lineRule="auto"/>
        <w:jc w:val="both"/>
        <w:rPr>
          <w:rFonts w:cstheme="minorHAnsi"/>
          <w:sz w:val="24"/>
          <w:szCs w:val="24"/>
        </w:rPr>
      </w:pPr>
      <w:r w:rsidRPr="00582976">
        <w:rPr>
          <w:rFonts w:cstheme="minorHAnsi"/>
          <w:sz w:val="24"/>
          <w:szCs w:val="24"/>
        </w:rPr>
        <w:t>De acuerdo con los datos del Censo Nacional de Población y Vivienda de 2010, aproximadamente 9% de la población de Panamá se auto identifica como afrodescendiente, lo que colocaría a Panamá como el tercer país de América Latina con mayor porcentaje de población afrodescendiente, tras Brasil y Colombia (BID</w:t>
      </w:r>
      <w:r>
        <w:rPr>
          <w:rFonts w:cstheme="minorHAnsi"/>
          <w:sz w:val="24"/>
          <w:szCs w:val="24"/>
        </w:rPr>
        <w:t>,</w:t>
      </w:r>
      <w:r w:rsidRPr="00582976">
        <w:rPr>
          <w:rFonts w:cstheme="minorHAnsi"/>
          <w:sz w:val="24"/>
          <w:szCs w:val="24"/>
        </w:rPr>
        <w:t xml:space="preserve"> 2018). Pero, sin embargo, no existe un enfoque diferencial étnico que favorezca la transversalización de la variable afro en la política pública. Es decir, los afros panameños son invisibles para las políticas públicas, aunque recientemente la Ley 64 crea la Secretaría Nacional para el Desarrollo de los Afro panameños (SENADAP).  </w:t>
      </w:r>
      <w:r>
        <w:rPr>
          <w:rFonts w:cstheme="minorHAnsi"/>
          <w:sz w:val="24"/>
          <w:szCs w:val="24"/>
        </w:rPr>
        <w:t>Pero la misma no tiene un diseño institucional que le permita afrontar la tarea de cerrar las brechas de información al mismo tiempo que genera enfoques y políticas innovadoras orientadas hacia la inclusión étnico-racional de la población afro panameña.</w:t>
      </w:r>
    </w:p>
    <w:p w14:paraId="2ECE1A5D" w14:textId="77777777" w:rsidR="000C171B" w:rsidRPr="00582976" w:rsidRDefault="000C171B" w:rsidP="000C171B">
      <w:pPr>
        <w:spacing w:after="0" w:line="240" w:lineRule="auto"/>
        <w:jc w:val="both"/>
        <w:rPr>
          <w:rFonts w:cstheme="minorHAnsi"/>
          <w:sz w:val="24"/>
          <w:szCs w:val="24"/>
        </w:rPr>
      </w:pPr>
    </w:p>
    <w:p w14:paraId="33D637CE" w14:textId="0DC09D08" w:rsidR="000C171B" w:rsidRPr="00582976" w:rsidRDefault="000C171B" w:rsidP="000C171B">
      <w:pPr>
        <w:spacing w:after="0" w:line="240" w:lineRule="auto"/>
        <w:jc w:val="both"/>
        <w:rPr>
          <w:sz w:val="24"/>
          <w:szCs w:val="24"/>
        </w:rPr>
      </w:pPr>
      <w:r w:rsidRPr="00582976">
        <w:rPr>
          <w:rFonts w:cstheme="minorHAnsi"/>
          <w:sz w:val="24"/>
          <w:szCs w:val="24"/>
        </w:rPr>
        <w:t>Los derechos de la población afro</w:t>
      </w:r>
      <w:r w:rsidR="00B97FC6">
        <w:rPr>
          <w:rFonts w:cstheme="minorHAnsi"/>
          <w:sz w:val="24"/>
          <w:szCs w:val="24"/>
        </w:rPr>
        <w:t>-</w:t>
      </w:r>
      <w:r w:rsidRPr="00582976">
        <w:rPr>
          <w:rFonts w:cstheme="minorHAnsi"/>
          <w:sz w:val="24"/>
          <w:szCs w:val="24"/>
        </w:rPr>
        <w:t xml:space="preserve">panameña son afectados principalmente por la discriminación social y económica por </w:t>
      </w:r>
      <w:r>
        <w:rPr>
          <w:rFonts w:cstheme="minorHAnsi"/>
          <w:sz w:val="24"/>
          <w:szCs w:val="24"/>
        </w:rPr>
        <w:t>factores étnico-racionales</w:t>
      </w:r>
      <w:r w:rsidRPr="00582976">
        <w:rPr>
          <w:rFonts w:cstheme="minorHAnsi"/>
          <w:sz w:val="24"/>
          <w:szCs w:val="24"/>
        </w:rPr>
        <w:t>. Aunque en promedio la población afrodescendiente en Panamá exhibe mejores condiciones que la media nacional, lo que se explica, en gran parte, por el alto porcentaje de la población afro</w:t>
      </w:r>
      <w:r w:rsidR="00B97FC6">
        <w:rPr>
          <w:rFonts w:cstheme="minorHAnsi"/>
          <w:sz w:val="24"/>
          <w:szCs w:val="24"/>
        </w:rPr>
        <w:t>-</w:t>
      </w:r>
      <w:r w:rsidRPr="00582976">
        <w:rPr>
          <w:rFonts w:cstheme="minorHAnsi"/>
          <w:sz w:val="24"/>
          <w:szCs w:val="24"/>
        </w:rPr>
        <w:t>panameña que habita en zonas urbanas, donde la cobertura de servicios básicos es casi universal y de mayor calidad. El 83% de los afrodescendientes en Panamá se concentran en zonas urbanas, muy por encima de la media nacional de 65%. El mayor número de personas afrodescendientes se ubica en las provincias de Panamá (61.8%) y Colón (22.4%) (BID</w:t>
      </w:r>
      <w:r>
        <w:rPr>
          <w:rFonts w:cstheme="minorHAnsi"/>
          <w:sz w:val="24"/>
          <w:szCs w:val="24"/>
        </w:rPr>
        <w:t>,</w:t>
      </w:r>
      <w:r w:rsidRPr="00582976">
        <w:rPr>
          <w:rFonts w:cstheme="minorHAnsi"/>
          <w:sz w:val="24"/>
          <w:szCs w:val="24"/>
        </w:rPr>
        <w:t xml:space="preserve"> 2018). </w:t>
      </w:r>
      <w:r w:rsidRPr="00582976">
        <w:rPr>
          <w:sz w:val="24"/>
          <w:szCs w:val="24"/>
        </w:rPr>
        <w:t xml:space="preserve">Sin embargo, existen poblaciones y regiones fuertemente asociadas a la cultura afro, pero son áreas con niveles bajos de desarrollo. Típicamente, son regiones con interconexiones precarias con el resto del país y los mercados y, en general, con un menor acceso a los servicios públicos (BM, 2018). </w:t>
      </w:r>
    </w:p>
    <w:p w14:paraId="3C27A165" w14:textId="77777777" w:rsidR="000C171B" w:rsidRPr="00582976" w:rsidRDefault="000C171B" w:rsidP="000C171B">
      <w:pPr>
        <w:spacing w:after="0" w:line="240" w:lineRule="auto"/>
        <w:jc w:val="both"/>
        <w:rPr>
          <w:sz w:val="24"/>
          <w:szCs w:val="24"/>
        </w:rPr>
      </w:pPr>
    </w:p>
    <w:p w14:paraId="57676513" w14:textId="0AECD09C" w:rsidR="000C171B" w:rsidRPr="00582976" w:rsidRDefault="000C171B" w:rsidP="000C171B">
      <w:pPr>
        <w:spacing w:after="0" w:line="240" w:lineRule="auto"/>
        <w:jc w:val="both"/>
        <w:rPr>
          <w:rFonts w:cstheme="minorHAnsi"/>
          <w:sz w:val="24"/>
          <w:szCs w:val="24"/>
        </w:rPr>
      </w:pPr>
      <w:r w:rsidRPr="00582976">
        <w:rPr>
          <w:rFonts w:cstheme="minorHAnsi"/>
          <w:sz w:val="24"/>
          <w:szCs w:val="24"/>
        </w:rPr>
        <w:t>Sin embargo, los promedios pueden ocultar las problemáticas que enfrentan las comunidades afrodescendientes en zonas rurales (BID</w:t>
      </w:r>
      <w:r>
        <w:rPr>
          <w:rFonts w:cstheme="minorHAnsi"/>
          <w:sz w:val="24"/>
          <w:szCs w:val="24"/>
        </w:rPr>
        <w:t>,</w:t>
      </w:r>
      <w:r w:rsidRPr="00582976">
        <w:rPr>
          <w:rFonts w:cstheme="minorHAnsi"/>
          <w:sz w:val="24"/>
          <w:szCs w:val="24"/>
        </w:rPr>
        <w:t xml:space="preserve"> 2018).  Hasta las brechas y privaciones que inciden en el desarrollo de las poblaciones afro</w:t>
      </w:r>
      <w:r w:rsidR="00B97FC6">
        <w:rPr>
          <w:rFonts w:cstheme="minorHAnsi"/>
          <w:sz w:val="24"/>
          <w:szCs w:val="24"/>
        </w:rPr>
        <w:t>-</w:t>
      </w:r>
      <w:r w:rsidRPr="00582976">
        <w:rPr>
          <w:rFonts w:cstheme="minorHAnsi"/>
          <w:sz w:val="24"/>
          <w:szCs w:val="24"/>
        </w:rPr>
        <w:t>panameñas en las áreas rurales, por ejemplo, son desconocidas. Tal es el caso de las poblaciones afro</w:t>
      </w:r>
      <w:r w:rsidR="00B97FC6">
        <w:rPr>
          <w:rFonts w:cstheme="minorHAnsi"/>
          <w:sz w:val="24"/>
          <w:szCs w:val="24"/>
        </w:rPr>
        <w:t>-</w:t>
      </w:r>
      <w:r w:rsidRPr="00582976">
        <w:rPr>
          <w:rFonts w:cstheme="minorHAnsi"/>
          <w:sz w:val="24"/>
          <w:szCs w:val="24"/>
        </w:rPr>
        <w:t xml:space="preserve">panameñas en las provincias de Bocas del Toro y Darién. A nivel nacional el 15.6% de los afrodescendiente viven por debajo del 50% de la media de los ingresos. Lo que muestra una brecha y un esfuerzo importante para la reducción de la pobreza por la dispersión, falta de servicios y pertinencia cultural de las intervenciones. </w:t>
      </w:r>
    </w:p>
    <w:p w14:paraId="349D6B63" w14:textId="77777777" w:rsidR="000C171B" w:rsidRPr="00582976" w:rsidRDefault="000C171B" w:rsidP="000C171B">
      <w:pPr>
        <w:spacing w:after="0" w:line="240" w:lineRule="auto"/>
        <w:jc w:val="both"/>
        <w:rPr>
          <w:rFonts w:cstheme="minorHAnsi"/>
          <w:sz w:val="24"/>
          <w:szCs w:val="24"/>
        </w:rPr>
      </w:pPr>
    </w:p>
    <w:p w14:paraId="162D7482" w14:textId="77777777" w:rsidR="000C171B" w:rsidRPr="00582976" w:rsidRDefault="000C171B" w:rsidP="000C171B">
      <w:pPr>
        <w:spacing w:after="0" w:line="240" w:lineRule="auto"/>
        <w:jc w:val="both"/>
        <w:rPr>
          <w:sz w:val="24"/>
          <w:szCs w:val="24"/>
        </w:rPr>
      </w:pPr>
      <w:r w:rsidRPr="00582976">
        <w:rPr>
          <w:sz w:val="24"/>
          <w:szCs w:val="24"/>
        </w:rPr>
        <w:t xml:space="preserve">En el caso de los afros panameños, la brecha de ingresos aumenta con el nivel de escolaridad. Los trabajadores afrodescendientes pierden terreno frente a otros panameños en la medida que su nivel educativo aumenta: con el nivel primario terminado, obtienen en promedio 18% más que los trabajadores blancos, pero cuando completan la educación universitaria, ganan 11% menos (BM, 2018). Al comparar a trabajadores con el mismo nivel educativo, edad, género, estatus marital, experiencia, tipo de empleo, sector laboral y características del hogar, pero de </w:t>
      </w:r>
      <w:r w:rsidRPr="00582976">
        <w:rPr>
          <w:sz w:val="24"/>
          <w:szCs w:val="24"/>
        </w:rPr>
        <w:lastRenderedPageBreak/>
        <w:t xml:space="preserve">diferente etnia, los afrodescendientes tienden a tener ingresos considerablemente inferiores por el mismo tipo de trabajo. Manteniendo el resto de las características constantes, en Panamá un trabajador afrodescendiente es propenso a ganar, entre el 4% -5% menos que otros panameños por el mismo trabajo (BM, 2018). </w:t>
      </w:r>
    </w:p>
    <w:p w14:paraId="59A29758" w14:textId="77777777" w:rsidR="00E837CF" w:rsidRPr="008E75C0" w:rsidRDefault="00E837CF" w:rsidP="000C171B">
      <w:pPr>
        <w:spacing w:after="0" w:line="240" w:lineRule="auto"/>
        <w:jc w:val="both"/>
        <w:rPr>
          <w:rFonts w:cstheme="minorHAnsi"/>
          <w:sz w:val="24"/>
          <w:szCs w:val="24"/>
        </w:rPr>
      </w:pPr>
    </w:p>
    <w:p w14:paraId="412E92FE" w14:textId="77777777" w:rsidR="000C171B" w:rsidRPr="009B2D49" w:rsidRDefault="000C171B" w:rsidP="000C171B">
      <w:pPr>
        <w:spacing w:after="0" w:line="240" w:lineRule="auto"/>
        <w:jc w:val="both"/>
        <w:rPr>
          <w:rFonts w:cstheme="minorHAnsi"/>
          <w:b/>
          <w:bCs/>
          <w:sz w:val="24"/>
          <w:szCs w:val="24"/>
        </w:rPr>
      </w:pPr>
      <w:r w:rsidRPr="0074426E">
        <w:rPr>
          <w:rFonts w:cstheme="minorHAnsi"/>
          <w:b/>
          <w:bCs/>
          <w:color w:val="4472C4" w:themeColor="accent1"/>
          <w:sz w:val="24"/>
          <w:szCs w:val="24"/>
        </w:rPr>
        <w:t>4.1.8. Personas con discapacidad.</w:t>
      </w:r>
    </w:p>
    <w:p w14:paraId="32C9FE74" w14:textId="77777777" w:rsidR="000C171B" w:rsidRPr="009B2D49" w:rsidRDefault="000C171B" w:rsidP="000C171B">
      <w:pPr>
        <w:spacing w:after="0" w:line="240" w:lineRule="auto"/>
        <w:jc w:val="both"/>
        <w:rPr>
          <w:rFonts w:cstheme="minorHAnsi"/>
          <w:b/>
          <w:bCs/>
          <w:sz w:val="24"/>
          <w:szCs w:val="24"/>
        </w:rPr>
      </w:pPr>
    </w:p>
    <w:p w14:paraId="0A337C5D" w14:textId="6DC73EE7" w:rsidR="000C171B" w:rsidRDefault="000C171B" w:rsidP="000C171B">
      <w:pPr>
        <w:spacing w:after="0" w:line="240" w:lineRule="auto"/>
        <w:jc w:val="both"/>
        <w:rPr>
          <w:rFonts w:cstheme="minorHAnsi"/>
          <w:sz w:val="24"/>
          <w:szCs w:val="24"/>
        </w:rPr>
      </w:pPr>
      <w:r>
        <w:rPr>
          <w:rFonts w:cstheme="minorHAnsi"/>
          <w:sz w:val="24"/>
          <w:szCs w:val="24"/>
        </w:rPr>
        <w:t>La En</w:t>
      </w:r>
      <w:r w:rsidRPr="009B2D49">
        <w:rPr>
          <w:rFonts w:cstheme="minorHAnsi"/>
          <w:sz w:val="24"/>
          <w:szCs w:val="24"/>
        </w:rPr>
        <w:t>cuesta Nacional de Discapacidad (ENDI</w:t>
      </w:r>
      <w:r>
        <w:rPr>
          <w:rFonts w:cstheme="minorHAnsi"/>
          <w:sz w:val="24"/>
          <w:szCs w:val="24"/>
        </w:rPr>
        <w:t>S, 2006</w:t>
      </w:r>
      <w:r w:rsidRPr="009B2D49">
        <w:rPr>
          <w:rFonts w:cstheme="minorHAnsi"/>
          <w:sz w:val="24"/>
          <w:szCs w:val="24"/>
        </w:rPr>
        <w:t xml:space="preserve">) </w:t>
      </w:r>
      <w:r>
        <w:rPr>
          <w:rFonts w:cstheme="minorHAnsi"/>
          <w:sz w:val="24"/>
          <w:szCs w:val="24"/>
        </w:rPr>
        <w:t xml:space="preserve">estimó que </w:t>
      </w:r>
      <w:r w:rsidRPr="009B2D49">
        <w:rPr>
          <w:rFonts w:cstheme="minorHAnsi"/>
          <w:sz w:val="24"/>
          <w:szCs w:val="24"/>
        </w:rPr>
        <w:t xml:space="preserve">la prevalencia nacional de </w:t>
      </w:r>
      <w:r>
        <w:rPr>
          <w:rFonts w:cstheme="minorHAnsi"/>
          <w:sz w:val="24"/>
          <w:szCs w:val="24"/>
        </w:rPr>
        <w:t xml:space="preserve">personas con alguna </w:t>
      </w:r>
      <w:r w:rsidRPr="009B2D49">
        <w:rPr>
          <w:rFonts w:cstheme="minorHAnsi"/>
          <w:sz w:val="24"/>
          <w:szCs w:val="24"/>
        </w:rPr>
        <w:t>discapacidad era de 11,3%</w:t>
      </w:r>
      <w:r>
        <w:rPr>
          <w:rFonts w:cstheme="minorHAnsi"/>
          <w:sz w:val="24"/>
          <w:szCs w:val="24"/>
        </w:rPr>
        <w:t>;</w:t>
      </w:r>
      <w:r w:rsidRPr="009B2D49">
        <w:rPr>
          <w:rFonts w:cstheme="minorHAnsi"/>
          <w:sz w:val="24"/>
          <w:szCs w:val="24"/>
        </w:rPr>
        <w:t xml:space="preserve"> con un rango de entre 2,7% </w:t>
      </w:r>
      <w:r>
        <w:rPr>
          <w:rFonts w:cstheme="minorHAnsi"/>
          <w:sz w:val="24"/>
          <w:szCs w:val="24"/>
        </w:rPr>
        <w:t>(</w:t>
      </w:r>
      <w:r w:rsidRPr="009B2D49">
        <w:rPr>
          <w:rFonts w:cstheme="minorHAnsi"/>
          <w:sz w:val="24"/>
          <w:szCs w:val="24"/>
        </w:rPr>
        <w:t xml:space="preserve">comarca Emberá </w:t>
      </w:r>
      <w:proofErr w:type="spellStart"/>
      <w:r>
        <w:rPr>
          <w:rFonts w:cstheme="minorHAnsi"/>
          <w:sz w:val="24"/>
          <w:szCs w:val="24"/>
        </w:rPr>
        <w:t>Wounnan</w:t>
      </w:r>
      <w:proofErr w:type="spellEnd"/>
      <w:r>
        <w:rPr>
          <w:rFonts w:cstheme="minorHAnsi"/>
          <w:sz w:val="24"/>
          <w:szCs w:val="24"/>
        </w:rPr>
        <w:t xml:space="preserve">) </w:t>
      </w:r>
      <w:r w:rsidRPr="009B2D49">
        <w:rPr>
          <w:rFonts w:cstheme="minorHAnsi"/>
          <w:sz w:val="24"/>
          <w:szCs w:val="24"/>
        </w:rPr>
        <w:t xml:space="preserve">y 15,6% </w:t>
      </w:r>
      <w:r>
        <w:rPr>
          <w:rFonts w:cstheme="minorHAnsi"/>
          <w:sz w:val="24"/>
          <w:szCs w:val="24"/>
        </w:rPr>
        <w:t>(</w:t>
      </w:r>
      <w:r w:rsidRPr="009B2D49">
        <w:rPr>
          <w:rFonts w:cstheme="minorHAnsi"/>
          <w:sz w:val="24"/>
          <w:szCs w:val="24"/>
        </w:rPr>
        <w:t>provincia de Veraguas</w:t>
      </w:r>
      <w:r>
        <w:rPr>
          <w:rFonts w:cstheme="minorHAnsi"/>
          <w:sz w:val="24"/>
          <w:szCs w:val="24"/>
        </w:rPr>
        <w:t>)</w:t>
      </w:r>
      <w:r w:rsidRPr="009B2D49">
        <w:rPr>
          <w:rFonts w:cstheme="minorHAnsi"/>
          <w:sz w:val="24"/>
          <w:szCs w:val="24"/>
        </w:rPr>
        <w:t>.</w:t>
      </w:r>
      <w:r>
        <w:rPr>
          <w:rFonts w:cstheme="minorHAnsi"/>
          <w:sz w:val="24"/>
          <w:szCs w:val="24"/>
        </w:rPr>
        <w:t xml:space="preserve"> </w:t>
      </w:r>
      <w:r w:rsidRPr="009B2D49">
        <w:rPr>
          <w:rFonts w:cstheme="minorHAnsi"/>
          <w:sz w:val="24"/>
          <w:szCs w:val="24"/>
        </w:rPr>
        <w:t xml:space="preserve">Las provincias </w:t>
      </w:r>
      <w:r>
        <w:rPr>
          <w:rFonts w:cstheme="minorHAnsi"/>
          <w:sz w:val="24"/>
          <w:szCs w:val="24"/>
        </w:rPr>
        <w:t>(</w:t>
      </w:r>
      <w:r w:rsidRPr="009B2D49">
        <w:rPr>
          <w:rFonts w:cstheme="minorHAnsi"/>
          <w:sz w:val="24"/>
          <w:szCs w:val="24"/>
        </w:rPr>
        <w:t>Herrera, Darién, Coclé,</w:t>
      </w:r>
      <w:r w:rsidRPr="00740956">
        <w:rPr>
          <w:rFonts w:cstheme="minorHAnsi"/>
          <w:sz w:val="24"/>
          <w:szCs w:val="24"/>
        </w:rPr>
        <w:t xml:space="preserve"> </w:t>
      </w:r>
      <w:r w:rsidRPr="009B2D49">
        <w:rPr>
          <w:rFonts w:cstheme="minorHAnsi"/>
          <w:sz w:val="24"/>
          <w:szCs w:val="24"/>
        </w:rPr>
        <w:t>Chiriquí y Los Santos</w:t>
      </w:r>
      <w:r>
        <w:rPr>
          <w:rFonts w:cstheme="minorHAnsi"/>
          <w:sz w:val="24"/>
          <w:szCs w:val="24"/>
        </w:rPr>
        <w:t xml:space="preserve">) </w:t>
      </w:r>
      <w:r w:rsidRPr="009B2D49">
        <w:rPr>
          <w:rFonts w:cstheme="minorHAnsi"/>
          <w:sz w:val="24"/>
          <w:szCs w:val="24"/>
        </w:rPr>
        <w:t xml:space="preserve">y comarcas </w:t>
      </w:r>
      <w:r>
        <w:rPr>
          <w:rFonts w:cstheme="minorHAnsi"/>
          <w:sz w:val="24"/>
          <w:szCs w:val="24"/>
        </w:rPr>
        <w:t>(</w:t>
      </w:r>
      <w:r w:rsidRPr="009B2D49">
        <w:rPr>
          <w:rFonts w:cstheme="minorHAnsi"/>
          <w:sz w:val="24"/>
          <w:szCs w:val="24"/>
        </w:rPr>
        <w:t>Guna Yala, Ngäbe-Buglé</w:t>
      </w:r>
      <w:r>
        <w:rPr>
          <w:rFonts w:cstheme="minorHAnsi"/>
          <w:sz w:val="24"/>
          <w:szCs w:val="24"/>
        </w:rPr>
        <w:t xml:space="preserve">), </w:t>
      </w:r>
      <w:r w:rsidRPr="009B2D49">
        <w:rPr>
          <w:rFonts w:cstheme="minorHAnsi"/>
          <w:sz w:val="24"/>
          <w:szCs w:val="24"/>
        </w:rPr>
        <w:t>superan la media nacional</w:t>
      </w:r>
    </w:p>
    <w:p w14:paraId="7436B58D" w14:textId="77777777" w:rsidR="000C171B" w:rsidRDefault="000C171B" w:rsidP="000C171B">
      <w:pPr>
        <w:spacing w:after="0" w:line="240" w:lineRule="auto"/>
        <w:jc w:val="both"/>
        <w:rPr>
          <w:rFonts w:cstheme="minorHAnsi"/>
          <w:sz w:val="24"/>
          <w:szCs w:val="24"/>
        </w:rPr>
      </w:pPr>
    </w:p>
    <w:p w14:paraId="71DFE425" w14:textId="77777777" w:rsidR="000C171B" w:rsidRPr="009B2D49" w:rsidRDefault="000C171B" w:rsidP="000C171B">
      <w:pPr>
        <w:spacing w:after="0" w:line="240" w:lineRule="auto"/>
        <w:jc w:val="both"/>
        <w:rPr>
          <w:rFonts w:cstheme="minorHAnsi"/>
          <w:sz w:val="24"/>
          <w:szCs w:val="24"/>
        </w:rPr>
      </w:pPr>
      <w:r>
        <w:rPr>
          <w:rFonts w:cstheme="minorHAnsi"/>
          <w:sz w:val="24"/>
          <w:szCs w:val="24"/>
        </w:rPr>
        <w:t>Además, se identificó en En</w:t>
      </w:r>
      <w:r w:rsidRPr="009B2D49">
        <w:rPr>
          <w:rFonts w:cstheme="minorHAnsi"/>
          <w:sz w:val="24"/>
          <w:szCs w:val="24"/>
        </w:rPr>
        <w:t>cuesta Nacional de Discapacidad (ENDI</w:t>
      </w:r>
      <w:r>
        <w:rPr>
          <w:rFonts w:cstheme="minorHAnsi"/>
          <w:sz w:val="24"/>
          <w:szCs w:val="24"/>
        </w:rPr>
        <w:t>S, 2006</w:t>
      </w:r>
      <w:r w:rsidRPr="009B2D49">
        <w:rPr>
          <w:rFonts w:cstheme="minorHAnsi"/>
          <w:sz w:val="24"/>
          <w:szCs w:val="24"/>
        </w:rPr>
        <w:t xml:space="preserve">) </w:t>
      </w:r>
      <w:r>
        <w:rPr>
          <w:rFonts w:cstheme="minorHAnsi"/>
          <w:sz w:val="24"/>
          <w:szCs w:val="24"/>
        </w:rPr>
        <w:t>una m</w:t>
      </w:r>
      <w:r w:rsidRPr="009B2D49">
        <w:rPr>
          <w:rFonts w:cstheme="minorHAnsi"/>
          <w:sz w:val="24"/>
          <w:szCs w:val="24"/>
        </w:rPr>
        <w:t xml:space="preserve">ayor prevalencia en las mujeres </w:t>
      </w:r>
      <w:r>
        <w:rPr>
          <w:rFonts w:cstheme="minorHAnsi"/>
          <w:sz w:val="24"/>
          <w:szCs w:val="24"/>
        </w:rPr>
        <w:t xml:space="preserve">(12,4%) </w:t>
      </w:r>
      <w:r w:rsidRPr="009B2D49">
        <w:rPr>
          <w:rFonts w:cstheme="minorHAnsi"/>
          <w:sz w:val="24"/>
          <w:szCs w:val="24"/>
        </w:rPr>
        <w:t>que en los hombres (10,4)</w:t>
      </w:r>
      <w:r>
        <w:rPr>
          <w:rFonts w:cstheme="minorHAnsi"/>
          <w:sz w:val="24"/>
          <w:szCs w:val="24"/>
        </w:rPr>
        <w:t xml:space="preserve">. Por último, la Encuesta señala </w:t>
      </w:r>
      <w:r w:rsidRPr="009B2D49">
        <w:rPr>
          <w:rFonts w:cstheme="minorHAnsi"/>
          <w:sz w:val="24"/>
          <w:szCs w:val="24"/>
        </w:rPr>
        <w:t xml:space="preserve">que las personas con discapacidad tienen mayores necesidades de cuidados, una vez rebasan la niñez y adolescencia. Lo que las hace más vulnerables.  </w:t>
      </w:r>
    </w:p>
    <w:p w14:paraId="35405E72" w14:textId="77777777" w:rsidR="000C171B" w:rsidRPr="009B2D49" w:rsidRDefault="000C171B" w:rsidP="000C171B">
      <w:pPr>
        <w:spacing w:after="0" w:line="240" w:lineRule="auto"/>
        <w:jc w:val="both"/>
        <w:rPr>
          <w:rFonts w:cstheme="minorHAnsi"/>
          <w:sz w:val="24"/>
          <w:szCs w:val="24"/>
        </w:rPr>
      </w:pPr>
    </w:p>
    <w:p w14:paraId="017410C3" w14:textId="77777777" w:rsidR="000C171B" w:rsidRPr="0074426E" w:rsidRDefault="000C171B" w:rsidP="000C171B">
      <w:pPr>
        <w:spacing w:after="0" w:line="240" w:lineRule="auto"/>
        <w:jc w:val="both"/>
        <w:rPr>
          <w:rFonts w:cstheme="minorHAnsi"/>
          <w:b/>
          <w:bCs/>
          <w:color w:val="4472C4" w:themeColor="accent1"/>
          <w:sz w:val="24"/>
          <w:szCs w:val="24"/>
        </w:rPr>
      </w:pPr>
      <w:r w:rsidRPr="0074426E">
        <w:rPr>
          <w:rFonts w:cstheme="minorHAnsi"/>
          <w:b/>
          <w:bCs/>
          <w:color w:val="4472C4" w:themeColor="accent1"/>
          <w:sz w:val="24"/>
          <w:szCs w:val="24"/>
        </w:rPr>
        <w:t xml:space="preserve">4.2. Análisis de la </w:t>
      </w:r>
      <w:bookmarkStart w:id="3" w:name="_Hlk30073486"/>
      <w:r w:rsidRPr="0074426E">
        <w:rPr>
          <w:rFonts w:cstheme="minorHAnsi"/>
          <w:b/>
          <w:bCs/>
          <w:color w:val="4472C4" w:themeColor="accent1"/>
          <w:sz w:val="24"/>
          <w:szCs w:val="24"/>
        </w:rPr>
        <w:t xml:space="preserve">interacción de los factores que causan y refuerzan la desigualdad y la discriminación. </w:t>
      </w:r>
    </w:p>
    <w:bookmarkEnd w:id="3"/>
    <w:p w14:paraId="5CB3B80B" w14:textId="77777777" w:rsidR="000C171B" w:rsidRPr="009B2D49" w:rsidRDefault="000C171B" w:rsidP="000C171B">
      <w:pPr>
        <w:spacing w:after="0" w:line="240" w:lineRule="auto"/>
        <w:jc w:val="both"/>
        <w:rPr>
          <w:rFonts w:cstheme="minorHAnsi"/>
          <w:sz w:val="24"/>
          <w:szCs w:val="24"/>
        </w:rPr>
      </w:pPr>
    </w:p>
    <w:p w14:paraId="75A86878" w14:textId="77777777" w:rsidR="000C171B" w:rsidRPr="009B2D49" w:rsidRDefault="000C171B" w:rsidP="000C171B">
      <w:pPr>
        <w:spacing w:after="0" w:line="240" w:lineRule="auto"/>
        <w:jc w:val="both"/>
        <w:rPr>
          <w:rFonts w:cstheme="minorHAnsi"/>
          <w:sz w:val="24"/>
          <w:szCs w:val="24"/>
        </w:rPr>
      </w:pPr>
      <w:r w:rsidRPr="009B2D49">
        <w:rPr>
          <w:rFonts w:cstheme="minorHAnsi"/>
          <w:sz w:val="24"/>
          <w:szCs w:val="24"/>
        </w:rPr>
        <w:t>La premisa principal del enfoque de desarrollo humano es que expandir las libertades de las personas es tanto el objetivo como el medio principal para lograr un desarrollo sostenible. Si las desigualdades en el desarrollo humano persisten y crecen, las aspiraciones de la Agenda 2030 para el Desarrollo Sostenible seguirán sin cumplirse (HDR, 2019).</w:t>
      </w:r>
    </w:p>
    <w:p w14:paraId="58BCAD2B" w14:textId="77777777" w:rsidR="000C171B" w:rsidRPr="009B2D49" w:rsidRDefault="000C171B" w:rsidP="000C171B">
      <w:pPr>
        <w:spacing w:after="0" w:line="240" w:lineRule="auto"/>
        <w:jc w:val="both"/>
        <w:rPr>
          <w:rFonts w:cstheme="minorHAnsi"/>
          <w:sz w:val="24"/>
          <w:szCs w:val="24"/>
        </w:rPr>
      </w:pPr>
    </w:p>
    <w:p w14:paraId="594C21E9" w14:textId="77777777" w:rsidR="000C171B" w:rsidRPr="009B2D49" w:rsidRDefault="000C171B" w:rsidP="000C171B">
      <w:pPr>
        <w:spacing w:after="0" w:line="240" w:lineRule="auto"/>
        <w:jc w:val="both"/>
        <w:rPr>
          <w:rFonts w:cstheme="minorHAnsi"/>
          <w:sz w:val="24"/>
          <w:szCs w:val="24"/>
        </w:rPr>
      </w:pPr>
      <w:r w:rsidRPr="009B2D49">
        <w:rPr>
          <w:rFonts w:cstheme="minorHAnsi"/>
          <w:sz w:val="24"/>
          <w:szCs w:val="24"/>
        </w:rPr>
        <w:t xml:space="preserve">Las desigualdades en el desarrollo humano son un cuello de botella definitorio </w:t>
      </w:r>
      <w:r>
        <w:rPr>
          <w:rFonts w:cstheme="minorHAnsi"/>
          <w:sz w:val="24"/>
          <w:szCs w:val="24"/>
        </w:rPr>
        <w:t xml:space="preserve">del logro de </w:t>
      </w:r>
      <w:r w:rsidRPr="009B2D49">
        <w:rPr>
          <w:rFonts w:cstheme="minorHAnsi"/>
          <w:sz w:val="24"/>
          <w:szCs w:val="24"/>
        </w:rPr>
        <w:t>la Agenda 2030 para el Desarrollo Sostenible, ya que no se trata únicamente de disparidades en ingresos y riqueza. Las políticas para corregir estas desigualdades requieren la vinculación de la formación de capacidades con un contexto más amplio en el cual se mueven los mercados y los gobiernos (HDR, 2019). Es decir, sin reconocimiento del contexto y sus impactos en el desarrollo de las políticas</w:t>
      </w:r>
      <w:r>
        <w:rPr>
          <w:rFonts w:cstheme="minorHAnsi"/>
          <w:sz w:val="24"/>
          <w:szCs w:val="24"/>
        </w:rPr>
        <w:t>,</w:t>
      </w:r>
      <w:r w:rsidRPr="009B2D49">
        <w:rPr>
          <w:rFonts w:cstheme="minorHAnsi"/>
          <w:sz w:val="24"/>
          <w:szCs w:val="24"/>
        </w:rPr>
        <w:t xml:space="preserve"> no puede existir una interacción que refuerce las metas pro-igualdad. </w:t>
      </w:r>
    </w:p>
    <w:p w14:paraId="58BDD8EF" w14:textId="77777777" w:rsidR="000C171B" w:rsidRPr="009B2D49" w:rsidRDefault="000C171B" w:rsidP="000C171B">
      <w:pPr>
        <w:spacing w:after="0" w:line="240" w:lineRule="auto"/>
        <w:jc w:val="both"/>
        <w:rPr>
          <w:rFonts w:cstheme="minorHAnsi"/>
          <w:sz w:val="24"/>
          <w:szCs w:val="24"/>
        </w:rPr>
      </w:pPr>
    </w:p>
    <w:p w14:paraId="06383B3E" w14:textId="77777777" w:rsidR="000C171B" w:rsidRPr="009B2D49" w:rsidRDefault="000C171B" w:rsidP="000C171B">
      <w:pPr>
        <w:spacing w:after="0" w:line="240" w:lineRule="auto"/>
        <w:jc w:val="both"/>
        <w:rPr>
          <w:rFonts w:cstheme="minorHAnsi"/>
          <w:sz w:val="24"/>
          <w:szCs w:val="24"/>
        </w:rPr>
      </w:pPr>
      <w:r w:rsidRPr="009B2D49">
        <w:rPr>
          <w:rFonts w:cstheme="minorHAnsi"/>
          <w:sz w:val="24"/>
          <w:szCs w:val="24"/>
        </w:rPr>
        <w:t xml:space="preserve">Las mediciones de la pobreza por consumo, ingreso y multidimensional son distinguidas y utilizadas comúnmente en análisis gubernamentales y académicos.  De allí que el modelo de crecimiento genere múltiples asimetrías que distribuyen oportunidades y capacidades en las áreas rurales, indígenas y urbano-marginales de manera poco efectiva y eficiente, donde la profundidad y la severidad en combinación con la dispersión poblacional y la migración parecen incidir en las características de las desigualdades.  A su vez, las desigualdades se reflejan en las brechas entre los activos productivos, físicos, financieros y de capital humano, que existen entre los distintos grupos poblaciones y económicos. En cada caso, las brechas, privaciones y barreras generan patrones desiguales de acumulación que reproducen cíclicamente relaciones asimétricas de desarrollo. </w:t>
      </w:r>
    </w:p>
    <w:p w14:paraId="36457B03" w14:textId="77777777" w:rsidR="000C171B" w:rsidRDefault="000C171B" w:rsidP="000C171B">
      <w:pPr>
        <w:spacing w:after="0" w:line="240" w:lineRule="auto"/>
        <w:jc w:val="both"/>
        <w:rPr>
          <w:rFonts w:cstheme="minorHAnsi"/>
          <w:sz w:val="24"/>
          <w:szCs w:val="24"/>
        </w:rPr>
      </w:pPr>
    </w:p>
    <w:p w14:paraId="228CF27D" w14:textId="77777777" w:rsidR="000C171B" w:rsidRDefault="000C171B" w:rsidP="000C171B">
      <w:pPr>
        <w:spacing w:after="0" w:line="240" w:lineRule="auto"/>
        <w:jc w:val="both"/>
        <w:rPr>
          <w:rFonts w:cstheme="minorHAnsi"/>
          <w:sz w:val="24"/>
          <w:szCs w:val="24"/>
        </w:rPr>
      </w:pPr>
      <w:r w:rsidRPr="009B2D49">
        <w:rPr>
          <w:rFonts w:cstheme="minorHAnsi"/>
          <w:sz w:val="24"/>
          <w:szCs w:val="24"/>
        </w:rPr>
        <w:lastRenderedPageBreak/>
        <w:t xml:space="preserve">En el caso de Panamá, la desigualdad ha sido poco estudiada en Panamá. La pobreza y la exclusión son más conocidas y analizadas que la desigualdad. </w:t>
      </w:r>
      <w:r>
        <w:rPr>
          <w:rFonts w:cstheme="minorHAnsi"/>
          <w:sz w:val="24"/>
          <w:szCs w:val="24"/>
        </w:rPr>
        <w:t xml:space="preserve">Sin embargo, en todo caso, se requiere colocarlas a las tres en relación con la inclusión. No es suficiente con las medidas estadísticas. </w:t>
      </w:r>
    </w:p>
    <w:p w14:paraId="143F7B6E" w14:textId="77777777" w:rsidR="000C171B" w:rsidRDefault="000C171B" w:rsidP="000C171B">
      <w:pPr>
        <w:spacing w:after="0" w:line="240" w:lineRule="auto"/>
        <w:jc w:val="both"/>
        <w:rPr>
          <w:rFonts w:cstheme="minorHAnsi"/>
          <w:sz w:val="24"/>
          <w:szCs w:val="24"/>
        </w:rPr>
      </w:pPr>
    </w:p>
    <w:p w14:paraId="626EF284" w14:textId="77777777" w:rsidR="000C171B" w:rsidRDefault="000C171B" w:rsidP="000C171B">
      <w:pPr>
        <w:spacing w:after="0" w:line="240" w:lineRule="auto"/>
        <w:jc w:val="both"/>
        <w:rPr>
          <w:rFonts w:cstheme="minorHAnsi"/>
          <w:sz w:val="24"/>
          <w:szCs w:val="24"/>
        </w:rPr>
      </w:pPr>
      <w:r>
        <w:rPr>
          <w:rFonts w:cstheme="minorHAnsi"/>
          <w:sz w:val="24"/>
          <w:szCs w:val="24"/>
        </w:rPr>
        <w:t>En ese contexto, la exclusión no es sólo un concepto más, sobre todo porque gene</w:t>
      </w:r>
      <w:r w:rsidRPr="005637B7">
        <w:rPr>
          <w:rFonts w:cstheme="minorHAnsi"/>
          <w:sz w:val="24"/>
          <w:szCs w:val="24"/>
        </w:rPr>
        <w:t>ra una interacción de factores que causan y refuerzan la desigualdad y la discriminación a través de desventajas acumulativas, oportunidades desiguales y falta de reconocimiento y dignidad. Estos factores son afectados simultáneamente por múltiples estructuras sociales, que interactúan de formas complejas para producir experiencias, relaciones sociales y resultados diferentes a los del resto de la población. También la exclusión produce oportunidades desiguales, que restringen la materialización de su pleno potencial humano. De esa manera las personas según sexo, etnia, ingresos y territorios, por lo menos en el caso de Panamá, tienen un arranque distinto al nacer y una posición desventajosa a lo largo de toda la vida, dado que nuevas barreras aparecen y se acumulan con la edad. Asimismo, la falta reconocimiento o dignidad, crea barreras en el acceso a servicios, volviendo a las personas estadísticamente “invisibles”, por ejemplo, o exponiéndolos a representaciones discriminatorias de sí mismos en los sistemas escolares y servicios de salud, entre otros. La inclusión social, por lo tanto, se refiere al proceso de mejorar la capacidad, oportunidad y dignidad para permitir su acceso a los mercados, servicios y espacios (BM, 2018).</w:t>
      </w:r>
    </w:p>
    <w:p w14:paraId="555A9DB3" w14:textId="77777777" w:rsidR="000C171B" w:rsidRDefault="000C171B" w:rsidP="000C171B">
      <w:pPr>
        <w:spacing w:after="0" w:line="240" w:lineRule="auto"/>
        <w:jc w:val="both"/>
        <w:rPr>
          <w:rFonts w:cstheme="minorHAnsi"/>
          <w:sz w:val="24"/>
          <w:szCs w:val="24"/>
        </w:rPr>
      </w:pPr>
    </w:p>
    <w:p w14:paraId="1060BD83" w14:textId="77777777" w:rsidR="000C171B" w:rsidRPr="009B2D49" w:rsidRDefault="000C171B" w:rsidP="000C171B">
      <w:pPr>
        <w:spacing w:after="0" w:line="240" w:lineRule="auto"/>
        <w:jc w:val="both"/>
        <w:rPr>
          <w:rFonts w:cstheme="minorHAnsi"/>
          <w:color w:val="FF0000"/>
          <w:sz w:val="24"/>
          <w:szCs w:val="24"/>
        </w:rPr>
      </w:pPr>
      <w:r w:rsidRPr="009B2D49">
        <w:rPr>
          <w:rFonts w:cstheme="minorHAnsi"/>
          <w:sz w:val="24"/>
          <w:szCs w:val="24"/>
        </w:rPr>
        <w:t xml:space="preserve">Pero esta situación no es nueva. </w:t>
      </w:r>
      <w:r>
        <w:rPr>
          <w:rFonts w:cstheme="minorHAnsi"/>
          <w:sz w:val="24"/>
          <w:szCs w:val="24"/>
        </w:rPr>
        <w:t>Lo</w:t>
      </w:r>
      <w:r w:rsidRPr="006A297B">
        <w:rPr>
          <w:rFonts w:cstheme="minorHAnsi"/>
          <w:sz w:val="24"/>
          <w:szCs w:val="24"/>
        </w:rPr>
        <w:t xml:space="preserve">s factores </w:t>
      </w:r>
      <w:r>
        <w:rPr>
          <w:rFonts w:cstheme="minorHAnsi"/>
          <w:sz w:val="24"/>
          <w:szCs w:val="24"/>
        </w:rPr>
        <w:t xml:space="preserve">asociados a la exclusión </w:t>
      </w:r>
      <w:r w:rsidRPr="006A297B">
        <w:rPr>
          <w:rFonts w:cstheme="minorHAnsi"/>
          <w:sz w:val="24"/>
          <w:szCs w:val="24"/>
        </w:rPr>
        <w:t>que causan y refuerzan la desigualdad y la discriminación</w:t>
      </w:r>
      <w:r>
        <w:rPr>
          <w:rFonts w:cstheme="minorHAnsi"/>
          <w:sz w:val="24"/>
          <w:szCs w:val="24"/>
        </w:rPr>
        <w:t xml:space="preserve"> están provocando que gradualmente l</w:t>
      </w:r>
      <w:r w:rsidRPr="009B2D49">
        <w:rPr>
          <w:rFonts w:cstheme="minorHAnsi"/>
          <w:sz w:val="24"/>
          <w:szCs w:val="24"/>
        </w:rPr>
        <w:t xml:space="preserve">a captura de los ingresos </w:t>
      </w:r>
      <w:r>
        <w:rPr>
          <w:rFonts w:cstheme="minorHAnsi"/>
          <w:sz w:val="24"/>
          <w:szCs w:val="24"/>
        </w:rPr>
        <w:t xml:space="preserve">por el </w:t>
      </w:r>
      <w:r w:rsidRPr="009B2D49">
        <w:rPr>
          <w:rFonts w:cstheme="minorHAnsi"/>
          <w:sz w:val="24"/>
          <w:szCs w:val="24"/>
        </w:rPr>
        <w:t>40% más pobre se redu</w:t>
      </w:r>
      <w:r>
        <w:rPr>
          <w:rFonts w:cstheme="minorHAnsi"/>
          <w:sz w:val="24"/>
          <w:szCs w:val="24"/>
        </w:rPr>
        <w:t>zca</w:t>
      </w:r>
      <w:r w:rsidRPr="009B2D49">
        <w:rPr>
          <w:rFonts w:cstheme="minorHAnsi"/>
          <w:sz w:val="24"/>
          <w:szCs w:val="24"/>
        </w:rPr>
        <w:t xml:space="preserve">: </w:t>
      </w:r>
      <w:r>
        <w:rPr>
          <w:rFonts w:cstheme="minorHAnsi"/>
          <w:sz w:val="24"/>
          <w:szCs w:val="24"/>
        </w:rPr>
        <w:t xml:space="preserve">del 14% de los ingresos </w:t>
      </w:r>
      <w:r w:rsidRPr="009B2D49">
        <w:rPr>
          <w:rFonts w:cstheme="minorHAnsi"/>
          <w:sz w:val="24"/>
          <w:szCs w:val="24"/>
        </w:rPr>
        <w:t xml:space="preserve">en </w:t>
      </w:r>
      <w:r>
        <w:rPr>
          <w:rFonts w:cstheme="minorHAnsi"/>
          <w:sz w:val="24"/>
          <w:szCs w:val="24"/>
        </w:rPr>
        <w:t xml:space="preserve">el año </w:t>
      </w:r>
      <w:r w:rsidRPr="009B2D49">
        <w:rPr>
          <w:rFonts w:cstheme="minorHAnsi"/>
          <w:sz w:val="24"/>
          <w:szCs w:val="24"/>
        </w:rPr>
        <w:t>2010</w:t>
      </w:r>
      <w:r>
        <w:rPr>
          <w:rFonts w:cstheme="minorHAnsi"/>
          <w:sz w:val="24"/>
          <w:szCs w:val="24"/>
        </w:rPr>
        <w:t xml:space="preserve"> al 11.1% de los ingresos en el año </w:t>
      </w:r>
      <w:r w:rsidRPr="009B2D49">
        <w:rPr>
          <w:rFonts w:cstheme="minorHAnsi"/>
          <w:sz w:val="24"/>
          <w:szCs w:val="24"/>
        </w:rPr>
        <w:t xml:space="preserve">2017. Es decir, la poca relación entre oportunidades y capacidades reproduce el ciclo irreductible de desigualdad en tanto esa población requiere realizar un esfuerzo nueve veces </w:t>
      </w:r>
      <w:r w:rsidRPr="009B2D49">
        <w:rPr>
          <w:rFonts w:cstheme="minorHAnsi"/>
          <w:color w:val="000000" w:themeColor="text1"/>
          <w:sz w:val="24"/>
          <w:szCs w:val="24"/>
        </w:rPr>
        <w:t>superior para romper las brechas que mantienen su condición. Tres precisiones permiten esclarecer esta situación. La primera, el reconocimiento que la economía de enclave situada en la región interoceánica gestó, al mismo tiempo, políticas públicas de enclave eficientes en la región interoceánica</w:t>
      </w:r>
      <w:r>
        <w:rPr>
          <w:rFonts w:cstheme="minorHAnsi"/>
          <w:color w:val="000000" w:themeColor="text1"/>
          <w:sz w:val="24"/>
          <w:szCs w:val="24"/>
        </w:rPr>
        <w:t>, pero no en el resto del país</w:t>
      </w:r>
      <w:r w:rsidRPr="009B2D49">
        <w:rPr>
          <w:rFonts w:cstheme="minorHAnsi"/>
          <w:color w:val="000000" w:themeColor="text1"/>
          <w:sz w:val="24"/>
          <w:szCs w:val="24"/>
        </w:rPr>
        <w:t xml:space="preserve">. La segunda, la poca diferenciación entre las políticas públicas orientadas hacia la reducción de la pobreza, la exclusión y la desigualdad. La tercera, la identificación </w:t>
      </w:r>
      <w:r>
        <w:rPr>
          <w:rFonts w:cstheme="minorHAnsi"/>
          <w:color w:val="000000" w:themeColor="text1"/>
          <w:sz w:val="24"/>
          <w:szCs w:val="24"/>
        </w:rPr>
        <w:t xml:space="preserve">precisa </w:t>
      </w:r>
      <w:r w:rsidRPr="009B2D49">
        <w:rPr>
          <w:rFonts w:cstheme="minorHAnsi"/>
          <w:color w:val="000000" w:themeColor="text1"/>
          <w:sz w:val="24"/>
          <w:szCs w:val="24"/>
        </w:rPr>
        <w:t xml:space="preserve">de los tipos de asimetrías que produce la desigualdad: económicas, sociales, étnicas, territoriales. Es decir, las velocidades del desarrollo en el país se corresponden con la forma como la economía de enclave y las políticas públicas de enclave pierden su centralidad en la vida pública. </w:t>
      </w:r>
    </w:p>
    <w:p w14:paraId="6A530A20" w14:textId="77777777" w:rsidR="000C171B" w:rsidRPr="009B2D49" w:rsidRDefault="000C171B" w:rsidP="000C171B">
      <w:pPr>
        <w:spacing w:after="0" w:line="240" w:lineRule="auto"/>
        <w:jc w:val="both"/>
        <w:rPr>
          <w:rFonts w:cstheme="minorHAnsi"/>
          <w:sz w:val="24"/>
          <w:szCs w:val="24"/>
        </w:rPr>
      </w:pPr>
    </w:p>
    <w:p w14:paraId="0EB86F08" w14:textId="77777777" w:rsidR="000C171B" w:rsidRPr="009B2D49" w:rsidRDefault="000C171B" w:rsidP="000C171B">
      <w:pPr>
        <w:spacing w:after="0" w:line="240" w:lineRule="auto"/>
        <w:jc w:val="both"/>
        <w:rPr>
          <w:rFonts w:cstheme="minorHAnsi"/>
          <w:sz w:val="24"/>
          <w:szCs w:val="24"/>
        </w:rPr>
      </w:pPr>
      <w:r w:rsidRPr="009B2D49">
        <w:rPr>
          <w:rFonts w:cstheme="minorHAnsi"/>
          <w:sz w:val="24"/>
          <w:szCs w:val="24"/>
        </w:rPr>
        <w:t>En ese contexto se entrelazan las brechas y determinantes. Es decir, (i) existen brechas de información por la ausencia de datos e información para determinar y dimensionar indicadores y metas, como resultado de una frágil institucionalidad pública; (</w:t>
      </w:r>
      <w:proofErr w:type="spellStart"/>
      <w:r w:rsidRPr="009B2D49">
        <w:rPr>
          <w:rFonts w:cstheme="minorHAnsi"/>
          <w:sz w:val="24"/>
          <w:szCs w:val="24"/>
        </w:rPr>
        <w:t>ii</w:t>
      </w:r>
      <w:proofErr w:type="spellEnd"/>
      <w:r w:rsidRPr="009B2D49">
        <w:rPr>
          <w:rFonts w:cstheme="minorHAnsi"/>
          <w:sz w:val="24"/>
          <w:szCs w:val="24"/>
        </w:rPr>
        <w:t>) persisten brechas territoriales por la ausencia de inversión local para ampliar la cobertura y la calidad de servicios; (</w:t>
      </w:r>
      <w:proofErr w:type="spellStart"/>
      <w:r w:rsidRPr="009B2D49">
        <w:rPr>
          <w:rFonts w:cstheme="minorHAnsi"/>
          <w:sz w:val="24"/>
          <w:szCs w:val="24"/>
        </w:rPr>
        <w:t>iii</w:t>
      </w:r>
      <w:proofErr w:type="spellEnd"/>
      <w:r w:rsidRPr="009B2D49">
        <w:rPr>
          <w:rFonts w:cstheme="minorHAnsi"/>
          <w:sz w:val="24"/>
          <w:szCs w:val="24"/>
        </w:rPr>
        <w:t>) perduran  las brechas de género por prácticas culturales, sociales e institucionales que determinan la equidad y paridad; (</w:t>
      </w:r>
      <w:proofErr w:type="spellStart"/>
      <w:r w:rsidRPr="009B2D49">
        <w:rPr>
          <w:rFonts w:cstheme="minorHAnsi"/>
          <w:sz w:val="24"/>
          <w:szCs w:val="24"/>
        </w:rPr>
        <w:t>iv</w:t>
      </w:r>
      <w:proofErr w:type="spellEnd"/>
      <w:r w:rsidRPr="009B2D49">
        <w:rPr>
          <w:rFonts w:cstheme="minorHAnsi"/>
          <w:sz w:val="24"/>
          <w:szCs w:val="24"/>
        </w:rPr>
        <w:t xml:space="preserve">) subsisten brechas en la prestación de los servicios por la </w:t>
      </w:r>
      <w:r w:rsidRPr="009B2D49">
        <w:rPr>
          <w:rFonts w:cstheme="minorHAnsi"/>
          <w:sz w:val="24"/>
          <w:szCs w:val="24"/>
        </w:rPr>
        <w:lastRenderedPageBreak/>
        <w:t xml:space="preserve">ausencia de una cobertura universal, además de una oferta con deficiencias en la pertinencia intercultural.  </w:t>
      </w:r>
    </w:p>
    <w:p w14:paraId="54882D9E" w14:textId="77777777" w:rsidR="000C171B" w:rsidRPr="009B2D49" w:rsidRDefault="000C171B" w:rsidP="000C171B">
      <w:pPr>
        <w:spacing w:after="0" w:line="240" w:lineRule="auto"/>
        <w:jc w:val="both"/>
        <w:rPr>
          <w:rFonts w:cstheme="minorHAnsi"/>
          <w:sz w:val="24"/>
          <w:szCs w:val="24"/>
        </w:rPr>
      </w:pPr>
    </w:p>
    <w:p w14:paraId="074AEA95" w14:textId="77777777" w:rsidR="000C171B" w:rsidRPr="009B2D49" w:rsidRDefault="000C171B" w:rsidP="000C171B">
      <w:pPr>
        <w:spacing w:after="0" w:line="240" w:lineRule="auto"/>
        <w:jc w:val="both"/>
        <w:rPr>
          <w:rFonts w:cstheme="minorHAnsi"/>
          <w:sz w:val="24"/>
          <w:szCs w:val="24"/>
        </w:rPr>
      </w:pPr>
      <w:r w:rsidRPr="009B2D49">
        <w:rPr>
          <w:rFonts w:cstheme="minorHAnsi"/>
          <w:sz w:val="24"/>
          <w:szCs w:val="24"/>
        </w:rPr>
        <w:t>¿Pero cómo afrontar el reto de no dejar a nadie atrás en un contexto de exclusión espacial y vulnerabilidad geográfica? En primer lugar, reconociendo la integralidad de los derechos de las personas; en segundo lugar, la indivisibilidad de los derechos</w:t>
      </w:r>
      <w:r>
        <w:rPr>
          <w:rFonts w:cstheme="minorHAnsi"/>
          <w:sz w:val="24"/>
          <w:szCs w:val="24"/>
        </w:rPr>
        <w:t>, aunque existan diversas intervenciones</w:t>
      </w:r>
      <w:r w:rsidRPr="009B2D49">
        <w:rPr>
          <w:rFonts w:cstheme="minorHAnsi"/>
          <w:sz w:val="24"/>
          <w:szCs w:val="24"/>
        </w:rPr>
        <w:t xml:space="preserve">; en tercer lugar, lo vínculos entre las formas de exclusión y discriminación. </w:t>
      </w:r>
      <w:r>
        <w:rPr>
          <w:rFonts w:cstheme="minorHAnsi"/>
          <w:sz w:val="24"/>
          <w:szCs w:val="24"/>
        </w:rPr>
        <w:t xml:space="preserve">En tanto coexisten ambas en un mismo contexto. </w:t>
      </w:r>
    </w:p>
    <w:p w14:paraId="601603FC" w14:textId="77777777" w:rsidR="000C171B" w:rsidRPr="009B2D49" w:rsidRDefault="000C171B" w:rsidP="000C171B">
      <w:pPr>
        <w:spacing w:after="0" w:line="240" w:lineRule="auto"/>
        <w:jc w:val="both"/>
        <w:rPr>
          <w:rFonts w:cstheme="minorHAnsi"/>
          <w:sz w:val="24"/>
          <w:szCs w:val="24"/>
        </w:rPr>
      </w:pPr>
    </w:p>
    <w:p w14:paraId="47A3BAAE" w14:textId="0FC513F0" w:rsidR="000C171B" w:rsidRPr="009B2D49" w:rsidRDefault="000C171B" w:rsidP="000C171B">
      <w:pPr>
        <w:spacing w:after="0" w:line="240" w:lineRule="auto"/>
        <w:jc w:val="both"/>
        <w:rPr>
          <w:rFonts w:cstheme="minorHAnsi"/>
          <w:sz w:val="24"/>
          <w:szCs w:val="24"/>
        </w:rPr>
      </w:pPr>
      <w:r w:rsidRPr="009B2D49">
        <w:rPr>
          <w:rFonts w:cstheme="minorHAnsi"/>
          <w:sz w:val="24"/>
          <w:szCs w:val="24"/>
        </w:rPr>
        <w:t>Para acelerar la inclusión a nivel subnacional deben superarse las brechas en la implementación en la provisión de derechos humanos tales como e</w:t>
      </w:r>
      <w:r>
        <w:rPr>
          <w:rFonts w:cstheme="minorHAnsi"/>
          <w:sz w:val="24"/>
          <w:szCs w:val="24"/>
        </w:rPr>
        <w:t>l</w:t>
      </w:r>
      <w:r w:rsidRPr="009B2D49">
        <w:rPr>
          <w:rFonts w:cstheme="minorHAnsi"/>
          <w:sz w:val="24"/>
          <w:szCs w:val="24"/>
        </w:rPr>
        <w:t xml:space="preserve"> derecho a la de protección social</w:t>
      </w:r>
      <w:r w:rsidRPr="009B2D49" w:rsidDel="00936A63">
        <w:rPr>
          <w:rFonts w:cstheme="minorHAnsi"/>
          <w:sz w:val="24"/>
          <w:szCs w:val="24"/>
        </w:rPr>
        <w:t xml:space="preserve"> </w:t>
      </w:r>
      <w:r w:rsidRPr="009B2D49">
        <w:rPr>
          <w:rFonts w:cstheme="minorHAnsi"/>
          <w:sz w:val="24"/>
          <w:szCs w:val="24"/>
        </w:rPr>
        <w:t>considerando: (i) diseño, trazabilidad de objetivos en la implementación y monitoreo de la política pública, (</w:t>
      </w:r>
      <w:proofErr w:type="spellStart"/>
      <w:r w:rsidRPr="009B2D49">
        <w:rPr>
          <w:rFonts w:cstheme="minorHAnsi"/>
          <w:sz w:val="24"/>
          <w:szCs w:val="24"/>
        </w:rPr>
        <w:t>ii</w:t>
      </w:r>
      <w:proofErr w:type="spellEnd"/>
      <w:r w:rsidRPr="009B2D49">
        <w:rPr>
          <w:rFonts w:cstheme="minorHAnsi"/>
          <w:sz w:val="24"/>
          <w:szCs w:val="24"/>
        </w:rPr>
        <w:t xml:space="preserve">) </w:t>
      </w:r>
      <w:r w:rsidRPr="009B2D49">
        <w:rPr>
          <w:rFonts w:cstheme="minorHAnsi"/>
          <w:color w:val="000000" w:themeColor="text1"/>
          <w:sz w:val="24"/>
          <w:szCs w:val="24"/>
        </w:rPr>
        <w:t>ubicación geográfica de la población</w:t>
      </w:r>
      <w:r w:rsidRPr="009B2D49">
        <w:rPr>
          <w:rFonts w:cstheme="minorHAnsi"/>
          <w:color w:val="7030A0"/>
          <w:sz w:val="24"/>
          <w:szCs w:val="24"/>
        </w:rPr>
        <w:t xml:space="preserve">, </w:t>
      </w:r>
      <w:r w:rsidRPr="009B2D49">
        <w:rPr>
          <w:rFonts w:cstheme="minorHAnsi"/>
          <w:sz w:val="24"/>
          <w:szCs w:val="24"/>
        </w:rPr>
        <w:t>(</w:t>
      </w:r>
      <w:proofErr w:type="spellStart"/>
      <w:r w:rsidRPr="009B2D49">
        <w:rPr>
          <w:rFonts w:cstheme="minorHAnsi"/>
          <w:sz w:val="24"/>
          <w:szCs w:val="24"/>
        </w:rPr>
        <w:t>iii</w:t>
      </w:r>
      <w:proofErr w:type="spellEnd"/>
      <w:r w:rsidRPr="009B2D49">
        <w:rPr>
          <w:rFonts w:cstheme="minorHAnsi"/>
          <w:sz w:val="24"/>
          <w:szCs w:val="24"/>
        </w:rPr>
        <w:t>) vulnerabilidades emergentes; (</w:t>
      </w:r>
      <w:proofErr w:type="spellStart"/>
      <w:r w:rsidRPr="009B2D49">
        <w:rPr>
          <w:rFonts w:cstheme="minorHAnsi"/>
          <w:sz w:val="24"/>
          <w:szCs w:val="24"/>
        </w:rPr>
        <w:t>iv</w:t>
      </w:r>
      <w:proofErr w:type="spellEnd"/>
      <w:r w:rsidRPr="009B2D49">
        <w:rPr>
          <w:rFonts w:cstheme="minorHAnsi"/>
          <w:sz w:val="24"/>
          <w:szCs w:val="24"/>
        </w:rPr>
        <w:t xml:space="preserve">) agotamiento de los motores económicos, (v) ausencia de un sistema de medición integral local.  Es decir, desde lo territorial, la política pública debe orientarse hacia la reducción de las brechas de capacidades de portadores de obligaciones y titulares de derechos como parte del enfoque de derechos humanos orientado por la Agenda 2030. </w:t>
      </w:r>
    </w:p>
    <w:p w14:paraId="6F3D80C5" w14:textId="77777777" w:rsidR="000C171B" w:rsidRPr="009B2D49" w:rsidRDefault="000C171B" w:rsidP="000C171B">
      <w:pPr>
        <w:spacing w:after="0" w:line="240" w:lineRule="auto"/>
        <w:jc w:val="both"/>
        <w:rPr>
          <w:rFonts w:cstheme="minorHAnsi"/>
          <w:sz w:val="24"/>
          <w:szCs w:val="24"/>
        </w:rPr>
      </w:pPr>
    </w:p>
    <w:p w14:paraId="2582046C" w14:textId="77777777" w:rsidR="000C171B" w:rsidRPr="009B2D49" w:rsidRDefault="000C171B" w:rsidP="000C171B">
      <w:pPr>
        <w:spacing w:after="0" w:line="240" w:lineRule="auto"/>
        <w:jc w:val="both"/>
        <w:rPr>
          <w:rFonts w:cstheme="minorHAnsi"/>
          <w:sz w:val="24"/>
          <w:szCs w:val="24"/>
        </w:rPr>
      </w:pPr>
      <w:r w:rsidRPr="009B2D49">
        <w:rPr>
          <w:rFonts w:cstheme="minorHAnsi"/>
          <w:sz w:val="24"/>
          <w:szCs w:val="24"/>
        </w:rPr>
        <w:t xml:space="preserve">Para superar el cuello de botella, determinado por las formas de provisión de garantía de derechos subnacionales, en primer lugar, es necesario profundizar servicios de protección social y sistemas de cuidados, incluido cuidado infantil </w:t>
      </w:r>
      <w:r>
        <w:rPr>
          <w:rFonts w:cstheme="minorHAnsi"/>
          <w:sz w:val="24"/>
          <w:szCs w:val="24"/>
        </w:rPr>
        <w:t>(</w:t>
      </w:r>
      <w:r w:rsidRPr="009B2D49">
        <w:rPr>
          <w:rFonts w:cstheme="minorHAnsi"/>
          <w:sz w:val="24"/>
          <w:szCs w:val="24"/>
        </w:rPr>
        <w:t>0 a 3 años</w:t>
      </w:r>
      <w:r>
        <w:rPr>
          <w:rFonts w:cstheme="minorHAnsi"/>
          <w:sz w:val="24"/>
          <w:szCs w:val="24"/>
        </w:rPr>
        <w:t xml:space="preserve">), </w:t>
      </w:r>
      <w:r w:rsidRPr="009B2D49">
        <w:rPr>
          <w:rFonts w:cstheme="minorHAnsi"/>
          <w:sz w:val="24"/>
          <w:szCs w:val="24"/>
        </w:rPr>
        <w:t>en los territorios más excluidos. Es decir, en los puntos críticos geográficos que frenan el progreso social medio en todo el país. En segundo lugar, es necesario cerrar las brechas de información y datos implícitos (edad, sexo, étnica, procedencia) en el diseño de las intervenciones: las líneas de base a nivel de los hogares deben complementarse con indicadores del proceso de entrega de servicios acopiados en tiempo real. En tercer lugar, centrar las intervenciones en los territorios más distantes y críticos para garantizar la atención directa, cuenten con instituciones y líderes o lideresas que den seguimiento y monitoreen su cumplimiento además de los ajustes a las políticas nacionales en los territorios con dificultades de acceso.</w:t>
      </w:r>
    </w:p>
    <w:p w14:paraId="07F06AA5" w14:textId="77777777" w:rsidR="000C171B" w:rsidRPr="009B2D49" w:rsidRDefault="000C171B" w:rsidP="000C171B">
      <w:pPr>
        <w:spacing w:after="0" w:line="240" w:lineRule="auto"/>
        <w:jc w:val="both"/>
        <w:rPr>
          <w:rFonts w:cstheme="minorHAnsi"/>
          <w:sz w:val="24"/>
          <w:szCs w:val="24"/>
        </w:rPr>
      </w:pPr>
    </w:p>
    <w:p w14:paraId="2D37F364" w14:textId="77777777" w:rsidR="000C171B" w:rsidRPr="009B2D49" w:rsidRDefault="000C171B" w:rsidP="000C171B">
      <w:pPr>
        <w:spacing w:after="0" w:line="240" w:lineRule="auto"/>
        <w:jc w:val="both"/>
        <w:rPr>
          <w:rFonts w:cstheme="minorHAnsi"/>
          <w:sz w:val="24"/>
          <w:szCs w:val="24"/>
        </w:rPr>
      </w:pPr>
      <w:r w:rsidRPr="009B2D49">
        <w:rPr>
          <w:rFonts w:cstheme="minorHAnsi"/>
          <w:sz w:val="24"/>
          <w:szCs w:val="24"/>
        </w:rPr>
        <w:t>Este proceso determina dos efectos catalíticos relevantes: (i) recolectar, usar y compartir en tiempo real los datos de las poblaciones objetivos para agilizar la implementación de políticas de protección social basadas en evidencias empíricas, (</w:t>
      </w:r>
      <w:proofErr w:type="spellStart"/>
      <w:r w:rsidRPr="009B2D49">
        <w:rPr>
          <w:rFonts w:cstheme="minorHAnsi"/>
          <w:sz w:val="24"/>
          <w:szCs w:val="24"/>
        </w:rPr>
        <w:t>ii</w:t>
      </w:r>
      <w:proofErr w:type="spellEnd"/>
      <w:r w:rsidRPr="009B2D49">
        <w:rPr>
          <w:rFonts w:cstheme="minorHAnsi"/>
          <w:sz w:val="24"/>
          <w:szCs w:val="24"/>
        </w:rPr>
        <w:t>) desarrollo de plataforma multisectorial y multinivel que permitirá escalar las intervenciones fácilmente a partir de los registros únicos de beneficiarios.</w:t>
      </w:r>
    </w:p>
    <w:p w14:paraId="568106B0" w14:textId="77777777" w:rsidR="000C171B" w:rsidRPr="009B2D49" w:rsidRDefault="000C171B" w:rsidP="000C171B">
      <w:pPr>
        <w:spacing w:after="0" w:line="240" w:lineRule="auto"/>
        <w:jc w:val="both"/>
        <w:rPr>
          <w:rFonts w:cstheme="minorHAnsi"/>
          <w:b/>
          <w:bCs/>
          <w:color w:val="ED7D31" w:themeColor="accent2"/>
          <w:sz w:val="24"/>
          <w:szCs w:val="24"/>
        </w:rPr>
      </w:pPr>
    </w:p>
    <w:p w14:paraId="2EEA7318" w14:textId="77777777" w:rsidR="000C171B" w:rsidRPr="00725057" w:rsidRDefault="000C171B" w:rsidP="000C171B">
      <w:pPr>
        <w:spacing w:after="0" w:line="240" w:lineRule="auto"/>
        <w:jc w:val="both"/>
        <w:rPr>
          <w:rFonts w:cstheme="minorHAnsi"/>
          <w:sz w:val="24"/>
          <w:szCs w:val="24"/>
        </w:rPr>
      </w:pPr>
      <w:r>
        <w:rPr>
          <w:rFonts w:cstheme="minorHAnsi"/>
          <w:sz w:val="24"/>
          <w:szCs w:val="24"/>
        </w:rPr>
        <w:t>Finalmente, cabe señalarlo, e</w:t>
      </w:r>
      <w:r w:rsidRPr="0074426E">
        <w:rPr>
          <w:rFonts w:cstheme="minorHAnsi"/>
          <w:sz w:val="24"/>
          <w:szCs w:val="24"/>
        </w:rPr>
        <w:t>l cambio hacia la inclusión social debe ir más allá del estudio de la pobreza o las tendencias estadísticas</w:t>
      </w:r>
      <w:r>
        <w:rPr>
          <w:rFonts w:cstheme="minorHAnsi"/>
          <w:sz w:val="24"/>
          <w:szCs w:val="24"/>
        </w:rPr>
        <w:t>. Para incluir hay que preguntar por los por qué persisten los resultados</w:t>
      </w:r>
      <w:r w:rsidRPr="0074426E">
        <w:rPr>
          <w:rFonts w:cstheme="minorHAnsi"/>
          <w:sz w:val="24"/>
          <w:szCs w:val="24"/>
        </w:rPr>
        <w:t xml:space="preserve">. </w:t>
      </w:r>
      <w:r>
        <w:rPr>
          <w:rFonts w:cstheme="minorHAnsi"/>
          <w:sz w:val="24"/>
          <w:szCs w:val="24"/>
        </w:rPr>
        <w:t xml:space="preserve">Sólo así se visibiliza </w:t>
      </w:r>
      <w:r w:rsidRPr="0074426E">
        <w:rPr>
          <w:rFonts w:cstheme="minorHAnsi"/>
          <w:sz w:val="24"/>
          <w:szCs w:val="24"/>
        </w:rPr>
        <w:t>la naturaleza interconectada y multidimensional de la privación crónica que resulta de la exclusión social— como la discriminación, los efectos paralelos y la incorporación adversa—que juega un papel central en el impulso de los elementos más simples y fácilmente observables vinculados a la pobreza (falta de escolaridad, mala salud y una remuneración limitada en el mercado laboral</w:t>
      </w:r>
      <w:r>
        <w:rPr>
          <w:rFonts w:cstheme="minorHAnsi"/>
          <w:sz w:val="24"/>
          <w:szCs w:val="24"/>
        </w:rPr>
        <w:t xml:space="preserve"> (BM, 2018).</w:t>
      </w:r>
    </w:p>
    <w:p w14:paraId="734E1B6F" w14:textId="77777777" w:rsidR="000C171B" w:rsidRDefault="000C171B" w:rsidP="000C171B">
      <w:pPr>
        <w:spacing w:after="0" w:line="240" w:lineRule="auto"/>
        <w:jc w:val="both"/>
        <w:rPr>
          <w:rFonts w:cstheme="minorHAnsi"/>
          <w:b/>
          <w:bCs/>
          <w:color w:val="0070C0"/>
          <w:sz w:val="24"/>
          <w:szCs w:val="24"/>
        </w:rPr>
      </w:pPr>
    </w:p>
    <w:p w14:paraId="167F689D" w14:textId="77777777" w:rsidR="000C171B" w:rsidRPr="009A01CD" w:rsidRDefault="000C171B" w:rsidP="000C171B">
      <w:pPr>
        <w:spacing w:after="0" w:line="240" w:lineRule="auto"/>
        <w:jc w:val="both"/>
        <w:rPr>
          <w:rFonts w:cstheme="minorHAnsi"/>
          <w:b/>
          <w:bCs/>
          <w:color w:val="0070C0"/>
          <w:sz w:val="24"/>
          <w:szCs w:val="24"/>
        </w:rPr>
      </w:pPr>
    </w:p>
    <w:p w14:paraId="30DD091B" w14:textId="77777777" w:rsidR="000C171B" w:rsidRPr="00BA7353" w:rsidRDefault="000C171B" w:rsidP="000C171B">
      <w:pPr>
        <w:spacing w:after="0" w:line="240" w:lineRule="auto"/>
        <w:rPr>
          <w:rFonts w:cstheme="minorHAnsi"/>
          <w:b/>
          <w:bCs/>
          <w:color w:val="4472C4" w:themeColor="accent1"/>
          <w:sz w:val="24"/>
          <w:szCs w:val="24"/>
        </w:rPr>
      </w:pPr>
      <w:r w:rsidRPr="00BA7353">
        <w:rPr>
          <w:rFonts w:cstheme="minorHAnsi"/>
          <w:b/>
          <w:bCs/>
          <w:color w:val="4472C4" w:themeColor="accent1"/>
          <w:sz w:val="24"/>
          <w:szCs w:val="24"/>
        </w:rPr>
        <w:t>5. COMPROMISOS SEGÚN NORMAS Y ESTÁNDARES INTERNACIONALES.</w:t>
      </w:r>
    </w:p>
    <w:p w14:paraId="2AB321E2" w14:textId="77777777" w:rsidR="000C171B" w:rsidRDefault="000C171B" w:rsidP="000C171B">
      <w:pPr>
        <w:spacing w:after="0" w:line="240" w:lineRule="auto"/>
        <w:rPr>
          <w:rFonts w:cstheme="minorHAnsi"/>
          <w:sz w:val="24"/>
          <w:szCs w:val="24"/>
        </w:rPr>
      </w:pPr>
    </w:p>
    <w:p w14:paraId="3527A31C" w14:textId="77777777" w:rsidR="000C171B" w:rsidRDefault="000C171B" w:rsidP="000C171B">
      <w:pPr>
        <w:spacing w:after="0" w:line="240" w:lineRule="auto"/>
        <w:jc w:val="both"/>
        <w:rPr>
          <w:rFonts w:cstheme="minorHAnsi"/>
          <w:sz w:val="24"/>
          <w:szCs w:val="24"/>
        </w:rPr>
      </w:pPr>
      <w:r w:rsidRPr="00725057">
        <w:rPr>
          <w:rFonts w:cstheme="minorHAnsi"/>
          <w:sz w:val="24"/>
          <w:szCs w:val="24"/>
        </w:rPr>
        <w:t>Panamá ha ratificado numerosos tratados de derechos humanos</w:t>
      </w:r>
      <w:r>
        <w:rPr>
          <w:rFonts w:cstheme="minorHAnsi"/>
          <w:sz w:val="24"/>
          <w:szCs w:val="24"/>
        </w:rPr>
        <w:t xml:space="preserve"> y de protección internacional</w:t>
      </w:r>
      <w:r w:rsidRPr="00725057">
        <w:rPr>
          <w:rFonts w:cstheme="minorHAnsi"/>
          <w:sz w:val="24"/>
          <w:szCs w:val="24"/>
        </w:rPr>
        <w:t xml:space="preserve">, por lo tanto, está legalmente obligado a utilizar el máximo de los recursos disponibles para asegurar el </w:t>
      </w:r>
      <w:r>
        <w:rPr>
          <w:rFonts w:cstheme="minorHAnsi"/>
          <w:sz w:val="24"/>
          <w:szCs w:val="24"/>
        </w:rPr>
        <w:t>acceso a los</w:t>
      </w:r>
      <w:r w:rsidRPr="00725057">
        <w:rPr>
          <w:rFonts w:cstheme="minorHAnsi"/>
          <w:sz w:val="24"/>
          <w:szCs w:val="24"/>
        </w:rPr>
        <w:t xml:space="preserve"> derechos económicos, sociales y culturales sin discriminación por ningún motivo (A/HRC/37/54/Add.2, 2017).</w:t>
      </w:r>
      <w:r>
        <w:rPr>
          <w:rFonts w:cstheme="minorHAnsi"/>
          <w:sz w:val="24"/>
          <w:szCs w:val="24"/>
        </w:rPr>
        <w:t xml:space="preserve"> Las metas de la Agenda 2030 permiten acelerar ese proceso en tanto el país acogió las mismas a través del Decreto Ejecutivo 393. </w:t>
      </w:r>
      <w:r w:rsidRPr="00725057">
        <w:rPr>
          <w:rFonts w:cstheme="minorHAnsi"/>
          <w:sz w:val="24"/>
          <w:szCs w:val="24"/>
        </w:rPr>
        <w:t>En los últimos años, con la asistencia técnica del S</w:t>
      </w:r>
      <w:r>
        <w:rPr>
          <w:rFonts w:cstheme="minorHAnsi"/>
          <w:sz w:val="24"/>
          <w:szCs w:val="24"/>
        </w:rPr>
        <w:t>istema de Naciones Unidas,</w:t>
      </w:r>
      <w:r w:rsidRPr="00725057">
        <w:rPr>
          <w:rFonts w:cstheme="minorHAnsi"/>
          <w:sz w:val="24"/>
          <w:szCs w:val="24"/>
        </w:rPr>
        <w:t xml:space="preserve"> el Estado panameño ha realizado esfuerzos para cumplir con sus obligaciones tanto en materia de derechos humanos,</w:t>
      </w:r>
      <w:r>
        <w:rPr>
          <w:rFonts w:cstheme="minorHAnsi"/>
          <w:sz w:val="24"/>
          <w:szCs w:val="24"/>
        </w:rPr>
        <w:t xml:space="preserve"> protección de las personas, </w:t>
      </w:r>
      <w:r w:rsidRPr="00725057">
        <w:rPr>
          <w:rFonts w:cstheme="minorHAnsi"/>
          <w:sz w:val="24"/>
          <w:szCs w:val="24"/>
        </w:rPr>
        <w:t xml:space="preserve">como con el sistema de informes de los Órganos de Tratados. </w:t>
      </w:r>
    </w:p>
    <w:p w14:paraId="4CA93200" w14:textId="77777777" w:rsidR="000C171B" w:rsidRDefault="000C171B" w:rsidP="000C171B">
      <w:pPr>
        <w:spacing w:after="0" w:line="240" w:lineRule="auto"/>
        <w:jc w:val="both"/>
        <w:rPr>
          <w:rFonts w:cstheme="minorHAnsi"/>
          <w:sz w:val="24"/>
          <w:szCs w:val="24"/>
        </w:rPr>
      </w:pPr>
    </w:p>
    <w:p w14:paraId="11F0191F" w14:textId="77777777" w:rsidR="000C171B" w:rsidRDefault="000C171B" w:rsidP="000C171B">
      <w:pPr>
        <w:spacing w:after="0" w:line="240" w:lineRule="auto"/>
        <w:jc w:val="both"/>
        <w:rPr>
          <w:rFonts w:cstheme="minorHAnsi"/>
          <w:sz w:val="24"/>
          <w:szCs w:val="24"/>
        </w:rPr>
      </w:pPr>
      <w:r>
        <w:rPr>
          <w:rFonts w:cstheme="minorHAnsi"/>
          <w:sz w:val="24"/>
          <w:szCs w:val="24"/>
        </w:rPr>
        <w:t xml:space="preserve">En la última década, el país </w:t>
      </w:r>
      <w:r w:rsidRPr="008006F2">
        <w:rPr>
          <w:rFonts w:cstheme="minorHAnsi"/>
          <w:sz w:val="24"/>
          <w:szCs w:val="24"/>
        </w:rPr>
        <w:t>ratific</w:t>
      </w:r>
      <w:r>
        <w:rPr>
          <w:rFonts w:cstheme="minorHAnsi"/>
          <w:sz w:val="24"/>
          <w:szCs w:val="24"/>
        </w:rPr>
        <w:t xml:space="preserve">ó y se </w:t>
      </w:r>
      <w:r w:rsidRPr="008006F2">
        <w:rPr>
          <w:rFonts w:cstheme="minorHAnsi"/>
          <w:sz w:val="24"/>
          <w:szCs w:val="24"/>
        </w:rPr>
        <w:t>adh</w:t>
      </w:r>
      <w:r>
        <w:rPr>
          <w:rFonts w:cstheme="minorHAnsi"/>
          <w:sz w:val="24"/>
          <w:szCs w:val="24"/>
        </w:rPr>
        <w:t xml:space="preserve">irió a 4 instrumentos de derechos humanos: </w:t>
      </w:r>
      <w:r w:rsidRPr="008006F2">
        <w:rPr>
          <w:rFonts w:cstheme="minorHAnsi"/>
          <w:sz w:val="24"/>
          <w:szCs w:val="24"/>
        </w:rPr>
        <w:t xml:space="preserve"> </w:t>
      </w:r>
      <w:r>
        <w:rPr>
          <w:rFonts w:cstheme="minorHAnsi"/>
          <w:sz w:val="24"/>
          <w:szCs w:val="24"/>
        </w:rPr>
        <w:t>(i) l</w:t>
      </w:r>
      <w:r w:rsidRPr="00836734">
        <w:rPr>
          <w:rFonts w:cstheme="minorHAnsi"/>
          <w:sz w:val="24"/>
          <w:szCs w:val="24"/>
        </w:rPr>
        <w:t>a Convención sobre Municiones en Racimo, en noviembre de 2010</w:t>
      </w:r>
      <w:r>
        <w:rPr>
          <w:rFonts w:cstheme="minorHAnsi"/>
          <w:sz w:val="24"/>
          <w:szCs w:val="24"/>
        </w:rPr>
        <w:t>; (</w:t>
      </w:r>
      <w:proofErr w:type="spellStart"/>
      <w:r>
        <w:rPr>
          <w:rFonts w:cstheme="minorHAnsi"/>
          <w:sz w:val="24"/>
          <w:szCs w:val="24"/>
        </w:rPr>
        <w:t>ii</w:t>
      </w:r>
      <w:proofErr w:type="spellEnd"/>
      <w:r>
        <w:rPr>
          <w:rFonts w:cstheme="minorHAnsi"/>
          <w:sz w:val="24"/>
          <w:szCs w:val="24"/>
        </w:rPr>
        <w:t>) l</w:t>
      </w:r>
      <w:r w:rsidRPr="008006F2">
        <w:rPr>
          <w:rFonts w:cstheme="minorHAnsi"/>
          <w:sz w:val="24"/>
          <w:szCs w:val="24"/>
        </w:rPr>
        <w:t>a Convención Internacional para la Protección de Todas las Personas contra las Desapariciones Forzadas, el 24 de junio de 2011;</w:t>
      </w:r>
      <w:r>
        <w:rPr>
          <w:rFonts w:cstheme="minorHAnsi"/>
          <w:sz w:val="24"/>
          <w:szCs w:val="24"/>
        </w:rPr>
        <w:t xml:space="preserve"> (</w:t>
      </w:r>
      <w:proofErr w:type="spellStart"/>
      <w:r>
        <w:rPr>
          <w:rFonts w:cstheme="minorHAnsi"/>
          <w:sz w:val="24"/>
          <w:szCs w:val="24"/>
        </w:rPr>
        <w:t>ii</w:t>
      </w:r>
      <w:proofErr w:type="spellEnd"/>
      <w:r>
        <w:rPr>
          <w:rFonts w:cstheme="minorHAnsi"/>
          <w:sz w:val="24"/>
          <w:szCs w:val="24"/>
        </w:rPr>
        <w:t>) e</w:t>
      </w:r>
      <w:r w:rsidRPr="008006F2">
        <w:rPr>
          <w:rFonts w:cstheme="minorHAnsi"/>
          <w:sz w:val="24"/>
          <w:szCs w:val="24"/>
        </w:rPr>
        <w:t>l Protocolo Facultativo de la Convención contra la Tortura y Otros Tratos o Penas Crueles, Inhumanos o Degradantes, el 2 de junio de 2011</w:t>
      </w:r>
      <w:r>
        <w:rPr>
          <w:rFonts w:cstheme="minorHAnsi"/>
          <w:sz w:val="24"/>
          <w:szCs w:val="24"/>
        </w:rPr>
        <w:t>; (</w:t>
      </w:r>
      <w:proofErr w:type="spellStart"/>
      <w:r>
        <w:rPr>
          <w:rFonts w:cstheme="minorHAnsi"/>
          <w:sz w:val="24"/>
          <w:szCs w:val="24"/>
        </w:rPr>
        <w:t>iii</w:t>
      </w:r>
      <w:proofErr w:type="spellEnd"/>
      <w:r>
        <w:rPr>
          <w:rFonts w:cstheme="minorHAnsi"/>
          <w:sz w:val="24"/>
          <w:szCs w:val="24"/>
        </w:rPr>
        <w:t>) e</w:t>
      </w:r>
      <w:r w:rsidRPr="00836734">
        <w:rPr>
          <w:rFonts w:cstheme="minorHAnsi"/>
          <w:sz w:val="24"/>
          <w:szCs w:val="24"/>
        </w:rPr>
        <w:t>l Tratado sobre el Comercio de Armas, en febrero de 2014</w:t>
      </w:r>
      <w:r>
        <w:rPr>
          <w:rFonts w:cstheme="minorHAnsi"/>
          <w:sz w:val="24"/>
          <w:szCs w:val="24"/>
        </w:rPr>
        <w:t>;  (</w:t>
      </w:r>
      <w:proofErr w:type="spellStart"/>
      <w:r>
        <w:rPr>
          <w:rFonts w:cstheme="minorHAnsi"/>
          <w:sz w:val="24"/>
          <w:szCs w:val="24"/>
        </w:rPr>
        <w:t>iv</w:t>
      </w:r>
      <w:proofErr w:type="spellEnd"/>
      <w:r>
        <w:rPr>
          <w:rFonts w:cstheme="minorHAnsi"/>
          <w:sz w:val="24"/>
          <w:szCs w:val="24"/>
        </w:rPr>
        <w:t xml:space="preserve">) el </w:t>
      </w:r>
      <w:r w:rsidRPr="005A6BED">
        <w:rPr>
          <w:rFonts w:cstheme="minorHAnsi"/>
          <w:sz w:val="24"/>
          <w:szCs w:val="24"/>
        </w:rPr>
        <w:t>Tratado de Marrakech para Facilitar el Acceso a las Obras Publicadas a las Personas Ciegas, con Discapacidad Visual o con Otras Dificultades para Acceder al Texto Impreso, el 10 de febrero de 2017</w:t>
      </w:r>
      <w:r>
        <w:rPr>
          <w:rFonts w:cstheme="minorHAnsi"/>
          <w:sz w:val="24"/>
          <w:szCs w:val="24"/>
        </w:rPr>
        <w:t xml:space="preserve"> (</w:t>
      </w:r>
      <w:r w:rsidRPr="00546DA4">
        <w:rPr>
          <w:rFonts w:cstheme="minorHAnsi"/>
          <w:sz w:val="24"/>
          <w:szCs w:val="24"/>
        </w:rPr>
        <w:t>CAT/C/PAN/CO/R</w:t>
      </w:r>
      <w:r>
        <w:rPr>
          <w:rFonts w:cstheme="minorHAnsi"/>
          <w:sz w:val="24"/>
          <w:szCs w:val="24"/>
        </w:rPr>
        <w:t>, 2017) (</w:t>
      </w:r>
      <w:r w:rsidRPr="00117378">
        <w:rPr>
          <w:rFonts w:cstheme="minorHAnsi"/>
          <w:sz w:val="24"/>
          <w:szCs w:val="24"/>
        </w:rPr>
        <w:t>CRC/C/OPAC/PAN/CO/1</w:t>
      </w:r>
      <w:r>
        <w:rPr>
          <w:rFonts w:cstheme="minorHAnsi"/>
          <w:sz w:val="24"/>
          <w:szCs w:val="24"/>
        </w:rPr>
        <w:t xml:space="preserve">, 2019).  </w:t>
      </w:r>
    </w:p>
    <w:p w14:paraId="43007C0D" w14:textId="77777777" w:rsidR="000C171B" w:rsidRDefault="000C171B" w:rsidP="000C171B">
      <w:pPr>
        <w:spacing w:after="0" w:line="240" w:lineRule="auto"/>
        <w:jc w:val="both"/>
        <w:rPr>
          <w:rFonts w:cstheme="minorHAnsi"/>
          <w:sz w:val="24"/>
          <w:szCs w:val="24"/>
        </w:rPr>
      </w:pPr>
    </w:p>
    <w:p w14:paraId="04A3C4A2" w14:textId="77777777" w:rsidR="000C171B" w:rsidRDefault="000C171B" w:rsidP="000C171B">
      <w:pPr>
        <w:spacing w:after="0" w:line="240" w:lineRule="auto"/>
        <w:jc w:val="both"/>
        <w:rPr>
          <w:rFonts w:cstheme="minorHAnsi"/>
          <w:sz w:val="24"/>
          <w:szCs w:val="24"/>
        </w:rPr>
      </w:pPr>
      <w:r>
        <w:rPr>
          <w:rFonts w:cstheme="minorHAnsi"/>
          <w:sz w:val="24"/>
          <w:szCs w:val="24"/>
        </w:rPr>
        <w:t xml:space="preserve">Además el país aprobó y sancionó 6 </w:t>
      </w:r>
      <w:r w:rsidRPr="008006F2">
        <w:rPr>
          <w:rFonts w:cstheme="minorHAnsi"/>
          <w:sz w:val="24"/>
          <w:szCs w:val="24"/>
        </w:rPr>
        <w:t xml:space="preserve">medidas legislativas </w:t>
      </w:r>
      <w:r>
        <w:rPr>
          <w:rFonts w:cstheme="minorHAnsi"/>
          <w:sz w:val="24"/>
          <w:szCs w:val="24"/>
        </w:rPr>
        <w:t xml:space="preserve">relevantes: (i) </w:t>
      </w:r>
      <w:r w:rsidRPr="008006F2">
        <w:rPr>
          <w:rFonts w:cstheme="minorHAnsi"/>
          <w:sz w:val="24"/>
          <w:szCs w:val="24"/>
        </w:rPr>
        <w:t>Ley 79, de 9 de noviembre de 2011, sobre trata de personas y actividades conexas, por la que se crea la Comisión Nacional contra la Trata</w:t>
      </w:r>
      <w:r>
        <w:rPr>
          <w:rFonts w:cstheme="minorHAnsi"/>
          <w:sz w:val="24"/>
          <w:szCs w:val="24"/>
        </w:rPr>
        <w:t>; (</w:t>
      </w:r>
      <w:proofErr w:type="spellStart"/>
      <w:r>
        <w:rPr>
          <w:rFonts w:cstheme="minorHAnsi"/>
          <w:sz w:val="24"/>
          <w:szCs w:val="24"/>
        </w:rPr>
        <w:t>ii</w:t>
      </w:r>
      <w:proofErr w:type="spellEnd"/>
      <w:r>
        <w:rPr>
          <w:rFonts w:cstheme="minorHAnsi"/>
          <w:sz w:val="24"/>
          <w:szCs w:val="24"/>
        </w:rPr>
        <w:t>)</w:t>
      </w:r>
      <w:r w:rsidRPr="008E491C">
        <w:t xml:space="preserve"> </w:t>
      </w:r>
      <w:r>
        <w:t xml:space="preserve">la </w:t>
      </w:r>
      <w:r w:rsidRPr="008E491C">
        <w:rPr>
          <w:rFonts w:cstheme="minorHAnsi"/>
          <w:sz w:val="24"/>
          <w:szCs w:val="24"/>
        </w:rPr>
        <w:t>Ley 57, de 27 de mayo de 2011, que regula la tenencia, el porte y las actividades de importación, exportación y comercialización de armas de fuego, municiones y materiales relacionados, así como otras actividades conexas</w:t>
      </w:r>
      <w:r>
        <w:rPr>
          <w:rFonts w:cstheme="minorHAnsi"/>
          <w:sz w:val="24"/>
          <w:szCs w:val="24"/>
        </w:rPr>
        <w:t xml:space="preserve"> (</w:t>
      </w:r>
      <w:proofErr w:type="spellStart"/>
      <w:r>
        <w:rPr>
          <w:rFonts w:cstheme="minorHAnsi"/>
          <w:sz w:val="24"/>
          <w:szCs w:val="24"/>
        </w:rPr>
        <w:t>iii</w:t>
      </w:r>
      <w:proofErr w:type="spellEnd"/>
      <w:r>
        <w:rPr>
          <w:rFonts w:cstheme="minorHAnsi"/>
          <w:sz w:val="24"/>
          <w:szCs w:val="24"/>
        </w:rPr>
        <w:t xml:space="preserve">) la </w:t>
      </w:r>
      <w:r w:rsidRPr="008006F2">
        <w:rPr>
          <w:rFonts w:cstheme="minorHAnsi"/>
          <w:sz w:val="24"/>
          <w:szCs w:val="24"/>
        </w:rPr>
        <w:t>Ley 35, de 23 de mayo de 2013, sobre el procedimiento de extradición;</w:t>
      </w:r>
      <w:r>
        <w:rPr>
          <w:rFonts w:cstheme="minorHAnsi"/>
          <w:sz w:val="24"/>
          <w:szCs w:val="24"/>
        </w:rPr>
        <w:t xml:space="preserve"> (</w:t>
      </w:r>
      <w:proofErr w:type="spellStart"/>
      <w:r>
        <w:rPr>
          <w:rFonts w:cstheme="minorHAnsi"/>
          <w:sz w:val="24"/>
          <w:szCs w:val="24"/>
        </w:rPr>
        <w:t>iv</w:t>
      </w:r>
      <w:proofErr w:type="spellEnd"/>
      <w:r>
        <w:rPr>
          <w:rFonts w:cstheme="minorHAnsi"/>
          <w:sz w:val="24"/>
          <w:szCs w:val="24"/>
        </w:rPr>
        <w:t xml:space="preserve">) la </w:t>
      </w:r>
      <w:r w:rsidRPr="008006F2">
        <w:rPr>
          <w:rFonts w:cstheme="minorHAnsi"/>
          <w:sz w:val="24"/>
          <w:szCs w:val="24"/>
        </w:rPr>
        <w:t>Ley</w:t>
      </w:r>
      <w:r>
        <w:rPr>
          <w:rFonts w:cstheme="minorHAnsi"/>
          <w:sz w:val="24"/>
          <w:szCs w:val="24"/>
        </w:rPr>
        <w:t xml:space="preserve"> </w:t>
      </w:r>
      <w:r w:rsidRPr="008006F2">
        <w:rPr>
          <w:rFonts w:cstheme="minorHAnsi"/>
          <w:sz w:val="24"/>
          <w:szCs w:val="24"/>
        </w:rPr>
        <w:t>36, de 24 de mayo de 2013, sobre tráfico ilícito de migrantes y actividades conexas;</w:t>
      </w:r>
      <w:r>
        <w:rPr>
          <w:rFonts w:cstheme="minorHAnsi"/>
          <w:sz w:val="24"/>
          <w:szCs w:val="24"/>
        </w:rPr>
        <w:t xml:space="preserve"> (v) la </w:t>
      </w:r>
      <w:r w:rsidRPr="008006F2">
        <w:rPr>
          <w:rFonts w:cstheme="minorHAnsi"/>
          <w:sz w:val="24"/>
          <w:szCs w:val="24"/>
        </w:rPr>
        <w:t>Ley 82, de 24 de octubre de 2013, que adopta medidas para la prevención de la violencia contra la mujer y reforma el Código Penal a fin de tipificar el femicidio y sancionar la violencia de género;</w:t>
      </w:r>
      <w:r>
        <w:rPr>
          <w:rFonts w:cstheme="minorHAnsi"/>
          <w:sz w:val="24"/>
          <w:szCs w:val="24"/>
        </w:rPr>
        <w:t xml:space="preserve"> (vi) la </w:t>
      </w:r>
      <w:r w:rsidRPr="008006F2">
        <w:rPr>
          <w:rFonts w:cstheme="minorHAnsi"/>
          <w:sz w:val="24"/>
          <w:szCs w:val="24"/>
        </w:rPr>
        <w:t>Ley 6, de 22 de febrero de 2017, por la que se establece el mecanismo nacional de prevención de la tortura conforme al Protocolo Facultativo de la Convención</w:t>
      </w:r>
      <w:r>
        <w:rPr>
          <w:rFonts w:cstheme="minorHAnsi"/>
          <w:sz w:val="24"/>
          <w:szCs w:val="24"/>
        </w:rPr>
        <w:t xml:space="preserve"> (</w:t>
      </w:r>
      <w:r w:rsidRPr="00546DA4">
        <w:rPr>
          <w:rFonts w:cstheme="minorHAnsi"/>
          <w:sz w:val="24"/>
          <w:szCs w:val="24"/>
        </w:rPr>
        <w:t>CAT/C/PAN/CO/R</w:t>
      </w:r>
      <w:r>
        <w:rPr>
          <w:rFonts w:cstheme="minorHAnsi"/>
          <w:sz w:val="24"/>
          <w:szCs w:val="24"/>
        </w:rPr>
        <w:t>, 2017) (</w:t>
      </w:r>
      <w:r w:rsidRPr="00117378">
        <w:rPr>
          <w:rFonts w:cstheme="minorHAnsi"/>
          <w:sz w:val="24"/>
          <w:szCs w:val="24"/>
        </w:rPr>
        <w:t>CRC/C/OPAC/PAN/CO/1</w:t>
      </w:r>
      <w:r>
        <w:rPr>
          <w:rFonts w:cstheme="minorHAnsi"/>
          <w:sz w:val="24"/>
          <w:szCs w:val="24"/>
        </w:rPr>
        <w:t>, 2019).</w:t>
      </w:r>
    </w:p>
    <w:p w14:paraId="19BB4063" w14:textId="77777777" w:rsidR="000C171B" w:rsidRDefault="000C171B" w:rsidP="000C171B">
      <w:pPr>
        <w:spacing w:after="0" w:line="240" w:lineRule="auto"/>
        <w:jc w:val="both"/>
        <w:rPr>
          <w:rFonts w:cstheme="minorHAnsi"/>
          <w:sz w:val="24"/>
          <w:szCs w:val="24"/>
        </w:rPr>
      </w:pPr>
    </w:p>
    <w:p w14:paraId="3FA1DF05" w14:textId="169AA6F2" w:rsidR="000C171B" w:rsidRPr="00940F4A" w:rsidRDefault="000C171B" w:rsidP="000C171B">
      <w:pPr>
        <w:spacing w:after="0" w:line="240" w:lineRule="auto"/>
        <w:jc w:val="both"/>
        <w:rPr>
          <w:rFonts w:cstheme="minorHAnsi"/>
          <w:sz w:val="24"/>
          <w:szCs w:val="24"/>
        </w:rPr>
      </w:pPr>
      <w:r>
        <w:rPr>
          <w:rFonts w:cstheme="minorHAnsi"/>
          <w:sz w:val="24"/>
          <w:szCs w:val="24"/>
        </w:rPr>
        <w:t xml:space="preserve">De igual manera, finalmente, el país aprobó una medida ejecutiva dirigida a </w:t>
      </w:r>
      <w:r w:rsidRPr="008006F2">
        <w:rPr>
          <w:rFonts w:cstheme="minorHAnsi"/>
          <w:sz w:val="24"/>
          <w:szCs w:val="24"/>
        </w:rPr>
        <w:t>mejorar la protección de los derechos humanos</w:t>
      </w:r>
      <w:r>
        <w:rPr>
          <w:rFonts w:cstheme="minorHAnsi"/>
          <w:sz w:val="24"/>
          <w:szCs w:val="24"/>
        </w:rPr>
        <w:t>: (i) l</w:t>
      </w:r>
      <w:r w:rsidRPr="00117378">
        <w:rPr>
          <w:rFonts w:cstheme="minorHAnsi"/>
          <w:sz w:val="24"/>
          <w:szCs w:val="24"/>
        </w:rPr>
        <w:t>a adhesión a la Declaración sobre Escuelas Seguras, en 2015</w:t>
      </w:r>
      <w:r>
        <w:rPr>
          <w:rFonts w:cstheme="minorHAnsi"/>
          <w:sz w:val="24"/>
          <w:szCs w:val="24"/>
        </w:rPr>
        <w:t>;  (</w:t>
      </w:r>
      <w:proofErr w:type="spellStart"/>
      <w:r>
        <w:rPr>
          <w:rFonts w:cstheme="minorHAnsi"/>
          <w:sz w:val="24"/>
          <w:szCs w:val="24"/>
        </w:rPr>
        <w:t>ii</w:t>
      </w:r>
      <w:proofErr w:type="spellEnd"/>
      <w:r>
        <w:rPr>
          <w:rFonts w:cstheme="minorHAnsi"/>
          <w:sz w:val="24"/>
          <w:szCs w:val="24"/>
        </w:rPr>
        <w:t xml:space="preserve">) </w:t>
      </w:r>
      <w:r w:rsidRPr="008006F2">
        <w:rPr>
          <w:rFonts w:cstheme="minorHAnsi"/>
          <w:sz w:val="24"/>
          <w:szCs w:val="24"/>
        </w:rPr>
        <w:t>el Decreto Ejecutivo 121 de 19 de julio 2016</w:t>
      </w:r>
      <w:r>
        <w:rPr>
          <w:rFonts w:cstheme="minorHAnsi"/>
          <w:sz w:val="24"/>
          <w:szCs w:val="24"/>
        </w:rPr>
        <w:t xml:space="preserve">, </w:t>
      </w:r>
      <w:r w:rsidRPr="008006F2">
        <w:rPr>
          <w:rFonts w:cstheme="minorHAnsi"/>
          <w:sz w:val="24"/>
          <w:szCs w:val="24"/>
        </w:rPr>
        <w:t>mediante</w:t>
      </w:r>
      <w:r>
        <w:rPr>
          <w:rFonts w:cstheme="minorHAnsi"/>
          <w:sz w:val="24"/>
          <w:szCs w:val="24"/>
        </w:rPr>
        <w:t xml:space="preserve"> el cual se crea </w:t>
      </w:r>
      <w:r w:rsidRPr="008006F2">
        <w:rPr>
          <w:rFonts w:cstheme="minorHAnsi"/>
          <w:sz w:val="24"/>
          <w:szCs w:val="24"/>
        </w:rPr>
        <w:t>creación de la Comisión 20 de diciembre de 1989</w:t>
      </w:r>
      <w:r>
        <w:rPr>
          <w:rFonts w:cstheme="minorHAnsi"/>
          <w:sz w:val="24"/>
          <w:szCs w:val="24"/>
        </w:rPr>
        <w:t>; (</w:t>
      </w:r>
      <w:proofErr w:type="spellStart"/>
      <w:r>
        <w:rPr>
          <w:rFonts w:cstheme="minorHAnsi"/>
          <w:sz w:val="24"/>
          <w:szCs w:val="24"/>
        </w:rPr>
        <w:t>iii</w:t>
      </w:r>
      <w:proofErr w:type="spellEnd"/>
      <w:r>
        <w:rPr>
          <w:rFonts w:cstheme="minorHAnsi"/>
          <w:sz w:val="24"/>
          <w:szCs w:val="24"/>
        </w:rPr>
        <w:t xml:space="preserve">) la adhesión a la </w:t>
      </w:r>
      <w:r w:rsidRPr="00D24AA2">
        <w:rPr>
          <w:rFonts w:eastAsiaTheme="minorEastAsia"/>
          <w:sz w:val="24"/>
          <w:szCs w:val="24"/>
          <w:lang w:val="es-VE"/>
        </w:rPr>
        <w:t xml:space="preserve">Declaración Política sobre el VIH/SIDA: En la vía rápida para acelerar la lucha contra el VIH y poner fin a la epidemia del SIDA para 2030, donde </w:t>
      </w:r>
      <w:r>
        <w:rPr>
          <w:rFonts w:eastAsiaTheme="minorEastAsia"/>
          <w:sz w:val="24"/>
          <w:szCs w:val="24"/>
          <w:lang w:val="es-VE"/>
        </w:rPr>
        <w:t xml:space="preserve">el país </w:t>
      </w:r>
      <w:r w:rsidRPr="00D24AA2">
        <w:rPr>
          <w:rFonts w:eastAsiaTheme="minorEastAsia"/>
          <w:sz w:val="24"/>
          <w:szCs w:val="24"/>
          <w:lang w:val="es-VE"/>
        </w:rPr>
        <w:t xml:space="preserve">asume las siguientes metas: </w:t>
      </w:r>
      <w:r w:rsidRPr="005C4F1C">
        <w:rPr>
          <w:rFonts w:eastAsiaTheme="minorEastAsia"/>
          <w:sz w:val="24"/>
          <w:szCs w:val="24"/>
          <w:lang w:val="es-VE"/>
        </w:rPr>
        <w:t>90% de las personas que viven con el VIH conocerán su estado serológico</w:t>
      </w:r>
      <w:r w:rsidRPr="00D24AA2">
        <w:rPr>
          <w:rFonts w:eastAsiaTheme="minorEastAsia"/>
          <w:sz w:val="24"/>
          <w:szCs w:val="24"/>
          <w:lang w:val="es-VE"/>
        </w:rPr>
        <w:t xml:space="preserve">, </w:t>
      </w:r>
      <w:r>
        <w:rPr>
          <w:rFonts w:eastAsiaTheme="minorEastAsia"/>
          <w:sz w:val="24"/>
          <w:szCs w:val="24"/>
          <w:lang w:val="es-VE"/>
        </w:rPr>
        <w:t>el</w:t>
      </w:r>
      <w:r w:rsidRPr="005C4F1C">
        <w:rPr>
          <w:rFonts w:eastAsiaTheme="minorEastAsia"/>
          <w:sz w:val="24"/>
          <w:szCs w:val="24"/>
          <w:lang w:val="es-VE"/>
        </w:rPr>
        <w:t xml:space="preserve"> 90% del total de personas diagnosticadas con el VIH recibirá un </w:t>
      </w:r>
      <w:r w:rsidRPr="005C4F1C">
        <w:rPr>
          <w:rFonts w:eastAsiaTheme="minorEastAsia"/>
          <w:sz w:val="24"/>
          <w:szCs w:val="24"/>
          <w:lang w:val="es-VE"/>
        </w:rPr>
        <w:lastRenderedPageBreak/>
        <w:t>tratamiento</w:t>
      </w:r>
      <w:r>
        <w:rPr>
          <w:rFonts w:eastAsiaTheme="minorEastAsia"/>
          <w:sz w:val="24"/>
          <w:szCs w:val="24"/>
          <w:lang w:val="es-VE"/>
        </w:rPr>
        <w:t xml:space="preserve"> </w:t>
      </w:r>
      <w:proofErr w:type="spellStart"/>
      <w:r w:rsidRPr="005C4F1C">
        <w:rPr>
          <w:rFonts w:eastAsiaTheme="minorEastAsia"/>
          <w:sz w:val="24"/>
          <w:szCs w:val="24"/>
          <w:lang w:val="es-VE"/>
        </w:rPr>
        <w:t>antirretrovírico</w:t>
      </w:r>
      <w:proofErr w:type="spellEnd"/>
      <w:r w:rsidRPr="005C4F1C">
        <w:rPr>
          <w:rFonts w:eastAsiaTheme="minorEastAsia"/>
          <w:sz w:val="24"/>
          <w:szCs w:val="24"/>
          <w:lang w:val="es-VE"/>
        </w:rPr>
        <w:t xml:space="preserve"> continuado</w:t>
      </w:r>
      <w:r w:rsidRPr="00D24AA2">
        <w:rPr>
          <w:rFonts w:eastAsiaTheme="minorEastAsia"/>
          <w:sz w:val="24"/>
          <w:szCs w:val="24"/>
          <w:lang w:val="es-VE"/>
        </w:rPr>
        <w:t xml:space="preserve">, </w:t>
      </w:r>
      <w:r>
        <w:rPr>
          <w:rFonts w:eastAsiaTheme="minorEastAsia"/>
          <w:sz w:val="24"/>
          <w:szCs w:val="24"/>
          <w:lang w:val="es-VE"/>
        </w:rPr>
        <w:t>el</w:t>
      </w:r>
      <w:r w:rsidRPr="005C4F1C">
        <w:rPr>
          <w:rFonts w:eastAsiaTheme="minorEastAsia"/>
          <w:sz w:val="24"/>
          <w:szCs w:val="24"/>
          <w:lang w:val="es-VE"/>
        </w:rPr>
        <w:t xml:space="preserve"> 90% de las personas que reciben terapia </w:t>
      </w:r>
      <w:proofErr w:type="spellStart"/>
      <w:r w:rsidRPr="005C4F1C">
        <w:rPr>
          <w:rFonts w:eastAsiaTheme="minorEastAsia"/>
          <w:sz w:val="24"/>
          <w:szCs w:val="24"/>
          <w:lang w:val="es-VE"/>
        </w:rPr>
        <w:t>antirretrovírica</w:t>
      </w:r>
      <w:proofErr w:type="spellEnd"/>
      <w:r w:rsidRPr="005C4F1C">
        <w:rPr>
          <w:rFonts w:eastAsiaTheme="minorEastAsia"/>
          <w:sz w:val="24"/>
          <w:szCs w:val="24"/>
          <w:lang w:val="es-VE"/>
        </w:rPr>
        <w:t xml:space="preserve"> tendrá supresión viral</w:t>
      </w:r>
      <w:r w:rsidRPr="00D24AA2">
        <w:rPr>
          <w:rFonts w:eastAsiaTheme="minorEastAsia"/>
          <w:sz w:val="24"/>
          <w:szCs w:val="24"/>
          <w:lang w:val="es-VE"/>
        </w:rPr>
        <w:t xml:space="preserve">,  </w:t>
      </w:r>
      <w:r>
        <w:rPr>
          <w:rFonts w:eastAsiaTheme="minorEastAsia"/>
          <w:sz w:val="24"/>
          <w:szCs w:val="24"/>
          <w:lang w:val="es-VE"/>
        </w:rPr>
        <w:t xml:space="preserve">3 ciudades incluidas </w:t>
      </w:r>
      <w:r w:rsidRPr="00D24AA2">
        <w:rPr>
          <w:rFonts w:eastAsiaTheme="minorEastAsia"/>
          <w:sz w:val="24"/>
          <w:szCs w:val="24"/>
          <w:lang w:val="es-VE"/>
        </w:rPr>
        <w:t xml:space="preserve">en la iniciativa </w:t>
      </w:r>
      <w:proofErr w:type="spellStart"/>
      <w:r w:rsidRPr="00D24AA2">
        <w:rPr>
          <w:rFonts w:eastAsiaTheme="minorEastAsia"/>
          <w:sz w:val="24"/>
          <w:szCs w:val="24"/>
          <w:lang w:val="es-VE"/>
        </w:rPr>
        <w:t>Fast</w:t>
      </w:r>
      <w:proofErr w:type="spellEnd"/>
      <w:r w:rsidRPr="00D24AA2">
        <w:rPr>
          <w:rFonts w:eastAsiaTheme="minorEastAsia"/>
          <w:sz w:val="24"/>
          <w:szCs w:val="24"/>
          <w:lang w:val="es-VE"/>
        </w:rPr>
        <w:t xml:space="preserve"> </w:t>
      </w:r>
      <w:proofErr w:type="spellStart"/>
      <w:r w:rsidRPr="00D24AA2">
        <w:rPr>
          <w:rFonts w:eastAsiaTheme="minorEastAsia"/>
          <w:sz w:val="24"/>
          <w:szCs w:val="24"/>
          <w:lang w:val="es-VE"/>
        </w:rPr>
        <w:t>Track</w:t>
      </w:r>
      <w:proofErr w:type="spellEnd"/>
      <w:r w:rsidRPr="00D24AA2">
        <w:rPr>
          <w:rFonts w:eastAsiaTheme="minorEastAsia"/>
          <w:sz w:val="24"/>
          <w:szCs w:val="24"/>
          <w:lang w:val="es-VE"/>
        </w:rPr>
        <w:t xml:space="preserve"> </w:t>
      </w:r>
      <w:proofErr w:type="spellStart"/>
      <w:r w:rsidRPr="00D24AA2">
        <w:rPr>
          <w:rFonts w:eastAsiaTheme="minorEastAsia"/>
          <w:sz w:val="24"/>
          <w:szCs w:val="24"/>
          <w:lang w:val="es-VE"/>
        </w:rPr>
        <w:t>Cities</w:t>
      </w:r>
      <w:proofErr w:type="spellEnd"/>
      <w:r>
        <w:rPr>
          <w:rFonts w:eastAsiaTheme="minorEastAsia"/>
          <w:sz w:val="24"/>
          <w:szCs w:val="24"/>
          <w:lang w:val="es-VE"/>
        </w:rPr>
        <w:t>; (</w:t>
      </w:r>
      <w:proofErr w:type="spellStart"/>
      <w:r>
        <w:rPr>
          <w:rFonts w:eastAsiaTheme="minorEastAsia"/>
          <w:sz w:val="24"/>
          <w:szCs w:val="24"/>
          <w:lang w:val="es-VE"/>
        </w:rPr>
        <w:t>iv</w:t>
      </w:r>
      <w:proofErr w:type="spellEnd"/>
      <w:r>
        <w:rPr>
          <w:rFonts w:eastAsiaTheme="minorEastAsia"/>
          <w:sz w:val="24"/>
          <w:szCs w:val="24"/>
          <w:lang w:val="es-VE"/>
        </w:rPr>
        <w:t>) adhesión a</w:t>
      </w:r>
      <w:r w:rsidRPr="00725057">
        <w:rPr>
          <w:rFonts w:cstheme="minorHAnsi"/>
          <w:sz w:val="24"/>
          <w:szCs w:val="24"/>
        </w:rPr>
        <w:t xml:space="preserve">l Acuerdo </w:t>
      </w:r>
      <w:r w:rsidRPr="002127D3">
        <w:rPr>
          <w:rFonts w:cstheme="minorHAnsi"/>
          <w:color w:val="000000" w:themeColor="text1"/>
          <w:sz w:val="24"/>
          <w:szCs w:val="24"/>
        </w:rPr>
        <w:t>de Escazú</w:t>
      </w:r>
      <w:r w:rsidRPr="00725057">
        <w:rPr>
          <w:rFonts w:cstheme="minorHAnsi"/>
          <w:sz w:val="24"/>
          <w:szCs w:val="24"/>
        </w:rPr>
        <w:t xml:space="preserve"> sobre el Acceso a la Información, la Participación Pública y el Acceso a la Justicia en </w:t>
      </w:r>
      <w:r w:rsidRPr="002127D3">
        <w:rPr>
          <w:rFonts w:cstheme="minorHAnsi"/>
          <w:color w:val="000000" w:themeColor="text1"/>
          <w:sz w:val="24"/>
          <w:szCs w:val="24"/>
        </w:rPr>
        <w:t>Asuntos Ambientales en América Latina y el Caribe</w:t>
      </w:r>
      <w:r w:rsidRPr="002127D3">
        <w:rPr>
          <w:rStyle w:val="FootnoteReference"/>
          <w:rFonts w:cstheme="minorHAnsi"/>
          <w:color w:val="000000" w:themeColor="text1"/>
          <w:sz w:val="24"/>
          <w:szCs w:val="24"/>
        </w:rPr>
        <w:footnoteReference w:id="17"/>
      </w:r>
      <w:r w:rsidRPr="002127D3">
        <w:rPr>
          <w:rFonts w:cstheme="minorHAnsi"/>
          <w:color w:val="000000" w:themeColor="text1"/>
          <w:sz w:val="24"/>
          <w:szCs w:val="24"/>
        </w:rPr>
        <w:t>, pendiente de ratificación por la Asamblea Nacional</w:t>
      </w:r>
      <w:r>
        <w:rPr>
          <w:rFonts w:cstheme="minorHAnsi"/>
          <w:color w:val="000000" w:themeColor="text1"/>
          <w:sz w:val="24"/>
          <w:szCs w:val="24"/>
        </w:rPr>
        <w:t xml:space="preserve">  </w:t>
      </w:r>
      <w:r w:rsidRPr="00940F4A">
        <w:rPr>
          <w:rFonts w:cstheme="minorHAnsi"/>
          <w:sz w:val="24"/>
          <w:szCs w:val="24"/>
        </w:rPr>
        <w:t xml:space="preserve">(CAT/C/PAN/CO/R, 2017) (CRC/C/OPAC/PAN/CO/1, 2019). </w:t>
      </w:r>
    </w:p>
    <w:p w14:paraId="3FF5A07A" w14:textId="77777777" w:rsidR="000C171B" w:rsidRPr="00940F4A" w:rsidRDefault="000C171B" w:rsidP="000C171B">
      <w:pPr>
        <w:spacing w:after="0" w:line="240" w:lineRule="auto"/>
        <w:jc w:val="both"/>
        <w:rPr>
          <w:rFonts w:cstheme="minorHAnsi"/>
          <w:sz w:val="24"/>
          <w:szCs w:val="24"/>
        </w:rPr>
      </w:pPr>
    </w:p>
    <w:p w14:paraId="4D1A441B" w14:textId="77777777" w:rsidR="000C171B" w:rsidRDefault="000C171B" w:rsidP="000C171B">
      <w:pPr>
        <w:spacing w:after="0" w:line="240" w:lineRule="auto"/>
        <w:jc w:val="both"/>
        <w:rPr>
          <w:rFonts w:cstheme="minorHAnsi"/>
          <w:sz w:val="24"/>
          <w:szCs w:val="24"/>
        </w:rPr>
      </w:pPr>
      <w:r>
        <w:rPr>
          <w:rFonts w:cstheme="minorHAnsi"/>
          <w:sz w:val="24"/>
          <w:szCs w:val="24"/>
        </w:rPr>
        <w:t xml:space="preserve">Este conjunto de disposiciones permite una mirada más integral a los derechos humanos de las personas en Panamá. </w:t>
      </w:r>
      <w:r w:rsidRPr="00461F1D">
        <w:rPr>
          <w:rFonts w:cstheme="minorHAnsi"/>
          <w:sz w:val="24"/>
          <w:szCs w:val="24"/>
        </w:rPr>
        <w:t xml:space="preserve">En el año 2016, para darle seguimiento y cumplimiento a las recomendaciones de los Órganos de Derechos Humanos, el país </w:t>
      </w:r>
      <w:r w:rsidRPr="00461F1D">
        <w:rPr>
          <w:rFonts w:cstheme="minorHAnsi"/>
          <w:color w:val="000000"/>
          <w:sz w:val="24"/>
          <w:szCs w:val="24"/>
          <w:lang w:val="es-ES" w:eastAsia="en-GB"/>
        </w:rPr>
        <w:t>estableció un Mecanismo de Seguimiento y Monitoreo de Recomendaciones de derechos humanos alineado sobre los ODS</w:t>
      </w:r>
      <w:r w:rsidRPr="00461F1D">
        <w:rPr>
          <w:rFonts w:cstheme="minorHAnsi"/>
          <w:color w:val="000000"/>
          <w:sz w:val="24"/>
          <w:szCs w:val="24"/>
          <w:vertAlign w:val="superscript"/>
          <w:lang w:val="es-ES" w:eastAsia="en-GB"/>
        </w:rPr>
        <w:footnoteReference w:id="18"/>
      </w:r>
      <w:r w:rsidRPr="00461F1D">
        <w:rPr>
          <w:rFonts w:cstheme="minorHAnsi"/>
          <w:color w:val="000000"/>
          <w:sz w:val="24"/>
          <w:szCs w:val="24"/>
          <w:lang w:val="es-ES" w:eastAsia="en-GB"/>
        </w:rPr>
        <w:t xml:space="preserve">. Sin embargo, hasta el momento </w:t>
      </w:r>
      <w:r w:rsidRPr="00461F1D">
        <w:rPr>
          <w:rFonts w:cstheme="minorHAnsi"/>
          <w:sz w:val="24"/>
          <w:szCs w:val="24"/>
        </w:rPr>
        <w:t xml:space="preserve">el país no cuenta con un plan de seguimiento de la implementación de las recomendaciones de los órganos de supervisión en forma coordinada e integral. Por lo </w:t>
      </w:r>
      <w:r>
        <w:rPr>
          <w:rFonts w:cstheme="minorHAnsi"/>
          <w:sz w:val="24"/>
          <w:szCs w:val="24"/>
        </w:rPr>
        <w:t xml:space="preserve">que aún </w:t>
      </w:r>
      <w:r w:rsidRPr="00461F1D">
        <w:rPr>
          <w:rFonts w:cstheme="minorHAnsi"/>
          <w:sz w:val="24"/>
          <w:szCs w:val="24"/>
        </w:rPr>
        <w:t>están pendientes los informes periódicos al CERD, CESCR, CEDAW. Asimismo, está pendiente la ratificación del Protocolo Facultativo del Pacto Internacional de Derechos Económicos, Sociales y Culturales y el Convenio 169 de la OIT, que hace</w:t>
      </w:r>
      <w:r>
        <w:rPr>
          <w:rFonts w:cstheme="minorHAnsi"/>
          <w:sz w:val="24"/>
          <w:szCs w:val="24"/>
        </w:rPr>
        <w:t>n</w:t>
      </w:r>
      <w:r w:rsidRPr="00461F1D">
        <w:rPr>
          <w:rFonts w:cstheme="minorHAnsi"/>
          <w:sz w:val="24"/>
          <w:szCs w:val="24"/>
        </w:rPr>
        <w:t xml:space="preserve"> parte de las recomendaciones del EPU. Ambos instrumentos tienen implicaciones en el cumplimiento de la Agenda 2030, porque en el primer caso, define y modela la realización de las garantías que dan forma a los derechos. En el segundo caso, </w:t>
      </w:r>
      <w:r>
        <w:rPr>
          <w:rFonts w:cstheme="minorHAnsi"/>
          <w:sz w:val="24"/>
          <w:szCs w:val="24"/>
        </w:rPr>
        <w:t xml:space="preserve">con </w:t>
      </w:r>
      <w:r w:rsidRPr="00461F1D">
        <w:rPr>
          <w:rFonts w:cstheme="minorHAnsi"/>
          <w:sz w:val="24"/>
          <w:szCs w:val="24"/>
        </w:rPr>
        <w:t xml:space="preserve">las formas de interacción </w:t>
      </w:r>
      <w:r>
        <w:rPr>
          <w:rFonts w:cstheme="minorHAnsi"/>
          <w:sz w:val="24"/>
          <w:szCs w:val="24"/>
        </w:rPr>
        <w:t xml:space="preserve">de </w:t>
      </w:r>
      <w:r w:rsidRPr="00461F1D">
        <w:rPr>
          <w:rFonts w:cstheme="minorHAnsi"/>
          <w:sz w:val="24"/>
          <w:szCs w:val="24"/>
        </w:rPr>
        <w:t xml:space="preserve">la política pública en contextos culturales y étnicos.  </w:t>
      </w:r>
    </w:p>
    <w:p w14:paraId="03B3AD35" w14:textId="77777777" w:rsidR="000C171B" w:rsidRDefault="000C171B" w:rsidP="000C171B">
      <w:pPr>
        <w:spacing w:after="0" w:line="240" w:lineRule="auto"/>
        <w:jc w:val="both"/>
        <w:rPr>
          <w:rFonts w:cstheme="minorHAnsi"/>
          <w:sz w:val="24"/>
          <w:szCs w:val="24"/>
        </w:rPr>
      </w:pPr>
    </w:p>
    <w:p w14:paraId="1F08853A" w14:textId="77777777" w:rsidR="000C171B" w:rsidRPr="00461F1D" w:rsidRDefault="000C171B" w:rsidP="000C171B">
      <w:pPr>
        <w:spacing w:after="0" w:line="240" w:lineRule="auto"/>
        <w:jc w:val="both"/>
        <w:rPr>
          <w:rFonts w:cstheme="minorHAnsi"/>
          <w:sz w:val="24"/>
          <w:szCs w:val="24"/>
        </w:rPr>
      </w:pPr>
      <w:r w:rsidRPr="0053557D">
        <w:rPr>
          <w:rFonts w:cstheme="minorHAnsi"/>
          <w:sz w:val="24"/>
          <w:szCs w:val="24"/>
        </w:rPr>
        <w:t xml:space="preserve">Así mismo, cabe destacar que Panamá suscribió </w:t>
      </w:r>
      <w:r>
        <w:rPr>
          <w:rFonts w:cstheme="minorHAnsi"/>
          <w:sz w:val="24"/>
          <w:szCs w:val="24"/>
        </w:rPr>
        <w:t xml:space="preserve">en el 2016 </w:t>
      </w:r>
      <w:r w:rsidRPr="0053557D">
        <w:rPr>
          <w:rFonts w:cstheme="minorHAnsi"/>
          <w:sz w:val="24"/>
          <w:szCs w:val="24"/>
        </w:rPr>
        <w:t>la Declaración Política sobre el VIH y el SIDA: en la vía rápida para acelerar la lucha contra el VIH y poner fin a la epidemia del SIDA para 2030</w:t>
      </w:r>
      <w:r>
        <w:rPr>
          <w:rFonts w:cstheme="minorHAnsi"/>
          <w:sz w:val="24"/>
          <w:szCs w:val="24"/>
        </w:rPr>
        <w:t>. T</w:t>
      </w:r>
      <w:r w:rsidRPr="0053557D">
        <w:rPr>
          <w:rFonts w:cstheme="minorHAnsi"/>
          <w:sz w:val="24"/>
          <w:szCs w:val="24"/>
        </w:rPr>
        <w:t xml:space="preserve">res de sus ciudades están comprometidas con la iniciativa </w:t>
      </w:r>
      <w:proofErr w:type="spellStart"/>
      <w:r w:rsidRPr="0053557D">
        <w:rPr>
          <w:rFonts w:cstheme="minorHAnsi"/>
          <w:sz w:val="24"/>
          <w:szCs w:val="24"/>
        </w:rPr>
        <w:t>Fast</w:t>
      </w:r>
      <w:proofErr w:type="spellEnd"/>
      <w:r w:rsidRPr="0053557D">
        <w:rPr>
          <w:rFonts w:cstheme="minorHAnsi"/>
          <w:sz w:val="24"/>
          <w:szCs w:val="24"/>
        </w:rPr>
        <w:t xml:space="preserve"> </w:t>
      </w:r>
      <w:proofErr w:type="spellStart"/>
      <w:r w:rsidRPr="0053557D">
        <w:rPr>
          <w:rFonts w:cstheme="minorHAnsi"/>
          <w:sz w:val="24"/>
          <w:szCs w:val="24"/>
        </w:rPr>
        <w:t>Track</w:t>
      </w:r>
      <w:proofErr w:type="spellEnd"/>
      <w:r w:rsidRPr="0053557D">
        <w:rPr>
          <w:rFonts w:cstheme="minorHAnsi"/>
          <w:sz w:val="24"/>
          <w:szCs w:val="24"/>
        </w:rPr>
        <w:t xml:space="preserve"> </w:t>
      </w:r>
      <w:proofErr w:type="spellStart"/>
      <w:r w:rsidRPr="0053557D">
        <w:rPr>
          <w:rFonts w:cstheme="minorHAnsi"/>
          <w:sz w:val="24"/>
          <w:szCs w:val="24"/>
        </w:rPr>
        <w:t>Cities</w:t>
      </w:r>
      <w:proofErr w:type="spellEnd"/>
      <w:r w:rsidRPr="0053557D">
        <w:rPr>
          <w:rFonts w:cstheme="minorHAnsi"/>
          <w:sz w:val="24"/>
          <w:szCs w:val="24"/>
        </w:rPr>
        <w:t xml:space="preserve">.  </w:t>
      </w:r>
    </w:p>
    <w:p w14:paraId="24EBB3AD" w14:textId="77777777" w:rsidR="000C171B" w:rsidRPr="00461F1D" w:rsidRDefault="000C171B" w:rsidP="000C171B">
      <w:pPr>
        <w:spacing w:after="0" w:line="240" w:lineRule="auto"/>
        <w:jc w:val="both"/>
        <w:rPr>
          <w:rFonts w:cstheme="minorHAnsi"/>
          <w:sz w:val="24"/>
          <w:szCs w:val="24"/>
        </w:rPr>
      </w:pPr>
    </w:p>
    <w:p w14:paraId="0158B0C5" w14:textId="77777777" w:rsidR="000C171B" w:rsidRPr="00BA7353" w:rsidRDefault="000C171B" w:rsidP="000C171B">
      <w:pPr>
        <w:spacing w:after="0" w:line="240" w:lineRule="auto"/>
        <w:jc w:val="both"/>
        <w:rPr>
          <w:rFonts w:cstheme="minorHAnsi"/>
          <w:b/>
          <w:bCs/>
          <w:color w:val="4472C4" w:themeColor="accent1"/>
          <w:sz w:val="24"/>
          <w:szCs w:val="24"/>
        </w:rPr>
      </w:pPr>
      <w:r w:rsidRPr="00BA7353">
        <w:rPr>
          <w:rFonts w:cstheme="minorHAnsi"/>
          <w:b/>
          <w:bCs/>
          <w:color w:val="4472C4" w:themeColor="accent1"/>
          <w:sz w:val="24"/>
          <w:szCs w:val="24"/>
        </w:rPr>
        <w:t xml:space="preserve">5.1. Análisis de la implementación de los compromisos bajo todas las normas y estándares internacionalmente acordados y los valores de la Carta de las Naciones Unidas, como un instrumento para lograr la Agenda 2030. </w:t>
      </w:r>
    </w:p>
    <w:p w14:paraId="42821C87" w14:textId="77777777" w:rsidR="000C171B" w:rsidRDefault="000C171B" w:rsidP="000C171B">
      <w:pPr>
        <w:spacing w:after="0" w:line="240" w:lineRule="auto"/>
        <w:jc w:val="both"/>
        <w:rPr>
          <w:rFonts w:cstheme="minorHAnsi"/>
          <w:sz w:val="24"/>
          <w:szCs w:val="24"/>
        </w:rPr>
      </w:pPr>
    </w:p>
    <w:p w14:paraId="148D5245" w14:textId="77777777" w:rsidR="000C171B" w:rsidRDefault="000C171B" w:rsidP="000C171B">
      <w:pPr>
        <w:spacing w:after="0" w:line="240" w:lineRule="auto"/>
        <w:jc w:val="both"/>
        <w:rPr>
          <w:rFonts w:cstheme="minorHAnsi"/>
          <w:sz w:val="24"/>
          <w:szCs w:val="24"/>
        </w:rPr>
      </w:pPr>
      <w:r w:rsidRPr="00725057">
        <w:rPr>
          <w:rFonts w:cstheme="minorHAnsi"/>
          <w:sz w:val="24"/>
          <w:szCs w:val="24"/>
        </w:rPr>
        <w:t xml:space="preserve">En el último Examen Periódico Universal (2º CICLO), </w:t>
      </w:r>
      <w:r>
        <w:rPr>
          <w:rFonts w:cstheme="minorHAnsi"/>
          <w:sz w:val="24"/>
          <w:szCs w:val="24"/>
        </w:rPr>
        <w:t xml:space="preserve">a Panamá le fueron formuladas 521 recomendaciones de las cuales </w:t>
      </w:r>
      <w:r w:rsidRPr="00725057">
        <w:rPr>
          <w:rFonts w:cstheme="minorHAnsi"/>
          <w:sz w:val="24"/>
          <w:szCs w:val="24"/>
        </w:rPr>
        <w:t xml:space="preserve">aceptó </w:t>
      </w:r>
      <w:r>
        <w:rPr>
          <w:rFonts w:cstheme="minorHAnsi"/>
          <w:sz w:val="24"/>
          <w:szCs w:val="24"/>
        </w:rPr>
        <w:t>111</w:t>
      </w:r>
      <w:r w:rsidRPr="00725057">
        <w:rPr>
          <w:rFonts w:cstheme="minorHAnsi"/>
          <w:sz w:val="24"/>
          <w:szCs w:val="24"/>
        </w:rPr>
        <w:t>. Las mismas se concentran mayormente</w:t>
      </w:r>
      <w:r>
        <w:rPr>
          <w:rFonts w:cstheme="minorHAnsi"/>
          <w:sz w:val="24"/>
          <w:szCs w:val="24"/>
        </w:rPr>
        <w:t xml:space="preserve">, en su orden, </w:t>
      </w:r>
      <w:r w:rsidRPr="00725057">
        <w:rPr>
          <w:rFonts w:cstheme="minorHAnsi"/>
          <w:sz w:val="24"/>
          <w:szCs w:val="24"/>
        </w:rPr>
        <w:t>en la Esfera Personas (38.0%), Prosperidad (27.4%), Paz (23.6%), Asociaciones (6.5%), Planeta (4.4%). Las recomendaciones en la Esfera Personas se concentran en el ODS 5, Igualdad de Género  (14.4%); en la Esfera Planeta, las recomendaciones se concentran en el ODS 6, Agua Limpia y Saneamiento (2.3%); en la Esfera Prosperidad, las recomendaciones son principalmente en el ODS 10, Reducir la Desigualdad (15.5%); en las Esfera Paz, las recomendaciones al ODS 1</w:t>
      </w:r>
      <w:r>
        <w:rPr>
          <w:rFonts w:cstheme="minorHAnsi"/>
          <w:sz w:val="24"/>
          <w:szCs w:val="24"/>
        </w:rPr>
        <w:t>6</w:t>
      </w:r>
      <w:r w:rsidRPr="00725057">
        <w:rPr>
          <w:rFonts w:cstheme="minorHAnsi"/>
          <w:sz w:val="24"/>
          <w:szCs w:val="24"/>
        </w:rPr>
        <w:t xml:space="preserve"> Paz, Justicia e Instituciones Sólidas, se relaciona con el área de la justicia. Por último, en la Esfera Asociaciones las recomendaciones al ODS 17, Alianza Mundial para el Desarrollo Sostenible, son principalmente en materia de construcción de soportes nacionales para alcanzar la Agenda 2030 (6.5%). </w:t>
      </w:r>
    </w:p>
    <w:p w14:paraId="0C99DD3D" w14:textId="77777777" w:rsidR="000C171B" w:rsidRDefault="000C171B" w:rsidP="000C171B">
      <w:pPr>
        <w:spacing w:after="0" w:line="240" w:lineRule="auto"/>
        <w:jc w:val="both"/>
        <w:rPr>
          <w:rFonts w:cstheme="minorHAnsi"/>
          <w:sz w:val="24"/>
          <w:szCs w:val="24"/>
        </w:rPr>
      </w:pPr>
    </w:p>
    <w:p w14:paraId="05C91B2C" w14:textId="1F9A4982" w:rsidR="000C171B" w:rsidRDefault="000C171B" w:rsidP="000C171B">
      <w:pPr>
        <w:spacing w:after="0" w:line="240" w:lineRule="auto"/>
        <w:jc w:val="both"/>
        <w:rPr>
          <w:rFonts w:cstheme="minorHAnsi"/>
          <w:color w:val="000000" w:themeColor="text1"/>
          <w:sz w:val="24"/>
          <w:szCs w:val="24"/>
        </w:rPr>
      </w:pPr>
      <w:r>
        <w:rPr>
          <w:rFonts w:cstheme="minorHAnsi"/>
          <w:color w:val="000000" w:themeColor="text1"/>
          <w:sz w:val="24"/>
          <w:szCs w:val="24"/>
        </w:rPr>
        <w:t>E</w:t>
      </w:r>
      <w:r w:rsidRPr="002127D3">
        <w:rPr>
          <w:rFonts w:cstheme="minorHAnsi"/>
          <w:color w:val="000000" w:themeColor="text1"/>
          <w:sz w:val="24"/>
          <w:szCs w:val="24"/>
        </w:rPr>
        <w:t xml:space="preserve">n su conjunto, </w:t>
      </w:r>
      <w:r>
        <w:rPr>
          <w:rFonts w:cstheme="minorHAnsi"/>
          <w:color w:val="000000" w:themeColor="text1"/>
          <w:sz w:val="24"/>
          <w:szCs w:val="24"/>
        </w:rPr>
        <w:t>e</w:t>
      </w:r>
      <w:r w:rsidRPr="002127D3">
        <w:rPr>
          <w:rFonts w:cstheme="minorHAnsi"/>
          <w:color w:val="000000" w:themeColor="text1"/>
          <w:sz w:val="24"/>
          <w:szCs w:val="24"/>
        </w:rPr>
        <w:t>n el caso de las recomendaciones</w:t>
      </w:r>
      <w:r>
        <w:rPr>
          <w:rFonts w:cstheme="minorHAnsi"/>
          <w:color w:val="000000" w:themeColor="text1"/>
          <w:sz w:val="24"/>
          <w:szCs w:val="24"/>
        </w:rPr>
        <w:t>,</w:t>
      </w:r>
      <w:r w:rsidRPr="002127D3">
        <w:rPr>
          <w:rFonts w:cstheme="minorHAnsi"/>
          <w:color w:val="000000" w:themeColor="text1"/>
          <w:sz w:val="24"/>
          <w:szCs w:val="24"/>
        </w:rPr>
        <w:t xml:space="preserve"> existe</w:t>
      </w:r>
      <w:r>
        <w:rPr>
          <w:rFonts w:cstheme="minorHAnsi"/>
          <w:color w:val="000000" w:themeColor="text1"/>
          <w:sz w:val="24"/>
          <w:szCs w:val="24"/>
        </w:rPr>
        <w:t>n</w:t>
      </w:r>
      <w:r w:rsidRPr="002127D3">
        <w:rPr>
          <w:rFonts w:cstheme="minorHAnsi"/>
          <w:color w:val="000000" w:themeColor="text1"/>
          <w:sz w:val="24"/>
          <w:szCs w:val="24"/>
        </w:rPr>
        <w:t xml:space="preserve"> avances en diferentes aspectos de </w:t>
      </w:r>
      <w:r>
        <w:rPr>
          <w:rFonts w:cstheme="minorHAnsi"/>
          <w:color w:val="000000" w:themeColor="text1"/>
          <w:sz w:val="24"/>
          <w:szCs w:val="24"/>
        </w:rPr>
        <w:t>los derechos de las personas. Por ejemplo</w:t>
      </w:r>
      <w:r w:rsidR="00F330BA">
        <w:rPr>
          <w:rFonts w:cstheme="minorHAnsi"/>
          <w:color w:val="000000" w:themeColor="text1"/>
          <w:sz w:val="24"/>
          <w:szCs w:val="24"/>
        </w:rPr>
        <w:t>,</w:t>
      </w:r>
      <w:r>
        <w:rPr>
          <w:rFonts w:cstheme="minorHAnsi"/>
          <w:color w:val="000000" w:themeColor="text1"/>
          <w:sz w:val="24"/>
          <w:szCs w:val="24"/>
        </w:rPr>
        <w:t xml:space="preserve"> en los siguientes derechos</w:t>
      </w:r>
      <w:r w:rsidRPr="002127D3">
        <w:rPr>
          <w:rFonts w:cstheme="minorHAnsi"/>
          <w:color w:val="000000" w:themeColor="text1"/>
          <w:sz w:val="24"/>
          <w:szCs w:val="24"/>
        </w:rPr>
        <w:t>: derecho a un ambiente seguro y limpio; derecho a un nivel de vida adecuado</w:t>
      </w:r>
      <w:r>
        <w:rPr>
          <w:rFonts w:cstheme="minorHAnsi"/>
          <w:color w:val="000000" w:themeColor="text1"/>
          <w:sz w:val="24"/>
          <w:szCs w:val="24"/>
        </w:rPr>
        <w:t xml:space="preserve">; </w:t>
      </w:r>
      <w:r w:rsidRPr="002127D3">
        <w:rPr>
          <w:rFonts w:cstheme="minorHAnsi"/>
          <w:color w:val="000000" w:themeColor="text1"/>
          <w:sz w:val="24"/>
          <w:szCs w:val="24"/>
        </w:rPr>
        <w:t xml:space="preserve">derecho a una vida libre de violencia; derecho a la educación; derecho a la vida, al crecimiento y al desarrollo; derecho a la participación. </w:t>
      </w:r>
    </w:p>
    <w:p w14:paraId="0F240855" w14:textId="77777777" w:rsidR="000C171B" w:rsidRDefault="000C171B" w:rsidP="000C171B">
      <w:pPr>
        <w:spacing w:after="0" w:line="240" w:lineRule="auto"/>
        <w:jc w:val="both"/>
        <w:rPr>
          <w:rFonts w:cstheme="minorHAnsi"/>
          <w:color w:val="000000" w:themeColor="text1"/>
          <w:sz w:val="24"/>
          <w:szCs w:val="24"/>
        </w:rPr>
      </w:pPr>
    </w:p>
    <w:p w14:paraId="746051D5" w14:textId="77777777" w:rsidR="000C171B" w:rsidRPr="002127D3" w:rsidRDefault="000C171B" w:rsidP="000C171B">
      <w:pPr>
        <w:spacing w:after="0" w:line="240" w:lineRule="auto"/>
        <w:jc w:val="both"/>
        <w:rPr>
          <w:rFonts w:cstheme="minorHAnsi"/>
          <w:color w:val="000000" w:themeColor="text1"/>
          <w:sz w:val="24"/>
          <w:szCs w:val="24"/>
        </w:rPr>
      </w:pPr>
      <w:r w:rsidRPr="002127D3">
        <w:rPr>
          <w:rFonts w:cstheme="minorHAnsi"/>
          <w:color w:val="000000" w:themeColor="text1"/>
          <w:sz w:val="24"/>
          <w:szCs w:val="24"/>
        </w:rPr>
        <w:t xml:space="preserve">Sin embargo, existen </w:t>
      </w:r>
      <w:r>
        <w:rPr>
          <w:rFonts w:cstheme="minorHAnsi"/>
          <w:color w:val="000000" w:themeColor="text1"/>
          <w:sz w:val="24"/>
          <w:szCs w:val="24"/>
        </w:rPr>
        <w:t xml:space="preserve">brechas en las normativas que reducen la capacidad de cumplimiento </w:t>
      </w:r>
      <w:r w:rsidRPr="002127D3">
        <w:rPr>
          <w:rFonts w:cstheme="minorHAnsi"/>
          <w:color w:val="000000" w:themeColor="text1"/>
          <w:sz w:val="24"/>
          <w:szCs w:val="24"/>
        </w:rPr>
        <w:t>integral</w:t>
      </w:r>
      <w:r>
        <w:rPr>
          <w:rFonts w:cstheme="minorHAnsi"/>
          <w:color w:val="000000" w:themeColor="text1"/>
          <w:sz w:val="24"/>
          <w:szCs w:val="24"/>
        </w:rPr>
        <w:t xml:space="preserve"> de </w:t>
      </w:r>
      <w:r w:rsidRPr="002127D3">
        <w:rPr>
          <w:rFonts w:cstheme="minorHAnsi"/>
          <w:color w:val="000000" w:themeColor="text1"/>
          <w:sz w:val="24"/>
          <w:szCs w:val="24"/>
        </w:rPr>
        <w:t xml:space="preserve">los compromisos </w:t>
      </w:r>
      <w:r>
        <w:rPr>
          <w:rFonts w:cstheme="minorHAnsi"/>
          <w:color w:val="000000" w:themeColor="text1"/>
          <w:sz w:val="24"/>
          <w:szCs w:val="24"/>
        </w:rPr>
        <w:t xml:space="preserve">adquiridos, por el país, en materia de </w:t>
      </w:r>
      <w:r w:rsidRPr="002127D3">
        <w:rPr>
          <w:rFonts w:cstheme="minorHAnsi"/>
          <w:color w:val="000000" w:themeColor="text1"/>
          <w:sz w:val="24"/>
          <w:szCs w:val="24"/>
        </w:rPr>
        <w:t xml:space="preserve">derechos humanos:  </w:t>
      </w:r>
    </w:p>
    <w:p w14:paraId="2E3057FC" w14:textId="77777777" w:rsidR="000C171B" w:rsidRPr="00F77811" w:rsidRDefault="000C171B" w:rsidP="000C171B">
      <w:pPr>
        <w:spacing w:after="0" w:line="240" w:lineRule="auto"/>
        <w:jc w:val="both"/>
        <w:rPr>
          <w:rFonts w:cstheme="minorHAnsi"/>
          <w:color w:val="FF0000"/>
          <w:sz w:val="24"/>
          <w:szCs w:val="24"/>
        </w:rPr>
      </w:pPr>
    </w:p>
    <w:p w14:paraId="0FAC1EEA" w14:textId="77777777" w:rsidR="000C171B" w:rsidRPr="0032785F" w:rsidRDefault="000C171B" w:rsidP="000C171B">
      <w:pPr>
        <w:spacing w:after="0" w:line="240" w:lineRule="auto"/>
        <w:jc w:val="both"/>
        <w:rPr>
          <w:rFonts w:cstheme="minorHAnsi"/>
          <w:bCs/>
          <w:color w:val="000000" w:themeColor="text1"/>
          <w:sz w:val="24"/>
          <w:szCs w:val="24"/>
          <w:lang w:eastAsia="en-GB"/>
        </w:rPr>
      </w:pPr>
      <w:r w:rsidRPr="00BA7353">
        <w:rPr>
          <w:rFonts w:cstheme="minorHAnsi"/>
          <w:b/>
          <w:color w:val="4472C4" w:themeColor="accent1"/>
          <w:sz w:val="24"/>
          <w:szCs w:val="24"/>
        </w:rPr>
        <w:t>(i) Administración de justicia y juicio justo.</w:t>
      </w:r>
      <w:r w:rsidRPr="00BA7353">
        <w:rPr>
          <w:rFonts w:cstheme="minorHAnsi"/>
          <w:bCs/>
          <w:color w:val="4472C4" w:themeColor="accent1"/>
          <w:sz w:val="24"/>
          <w:szCs w:val="24"/>
        </w:rPr>
        <w:t xml:space="preserve"> </w:t>
      </w:r>
      <w:r w:rsidRPr="0032785F">
        <w:rPr>
          <w:rFonts w:cstheme="minorHAnsi"/>
          <w:bCs/>
          <w:color w:val="000000" w:themeColor="text1"/>
          <w:sz w:val="24"/>
          <w:szCs w:val="24"/>
          <w:lang w:eastAsia="en-GB"/>
        </w:rPr>
        <w:t>Panamá ha avanzado en la implementación del Sistema Penal Acusatorio y la justicia comunitaria de paz, con lo cual se avanza en la reducción de la mora judicial, la prisión preventiva y las alternativas a la privación de libertad para los casos que sean oportunos.  Recientemente, mediante un proceso de consulta que incluyó a comarcas indígenas y los gobiernos locales, se elaboró la Estrategia Nacional de Seguridad Ciudadana (2017-2030)</w:t>
      </w:r>
      <w:r w:rsidRPr="0032785F">
        <w:rPr>
          <w:rFonts w:cstheme="minorHAnsi"/>
          <w:bCs/>
          <w:color w:val="000000" w:themeColor="text1"/>
          <w:sz w:val="24"/>
          <w:szCs w:val="24"/>
          <w:vertAlign w:val="superscript"/>
          <w:lang w:eastAsia="en-GB"/>
        </w:rPr>
        <w:footnoteReference w:id="19"/>
      </w:r>
      <w:r w:rsidRPr="0032785F">
        <w:rPr>
          <w:rFonts w:cstheme="minorHAnsi"/>
          <w:bCs/>
          <w:color w:val="000000" w:themeColor="text1"/>
          <w:sz w:val="24"/>
          <w:szCs w:val="24"/>
          <w:lang w:eastAsia="en-GB"/>
        </w:rPr>
        <w:t xml:space="preserve"> con enfoque de género y alineada a los ODS.  Además de avanzar en la elaboración de Planes Locales de Seguridad Ciudadana en 6 municipalidades. Sin embargo, cabe señalarlo, la implementación del Sistema Penal Acusatorio, en los casos de Violencia contra las Mujeres, debe ajustarse con los estándares internacionales en lo relativo con los acuerdos de pena y revictimización. Sin embargo, el país también debe: (i) adoptar medidas que garanticen procesos de selección y nombramientos basados en la meritocracia y las capacidades profesionales para los operadores de justicia y que estos procesos estén administrados por órganos independientes y no por el poder ejecutivo y el poder legislativo; (</w:t>
      </w:r>
      <w:proofErr w:type="spellStart"/>
      <w:r w:rsidRPr="0032785F">
        <w:rPr>
          <w:rFonts w:cstheme="minorHAnsi"/>
          <w:bCs/>
          <w:color w:val="000000" w:themeColor="text1"/>
          <w:sz w:val="24"/>
          <w:szCs w:val="24"/>
          <w:lang w:eastAsia="en-GB"/>
        </w:rPr>
        <w:t>ii</w:t>
      </w:r>
      <w:proofErr w:type="spellEnd"/>
      <w:r w:rsidRPr="0032785F">
        <w:rPr>
          <w:rFonts w:cstheme="minorHAnsi"/>
          <w:bCs/>
          <w:color w:val="000000" w:themeColor="text1"/>
          <w:sz w:val="24"/>
          <w:szCs w:val="24"/>
          <w:lang w:eastAsia="en-GB"/>
        </w:rPr>
        <w:t>) garantizar los recursos financieros y humanos adecuados para la implementación del Sistema Penal Acusatorio; (</w:t>
      </w:r>
      <w:proofErr w:type="spellStart"/>
      <w:r w:rsidRPr="0032785F">
        <w:rPr>
          <w:rFonts w:cstheme="minorHAnsi"/>
          <w:bCs/>
          <w:color w:val="000000" w:themeColor="text1"/>
          <w:sz w:val="24"/>
          <w:szCs w:val="24"/>
          <w:lang w:eastAsia="en-GB"/>
        </w:rPr>
        <w:t>iii</w:t>
      </w:r>
      <w:proofErr w:type="spellEnd"/>
      <w:r w:rsidRPr="0032785F">
        <w:rPr>
          <w:rFonts w:cstheme="minorHAnsi"/>
          <w:bCs/>
          <w:color w:val="000000" w:themeColor="text1"/>
          <w:sz w:val="24"/>
          <w:szCs w:val="24"/>
          <w:lang w:eastAsia="en-GB"/>
        </w:rPr>
        <w:t>) garantizar la capacitación permanente para los operadores de justicia, incluyendo formación en derechos humanos; (</w:t>
      </w:r>
      <w:proofErr w:type="spellStart"/>
      <w:r w:rsidRPr="0032785F">
        <w:rPr>
          <w:rFonts w:cstheme="minorHAnsi"/>
          <w:bCs/>
          <w:color w:val="000000" w:themeColor="text1"/>
          <w:sz w:val="24"/>
          <w:szCs w:val="24"/>
          <w:lang w:eastAsia="en-GB"/>
        </w:rPr>
        <w:t>iv</w:t>
      </w:r>
      <w:proofErr w:type="spellEnd"/>
      <w:r w:rsidRPr="0032785F">
        <w:rPr>
          <w:rFonts w:cstheme="minorHAnsi"/>
          <w:bCs/>
          <w:color w:val="000000" w:themeColor="text1"/>
          <w:sz w:val="24"/>
          <w:szCs w:val="24"/>
          <w:lang w:eastAsia="en-GB"/>
        </w:rPr>
        <w:t>) reducir el índice de prisión preventiva; (v) revisar los acuerdos de pena y sentencias aplicados en los casos de femicidios y trata en el Sistema Penal Acusatorio.</w:t>
      </w:r>
    </w:p>
    <w:p w14:paraId="592AAB9B" w14:textId="77777777" w:rsidR="000C171B" w:rsidRPr="00F77811" w:rsidRDefault="000C171B" w:rsidP="000C171B">
      <w:pPr>
        <w:spacing w:after="0" w:line="240" w:lineRule="auto"/>
        <w:jc w:val="both"/>
        <w:rPr>
          <w:rFonts w:cstheme="minorHAnsi"/>
          <w:bCs/>
          <w:color w:val="FF0000"/>
          <w:sz w:val="24"/>
          <w:szCs w:val="24"/>
        </w:rPr>
      </w:pPr>
    </w:p>
    <w:p w14:paraId="550646C7" w14:textId="77777777" w:rsidR="000C171B" w:rsidRPr="002127D3" w:rsidRDefault="000C171B" w:rsidP="000C171B">
      <w:pPr>
        <w:spacing w:after="0" w:line="240" w:lineRule="auto"/>
        <w:jc w:val="both"/>
        <w:rPr>
          <w:rFonts w:cstheme="minorHAnsi"/>
          <w:bCs/>
          <w:color w:val="7030A0"/>
          <w:sz w:val="24"/>
          <w:szCs w:val="24"/>
          <w:lang w:eastAsia="en-GB"/>
        </w:rPr>
      </w:pPr>
      <w:r w:rsidRPr="00BA7353">
        <w:rPr>
          <w:rFonts w:cstheme="minorHAnsi"/>
          <w:b/>
          <w:color w:val="4472C4" w:themeColor="accent1"/>
          <w:sz w:val="24"/>
          <w:szCs w:val="24"/>
        </w:rPr>
        <w:t>(</w:t>
      </w:r>
      <w:proofErr w:type="spellStart"/>
      <w:r w:rsidRPr="00BA7353">
        <w:rPr>
          <w:rFonts w:cstheme="minorHAnsi"/>
          <w:b/>
          <w:color w:val="4472C4" w:themeColor="accent1"/>
          <w:sz w:val="24"/>
          <w:szCs w:val="24"/>
        </w:rPr>
        <w:t>ii</w:t>
      </w:r>
      <w:proofErr w:type="spellEnd"/>
      <w:r w:rsidRPr="00BA7353">
        <w:rPr>
          <w:rFonts w:cstheme="minorHAnsi"/>
          <w:b/>
          <w:color w:val="4472C4" w:themeColor="accent1"/>
          <w:sz w:val="24"/>
          <w:szCs w:val="24"/>
        </w:rPr>
        <w:t>) Condiciones de detención</w:t>
      </w:r>
      <w:r w:rsidRPr="00BA7353">
        <w:rPr>
          <w:rFonts w:cstheme="minorHAnsi"/>
          <w:bCs/>
          <w:color w:val="4472C4" w:themeColor="accent1"/>
          <w:sz w:val="24"/>
          <w:szCs w:val="24"/>
        </w:rPr>
        <w:t xml:space="preserve">. </w:t>
      </w:r>
      <w:r w:rsidRPr="002127D3">
        <w:rPr>
          <w:rFonts w:eastAsia="Times New Roman" w:cstheme="minorHAnsi"/>
          <w:bCs/>
          <w:color w:val="000000" w:themeColor="text1"/>
          <w:sz w:val="24"/>
          <w:szCs w:val="24"/>
          <w:lang w:eastAsia="en-GB"/>
        </w:rPr>
        <w:t>Actualmente se reconocen los avances del Instituto de Estudios Interdisciplinarios (IEI) como mejoras en la infraestructura de centros y el mapeo nacional de organizaciones e instituciones que proveen servicios alternativos a la privación de libertad y que están dispuesto a trabajar con los adolescentes en conflicto con la Ley</w:t>
      </w:r>
      <w:r w:rsidRPr="002127D3">
        <w:rPr>
          <w:rFonts w:eastAsia="Times New Roman" w:cstheme="minorHAnsi"/>
          <w:bCs/>
          <w:color w:val="000000" w:themeColor="text1"/>
          <w:sz w:val="24"/>
          <w:szCs w:val="24"/>
          <w:vertAlign w:val="superscript"/>
          <w:lang w:eastAsia="en-GB"/>
        </w:rPr>
        <w:footnoteReference w:id="20"/>
      </w:r>
      <w:r w:rsidRPr="002127D3">
        <w:rPr>
          <w:rFonts w:eastAsia="Times New Roman" w:cstheme="minorHAnsi"/>
          <w:bCs/>
          <w:color w:val="000000" w:themeColor="text1"/>
          <w:sz w:val="24"/>
          <w:szCs w:val="24"/>
          <w:lang w:eastAsia="en-GB"/>
        </w:rPr>
        <w:t xml:space="preserve">. Pero persiste </w:t>
      </w:r>
      <w:r w:rsidRPr="002127D3">
        <w:rPr>
          <w:rFonts w:cstheme="minorHAnsi"/>
          <w:bCs/>
          <w:color w:val="000000" w:themeColor="text1"/>
          <w:sz w:val="24"/>
          <w:szCs w:val="24"/>
          <w:lang w:eastAsia="en-GB"/>
        </w:rPr>
        <w:t xml:space="preserve">la necesidad de incorporar un enfoque de género en el análisis de la situación de las mujeres en general y privadas de libertad, en particular ya que, a pesar de los avances en materia de su salud sexual y reproductiva, espacios y oportunidades para mantener el vínculo materno, atención específica para quienes han sido víctimas de violencia de género y sexual, y programas de rehabilitación y reinserción social que les permitan oportunidades nuevas al fin de la reclusión.  </w:t>
      </w:r>
      <w:r w:rsidRPr="002127D3">
        <w:rPr>
          <w:rFonts w:eastAsia="Times New Roman" w:cstheme="minorHAnsi"/>
          <w:bCs/>
          <w:color w:val="000000" w:themeColor="text1"/>
          <w:sz w:val="24"/>
          <w:szCs w:val="24"/>
          <w:lang w:eastAsia="en-GB"/>
        </w:rPr>
        <w:t xml:space="preserve">En distintos momentos, en el país se han documentado violaciones de los derechos </w:t>
      </w:r>
      <w:r w:rsidRPr="002127D3">
        <w:rPr>
          <w:rFonts w:eastAsia="Times New Roman" w:cstheme="minorHAnsi"/>
          <w:bCs/>
          <w:color w:val="000000" w:themeColor="text1"/>
          <w:sz w:val="24"/>
          <w:szCs w:val="24"/>
          <w:lang w:eastAsia="en-GB"/>
        </w:rPr>
        <w:lastRenderedPageBreak/>
        <w:t xml:space="preserve">humanos al momento de </w:t>
      </w:r>
      <w:r w:rsidRPr="00166AE5">
        <w:rPr>
          <w:rFonts w:eastAsia="Times New Roman" w:cstheme="minorHAnsi"/>
          <w:bCs/>
          <w:color w:val="000000" w:themeColor="text1"/>
          <w:sz w:val="24"/>
          <w:szCs w:val="24"/>
          <w:lang w:eastAsia="en-GB"/>
        </w:rPr>
        <w:t>la captura y detención de los adolescentes. A menudo niños, adolescentes y adultos son mezclados en centros de detención. Persiste la ausencia de programas para los adolescentes privados de libertad, así como de personal especializado, principalmente psicólogos</w:t>
      </w:r>
      <w:r w:rsidRPr="00166AE5">
        <w:rPr>
          <w:rFonts w:eastAsia="Times New Roman" w:cstheme="minorHAnsi"/>
          <w:bCs/>
          <w:color w:val="000000" w:themeColor="text1"/>
          <w:sz w:val="24"/>
          <w:szCs w:val="24"/>
          <w:vertAlign w:val="superscript"/>
          <w:lang w:eastAsia="en-GB"/>
        </w:rPr>
        <w:footnoteReference w:id="21"/>
      </w:r>
      <w:r w:rsidRPr="00166AE5">
        <w:rPr>
          <w:rFonts w:eastAsia="Times New Roman" w:cstheme="minorHAnsi"/>
          <w:bCs/>
          <w:color w:val="000000" w:themeColor="text1"/>
          <w:sz w:val="24"/>
          <w:szCs w:val="24"/>
          <w:lang w:eastAsia="en-GB"/>
        </w:rPr>
        <w:t xml:space="preserve"> y falta de atención psicosocial para los menores. De igual manera </w:t>
      </w:r>
      <w:r w:rsidRPr="00166AE5">
        <w:rPr>
          <w:rFonts w:cstheme="minorHAnsi"/>
          <w:bCs/>
          <w:color w:val="000000" w:themeColor="text1"/>
          <w:sz w:val="24"/>
          <w:szCs w:val="24"/>
          <w:lang w:eastAsia="en-GB"/>
        </w:rPr>
        <w:t xml:space="preserve">existe el reto para reconocer y operacionalizar los derechos de la población </w:t>
      </w:r>
      <w:r w:rsidRPr="005F7658">
        <w:rPr>
          <w:rFonts w:cstheme="minorHAnsi"/>
          <w:color w:val="000000" w:themeColor="text1"/>
          <w:sz w:val="24"/>
          <w:szCs w:val="24"/>
        </w:rPr>
        <w:t>LGBTIQ+</w:t>
      </w:r>
      <w:r w:rsidRPr="005F7658">
        <w:rPr>
          <w:rFonts w:cstheme="minorHAnsi"/>
          <w:color w:val="000000" w:themeColor="text1"/>
          <w:sz w:val="24"/>
          <w:szCs w:val="24"/>
          <w:lang w:eastAsia="en-GB"/>
        </w:rPr>
        <w:t xml:space="preserve"> en los centros de detención. No obstante</w:t>
      </w:r>
      <w:r w:rsidRPr="00D602FB">
        <w:rPr>
          <w:rFonts w:cstheme="minorHAnsi"/>
          <w:color w:val="000000" w:themeColor="text1"/>
          <w:sz w:val="24"/>
          <w:szCs w:val="24"/>
          <w:lang w:eastAsia="en-GB"/>
        </w:rPr>
        <w:t xml:space="preserve">, el país también debe: (i) incorporar en la formulación de políticas </w:t>
      </w:r>
      <w:r w:rsidRPr="005F7658">
        <w:rPr>
          <w:rFonts w:cstheme="minorHAnsi"/>
          <w:color w:val="000000" w:themeColor="text1"/>
          <w:sz w:val="24"/>
          <w:szCs w:val="24"/>
          <w:lang w:eastAsia="en-GB"/>
        </w:rPr>
        <w:t>y programas la situación de las mujeres privadas de libertad y de la población</w:t>
      </w:r>
      <w:r w:rsidRPr="00D602FB">
        <w:rPr>
          <w:rFonts w:cstheme="minorHAnsi"/>
          <w:bCs/>
          <w:color w:val="000000" w:themeColor="text1"/>
          <w:sz w:val="24"/>
          <w:szCs w:val="24"/>
          <w:lang w:eastAsia="en-GB"/>
        </w:rPr>
        <w:t xml:space="preserve"> </w:t>
      </w:r>
      <w:r w:rsidRPr="00166AE5">
        <w:rPr>
          <w:rFonts w:cstheme="minorHAnsi"/>
          <w:bCs/>
          <w:color w:val="000000" w:themeColor="text1"/>
          <w:sz w:val="24"/>
          <w:szCs w:val="24"/>
          <w:lang w:eastAsia="en-GB"/>
        </w:rPr>
        <w:t>LGTBI+ privada de libertad; (</w:t>
      </w:r>
      <w:proofErr w:type="spellStart"/>
      <w:r w:rsidRPr="00166AE5">
        <w:rPr>
          <w:rFonts w:cstheme="minorHAnsi"/>
          <w:bCs/>
          <w:color w:val="000000" w:themeColor="text1"/>
          <w:sz w:val="24"/>
          <w:szCs w:val="24"/>
          <w:lang w:eastAsia="en-GB"/>
        </w:rPr>
        <w:t>ii</w:t>
      </w:r>
      <w:proofErr w:type="spellEnd"/>
      <w:r w:rsidRPr="00166AE5">
        <w:rPr>
          <w:rFonts w:cstheme="minorHAnsi"/>
          <w:bCs/>
          <w:color w:val="000000" w:themeColor="text1"/>
          <w:sz w:val="24"/>
          <w:szCs w:val="24"/>
          <w:lang w:eastAsia="en-GB"/>
        </w:rPr>
        <w:t>) equiparar los estándares de garantías procesales de la justicia penal juvenil con los del sistema penal acusatorio de la justicia ordinaria, (</w:t>
      </w:r>
      <w:proofErr w:type="spellStart"/>
      <w:r w:rsidRPr="00166AE5">
        <w:rPr>
          <w:rFonts w:cstheme="minorHAnsi"/>
          <w:bCs/>
          <w:color w:val="000000" w:themeColor="text1"/>
          <w:sz w:val="24"/>
          <w:szCs w:val="24"/>
          <w:lang w:eastAsia="en-GB"/>
        </w:rPr>
        <w:t>iii</w:t>
      </w:r>
      <w:proofErr w:type="spellEnd"/>
      <w:r w:rsidRPr="00166AE5">
        <w:rPr>
          <w:rFonts w:cstheme="minorHAnsi"/>
          <w:bCs/>
          <w:color w:val="000000" w:themeColor="text1"/>
          <w:sz w:val="24"/>
          <w:szCs w:val="24"/>
          <w:lang w:eastAsia="en-GB"/>
        </w:rPr>
        <w:t>) dotar de apoyo político y financiero al IEI para alcanzar los estándares internacionales, involucrando a los familiares, los adolescentes y las instituciones públicas.</w:t>
      </w:r>
    </w:p>
    <w:p w14:paraId="6CD62897" w14:textId="77777777" w:rsidR="000C171B" w:rsidRPr="00F77811" w:rsidRDefault="000C171B" w:rsidP="000C171B">
      <w:pPr>
        <w:spacing w:after="0" w:line="240" w:lineRule="auto"/>
        <w:jc w:val="both"/>
        <w:rPr>
          <w:rFonts w:cstheme="minorHAnsi"/>
          <w:bCs/>
          <w:color w:val="FF0000"/>
          <w:sz w:val="24"/>
          <w:szCs w:val="24"/>
          <w:lang w:eastAsia="en-GB"/>
        </w:rPr>
      </w:pPr>
    </w:p>
    <w:p w14:paraId="6EE02310" w14:textId="77777777" w:rsidR="000C171B" w:rsidRPr="002127D3" w:rsidRDefault="000C171B" w:rsidP="000C171B">
      <w:pPr>
        <w:spacing w:after="0" w:line="240" w:lineRule="auto"/>
        <w:jc w:val="both"/>
        <w:rPr>
          <w:rFonts w:cstheme="minorHAnsi"/>
          <w:bCs/>
          <w:color w:val="7030A0"/>
          <w:sz w:val="24"/>
          <w:szCs w:val="24"/>
        </w:rPr>
      </w:pPr>
      <w:r w:rsidRPr="00BA7353">
        <w:rPr>
          <w:rFonts w:cstheme="minorHAnsi"/>
          <w:b/>
          <w:color w:val="4472C4" w:themeColor="accent1"/>
          <w:sz w:val="24"/>
          <w:szCs w:val="24"/>
        </w:rPr>
        <w:t>(</w:t>
      </w:r>
      <w:proofErr w:type="spellStart"/>
      <w:r w:rsidRPr="00BA7353">
        <w:rPr>
          <w:rFonts w:cstheme="minorHAnsi"/>
          <w:b/>
          <w:color w:val="4472C4" w:themeColor="accent1"/>
          <w:sz w:val="24"/>
          <w:szCs w:val="24"/>
        </w:rPr>
        <w:t>iii</w:t>
      </w:r>
      <w:proofErr w:type="spellEnd"/>
      <w:r w:rsidRPr="00BA7353">
        <w:rPr>
          <w:rFonts w:cstheme="minorHAnsi"/>
          <w:b/>
          <w:color w:val="4472C4" w:themeColor="accent1"/>
          <w:sz w:val="24"/>
          <w:szCs w:val="24"/>
        </w:rPr>
        <w:t>) Derecho al agua potable y al saneamiento.</w:t>
      </w:r>
      <w:r w:rsidRPr="00BA7353">
        <w:rPr>
          <w:rFonts w:cstheme="minorHAnsi"/>
          <w:bCs/>
          <w:color w:val="4472C4" w:themeColor="accent1"/>
          <w:sz w:val="24"/>
          <w:szCs w:val="24"/>
        </w:rPr>
        <w:t xml:space="preserve"> </w:t>
      </w:r>
      <w:r w:rsidRPr="002127D3">
        <w:rPr>
          <w:rFonts w:cstheme="minorHAnsi"/>
          <w:bCs/>
          <w:color w:val="000000" w:themeColor="text1"/>
          <w:sz w:val="24"/>
          <w:szCs w:val="24"/>
          <w:lang w:eastAsia="en-GB"/>
        </w:rPr>
        <w:t>Panamá adoptó el Plan Nacional de Seguridad Hídrica “Agua para Todos”</w:t>
      </w:r>
      <w:r w:rsidRPr="002127D3">
        <w:rPr>
          <w:rFonts w:cstheme="minorHAnsi"/>
          <w:bCs/>
          <w:color w:val="000000" w:themeColor="text1"/>
          <w:sz w:val="24"/>
          <w:szCs w:val="24"/>
          <w:vertAlign w:val="superscript"/>
          <w:lang w:eastAsia="en-GB"/>
        </w:rPr>
        <w:footnoteReference w:id="22"/>
      </w:r>
      <w:r w:rsidRPr="002127D3">
        <w:rPr>
          <w:rFonts w:cstheme="minorHAnsi"/>
          <w:bCs/>
          <w:color w:val="000000" w:themeColor="text1"/>
          <w:sz w:val="24"/>
          <w:szCs w:val="24"/>
          <w:lang w:eastAsia="en-GB"/>
        </w:rPr>
        <w:t xml:space="preserve"> 2050, y creó el Consejo Nacional de Agua para monitorear y medir los avances en la implementación. Las metas del plan son: acceso universal a agua de calidad y servicios de saneamiento; agua para el crecimiento socioeconómico inclusivo; gestión preventiva de los riesgos relacionados con el agua; cuencas hidrográficas saludables; y sostenibilidad hídrica.</w:t>
      </w:r>
      <w:r>
        <w:rPr>
          <w:rFonts w:cstheme="minorHAnsi"/>
          <w:bCs/>
          <w:color w:val="000000" w:themeColor="text1"/>
          <w:sz w:val="24"/>
          <w:szCs w:val="24"/>
          <w:lang w:eastAsia="en-GB"/>
        </w:rPr>
        <w:t xml:space="preserve"> </w:t>
      </w:r>
      <w:r w:rsidRPr="00603580">
        <w:rPr>
          <w:rFonts w:cstheme="minorHAnsi"/>
          <w:bCs/>
          <w:color w:val="000000" w:themeColor="text1"/>
          <w:sz w:val="24"/>
          <w:szCs w:val="24"/>
          <w:lang w:eastAsia="en-GB"/>
        </w:rPr>
        <w:t>Si bien, tal como se describe, existen avances, el país debe: (i) a</w:t>
      </w:r>
      <w:r w:rsidRPr="00603580">
        <w:rPr>
          <w:rFonts w:cstheme="minorHAnsi"/>
          <w:bCs/>
          <w:color w:val="000000" w:themeColor="text1"/>
          <w:sz w:val="24"/>
          <w:szCs w:val="24"/>
        </w:rPr>
        <w:t>segurar la implementación del Plan Nacional para lograr el 100% de cobertura a través de la gestión integrada de las cuencas hidrográficas; (</w:t>
      </w:r>
      <w:proofErr w:type="spellStart"/>
      <w:r w:rsidRPr="00603580">
        <w:rPr>
          <w:rFonts w:cstheme="minorHAnsi"/>
          <w:bCs/>
          <w:color w:val="000000" w:themeColor="text1"/>
          <w:sz w:val="24"/>
          <w:szCs w:val="24"/>
        </w:rPr>
        <w:t>ii</w:t>
      </w:r>
      <w:proofErr w:type="spellEnd"/>
      <w:r w:rsidRPr="00603580">
        <w:rPr>
          <w:rFonts w:cstheme="minorHAnsi"/>
          <w:bCs/>
          <w:color w:val="000000" w:themeColor="text1"/>
          <w:sz w:val="24"/>
          <w:szCs w:val="24"/>
        </w:rPr>
        <w:t>) incorporar la perspectiva de género y la participación de las mujeres desde la planificación, ejecución y monitoreo de los planes, programas, proyectos y comités relacionados con la gestión hídricas y el saneamiento; (</w:t>
      </w:r>
      <w:proofErr w:type="spellStart"/>
      <w:r w:rsidRPr="00603580">
        <w:rPr>
          <w:rFonts w:cstheme="minorHAnsi"/>
          <w:bCs/>
          <w:color w:val="000000" w:themeColor="text1"/>
          <w:sz w:val="24"/>
          <w:szCs w:val="24"/>
        </w:rPr>
        <w:t>iii</w:t>
      </w:r>
      <w:proofErr w:type="spellEnd"/>
      <w:r w:rsidRPr="00603580">
        <w:rPr>
          <w:rFonts w:cstheme="minorHAnsi"/>
          <w:bCs/>
          <w:color w:val="000000" w:themeColor="text1"/>
          <w:sz w:val="24"/>
          <w:szCs w:val="24"/>
        </w:rPr>
        <w:t>) garantizar la participación de los pueblos indígenas en la gestión de los recursos naturales.</w:t>
      </w:r>
    </w:p>
    <w:p w14:paraId="27AE008B" w14:textId="77777777" w:rsidR="000C171B" w:rsidRDefault="000C171B" w:rsidP="000C171B">
      <w:pPr>
        <w:spacing w:after="0" w:line="240" w:lineRule="auto"/>
        <w:jc w:val="both"/>
        <w:rPr>
          <w:rFonts w:cstheme="minorHAnsi"/>
          <w:bCs/>
          <w:color w:val="FF0000"/>
          <w:sz w:val="24"/>
          <w:szCs w:val="24"/>
        </w:rPr>
      </w:pPr>
    </w:p>
    <w:p w14:paraId="5957A558" w14:textId="77777777" w:rsidR="000C171B" w:rsidRPr="000D5719" w:rsidRDefault="000C171B" w:rsidP="000C171B">
      <w:pPr>
        <w:spacing w:after="0" w:line="240" w:lineRule="auto"/>
        <w:jc w:val="both"/>
        <w:rPr>
          <w:rFonts w:cstheme="minorHAnsi"/>
          <w:color w:val="000000" w:themeColor="text1"/>
          <w:sz w:val="24"/>
          <w:szCs w:val="24"/>
        </w:rPr>
      </w:pPr>
      <w:r w:rsidRPr="00BA7353">
        <w:rPr>
          <w:rFonts w:cstheme="minorHAnsi"/>
          <w:b/>
          <w:color w:val="4472C4" w:themeColor="accent1"/>
          <w:sz w:val="24"/>
          <w:szCs w:val="24"/>
        </w:rPr>
        <w:t>(</w:t>
      </w:r>
      <w:proofErr w:type="spellStart"/>
      <w:r w:rsidRPr="00BA7353">
        <w:rPr>
          <w:rFonts w:cstheme="minorHAnsi"/>
          <w:b/>
          <w:color w:val="4472C4" w:themeColor="accent1"/>
          <w:sz w:val="24"/>
          <w:szCs w:val="24"/>
        </w:rPr>
        <w:t>iv</w:t>
      </w:r>
      <w:proofErr w:type="spellEnd"/>
      <w:r w:rsidRPr="00BA7353">
        <w:rPr>
          <w:rFonts w:cstheme="minorHAnsi"/>
          <w:b/>
          <w:color w:val="4472C4" w:themeColor="accent1"/>
          <w:sz w:val="24"/>
          <w:szCs w:val="24"/>
        </w:rPr>
        <w:t>) Derechos de la niñez.</w:t>
      </w:r>
      <w:r w:rsidRPr="00BA7353">
        <w:rPr>
          <w:rFonts w:cstheme="minorHAnsi"/>
          <w:bCs/>
          <w:color w:val="4472C4" w:themeColor="accent1"/>
          <w:sz w:val="24"/>
          <w:szCs w:val="24"/>
        </w:rPr>
        <w:t xml:space="preserve"> </w:t>
      </w:r>
      <w:r w:rsidRPr="007E644D">
        <w:rPr>
          <w:sz w:val="24"/>
          <w:szCs w:val="24"/>
        </w:rPr>
        <w:t>Aunque en el 2015 se aprobó la Ley 30 que elevó a los 18 años de edad la edad mínima para contraer matrimonio, no se han tomado medidas para evitar las uniones informales con personas menores de edad. Pese a que el Consejo de Gabinete aprobó un proyecto de ley de protección integral para niños, niñas y adolescentes en 2018, la Asamblea concluyó su periodo sin iniciar el debate de dicho proyecto de ley, por lo que la actual administración deberá reiniciar el proceso desde el principio.</w:t>
      </w:r>
      <w:r>
        <w:rPr>
          <w:sz w:val="24"/>
          <w:szCs w:val="24"/>
        </w:rPr>
        <w:t xml:space="preserve"> </w:t>
      </w:r>
      <w:r w:rsidRPr="000D5719">
        <w:rPr>
          <w:rFonts w:cstheme="minorHAnsi"/>
          <w:bCs/>
          <w:color w:val="000000" w:themeColor="text1"/>
          <w:sz w:val="24"/>
          <w:szCs w:val="24"/>
        </w:rPr>
        <w:t>También en fecha reciente el país creó el Comité Nacional de Apoyo y Seguimiento a la Estrategia de Desinstitucionalización de Niños, niñas y adolescentes cuya meta al 2023, es disminuir en un 80%, la tasa de institucionalización. En julio de 2019, 1,827 NNA estaban institucionalizados. Por último, en enero de 2018, el Ministerio de Gobierno y la Secretaría Nacional para la Niñez, Adolescencia y Familia adoptaron el Protocolo de actuación para la identificación, referencia y atención de NNA que hayan solicitado ser reconocidos como refugiados y que tengan necesidades de protección internacional. Finalmente, aunque existen avances, el país debe: (i) p</w:t>
      </w:r>
      <w:r w:rsidRPr="000D5719">
        <w:rPr>
          <w:rFonts w:cstheme="minorHAnsi"/>
          <w:color w:val="000000" w:themeColor="text1"/>
          <w:sz w:val="24"/>
          <w:szCs w:val="24"/>
        </w:rPr>
        <w:t>revenir las uniones tempranas contrarias a la ley; (</w:t>
      </w:r>
      <w:proofErr w:type="spellStart"/>
      <w:r w:rsidRPr="000D5719">
        <w:rPr>
          <w:rFonts w:cstheme="minorHAnsi"/>
          <w:color w:val="000000" w:themeColor="text1"/>
          <w:sz w:val="24"/>
          <w:szCs w:val="24"/>
        </w:rPr>
        <w:t>ii</w:t>
      </w:r>
      <w:proofErr w:type="spellEnd"/>
      <w:r w:rsidRPr="000D5719">
        <w:rPr>
          <w:rFonts w:cstheme="minorHAnsi"/>
          <w:color w:val="000000" w:themeColor="text1"/>
          <w:sz w:val="24"/>
          <w:szCs w:val="24"/>
        </w:rPr>
        <w:t>) restituir el derecho a la convivencia familiar de los niños, niñas y adolescentes; (</w:t>
      </w:r>
      <w:proofErr w:type="spellStart"/>
      <w:r w:rsidRPr="000D5719">
        <w:rPr>
          <w:rFonts w:cstheme="minorHAnsi"/>
          <w:color w:val="000000" w:themeColor="text1"/>
          <w:sz w:val="24"/>
          <w:szCs w:val="24"/>
        </w:rPr>
        <w:t>iii</w:t>
      </w:r>
      <w:proofErr w:type="spellEnd"/>
      <w:r w:rsidRPr="000D5719">
        <w:rPr>
          <w:rFonts w:cstheme="minorHAnsi"/>
          <w:color w:val="000000" w:themeColor="text1"/>
          <w:sz w:val="24"/>
          <w:szCs w:val="24"/>
        </w:rPr>
        <w:t>) reforzar los mecanismos de protección especial para víctimas de violencia sexual.</w:t>
      </w:r>
    </w:p>
    <w:p w14:paraId="126EFA70" w14:textId="77777777" w:rsidR="000C171B" w:rsidRDefault="000C171B" w:rsidP="000C171B">
      <w:pPr>
        <w:spacing w:after="0" w:line="240" w:lineRule="auto"/>
        <w:jc w:val="both"/>
        <w:rPr>
          <w:rFonts w:cstheme="minorHAnsi"/>
          <w:bCs/>
          <w:color w:val="000000" w:themeColor="text1"/>
          <w:sz w:val="24"/>
          <w:szCs w:val="24"/>
        </w:rPr>
      </w:pPr>
    </w:p>
    <w:p w14:paraId="468A4985" w14:textId="77777777" w:rsidR="000C171B" w:rsidRPr="0049106F" w:rsidRDefault="000C171B" w:rsidP="000C171B">
      <w:pPr>
        <w:spacing w:after="0" w:line="240" w:lineRule="auto"/>
        <w:jc w:val="both"/>
        <w:rPr>
          <w:rFonts w:cstheme="minorHAnsi"/>
          <w:bCs/>
          <w:color w:val="7030A0"/>
          <w:sz w:val="24"/>
          <w:szCs w:val="24"/>
        </w:rPr>
      </w:pPr>
      <w:r w:rsidRPr="00B17E6F">
        <w:rPr>
          <w:rFonts w:cstheme="minorHAnsi"/>
          <w:b/>
          <w:color w:val="4472C4" w:themeColor="accent1"/>
          <w:sz w:val="24"/>
          <w:szCs w:val="24"/>
        </w:rPr>
        <w:t>(v) Derecho a participar en asuntos públicos y derecho a votar.</w:t>
      </w:r>
      <w:r w:rsidRPr="00B17E6F">
        <w:rPr>
          <w:rFonts w:cstheme="minorHAnsi"/>
          <w:bCs/>
          <w:color w:val="4472C4" w:themeColor="accent1"/>
          <w:sz w:val="24"/>
          <w:szCs w:val="24"/>
        </w:rPr>
        <w:t xml:space="preserve"> </w:t>
      </w:r>
      <w:r w:rsidRPr="000A6FD1">
        <w:rPr>
          <w:rFonts w:cstheme="minorHAnsi"/>
          <w:bCs/>
          <w:color w:val="000000" w:themeColor="text1"/>
          <w:sz w:val="24"/>
          <w:szCs w:val="24"/>
        </w:rPr>
        <w:t>La Ley 29 de 29 de mayo de 2017, reglamentada a través del Decreto 12 del 21 de marzo de 2018</w:t>
      </w:r>
      <w:r w:rsidRPr="000A6FD1">
        <w:rPr>
          <w:rStyle w:val="FootnoteReference"/>
          <w:rFonts w:cstheme="minorHAnsi"/>
          <w:bCs/>
          <w:color w:val="000000" w:themeColor="text1"/>
          <w:sz w:val="24"/>
          <w:szCs w:val="24"/>
          <w:lang w:eastAsia="en-GB"/>
        </w:rPr>
        <w:footnoteReference w:id="23"/>
      </w:r>
      <w:r w:rsidRPr="000A6FD1">
        <w:rPr>
          <w:rFonts w:cstheme="minorHAnsi"/>
          <w:bCs/>
          <w:color w:val="000000" w:themeColor="text1"/>
          <w:sz w:val="24"/>
          <w:szCs w:val="24"/>
          <w:lang w:eastAsia="en-GB"/>
        </w:rPr>
        <w:t xml:space="preserve"> que reconoce la paridad en elecciones primarias y generales, estableciendo que la suplente de un candidato principal será mujer y viceversa; estableciendo la sanción de rechazo de la postulación si no se cumple. En mayo de 2018 el Tribunal Electoral, alegando presiones de los partidos políticos, elimina a través del Decreto 19 del 26 de abril de 2018, la obligación de cumplir con la paridad establecida previamente y su sanción asociada. Tras varias manifestaciones públicas de organizaciones de mujeres, el Tribunal Electoral, mediante el Decreto 27 del 11 de mayo de 2018, establece nuevamente la paridad, pero sin sanción.  Sin embargo, el país debe: (i) g</w:t>
      </w:r>
      <w:r w:rsidRPr="000A6FD1">
        <w:rPr>
          <w:rFonts w:cstheme="minorHAnsi"/>
          <w:bCs/>
          <w:color w:val="000000" w:themeColor="text1"/>
          <w:sz w:val="24"/>
          <w:szCs w:val="24"/>
        </w:rPr>
        <w:t>arantizar la participación ciudadana en la gestión de los recursos naturales, ordenamiento territorial ambiental, asegurando la participación de la mujer; garantizar la participación equitativa de las mujeres en el ámbito político.</w:t>
      </w:r>
    </w:p>
    <w:p w14:paraId="42333AF3" w14:textId="77777777" w:rsidR="000C171B" w:rsidRPr="00B17E6F" w:rsidRDefault="000C171B" w:rsidP="000C171B">
      <w:pPr>
        <w:autoSpaceDE w:val="0"/>
        <w:autoSpaceDN w:val="0"/>
        <w:adjustRightInd w:val="0"/>
        <w:spacing w:after="0" w:line="240" w:lineRule="auto"/>
        <w:jc w:val="both"/>
        <w:rPr>
          <w:rFonts w:cstheme="minorHAnsi"/>
          <w:bCs/>
          <w:color w:val="4472C4" w:themeColor="accent1"/>
          <w:sz w:val="24"/>
          <w:szCs w:val="24"/>
        </w:rPr>
      </w:pPr>
    </w:p>
    <w:p w14:paraId="426948A1" w14:textId="77777777" w:rsidR="000C171B" w:rsidRPr="00A35A2E" w:rsidRDefault="000C171B" w:rsidP="000C171B">
      <w:pPr>
        <w:spacing w:after="0" w:line="240" w:lineRule="auto"/>
        <w:jc w:val="both"/>
        <w:rPr>
          <w:rFonts w:cstheme="minorHAnsi"/>
          <w:bCs/>
          <w:color w:val="000000" w:themeColor="text1"/>
          <w:sz w:val="24"/>
          <w:szCs w:val="24"/>
        </w:rPr>
      </w:pPr>
      <w:r w:rsidRPr="00B17E6F">
        <w:rPr>
          <w:rFonts w:cstheme="minorHAnsi"/>
          <w:b/>
          <w:color w:val="4472C4" w:themeColor="accent1"/>
          <w:sz w:val="24"/>
          <w:szCs w:val="24"/>
        </w:rPr>
        <w:t>(vi) Derechos de los pueblos indígenas.</w:t>
      </w:r>
      <w:r w:rsidRPr="00B17E6F">
        <w:rPr>
          <w:rFonts w:cstheme="minorHAnsi"/>
          <w:bCs/>
          <w:color w:val="4472C4" w:themeColor="accent1"/>
          <w:sz w:val="24"/>
          <w:szCs w:val="24"/>
        </w:rPr>
        <w:t xml:space="preserve"> </w:t>
      </w:r>
      <w:r w:rsidRPr="00A35A2E">
        <w:rPr>
          <w:rFonts w:cstheme="minorHAnsi"/>
          <w:bCs/>
          <w:color w:val="000000" w:themeColor="text1"/>
          <w:sz w:val="24"/>
          <w:szCs w:val="24"/>
        </w:rPr>
        <w:t>En el año 2016, la Asamblea Legislativa adoptó Ley 37 del año 2016 que establece la consulta y consentimiento previo, libre e informado de los pueblos indígenas</w:t>
      </w:r>
      <w:r w:rsidRPr="00A35A2E">
        <w:rPr>
          <w:rStyle w:val="FootnoteReference"/>
          <w:rFonts w:cstheme="minorHAnsi"/>
          <w:bCs/>
          <w:color w:val="000000" w:themeColor="text1"/>
          <w:sz w:val="24"/>
          <w:szCs w:val="24"/>
        </w:rPr>
        <w:footnoteReference w:id="24"/>
      </w:r>
      <w:r w:rsidRPr="00A35A2E">
        <w:rPr>
          <w:rFonts w:cstheme="minorHAnsi"/>
          <w:bCs/>
          <w:color w:val="000000" w:themeColor="text1"/>
          <w:sz w:val="24"/>
          <w:szCs w:val="24"/>
        </w:rPr>
        <w:t>; una ley desconocida por los pueblos indígenas del país debido a que no participaron en su redacción ni fueron consultados sobre la misma. Hasta la fecha se desconoce su aplicación. En el año 2018, el gobierno adoptó el Plan Nacional para el Desarrollo Integral de los Pueblos Indígenas, al tiempo que institucionalizó un espacio de diálogo permanente con las autoridades indígenas del país. No obstante, la ocupación ilícita de los territorios indígenas continúa siendo la mayor preocupación de los pueblos indígenas. La creación de la comarca Naso, que reconocería jurídicamente el territorio del pueblo naso ha generado una gran controversia. La Asamblea Legislativa aprobó la Ley 656 que crea la comarca Naso, pero fue vetada por el Presidente; tras lo cual, la Asamblea Legislativa volvió a aprobarla y en ese momento fue interpuesta una demanda de inconstitucionalidad contra la creación de la comarca que espera el fallo de la Corte Suprema de Justicia. Aunque se registran avances, el país debe: (i) garantizar la participación efectiva de los pueblos indígenas que todos los procesos de toma de decisiones que puedan afectar el disfrute de sus derechos humanos, tanto individuales como colectivos; (</w:t>
      </w:r>
      <w:proofErr w:type="spellStart"/>
      <w:r w:rsidRPr="00A35A2E">
        <w:rPr>
          <w:rFonts w:cstheme="minorHAnsi"/>
          <w:bCs/>
          <w:color w:val="000000" w:themeColor="text1"/>
          <w:sz w:val="24"/>
          <w:szCs w:val="24"/>
        </w:rPr>
        <w:t>ii</w:t>
      </w:r>
      <w:proofErr w:type="spellEnd"/>
      <w:r w:rsidRPr="00A35A2E">
        <w:rPr>
          <w:rFonts w:cstheme="minorHAnsi"/>
          <w:bCs/>
          <w:color w:val="000000" w:themeColor="text1"/>
          <w:sz w:val="24"/>
          <w:szCs w:val="24"/>
        </w:rPr>
        <w:t>) garantizar el derecho de los pueblos al desarrollo de conformidad con sus propias necesidades e intereses; (</w:t>
      </w:r>
      <w:proofErr w:type="spellStart"/>
      <w:r w:rsidRPr="00A35A2E">
        <w:rPr>
          <w:rFonts w:cstheme="minorHAnsi"/>
          <w:bCs/>
          <w:color w:val="000000" w:themeColor="text1"/>
          <w:sz w:val="24"/>
          <w:szCs w:val="24"/>
        </w:rPr>
        <w:t>iii</w:t>
      </w:r>
      <w:proofErr w:type="spellEnd"/>
      <w:r w:rsidRPr="00A35A2E">
        <w:rPr>
          <w:rFonts w:cstheme="minorHAnsi"/>
          <w:bCs/>
          <w:color w:val="000000" w:themeColor="text1"/>
          <w:sz w:val="24"/>
          <w:szCs w:val="24"/>
        </w:rPr>
        <w:t>) hacer efectivo el derecho de los pueblos indígenas al reconocimiento y protección jurídica de sus tierras y territorios ancestrales.</w:t>
      </w:r>
    </w:p>
    <w:p w14:paraId="5C1425D9" w14:textId="77777777" w:rsidR="000C171B" w:rsidRPr="008B24AC" w:rsidRDefault="000C171B" w:rsidP="000C171B">
      <w:pPr>
        <w:pStyle w:val="ListParagraph"/>
        <w:spacing w:after="0" w:line="240" w:lineRule="auto"/>
        <w:ind w:left="0"/>
        <w:jc w:val="both"/>
        <w:rPr>
          <w:rFonts w:cstheme="minorHAnsi"/>
          <w:bCs/>
          <w:color w:val="FF0000"/>
          <w:sz w:val="24"/>
          <w:szCs w:val="24"/>
        </w:rPr>
      </w:pPr>
    </w:p>
    <w:p w14:paraId="0BFCDC1D" w14:textId="460353B3" w:rsidR="000C171B" w:rsidRPr="00153675" w:rsidRDefault="000C171B" w:rsidP="000C171B">
      <w:pPr>
        <w:spacing w:after="0" w:line="240" w:lineRule="auto"/>
        <w:jc w:val="both"/>
        <w:rPr>
          <w:rFonts w:cstheme="minorHAnsi"/>
          <w:color w:val="7030A0"/>
          <w:sz w:val="24"/>
          <w:szCs w:val="24"/>
        </w:rPr>
      </w:pPr>
      <w:r w:rsidRPr="00B17E6F">
        <w:rPr>
          <w:rFonts w:cstheme="minorHAnsi"/>
          <w:b/>
          <w:color w:val="4472C4" w:themeColor="accent1"/>
          <w:sz w:val="24"/>
          <w:szCs w:val="24"/>
        </w:rPr>
        <w:t xml:space="preserve">(vi) Derechos de los </w:t>
      </w:r>
      <w:r>
        <w:rPr>
          <w:rFonts w:cstheme="minorHAnsi"/>
          <w:b/>
          <w:color w:val="4472C4" w:themeColor="accent1"/>
          <w:sz w:val="24"/>
          <w:szCs w:val="24"/>
        </w:rPr>
        <w:t xml:space="preserve">refugiados, </w:t>
      </w:r>
      <w:r w:rsidRPr="00B17E6F">
        <w:rPr>
          <w:rFonts w:cstheme="minorHAnsi"/>
          <w:b/>
          <w:color w:val="4472C4" w:themeColor="accent1"/>
          <w:sz w:val="24"/>
          <w:szCs w:val="24"/>
        </w:rPr>
        <w:t xml:space="preserve">migrantes y </w:t>
      </w:r>
      <w:proofErr w:type="spellStart"/>
      <w:r>
        <w:rPr>
          <w:rFonts w:cstheme="minorHAnsi"/>
          <w:b/>
          <w:color w:val="4472C4" w:themeColor="accent1"/>
          <w:sz w:val="24"/>
          <w:szCs w:val="24"/>
        </w:rPr>
        <w:t>apatridas</w:t>
      </w:r>
      <w:proofErr w:type="spellEnd"/>
      <w:r w:rsidRPr="00B17E6F">
        <w:rPr>
          <w:rFonts w:cstheme="minorHAnsi"/>
          <w:b/>
          <w:color w:val="4472C4" w:themeColor="accent1"/>
          <w:sz w:val="24"/>
          <w:szCs w:val="24"/>
        </w:rPr>
        <w:t>.</w:t>
      </w:r>
      <w:r w:rsidRPr="00B17E6F">
        <w:rPr>
          <w:rFonts w:cstheme="minorHAnsi"/>
          <w:bCs/>
          <w:color w:val="4472C4" w:themeColor="accent1"/>
          <w:sz w:val="24"/>
          <w:szCs w:val="24"/>
        </w:rPr>
        <w:t xml:space="preserve"> </w:t>
      </w:r>
      <w:r w:rsidRPr="00153675">
        <w:rPr>
          <w:rFonts w:cstheme="minorHAnsi"/>
          <w:bCs/>
          <w:color w:val="000000" w:themeColor="text1"/>
          <w:sz w:val="24"/>
          <w:szCs w:val="24"/>
        </w:rPr>
        <w:t>L</w:t>
      </w:r>
      <w:r>
        <w:rPr>
          <w:rFonts w:cstheme="minorHAnsi"/>
          <w:bCs/>
          <w:color w:val="000000" w:themeColor="text1"/>
          <w:sz w:val="24"/>
          <w:szCs w:val="24"/>
        </w:rPr>
        <w:t xml:space="preserve">os movimientos mixtos </w:t>
      </w:r>
      <w:r w:rsidRPr="00153675">
        <w:rPr>
          <w:rFonts w:cstheme="minorHAnsi"/>
          <w:bCs/>
          <w:color w:val="000000" w:themeColor="text1"/>
          <w:sz w:val="24"/>
          <w:szCs w:val="24"/>
        </w:rPr>
        <w:t xml:space="preserve">en tránsito hacia el norte del continente </w:t>
      </w:r>
      <w:r>
        <w:rPr>
          <w:rFonts w:cstheme="minorHAnsi"/>
          <w:bCs/>
          <w:color w:val="000000" w:themeColor="text1"/>
          <w:sz w:val="24"/>
          <w:szCs w:val="24"/>
        </w:rPr>
        <w:t>están compuesto</w:t>
      </w:r>
      <w:r w:rsidR="00FC7832">
        <w:rPr>
          <w:rFonts w:cstheme="minorHAnsi"/>
          <w:bCs/>
          <w:color w:val="000000" w:themeColor="text1"/>
          <w:sz w:val="24"/>
          <w:szCs w:val="24"/>
        </w:rPr>
        <w:t>s</w:t>
      </w:r>
      <w:r>
        <w:rPr>
          <w:rFonts w:cstheme="minorHAnsi"/>
          <w:bCs/>
          <w:color w:val="000000" w:themeColor="text1"/>
          <w:sz w:val="24"/>
          <w:szCs w:val="24"/>
        </w:rPr>
        <w:t xml:space="preserve"> por </w:t>
      </w:r>
      <w:r w:rsidRPr="00153675">
        <w:rPr>
          <w:rFonts w:cstheme="minorHAnsi"/>
          <w:bCs/>
          <w:color w:val="000000" w:themeColor="text1"/>
          <w:sz w:val="24"/>
          <w:szCs w:val="24"/>
        </w:rPr>
        <w:t xml:space="preserve">personas de más 80 nacionalidades diferentes, lo que supone un enorme desafío para Panamá, a pesar del esfuerzo de las autoridades para dar respuesta a las solicitudes y para gestionar la migración desde un enfoque humanitario. La ruta migratoria entre Colombia y Panamá, transitando la selva del Darién, se ha convertido en uno de los puntos más peligrosos y letales para las personas en la región, </w:t>
      </w:r>
      <w:r w:rsidRPr="00153675">
        <w:rPr>
          <w:rFonts w:cstheme="minorHAnsi"/>
          <w:bCs/>
          <w:color w:val="000000" w:themeColor="text1"/>
          <w:sz w:val="24"/>
          <w:szCs w:val="24"/>
        </w:rPr>
        <w:lastRenderedPageBreak/>
        <w:t>siendo víctimas de extorsiones, robos, asesinatos y violaciones sexuales a manos de grupos criminales armados especialmente las mujeres. Estos delitos no son investigados adecuadamente y la mayoría de las personas prefieren no denunciar para evitar permanecer en detención durante el proceso de investigación. La muerte de personas en ruta en la selva del Darién no se investiga con la debida diligencia y las autoridades del Servicio Nacional de Migración han tenido que recurrir a la sepultura en fosas comunes.</w:t>
      </w:r>
      <w:r w:rsidRPr="00153675">
        <w:rPr>
          <w:rFonts w:cstheme="minorHAnsi"/>
          <w:color w:val="000000" w:themeColor="text1"/>
          <w:sz w:val="24"/>
          <w:szCs w:val="24"/>
        </w:rPr>
        <w:t xml:space="preserve"> Por su parte, mediante el Decreto Ejecutivo </w:t>
      </w:r>
      <w:r>
        <w:rPr>
          <w:rFonts w:cstheme="minorHAnsi"/>
          <w:color w:val="000000" w:themeColor="text1"/>
          <w:sz w:val="24"/>
          <w:szCs w:val="24"/>
        </w:rPr>
        <w:t>1</w:t>
      </w:r>
      <w:r w:rsidRPr="00153675">
        <w:rPr>
          <w:rFonts w:cstheme="minorHAnsi"/>
          <w:color w:val="000000" w:themeColor="text1"/>
          <w:sz w:val="24"/>
          <w:szCs w:val="24"/>
        </w:rPr>
        <w:t xml:space="preserve">0 de 2019 que reglamenta la Ley 28 y 29 de 2011 se aprueba la Convención de las Naciones Unidas sobre el Estatuto de Apatridia de 1954.  Este nuevo instrumento jurídico establece el procedimiento para el reconocimiento de la condición de apatridia en la República de Panamá y faculta al Ministerio de Relaciones Exteriores a la realización de los trámites correspondientes.  Por último, el Decreto Ejecutivo 5 de 2018 modificó el sistema de asilo establecido en una legislación anterior de 1998, fortaleciendo el compromiso nacional con </w:t>
      </w:r>
      <w:r>
        <w:rPr>
          <w:rFonts w:cstheme="minorHAnsi"/>
          <w:color w:val="000000" w:themeColor="text1"/>
          <w:sz w:val="24"/>
          <w:szCs w:val="24"/>
        </w:rPr>
        <w:t xml:space="preserve">la debida </w:t>
      </w:r>
      <w:r w:rsidRPr="00153675">
        <w:rPr>
          <w:rFonts w:cstheme="minorHAnsi"/>
          <w:color w:val="000000" w:themeColor="text1"/>
          <w:sz w:val="24"/>
          <w:szCs w:val="24"/>
        </w:rPr>
        <w:t xml:space="preserve">protección internacional de las </w:t>
      </w:r>
      <w:r>
        <w:rPr>
          <w:rFonts w:cstheme="minorHAnsi"/>
          <w:color w:val="000000" w:themeColor="text1"/>
          <w:sz w:val="24"/>
          <w:szCs w:val="24"/>
        </w:rPr>
        <w:t xml:space="preserve">personas con riesgo de persecución en su país de origen </w:t>
      </w:r>
      <w:r w:rsidRPr="00153675">
        <w:rPr>
          <w:rFonts w:cstheme="minorHAnsi"/>
          <w:color w:val="000000" w:themeColor="text1"/>
          <w:sz w:val="24"/>
          <w:szCs w:val="24"/>
        </w:rPr>
        <w:t>y reafirmando el cumplimiento del debido proceso</w:t>
      </w:r>
      <w:r w:rsidRPr="00153675">
        <w:rPr>
          <w:rStyle w:val="FootnoteReference"/>
          <w:rFonts w:cstheme="minorHAnsi"/>
          <w:color w:val="000000" w:themeColor="text1"/>
          <w:sz w:val="24"/>
          <w:szCs w:val="24"/>
        </w:rPr>
        <w:footnoteReference w:id="25"/>
      </w:r>
      <w:r w:rsidRPr="00153675">
        <w:rPr>
          <w:rFonts w:cstheme="minorHAnsi"/>
          <w:color w:val="000000" w:themeColor="text1"/>
          <w:sz w:val="24"/>
          <w:szCs w:val="24"/>
        </w:rPr>
        <w:t xml:space="preserve">.  A septiembre de 2019, 16,526 solicitudes de asilo están pendientes de decisión. En este orden de ideas, el Ministerio de Gobierno ha considerado que el sistema de asilo requiere ser fortalecido y que la legislación existente debe ser revisada, para asegurar respuestas oportunas y para promover oportunidades </w:t>
      </w:r>
      <w:r w:rsidRPr="00D265C9">
        <w:rPr>
          <w:rFonts w:cstheme="minorHAnsi"/>
          <w:color w:val="000000" w:themeColor="text1"/>
          <w:sz w:val="24"/>
          <w:szCs w:val="24"/>
        </w:rPr>
        <w:t xml:space="preserve">de inclusión y de efectivo acceso a derechos. Para continuar con el avance en los derechos </w:t>
      </w:r>
      <w:r>
        <w:rPr>
          <w:rFonts w:cstheme="minorHAnsi"/>
          <w:color w:val="000000" w:themeColor="text1"/>
          <w:sz w:val="24"/>
          <w:szCs w:val="24"/>
        </w:rPr>
        <w:t>de movilidad humana</w:t>
      </w:r>
      <w:r w:rsidRPr="00D265C9">
        <w:rPr>
          <w:rFonts w:cstheme="minorHAnsi"/>
          <w:color w:val="000000" w:themeColor="text1"/>
          <w:sz w:val="24"/>
          <w:szCs w:val="24"/>
        </w:rPr>
        <w:t>, el país debe: (i) garantizar la seguridad en la ruta migratoria; (</w:t>
      </w:r>
      <w:proofErr w:type="spellStart"/>
      <w:r w:rsidRPr="00D265C9">
        <w:rPr>
          <w:rFonts w:cstheme="minorHAnsi"/>
          <w:color w:val="000000" w:themeColor="text1"/>
          <w:sz w:val="24"/>
          <w:szCs w:val="24"/>
        </w:rPr>
        <w:t>ii</w:t>
      </w:r>
      <w:proofErr w:type="spellEnd"/>
      <w:r w:rsidRPr="00D265C9">
        <w:rPr>
          <w:rFonts w:cstheme="minorHAnsi"/>
          <w:color w:val="000000" w:themeColor="text1"/>
          <w:sz w:val="24"/>
          <w:szCs w:val="24"/>
        </w:rPr>
        <w:t xml:space="preserve">) mejorar las condiciones mínimas dignas para el acceso a servicios básicos en las estaciones de recepción de </w:t>
      </w:r>
      <w:r>
        <w:rPr>
          <w:rFonts w:cstheme="minorHAnsi"/>
          <w:color w:val="000000" w:themeColor="text1"/>
          <w:sz w:val="24"/>
          <w:szCs w:val="24"/>
        </w:rPr>
        <w:t xml:space="preserve">refugiados y </w:t>
      </w:r>
      <w:r w:rsidRPr="00D265C9">
        <w:rPr>
          <w:rFonts w:cstheme="minorHAnsi"/>
          <w:color w:val="000000" w:themeColor="text1"/>
          <w:sz w:val="24"/>
          <w:szCs w:val="24"/>
        </w:rPr>
        <w:t>migrantes; (</w:t>
      </w:r>
      <w:proofErr w:type="spellStart"/>
      <w:r w:rsidRPr="00D265C9">
        <w:rPr>
          <w:rFonts w:cstheme="minorHAnsi"/>
          <w:color w:val="000000" w:themeColor="text1"/>
          <w:sz w:val="24"/>
          <w:szCs w:val="24"/>
        </w:rPr>
        <w:t>iii</w:t>
      </w:r>
      <w:proofErr w:type="spellEnd"/>
      <w:r w:rsidRPr="00D265C9">
        <w:rPr>
          <w:rFonts w:cstheme="minorHAnsi"/>
          <w:color w:val="000000" w:themeColor="text1"/>
          <w:sz w:val="24"/>
          <w:szCs w:val="24"/>
        </w:rPr>
        <w:t>) garantizar el acceso a la justicia a l</w:t>
      </w:r>
      <w:r>
        <w:rPr>
          <w:rFonts w:cstheme="minorHAnsi"/>
          <w:color w:val="000000" w:themeColor="text1"/>
          <w:sz w:val="24"/>
          <w:szCs w:val="24"/>
        </w:rPr>
        <w:t xml:space="preserve">os refugiados  y </w:t>
      </w:r>
      <w:r w:rsidRPr="00D265C9">
        <w:rPr>
          <w:rFonts w:cstheme="minorHAnsi"/>
          <w:color w:val="000000" w:themeColor="text1"/>
          <w:sz w:val="24"/>
          <w:szCs w:val="24"/>
        </w:rPr>
        <w:t>migrantes víctimas de delitos; (</w:t>
      </w:r>
      <w:proofErr w:type="spellStart"/>
      <w:r w:rsidRPr="00D265C9">
        <w:rPr>
          <w:rFonts w:cstheme="minorHAnsi"/>
          <w:color w:val="000000" w:themeColor="text1"/>
          <w:sz w:val="24"/>
          <w:szCs w:val="24"/>
        </w:rPr>
        <w:t>iv</w:t>
      </w:r>
      <w:proofErr w:type="spellEnd"/>
      <w:r w:rsidRPr="00D265C9">
        <w:rPr>
          <w:rFonts w:cstheme="minorHAnsi"/>
          <w:color w:val="000000" w:themeColor="text1"/>
          <w:sz w:val="24"/>
          <w:szCs w:val="24"/>
        </w:rPr>
        <w:t>) adoptar medidas legislativas, administrativas, judiciales y otras medidas preventivas contra las posibles violaciones e inobservancia del principio de "no devolución" en la frontera; (v) establecer un programa de capacitación</w:t>
      </w:r>
      <w:r>
        <w:rPr>
          <w:rFonts w:cstheme="minorHAnsi"/>
          <w:color w:val="000000" w:themeColor="text1"/>
          <w:sz w:val="24"/>
          <w:szCs w:val="24"/>
        </w:rPr>
        <w:t xml:space="preserve"> continua</w:t>
      </w:r>
      <w:r w:rsidRPr="00D265C9">
        <w:rPr>
          <w:rFonts w:cstheme="minorHAnsi"/>
          <w:color w:val="000000" w:themeColor="text1"/>
          <w:sz w:val="24"/>
          <w:szCs w:val="24"/>
        </w:rPr>
        <w:t xml:space="preserve"> para servidores públicos que trabajen de manera directa con población migrante y refugiados; (vi) crear mecanismo que faciliten la obtención de residencia permanentes y la naturalización para las personas apátridas reconocidas; (</w:t>
      </w:r>
      <w:proofErr w:type="spellStart"/>
      <w:r w:rsidRPr="00D265C9">
        <w:rPr>
          <w:rFonts w:cstheme="minorHAnsi"/>
          <w:color w:val="000000" w:themeColor="text1"/>
          <w:sz w:val="24"/>
          <w:szCs w:val="24"/>
        </w:rPr>
        <w:t>vii</w:t>
      </w:r>
      <w:proofErr w:type="spellEnd"/>
      <w:r w:rsidRPr="00D265C9">
        <w:rPr>
          <w:rFonts w:cstheme="minorHAnsi"/>
          <w:color w:val="000000" w:themeColor="text1"/>
          <w:sz w:val="24"/>
          <w:szCs w:val="24"/>
        </w:rPr>
        <w:t>) establecer mecanismos de atención y referencia entre instituciones para personas que pudieran estar en riesgo de apatridia; diseñar mecanismos para la prevención de la apatridia para asegurar el derecho a una nacionalidad.</w:t>
      </w:r>
    </w:p>
    <w:p w14:paraId="7E94F5AF" w14:textId="77777777" w:rsidR="000C171B" w:rsidRPr="008B24AC" w:rsidRDefault="000C171B" w:rsidP="000C171B">
      <w:pPr>
        <w:spacing w:after="0" w:line="240" w:lineRule="auto"/>
        <w:jc w:val="both"/>
        <w:rPr>
          <w:rFonts w:cstheme="minorHAnsi"/>
          <w:color w:val="FF0000"/>
          <w:sz w:val="24"/>
          <w:szCs w:val="24"/>
        </w:rPr>
      </w:pPr>
    </w:p>
    <w:p w14:paraId="33A240C6" w14:textId="77777777" w:rsidR="000C171B" w:rsidRPr="00AF0794" w:rsidRDefault="000C171B" w:rsidP="000C171B">
      <w:pPr>
        <w:spacing w:after="0" w:line="240" w:lineRule="auto"/>
        <w:jc w:val="both"/>
        <w:rPr>
          <w:rFonts w:cstheme="minorHAnsi"/>
          <w:color w:val="000000" w:themeColor="text1"/>
          <w:sz w:val="24"/>
          <w:szCs w:val="24"/>
        </w:rPr>
      </w:pPr>
      <w:r w:rsidRPr="00B17E6F">
        <w:rPr>
          <w:rFonts w:cstheme="minorHAnsi"/>
          <w:b/>
          <w:bCs/>
          <w:color w:val="4472C4" w:themeColor="accent1"/>
          <w:sz w:val="24"/>
          <w:szCs w:val="24"/>
        </w:rPr>
        <w:t>(</w:t>
      </w:r>
      <w:proofErr w:type="spellStart"/>
      <w:r w:rsidRPr="00B17E6F">
        <w:rPr>
          <w:rFonts w:cstheme="minorHAnsi"/>
          <w:b/>
          <w:bCs/>
          <w:color w:val="4472C4" w:themeColor="accent1"/>
          <w:sz w:val="24"/>
          <w:szCs w:val="24"/>
        </w:rPr>
        <w:t>vii</w:t>
      </w:r>
      <w:proofErr w:type="spellEnd"/>
      <w:r w:rsidRPr="00B17E6F">
        <w:rPr>
          <w:rFonts w:cstheme="minorHAnsi"/>
          <w:b/>
          <w:bCs/>
          <w:color w:val="4472C4" w:themeColor="accent1"/>
          <w:sz w:val="24"/>
          <w:szCs w:val="24"/>
        </w:rPr>
        <w:t>) Derecho a la salud.</w:t>
      </w:r>
      <w:r w:rsidRPr="00B17E6F">
        <w:rPr>
          <w:rFonts w:cstheme="minorHAnsi"/>
          <w:color w:val="4472C4" w:themeColor="accent1"/>
          <w:sz w:val="24"/>
          <w:szCs w:val="24"/>
        </w:rPr>
        <w:t xml:space="preserve"> </w:t>
      </w:r>
      <w:r w:rsidRPr="00AF0794">
        <w:rPr>
          <w:rFonts w:cstheme="minorHAnsi"/>
          <w:color w:val="000000" w:themeColor="text1"/>
          <w:sz w:val="24"/>
          <w:szCs w:val="24"/>
          <w:lang w:eastAsia="en-GB"/>
        </w:rPr>
        <w:t>Ley 40 del 14 de agosto de 2018 que establece el marco jurídico para el abordaje integral de las infecciones de transmisión sexual y el VIH</w:t>
      </w:r>
      <w:r w:rsidRPr="00AF0794">
        <w:rPr>
          <w:rStyle w:val="FootnoteReference"/>
          <w:rFonts w:cstheme="minorHAnsi"/>
          <w:color w:val="000000" w:themeColor="text1"/>
          <w:sz w:val="24"/>
          <w:szCs w:val="24"/>
          <w:lang w:eastAsia="en-GB"/>
        </w:rPr>
        <w:footnoteReference w:id="26"/>
      </w:r>
      <w:r w:rsidRPr="00AF0794">
        <w:rPr>
          <w:rFonts w:cstheme="minorHAnsi"/>
          <w:color w:val="000000" w:themeColor="text1"/>
          <w:sz w:val="24"/>
          <w:szCs w:val="24"/>
          <w:lang w:eastAsia="en-GB"/>
        </w:rPr>
        <w:t xml:space="preserve"> a pesar de mantenerse</w:t>
      </w:r>
      <w:r w:rsidRPr="00AF0794">
        <w:rPr>
          <w:rFonts w:cstheme="minorHAnsi"/>
          <w:color w:val="000000" w:themeColor="text1"/>
          <w:sz w:val="24"/>
          <w:szCs w:val="24"/>
        </w:rPr>
        <w:t xml:space="preserve"> la exigencia de pruebas sin consentimiento informado, cuando el médico a su criterio vea la necesidad y la prueba del VIH para contraer matrimonio. Asimismo, por un lado se a</w:t>
      </w:r>
      <w:r w:rsidRPr="00AF0794">
        <w:rPr>
          <w:rFonts w:cstheme="minorHAnsi"/>
          <w:color w:val="000000" w:themeColor="text1"/>
          <w:sz w:val="24"/>
          <w:szCs w:val="24"/>
          <w:lang w:eastAsia="en-GB"/>
        </w:rPr>
        <w:t>vanza en un modelo de atención médica y coordinar la atención a los pacientes de la Caja del Seguro Social y el Ministerio de Salud, a través de la Comisión de Alto Nivel para Mejorar el Sistema Público de Salud para garantizar la cobertura en territorios indígenas,</w:t>
      </w:r>
      <w:r w:rsidRPr="00AF0794">
        <w:rPr>
          <w:rFonts w:cstheme="minorHAnsi"/>
          <w:color w:val="000000" w:themeColor="text1"/>
          <w:sz w:val="24"/>
          <w:szCs w:val="24"/>
          <w:vertAlign w:val="superscript"/>
          <w:lang w:eastAsia="en-GB"/>
        </w:rPr>
        <w:footnoteReference w:id="27"/>
      </w:r>
      <w:r w:rsidRPr="00AF0794">
        <w:rPr>
          <w:rFonts w:cstheme="minorHAnsi"/>
          <w:color w:val="000000" w:themeColor="text1"/>
          <w:sz w:val="24"/>
          <w:szCs w:val="24"/>
          <w:lang w:eastAsia="en-GB"/>
        </w:rPr>
        <w:t xml:space="preserve"> así como reducir la </w:t>
      </w:r>
      <w:r w:rsidRPr="00AF0794">
        <w:rPr>
          <w:rFonts w:cstheme="minorHAnsi"/>
          <w:color w:val="000000" w:themeColor="text1"/>
          <w:sz w:val="24"/>
          <w:szCs w:val="24"/>
          <w:lang w:eastAsia="en-GB"/>
        </w:rPr>
        <w:lastRenderedPageBreak/>
        <w:t>desigualdad en el acceso, ofreciendo una cobertura de calidad.</w:t>
      </w:r>
      <w:r w:rsidRPr="00AF0794">
        <w:rPr>
          <w:rStyle w:val="FootnoteReference"/>
          <w:rFonts w:cstheme="minorHAnsi"/>
          <w:color w:val="000000" w:themeColor="text1"/>
          <w:sz w:val="24"/>
          <w:szCs w:val="24"/>
          <w:lang w:eastAsia="en-GB"/>
        </w:rPr>
        <w:footnoteReference w:id="28"/>
      </w:r>
      <w:r w:rsidRPr="00AF0794">
        <w:rPr>
          <w:rFonts w:cstheme="minorHAnsi"/>
          <w:color w:val="000000" w:themeColor="text1"/>
          <w:sz w:val="24"/>
          <w:szCs w:val="24"/>
          <w:lang w:eastAsia="en-GB"/>
        </w:rPr>
        <w:t xml:space="preserve"> Por otro lado, en el caso del VIH, el MINSA está trabajando para mejorar el acceso al diagnóstico en áreas de difícil acceso.</w:t>
      </w:r>
      <w:r w:rsidRPr="00AF0794">
        <w:rPr>
          <w:rStyle w:val="FootnoteReference"/>
          <w:rFonts w:cstheme="minorHAnsi"/>
          <w:color w:val="000000" w:themeColor="text1"/>
          <w:sz w:val="24"/>
          <w:szCs w:val="24"/>
          <w:lang w:eastAsia="en-GB"/>
        </w:rPr>
        <w:footnoteReference w:id="29"/>
      </w:r>
      <w:r w:rsidRPr="00AF0794">
        <w:rPr>
          <w:rFonts w:cstheme="minorHAnsi"/>
          <w:color w:val="000000" w:themeColor="text1"/>
          <w:sz w:val="24"/>
          <w:szCs w:val="24"/>
          <w:lang w:eastAsia="en-GB"/>
        </w:rPr>
        <w:t xml:space="preserve"> También se ha avanzado en reconocer la atención a personas extranjeras independientemente de su condición migratoria.</w:t>
      </w:r>
      <w:r w:rsidRPr="00AF0794">
        <w:rPr>
          <w:rStyle w:val="FootnoteReference"/>
          <w:rFonts w:cstheme="minorHAnsi"/>
          <w:color w:val="000000" w:themeColor="text1"/>
          <w:sz w:val="24"/>
          <w:szCs w:val="24"/>
          <w:lang w:eastAsia="en-GB"/>
        </w:rPr>
        <w:footnoteReference w:id="30"/>
      </w:r>
      <w:r w:rsidRPr="00AF0794">
        <w:rPr>
          <w:rFonts w:cstheme="minorHAnsi"/>
          <w:color w:val="000000" w:themeColor="text1"/>
          <w:sz w:val="24"/>
          <w:szCs w:val="24"/>
          <w:lang w:eastAsia="en-GB"/>
        </w:rPr>
        <w:t xml:space="preserve">  Ahora bien, el país también debe: (i) g</w:t>
      </w:r>
      <w:r w:rsidRPr="00AF0794">
        <w:rPr>
          <w:rFonts w:cstheme="minorHAnsi"/>
          <w:color w:val="000000" w:themeColor="text1"/>
          <w:sz w:val="24"/>
          <w:szCs w:val="24"/>
        </w:rPr>
        <w:t>arantizar un acceso universal y de calidad a la salud para todas las personas, asegurando la transparencia y la rendición de cuentas y la sostenibilidad; (</w:t>
      </w:r>
      <w:proofErr w:type="spellStart"/>
      <w:r w:rsidRPr="00AF0794">
        <w:rPr>
          <w:rFonts w:cstheme="minorHAnsi"/>
          <w:color w:val="000000" w:themeColor="text1"/>
          <w:sz w:val="24"/>
          <w:szCs w:val="24"/>
        </w:rPr>
        <w:t>ii</w:t>
      </w:r>
      <w:proofErr w:type="spellEnd"/>
      <w:r w:rsidRPr="00AF0794">
        <w:rPr>
          <w:rFonts w:cstheme="minorHAnsi"/>
          <w:color w:val="000000" w:themeColor="text1"/>
          <w:sz w:val="24"/>
          <w:szCs w:val="24"/>
        </w:rPr>
        <w:t>) crear un sistema único de integración financiera a nivel central, regional y local, para permitir el manejo de la información a través de una red que consolide las operaciones presupuestarias y financieras; (</w:t>
      </w:r>
      <w:proofErr w:type="spellStart"/>
      <w:r w:rsidRPr="00AF0794">
        <w:rPr>
          <w:rFonts w:cstheme="minorHAnsi"/>
          <w:color w:val="000000" w:themeColor="text1"/>
          <w:sz w:val="24"/>
          <w:szCs w:val="24"/>
        </w:rPr>
        <w:t>iii</w:t>
      </w:r>
      <w:proofErr w:type="spellEnd"/>
      <w:r w:rsidRPr="00AF0794">
        <w:rPr>
          <w:rFonts w:cstheme="minorHAnsi"/>
          <w:color w:val="000000" w:themeColor="text1"/>
          <w:sz w:val="24"/>
          <w:szCs w:val="24"/>
        </w:rPr>
        <w:t>) asegurar el presupuesto para la prevención, atención y seguimiento de la población con VIH-SIDA.</w:t>
      </w:r>
    </w:p>
    <w:p w14:paraId="729BABB1" w14:textId="77777777" w:rsidR="000C171B" w:rsidRPr="007C4E0F" w:rsidRDefault="000C171B" w:rsidP="000C171B">
      <w:pPr>
        <w:spacing w:after="0" w:line="240" w:lineRule="auto"/>
        <w:jc w:val="both"/>
        <w:rPr>
          <w:rFonts w:cstheme="minorHAnsi"/>
          <w:color w:val="FF0000"/>
          <w:sz w:val="24"/>
          <w:szCs w:val="24"/>
        </w:rPr>
      </w:pPr>
    </w:p>
    <w:p w14:paraId="5916953E" w14:textId="77777777" w:rsidR="000C171B" w:rsidRPr="00153675" w:rsidRDefault="000C171B" w:rsidP="000C171B">
      <w:pPr>
        <w:spacing w:after="0" w:line="240" w:lineRule="auto"/>
        <w:jc w:val="both"/>
        <w:rPr>
          <w:rFonts w:cstheme="minorHAnsi"/>
          <w:bCs/>
          <w:color w:val="7030A0"/>
          <w:sz w:val="24"/>
          <w:szCs w:val="24"/>
          <w:lang w:eastAsia="en-GB"/>
        </w:rPr>
      </w:pPr>
      <w:r w:rsidRPr="00B17E6F">
        <w:rPr>
          <w:rFonts w:cstheme="minorHAnsi"/>
          <w:b/>
          <w:color w:val="4472C4" w:themeColor="accent1"/>
          <w:sz w:val="24"/>
          <w:szCs w:val="24"/>
        </w:rPr>
        <w:t>(</w:t>
      </w:r>
      <w:proofErr w:type="spellStart"/>
      <w:r w:rsidRPr="00B17E6F">
        <w:rPr>
          <w:rFonts w:cstheme="minorHAnsi"/>
          <w:b/>
          <w:color w:val="4472C4" w:themeColor="accent1"/>
          <w:sz w:val="24"/>
          <w:szCs w:val="24"/>
        </w:rPr>
        <w:t>viii</w:t>
      </w:r>
      <w:proofErr w:type="spellEnd"/>
      <w:r w:rsidRPr="00B17E6F">
        <w:rPr>
          <w:rFonts w:cstheme="minorHAnsi"/>
          <w:b/>
          <w:color w:val="4472C4" w:themeColor="accent1"/>
          <w:sz w:val="24"/>
          <w:szCs w:val="24"/>
        </w:rPr>
        <w:t>) Derecho al trabajo, condiciones justas y favorables.</w:t>
      </w:r>
      <w:r w:rsidRPr="00B17E6F">
        <w:rPr>
          <w:rFonts w:cstheme="minorHAnsi"/>
          <w:bCs/>
          <w:color w:val="4472C4" w:themeColor="accent1"/>
          <w:sz w:val="24"/>
          <w:szCs w:val="24"/>
        </w:rPr>
        <w:t xml:space="preserve"> </w:t>
      </w:r>
      <w:r w:rsidRPr="002127D3">
        <w:rPr>
          <w:rFonts w:cstheme="minorHAnsi"/>
          <w:bCs/>
          <w:color w:val="000000" w:themeColor="text1"/>
          <w:sz w:val="24"/>
          <w:szCs w:val="24"/>
          <w:lang w:eastAsia="en-GB"/>
        </w:rPr>
        <w:t>Panamá ratificó el Convenio 156 de la OIT sobre trabajo doméstico, y aprobó la Ley 56 de 2017 para promocionar la participación de las mujeres en las juntas directivas estatales</w:t>
      </w:r>
      <w:r w:rsidRPr="002127D3">
        <w:rPr>
          <w:rStyle w:val="FootnoteReference"/>
          <w:rFonts w:cstheme="minorHAnsi"/>
          <w:bCs/>
          <w:color w:val="000000" w:themeColor="text1"/>
          <w:sz w:val="24"/>
          <w:szCs w:val="24"/>
          <w:lang w:eastAsia="en-GB"/>
        </w:rPr>
        <w:footnoteReference w:id="31"/>
      </w:r>
      <w:r w:rsidRPr="002127D3">
        <w:rPr>
          <w:rFonts w:cstheme="minorHAnsi"/>
          <w:bCs/>
          <w:color w:val="000000" w:themeColor="text1"/>
          <w:sz w:val="24"/>
          <w:szCs w:val="24"/>
          <w:lang w:eastAsia="en-GB"/>
        </w:rPr>
        <w:t xml:space="preserve">. Además, se adoptó una estrategia nacional de </w:t>
      </w:r>
      <w:r w:rsidRPr="00712DD8">
        <w:rPr>
          <w:rFonts w:cstheme="minorHAnsi"/>
          <w:bCs/>
          <w:color w:val="000000" w:themeColor="text1"/>
          <w:sz w:val="24"/>
          <w:szCs w:val="24"/>
          <w:lang w:eastAsia="en-GB"/>
        </w:rPr>
        <w:t>empleo para la promoción de la participación laboral de las mujeres</w:t>
      </w:r>
      <w:r w:rsidRPr="00712DD8">
        <w:rPr>
          <w:rStyle w:val="FootnoteReference"/>
          <w:rFonts w:cstheme="minorHAnsi"/>
          <w:bCs/>
          <w:color w:val="000000" w:themeColor="text1"/>
          <w:sz w:val="24"/>
          <w:szCs w:val="24"/>
          <w:lang w:eastAsia="en-GB"/>
        </w:rPr>
        <w:footnoteReference w:id="32"/>
      </w:r>
      <w:r w:rsidRPr="00712DD8">
        <w:rPr>
          <w:rFonts w:cstheme="minorHAnsi"/>
          <w:bCs/>
          <w:color w:val="000000" w:themeColor="text1"/>
          <w:sz w:val="24"/>
          <w:szCs w:val="24"/>
          <w:lang w:eastAsia="en-GB"/>
        </w:rPr>
        <w:t xml:space="preserve">, a través de numerosos programas: “Mujer Emprende”; “Crédito Mujer Agro-emprendedora; “Sello igualdad de género”; “Iniciativa </w:t>
      </w:r>
      <w:proofErr w:type="spellStart"/>
      <w:r w:rsidRPr="00712DD8">
        <w:rPr>
          <w:rFonts w:cstheme="minorHAnsi"/>
          <w:bCs/>
          <w:color w:val="000000" w:themeColor="text1"/>
          <w:sz w:val="24"/>
          <w:szCs w:val="24"/>
          <w:lang w:eastAsia="en-GB"/>
        </w:rPr>
        <w:t>Equal</w:t>
      </w:r>
      <w:proofErr w:type="spellEnd"/>
      <w:r w:rsidRPr="00712DD8">
        <w:rPr>
          <w:rFonts w:cstheme="minorHAnsi"/>
          <w:bCs/>
          <w:color w:val="000000" w:themeColor="text1"/>
          <w:sz w:val="24"/>
          <w:szCs w:val="24"/>
          <w:lang w:eastAsia="en-GB"/>
        </w:rPr>
        <w:t xml:space="preserve"> </w:t>
      </w:r>
      <w:proofErr w:type="spellStart"/>
      <w:r w:rsidRPr="00712DD8">
        <w:rPr>
          <w:rFonts w:cstheme="minorHAnsi"/>
          <w:bCs/>
          <w:color w:val="000000" w:themeColor="text1"/>
          <w:sz w:val="24"/>
          <w:szCs w:val="24"/>
          <w:lang w:eastAsia="en-GB"/>
        </w:rPr>
        <w:t>Pay</w:t>
      </w:r>
      <w:proofErr w:type="spellEnd"/>
      <w:r w:rsidRPr="00712DD8">
        <w:rPr>
          <w:rFonts w:cstheme="minorHAnsi"/>
          <w:bCs/>
          <w:color w:val="000000" w:themeColor="text1"/>
          <w:sz w:val="24"/>
          <w:szCs w:val="24"/>
          <w:lang w:eastAsia="en-GB"/>
        </w:rPr>
        <w:t xml:space="preserve"> </w:t>
      </w:r>
      <w:proofErr w:type="spellStart"/>
      <w:r w:rsidRPr="00712DD8">
        <w:rPr>
          <w:rFonts w:cstheme="minorHAnsi"/>
          <w:bCs/>
          <w:color w:val="000000" w:themeColor="text1"/>
          <w:sz w:val="24"/>
          <w:szCs w:val="24"/>
          <w:lang w:eastAsia="en-GB"/>
        </w:rPr>
        <w:t>Coalition</w:t>
      </w:r>
      <w:proofErr w:type="spellEnd"/>
      <w:r w:rsidRPr="00712DD8">
        <w:rPr>
          <w:rFonts w:cstheme="minorHAnsi"/>
          <w:bCs/>
          <w:color w:val="000000" w:themeColor="text1"/>
          <w:sz w:val="24"/>
          <w:szCs w:val="24"/>
          <w:lang w:eastAsia="en-GB"/>
        </w:rPr>
        <w:t>”. Además, para garantizar los derechos de las personas el país debe: (i) garantizar condiciones dignas y equitativas en el derecho al trabajo sin discriminación por ninguna razón o condición; (</w:t>
      </w:r>
      <w:proofErr w:type="spellStart"/>
      <w:r w:rsidRPr="00712DD8">
        <w:rPr>
          <w:rFonts w:cstheme="minorHAnsi"/>
          <w:bCs/>
          <w:color w:val="000000" w:themeColor="text1"/>
          <w:sz w:val="24"/>
          <w:szCs w:val="24"/>
          <w:lang w:eastAsia="en-GB"/>
        </w:rPr>
        <w:t>ii</w:t>
      </w:r>
      <w:proofErr w:type="spellEnd"/>
      <w:r w:rsidRPr="00712DD8">
        <w:rPr>
          <w:rFonts w:cstheme="minorHAnsi"/>
          <w:bCs/>
          <w:color w:val="000000" w:themeColor="text1"/>
          <w:sz w:val="24"/>
          <w:szCs w:val="24"/>
          <w:lang w:eastAsia="en-GB"/>
        </w:rPr>
        <w:t>) tomar medidas afirmativas para reducir la brecha salarial entre hombres y mujeres.</w:t>
      </w:r>
    </w:p>
    <w:p w14:paraId="526853BF" w14:textId="77777777" w:rsidR="000C171B" w:rsidRPr="00153675" w:rsidRDefault="000C171B" w:rsidP="000C171B">
      <w:pPr>
        <w:spacing w:after="0" w:line="240" w:lineRule="auto"/>
        <w:jc w:val="both"/>
        <w:rPr>
          <w:rFonts w:cstheme="minorHAnsi"/>
          <w:bCs/>
          <w:color w:val="7030A0"/>
          <w:sz w:val="24"/>
          <w:szCs w:val="24"/>
        </w:rPr>
      </w:pPr>
    </w:p>
    <w:p w14:paraId="0761B9A1" w14:textId="08AEE64D" w:rsidR="000C171B" w:rsidRPr="00787544" w:rsidRDefault="000C171B" w:rsidP="000C171B">
      <w:pPr>
        <w:spacing w:after="0" w:line="240" w:lineRule="auto"/>
        <w:jc w:val="both"/>
        <w:rPr>
          <w:rFonts w:cstheme="minorHAnsi"/>
          <w:bCs/>
          <w:color w:val="000000" w:themeColor="text1"/>
          <w:sz w:val="24"/>
          <w:szCs w:val="24"/>
          <w:lang w:val="es-VE"/>
        </w:rPr>
      </w:pPr>
      <w:r w:rsidRPr="00B17E6F">
        <w:rPr>
          <w:rFonts w:cstheme="minorHAnsi"/>
          <w:b/>
          <w:color w:val="4472C4" w:themeColor="accent1"/>
          <w:sz w:val="24"/>
          <w:szCs w:val="24"/>
        </w:rPr>
        <w:t>(</w:t>
      </w:r>
      <w:proofErr w:type="spellStart"/>
      <w:r w:rsidRPr="00B17E6F">
        <w:rPr>
          <w:rFonts w:cstheme="minorHAnsi"/>
          <w:b/>
          <w:color w:val="4472C4" w:themeColor="accent1"/>
          <w:sz w:val="24"/>
          <w:szCs w:val="24"/>
        </w:rPr>
        <w:t>ix</w:t>
      </w:r>
      <w:proofErr w:type="spellEnd"/>
      <w:r w:rsidRPr="00B17E6F">
        <w:rPr>
          <w:rFonts w:cstheme="minorHAnsi"/>
          <w:b/>
          <w:color w:val="4472C4" w:themeColor="accent1"/>
          <w:sz w:val="24"/>
          <w:szCs w:val="24"/>
        </w:rPr>
        <w:t>) Discriminación contra la mujer.</w:t>
      </w:r>
      <w:r w:rsidRPr="00B17E6F">
        <w:rPr>
          <w:rFonts w:cstheme="minorHAnsi"/>
          <w:bCs/>
          <w:color w:val="4472C4" w:themeColor="accent1"/>
          <w:sz w:val="24"/>
          <w:szCs w:val="24"/>
        </w:rPr>
        <w:t xml:space="preserve"> </w:t>
      </w:r>
      <w:r w:rsidRPr="003F0549">
        <w:rPr>
          <w:rFonts w:cstheme="minorHAnsi"/>
          <w:bCs/>
          <w:color w:val="000000" w:themeColor="text1"/>
          <w:sz w:val="24"/>
          <w:szCs w:val="24"/>
        </w:rPr>
        <w:t xml:space="preserve">Desde 2011, Panamá adoptó la Política Pública de Igualdad de Oportunidades y el Plan de Acción para la Igualdad de Oportunidades 2016-2019. Lo que permitió, a través de la Ley 60 de 2016, que reforma la Ley 29 de 2002, sobre la adolescente embarazada, garantizar los derechos de las niñas menores de edad.  Pero en el caso de la Ley Nº40 de 2018, que regula el marco legal para la respuesta al VIH, obliga la realización de la prueba de VIH particularmente a mujeres embarazadas, las mujeres </w:t>
      </w:r>
      <w:r w:rsidRPr="003F0549">
        <w:rPr>
          <w:rFonts w:cstheme="minorHAnsi"/>
          <w:bCs/>
          <w:i/>
          <w:color w:val="000000" w:themeColor="text1"/>
          <w:sz w:val="24"/>
          <w:szCs w:val="24"/>
        </w:rPr>
        <w:t>trans</w:t>
      </w:r>
      <w:r w:rsidRPr="003F0549">
        <w:rPr>
          <w:rFonts w:cstheme="minorHAnsi"/>
          <w:bCs/>
          <w:color w:val="000000" w:themeColor="text1"/>
          <w:sz w:val="24"/>
          <w:szCs w:val="24"/>
        </w:rPr>
        <w:t xml:space="preserve"> y trabajadoras sexuales, afectando los derechos de las personas. No obstante, </w:t>
      </w:r>
      <w:r w:rsidRPr="003F0549">
        <w:rPr>
          <w:rFonts w:eastAsiaTheme="minorEastAsia"/>
          <w:color w:val="000000" w:themeColor="text1"/>
          <w:sz w:val="24"/>
          <w:szCs w:val="24"/>
          <w:lang w:val="es-VE"/>
        </w:rPr>
        <w:t xml:space="preserve">la violencia afecta también a las trabajadoras sexuales. El 82.4% de las trabajadoras sexuales experimentó de forma directa o indirecta, alguna vez, una situación de discriminación. El 47.1% declara haber vivenciado directamente una situación de discriminación. El 17.6% señaló que presenció por lo menos un acto de discriminación. En los espacios cerrados se presencian mayormente situaciones de discriminación. De igual manera el 64.7% vivenció directamente en algún momento una situación de abuso de autoridad o violencia asociada al trabajo sexual. La violencia verbal, la intimidación y las amenazas son la principal forma de abuso de autoridad o violencia. Los pedidos de coimas o extorsiones son el segundo tipo de abuso de autoridad o violencia. El abuso o violación sexual es la tercera forma de abuso que expresan. Ante esas situaciones de abuso, sólo el 17,6% hizo alguna denuncia. Las trabajadoras sexuales que realizan actividades en espacios abiertos realizan denuncias (11,8%), son las que más presentan o realizan algún tipo </w:t>
      </w:r>
      <w:r w:rsidRPr="003F0549">
        <w:rPr>
          <w:rFonts w:eastAsiaTheme="minorEastAsia"/>
          <w:color w:val="000000" w:themeColor="text1"/>
          <w:sz w:val="24"/>
          <w:szCs w:val="24"/>
          <w:lang w:val="es-VE"/>
        </w:rPr>
        <w:lastRenderedPageBreak/>
        <w:t>de denuncia. De igual manera, son las trabajadoras sexuales que laboran en espacios cerrados las que nunca realizan denuncias (35,3%). Los motivos que declaran para no realizar denuncias son la falta de confianza en el sistema, el miedo y las amenazas</w:t>
      </w:r>
      <w:r>
        <w:rPr>
          <w:rFonts w:eastAsiaTheme="minorEastAsia"/>
          <w:color w:val="000000" w:themeColor="text1"/>
          <w:sz w:val="24"/>
          <w:szCs w:val="24"/>
          <w:lang w:val="es-VE"/>
        </w:rPr>
        <w:t xml:space="preserve"> (</w:t>
      </w:r>
      <w:r w:rsidRPr="00952D5B">
        <w:rPr>
          <w:rFonts w:eastAsiaTheme="minorEastAsia"/>
          <w:color w:val="000000" w:themeColor="text1"/>
          <w:sz w:val="24"/>
          <w:szCs w:val="24"/>
          <w:lang w:val="es-VE"/>
        </w:rPr>
        <w:t>MDDP/ REDTRASEX</w:t>
      </w:r>
      <w:r>
        <w:rPr>
          <w:rFonts w:eastAsiaTheme="minorEastAsia"/>
          <w:color w:val="000000" w:themeColor="text1"/>
          <w:sz w:val="24"/>
          <w:szCs w:val="24"/>
          <w:lang w:val="es-VE"/>
        </w:rPr>
        <w:t>, S/F)</w:t>
      </w:r>
      <w:r w:rsidRPr="003F0549">
        <w:rPr>
          <w:rFonts w:eastAsiaTheme="minorEastAsia"/>
          <w:color w:val="000000" w:themeColor="text1"/>
          <w:sz w:val="24"/>
          <w:szCs w:val="24"/>
          <w:lang w:val="es-VE"/>
        </w:rPr>
        <w:t>. Por ello, el país debe</w:t>
      </w:r>
      <w:r>
        <w:rPr>
          <w:rFonts w:eastAsiaTheme="minorEastAsia"/>
          <w:color w:val="000000" w:themeColor="text1"/>
          <w:sz w:val="24"/>
          <w:szCs w:val="24"/>
          <w:lang w:val="es-VE"/>
        </w:rPr>
        <w:t>,</w:t>
      </w:r>
      <w:r w:rsidRPr="003F0549">
        <w:rPr>
          <w:rFonts w:eastAsiaTheme="minorEastAsia"/>
          <w:color w:val="000000" w:themeColor="text1"/>
          <w:sz w:val="24"/>
          <w:szCs w:val="24"/>
          <w:lang w:val="es-VE"/>
        </w:rPr>
        <w:t xml:space="preserve"> también: (i) a</w:t>
      </w:r>
      <w:r w:rsidRPr="003F0549">
        <w:rPr>
          <w:rFonts w:cstheme="minorHAnsi"/>
          <w:bCs/>
          <w:color w:val="000000" w:themeColor="text1"/>
          <w:sz w:val="24"/>
          <w:szCs w:val="24"/>
          <w:lang w:val="es-VE"/>
        </w:rPr>
        <w:t>probar una legislación específica que prohíba explícitamente la discriminación por razón de orientación sexual e identidad de género y sancione a los responsables de dichas discriminaciones; (</w:t>
      </w:r>
      <w:proofErr w:type="spellStart"/>
      <w:r w:rsidRPr="003F0549">
        <w:rPr>
          <w:rFonts w:cstheme="minorHAnsi"/>
          <w:bCs/>
          <w:color w:val="000000" w:themeColor="text1"/>
          <w:sz w:val="24"/>
          <w:szCs w:val="24"/>
          <w:lang w:val="es-VE"/>
        </w:rPr>
        <w:t>ii</w:t>
      </w:r>
      <w:proofErr w:type="spellEnd"/>
      <w:r w:rsidRPr="003F0549">
        <w:rPr>
          <w:rFonts w:cstheme="minorHAnsi"/>
          <w:bCs/>
          <w:color w:val="000000" w:themeColor="text1"/>
          <w:sz w:val="24"/>
          <w:szCs w:val="24"/>
          <w:lang w:val="es-VE"/>
        </w:rPr>
        <w:t>) resolver los recursos presentados ante la Corte Suprema de Justicia, respecto a la constitucionalidad del artículo 26 del Código de Familia, de acuerdo con los estándares internacionales de derechos humanos.</w:t>
      </w:r>
      <w:r>
        <w:rPr>
          <w:rFonts w:cstheme="minorHAnsi"/>
          <w:bCs/>
          <w:color w:val="000000" w:themeColor="text1"/>
          <w:sz w:val="24"/>
          <w:szCs w:val="24"/>
          <w:lang w:val="es-VE"/>
        </w:rPr>
        <w:t xml:space="preserve">  Por último, el país debe tener presente las sugerencias y recomendaciones señaladas en la </w:t>
      </w:r>
      <w:r w:rsidR="007F093E">
        <w:rPr>
          <w:rFonts w:cstheme="minorHAnsi"/>
          <w:bCs/>
          <w:color w:val="000000" w:themeColor="text1"/>
          <w:sz w:val="24"/>
          <w:szCs w:val="24"/>
          <w:lang w:val="es-VE"/>
        </w:rPr>
        <w:t>l</w:t>
      </w:r>
      <w:r w:rsidRPr="00787544">
        <w:rPr>
          <w:rFonts w:cstheme="minorHAnsi"/>
          <w:bCs/>
          <w:color w:val="000000" w:themeColor="text1"/>
          <w:sz w:val="24"/>
          <w:szCs w:val="24"/>
          <w:lang w:val="es-VE"/>
        </w:rPr>
        <w:t>ista de cuestiones y preguntas previa a la presentación del octavo informe periódico de Panamá</w:t>
      </w:r>
      <w:r>
        <w:rPr>
          <w:rFonts w:cstheme="minorHAnsi"/>
          <w:bCs/>
          <w:color w:val="000000" w:themeColor="text1"/>
          <w:sz w:val="24"/>
          <w:szCs w:val="24"/>
          <w:lang w:val="es-VE"/>
        </w:rPr>
        <w:t xml:space="preserve"> (</w:t>
      </w:r>
      <w:r w:rsidRPr="00787544">
        <w:rPr>
          <w:rFonts w:cstheme="minorHAnsi"/>
          <w:bCs/>
          <w:color w:val="000000" w:themeColor="text1"/>
          <w:sz w:val="24"/>
          <w:szCs w:val="24"/>
          <w:lang w:val="es-VE"/>
        </w:rPr>
        <w:t>CEDAW/C/PAN/QPR/8</w:t>
      </w:r>
      <w:r>
        <w:rPr>
          <w:rFonts w:cstheme="minorHAnsi"/>
          <w:bCs/>
          <w:color w:val="000000" w:themeColor="text1"/>
          <w:sz w:val="24"/>
          <w:szCs w:val="24"/>
          <w:lang w:val="es-VE"/>
        </w:rPr>
        <w:t xml:space="preserve">) entre las que se puntualizan las siguientes acciones: (i) </w:t>
      </w:r>
      <w:r w:rsidRPr="00787544">
        <w:rPr>
          <w:rFonts w:cstheme="minorHAnsi"/>
          <w:bCs/>
          <w:color w:val="000000" w:themeColor="text1"/>
          <w:sz w:val="24"/>
          <w:szCs w:val="24"/>
          <w:lang w:val="es-VE"/>
        </w:rPr>
        <w:t>mejorar la recopilación y el análisis de los datos relativos a las esferas que abarca la Convención con el fin de respaldar la formulación de políticas y la elaboración de programas y evaluar los progresos realizados en la aplicación de la Convención</w:t>
      </w:r>
      <w:r>
        <w:rPr>
          <w:rFonts w:cstheme="minorHAnsi"/>
          <w:bCs/>
          <w:color w:val="000000" w:themeColor="text1"/>
          <w:sz w:val="24"/>
          <w:szCs w:val="24"/>
          <w:lang w:val="es-VE"/>
        </w:rPr>
        <w:t>; (</w:t>
      </w:r>
      <w:proofErr w:type="spellStart"/>
      <w:r>
        <w:rPr>
          <w:rFonts w:cstheme="minorHAnsi"/>
          <w:bCs/>
          <w:color w:val="000000" w:themeColor="text1"/>
          <w:sz w:val="24"/>
          <w:szCs w:val="24"/>
          <w:lang w:val="es-VE"/>
        </w:rPr>
        <w:t>ii</w:t>
      </w:r>
      <w:proofErr w:type="spellEnd"/>
      <w:r>
        <w:rPr>
          <w:rFonts w:cstheme="minorHAnsi"/>
          <w:bCs/>
          <w:color w:val="000000" w:themeColor="text1"/>
          <w:sz w:val="24"/>
          <w:szCs w:val="24"/>
          <w:lang w:val="es-VE"/>
        </w:rPr>
        <w:t xml:space="preserve">) </w:t>
      </w:r>
      <w:r w:rsidRPr="00787544">
        <w:rPr>
          <w:rFonts w:cstheme="minorHAnsi"/>
          <w:bCs/>
          <w:color w:val="000000" w:themeColor="text1"/>
          <w:sz w:val="24"/>
          <w:szCs w:val="24"/>
          <w:lang w:val="es-VE"/>
        </w:rPr>
        <w:t>promo</w:t>
      </w:r>
      <w:r>
        <w:rPr>
          <w:rFonts w:cstheme="minorHAnsi"/>
          <w:bCs/>
          <w:color w:val="000000" w:themeColor="text1"/>
          <w:sz w:val="24"/>
          <w:szCs w:val="24"/>
          <w:lang w:val="es-VE"/>
        </w:rPr>
        <w:t xml:space="preserve">ver </w:t>
      </w:r>
      <w:r w:rsidRPr="00787544">
        <w:rPr>
          <w:rFonts w:cstheme="minorHAnsi"/>
          <w:bCs/>
          <w:color w:val="000000" w:themeColor="text1"/>
          <w:sz w:val="24"/>
          <w:szCs w:val="24"/>
          <w:lang w:val="es-VE"/>
        </w:rPr>
        <w:t>la igualdad sustantiva entre mujeres y hombres</w:t>
      </w:r>
      <w:r>
        <w:rPr>
          <w:rFonts w:cstheme="minorHAnsi"/>
          <w:bCs/>
          <w:color w:val="000000" w:themeColor="text1"/>
          <w:sz w:val="24"/>
          <w:szCs w:val="24"/>
          <w:lang w:val="es-VE"/>
        </w:rPr>
        <w:t>; (</w:t>
      </w:r>
      <w:proofErr w:type="spellStart"/>
      <w:r>
        <w:rPr>
          <w:rFonts w:cstheme="minorHAnsi"/>
          <w:bCs/>
          <w:color w:val="000000" w:themeColor="text1"/>
          <w:sz w:val="24"/>
          <w:szCs w:val="24"/>
          <w:lang w:val="es-VE"/>
        </w:rPr>
        <w:t>iii</w:t>
      </w:r>
      <w:proofErr w:type="spellEnd"/>
      <w:r>
        <w:rPr>
          <w:rFonts w:cstheme="minorHAnsi"/>
          <w:bCs/>
          <w:color w:val="000000" w:themeColor="text1"/>
          <w:sz w:val="24"/>
          <w:szCs w:val="24"/>
          <w:lang w:val="es-VE"/>
        </w:rPr>
        <w:t xml:space="preserve">) explicar </w:t>
      </w:r>
      <w:r w:rsidRPr="00787544">
        <w:rPr>
          <w:rFonts w:cstheme="minorHAnsi"/>
          <w:bCs/>
          <w:color w:val="000000" w:themeColor="text1"/>
          <w:sz w:val="24"/>
          <w:szCs w:val="24"/>
          <w:lang w:val="es-VE"/>
        </w:rPr>
        <w:t xml:space="preserve"> las medidas adoptadas para </w:t>
      </w:r>
      <w:r>
        <w:rPr>
          <w:rFonts w:cstheme="minorHAnsi"/>
          <w:bCs/>
          <w:color w:val="000000" w:themeColor="text1"/>
          <w:sz w:val="24"/>
          <w:szCs w:val="24"/>
          <w:lang w:val="es-VE"/>
        </w:rPr>
        <w:t xml:space="preserve">acopiar </w:t>
      </w:r>
      <w:r w:rsidRPr="00787544">
        <w:rPr>
          <w:rFonts w:cstheme="minorHAnsi"/>
          <w:bCs/>
          <w:color w:val="000000" w:themeColor="text1"/>
          <w:sz w:val="24"/>
          <w:szCs w:val="24"/>
          <w:lang w:val="es-VE"/>
        </w:rPr>
        <w:t xml:space="preserve">los datos y analizar la información en el marco de la base de datos de indicadores de género de Panamá. </w:t>
      </w:r>
    </w:p>
    <w:p w14:paraId="4B1B16E6" w14:textId="77777777" w:rsidR="000C171B" w:rsidRDefault="000C171B" w:rsidP="000C171B">
      <w:pPr>
        <w:spacing w:after="0" w:line="240" w:lineRule="auto"/>
        <w:jc w:val="both"/>
        <w:rPr>
          <w:rFonts w:cstheme="minorHAnsi"/>
          <w:bCs/>
          <w:color w:val="FF0000"/>
          <w:sz w:val="24"/>
          <w:szCs w:val="24"/>
          <w:lang w:val="es-VE"/>
        </w:rPr>
      </w:pPr>
    </w:p>
    <w:p w14:paraId="694A6558" w14:textId="63A754A0" w:rsidR="000C171B" w:rsidRPr="000B06F6" w:rsidRDefault="000C171B" w:rsidP="000C171B">
      <w:pPr>
        <w:spacing w:after="0" w:line="240" w:lineRule="auto"/>
        <w:jc w:val="both"/>
        <w:rPr>
          <w:rFonts w:cstheme="minorHAnsi"/>
          <w:color w:val="000000" w:themeColor="text1"/>
          <w:sz w:val="24"/>
          <w:szCs w:val="24"/>
        </w:rPr>
      </w:pPr>
      <w:r w:rsidRPr="00B17E6F">
        <w:rPr>
          <w:rFonts w:cstheme="minorHAnsi"/>
          <w:b/>
          <w:color w:val="4472C4" w:themeColor="accent1"/>
          <w:sz w:val="24"/>
          <w:szCs w:val="24"/>
          <w:lang w:val="es-VE"/>
        </w:rPr>
        <w:t>(</w:t>
      </w:r>
      <w:r w:rsidRPr="00B17E6F">
        <w:rPr>
          <w:rFonts w:cstheme="minorHAnsi"/>
          <w:b/>
          <w:color w:val="4472C4" w:themeColor="accent1"/>
          <w:sz w:val="24"/>
          <w:szCs w:val="24"/>
        </w:rPr>
        <w:t>x) No discriminación por razón de orientación sexual e identidad de género.</w:t>
      </w:r>
      <w:r w:rsidRPr="00B17E6F">
        <w:rPr>
          <w:rFonts w:cstheme="minorHAnsi"/>
          <w:bCs/>
          <w:color w:val="4472C4" w:themeColor="accent1"/>
          <w:sz w:val="24"/>
          <w:szCs w:val="24"/>
        </w:rPr>
        <w:t xml:space="preserve"> </w:t>
      </w:r>
      <w:r w:rsidRPr="00153675">
        <w:rPr>
          <w:rFonts w:cstheme="minorHAnsi"/>
          <w:bCs/>
          <w:color w:val="000000" w:themeColor="text1"/>
          <w:sz w:val="24"/>
          <w:szCs w:val="24"/>
        </w:rPr>
        <w:t xml:space="preserve">La discriminación persiste en Panamá en todos los ámbitos de la vida pública, afectando a de manera particular a determinados grupos, como las personas de la comunidad </w:t>
      </w:r>
      <w:r w:rsidRPr="005F7658">
        <w:rPr>
          <w:rFonts w:cstheme="minorHAnsi"/>
          <w:color w:val="000000" w:themeColor="text1"/>
          <w:sz w:val="24"/>
          <w:szCs w:val="24"/>
        </w:rPr>
        <w:t>LGBTIQ+,</w:t>
      </w:r>
      <w:r w:rsidRPr="005F7658">
        <w:rPr>
          <w:rFonts w:cstheme="minorHAnsi"/>
          <w:bCs/>
          <w:color w:val="000000" w:themeColor="text1"/>
          <w:sz w:val="24"/>
          <w:szCs w:val="24"/>
        </w:rPr>
        <w:t xml:space="preserve"> </w:t>
      </w:r>
      <w:r w:rsidRPr="00153675">
        <w:rPr>
          <w:rFonts w:cstheme="minorHAnsi"/>
          <w:bCs/>
          <w:color w:val="000000" w:themeColor="text1"/>
          <w:sz w:val="24"/>
          <w:szCs w:val="24"/>
        </w:rPr>
        <w:t>refugiados y migrantes, afrodescendientes, pueblos indígenas, personas adultas mayores, mujeres y personas con discapacidad</w:t>
      </w:r>
      <w:r w:rsidRPr="00837A3A">
        <w:rPr>
          <w:rFonts w:cstheme="minorHAnsi"/>
          <w:bCs/>
          <w:color w:val="000000" w:themeColor="text1"/>
          <w:sz w:val="24"/>
          <w:szCs w:val="24"/>
        </w:rPr>
        <w:t>.</w:t>
      </w:r>
      <w:r w:rsidRPr="00837A3A">
        <w:rPr>
          <w:rFonts w:cstheme="minorHAnsi"/>
          <w:color w:val="000000" w:themeColor="text1"/>
          <w:sz w:val="24"/>
          <w:szCs w:val="24"/>
        </w:rPr>
        <w:t xml:space="preserve"> No obstante, el país aprobó recientemente la 7 del 14 de febrero de 2018 que adopta medidas para prevenir, prohibir y sancionar actos discriminatorios</w:t>
      </w:r>
      <w:r w:rsidRPr="00837A3A">
        <w:rPr>
          <w:rStyle w:val="FootnoteReference"/>
          <w:rFonts w:cstheme="minorHAnsi"/>
          <w:color w:val="000000" w:themeColor="text1"/>
          <w:sz w:val="24"/>
          <w:szCs w:val="24"/>
        </w:rPr>
        <w:t xml:space="preserve"> </w:t>
      </w:r>
      <w:r w:rsidRPr="00837A3A">
        <w:rPr>
          <w:rStyle w:val="FootnoteReference"/>
          <w:rFonts w:cstheme="minorHAnsi"/>
          <w:color w:val="000000" w:themeColor="text1"/>
          <w:sz w:val="24"/>
          <w:szCs w:val="24"/>
        </w:rPr>
        <w:footnoteReference w:id="33"/>
      </w:r>
      <w:r w:rsidRPr="00837A3A">
        <w:rPr>
          <w:rFonts w:cstheme="minorHAnsi"/>
          <w:color w:val="000000" w:themeColor="text1"/>
          <w:sz w:val="24"/>
          <w:szCs w:val="24"/>
        </w:rPr>
        <w:t xml:space="preserve"> que adopta medidas para prevenir, prohibir y sancionar actos discriminatorios, de la que se excluyó la discriminación por razones de orientación sexual violentando los derechos de esta población</w:t>
      </w:r>
      <w:r w:rsidRPr="00837A3A">
        <w:rPr>
          <w:rStyle w:val="FootnoteReference"/>
          <w:rFonts w:cstheme="minorHAnsi"/>
          <w:color w:val="000000" w:themeColor="text1"/>
          <w:sz w:val="24"/>
          <w:szCs w:val="24"/>
        </w:rPr>
        <w:footnoteReference w:id="34"/>
      </w:r>
      <w:r w:rsidRPr="00837A3A">
        <w:rPr>
          <w:rFonts w:cstheme="minorHAnsi"/>
          <w:color w:val="000000" w:themeColor="text1"/>
          <w:sz w:val="24"/>
          <w:szCs w:val="24"/>
        </w:rPr>
        <w:t>. De hecho, la Ley 16 de 2002, que regula el derecho de admisión en los establecimientos públicos y dicta medidas para evitar la discriminación, incluso por motivos de orientación sexual, no establece mecanismos claros de sanción</w:t>
      </w:r>
      <w:r w:rsidRPr="00837A3A">
        <w:rPr>
          <w:rFonts w:cstheme="minorHAnsi"/>
          <w:color w:val="000000" w:themeColor="text1"/>
          <w:sz w:val="24"/>
          <w:szCs w:val="24"/>
          <w:lang w:val="es-419"/>
        </w:rPr>
        <w:t xml:space="preserve">.  En Panamá no se reconoce la </w:t>
      </w:r>
      <w:r w:rsidRPr="00837A3A">
        <w:rPr>
          <w:rFonts w:cstheme="minorHAnsi"/>
          <w:color w:val="000000" w:themeColor="text1"/>
          <w:sz w:val="24"/>
          <w:szCs w:val="24"/>
        </w:rPr>
        <w:t xml:space="preserve">unión y el matrimonio entre personas del mismo sexo. Actualmente, la Corte Suprema de Justicia (CSJ) está considerando varios recursos de casos presentados con relación a una advertencia de inconstitucionalidad contra el artículo 26 del Código de Familia que limita el matrimonio a un acto “entre hombre y mujer”. No obstante, la Opinión Consultiva 24/2017 de la Corte Interamericana de Derechos Humanos (CIDH), que refuerza la Convención Interamericana respecto a la igualdad y no discriminación basada en orientación sexual e identidad de género, reconoce el matrimonio igualitario, al mismo tiempo que señala que no existe aún, una prohibición legal de actos de discriminación por razón de orientación sexual e identidad de género.  De igual manera, la Oficina del Procurador General de la Administración en el año 2017, emitió una opinión favorable para reconocer el matrimonio entre personas del mismo sexo y solicitó a la Corte Suprema de Justicia que declare inconstitucional el artículo 26 del Código de </w:t>
      </w:r>
      <w:r w:rsidRPr="00837A3A">
        <w:rPr>
          <w:rFonts w:cstheme="minorHAnsi"/>
          <w:color w:val="000000" w:themeColor="text1"/>
          <w:sz w:val="24"/>
          <w:szCs w:val="24"/>
        </w:rPr>
        <w:lastRenderedPageBreak/>
        <w:t xml:space="preserve">Familia sobre la base de normas internacionales reconocidas y la aplicación del principio de convencionalidad. Se espera el fallo de la CSJ. Para el </w:t>
      </w:r>
      <w:r w:rsidRPr="00837A3A">
        <w:rPr>
          <w:rFonts w:eastAsiaTheme="minorEastAsia"/>
          <w:color w:val="000000" w:themeColor="text1"/>
          <w:sz w:val="24"/>
          <w:szCs w:val="24"/>
          <w:lang w:val="es-VE"/>
        </w:rPr>
        <w:t xml:space="preserve">año 2018, la Corte Interamericana de Derechos Humanos emitió una Opinión Consultiva, referida al reconocimiento de las parejas del mismo sexo y la identidad legal de las personas transgénero, vinculante para todos los países signatarios de la Convención Americana de Derechos Humanos, incluido Panamá. Según la Opinión Consultiva, </w:t>
      </w:r>
      <w:r w:rsidRPr="00DF2A15">
        <w:rPr>
          <w:rFonts w:eastAsiaTheme="minorEastAsia"/>
          <w:sz w:val="24"/>
          <w:szCs w:val="24"/>
          <w:lang w:val="es-VE"/>
        </w:rPr>
        <w:t xml:space="preserve">los Estados "deben reconocer y garantizar todos los derechos que se deriven de un vínculo familiar entre personas del mismo sexo", incluido el matrimonio. </w:t>
      </w:r>
      <w:r>
        <w:rPr>
          <w:rFonts w:eastAsiaTheme="minorEastAsia"/>
          <w:sz w:val="24"/>
          <w:szCs w:val="24"/>
          <w:lang w:val="es-VE"/>
        </w:rPr>
        <w:t xml:space="preserve">Además, la Opinión Consultiva señala </w:t>
      </w:r>
      <w:r w:rsidRPr="00DF2A15">
        <w:rPr>
          <w:rFonts w:eastAsiaTheme="minorEastAsia"/>
          <w:sz w:val="24"/>
          <w:szCs w:val="24"/>
          <w:lang w:val="es-VE"/>
        </w:rPr>
        <w:t xml:space="preserve">que </w:t>
      </w:r>
      <w:r>
        <w:rPr>
          <w:rFonts w:eastAsiaTheme="minorEastAsia"/>
          <w:sz w:val="24"/>
          <w:szCs w:val="24"/>
          <w:lang w:val="es-VE"/>
        </w:rPr>
        <w:t>debe garantizarse "</w:t>
      </w:r>
      <w:r w:rsidRPr="00DF2A15">
        <w:rPr>
          <w:rFonts w:eastAsiaTheme="minorEastAsia"/>
          <w:sz w:val="24"/>
          <w:szCs w:val="24"/>
          <w:lang w:val="es-VE"/>
        </w:rPr>
        <w:t xml:space="preserve">el acceso a todas las formas existentes de sistemas domésticos legales, incluido el derecho al </w:t>
      </w:r>
      <w:r w:rsidRPr="000B06F6">
        <w:rPr>
          <w:rFonts w:eastAsiaTheme="minorEastAsia"/>
          <w:color w:val="000000" w:themeColor="text1"/>
          <w:sz w:val="24"/>
          <w:szCs w:val="24"/>
          <w:lang w:val="es-VE"/>
        </w:rPr>
        <w:t xml:space="preserve">matrimonio, con el fin de garantizar la protección de todos los derechos de las familias conformadas por parejas del mismo sexo sin discriminación". Por último, la Corte Interamericana de Derechos Humanos señaló </w:t>
      </w:r>
      <w:r w:rsidR="007F093E">
        <w:rPr>
          <w:rFonts w:eastAsiaTheme="minorEastAsia"/>
          <w:color w:val="000000" w:themeColor="text1"/>
          <w:sz w:val="24"/>
          <w:szCs w:val="24"/>
          <w:lang w:val="es-VE"/>
        </w:rPr>
        <w:t xml:space="preserve">que </w:t>
      </w:r>
      <w:r w:rsidRPr="000B06F6">
        <w:rPr>
          <w:rFonts w:eastAsiaTheme="minorEastAsia"/>
          <w:color w:val="000000" w:themeColor="text1"/>
          <w:sz w:val="24"/>
          <w:szCs w:val="24"/>
          <w:lang w:val="es-VE"/>
        </w:rPr>
        <w:t xml:space="preserve">las personas transgénero tienen derecho a cambiar su nombre en sus documentos de identidad de acuerdo con su identificación de género auto percibida.  Con el fin de apoyar los esfuerzos de prevención, tratamiento y atención en VIH y avanzar hacia la meta de cero discriminaciones y no dejar a nadie atrás, condición fundamental para lograr el fin del sida en el marco de la agenda de desarrollo 2030. </w:t>
      </w:r>
      <w:r w:rsidRPr="000B06F6">
        <w:rPr>
          <w:rFonts w:cstheme="minorHAnsi"/>
          <w:color w:val="000000" w:themeColor="text1"/>
          <w:sz w:val="24"/>
          <w:szCs w:val="24"/>
        </w:rPr>
        <w:t>Finalmente, caben tres recomendaciones: (i) aprobar una legislación específica que prohíba explícitamente la discriminación por razón de orientación sexual e identidad de género y sancione a los responsables de dichas discriminaciones; (</w:t>
      </w:r>
      <w:proofErr w:type="spellStart"/>
      <w:r w:rsidRPr="000B06F6">
        <w:rPr>
          <w:rFonts w:cstheme="minorHAnsi"/>
          <w:color w:val="000000" w:themeColor="text1"/>
          <w:sz w:val="24"/>
          <w:szCs w:val="24"/>
        </w:rPr>
        <w:t>ii</w:t>
      </w:r>
      <w:proofErr w:type="spellEnd"/>
      <w:r w:rsidRPr="000B06F6">
        <w:rPr>
          <w:rFonts w:cstheme="minorHAnsi"/>
          <w:color w:val="000000" w:themeColor="text1"/>
          <w:sz w:val="24"/>
          <w:szCs w:val="24"/>
        </w:rPr>
        <w:t>) resolver los recursos presentados ante la Corte Suprema de Justicia, respecto a la constitucionalidad del artículo 26 del Código de Familia, de acuerdo con los estándares internacionales de derechos humanos; (</w:t>
      </w:r>
      <w:proofErr w:type="spellStart"/>
      <w:r w:rsidRPr="000B06F6">
        <w:rPr>
          <w:rFonts w:cstheme="minorHAnsi"/>
          <w:color w:val="000000" w:themeColor="text1"/>
          <w:sz w:val="24"/>
          <w:szCs w:val="24"/>
        </w:rPr>
        <w:t>iii</w:t>
      </w:r>
      <w:proofErr w:type="spellEnd"/>
      <w:r w:rsidRPr="000B06F6">
        <w:rPr>
          <w:rFonts w:cstheme="minorHAnsi"/>
          <w:color w:val="000000" w:themeColor="text1"/>
          <w:sz w:val="24"/>
          <w:szCs w:val="24"/>
        </w:rPr>
        <w:t>) adoptar un marco legal que reconozca la identidad de género.</w:t>
      </w:r>
    </w:p>
    <w:p w14:paraId="661EE178" w14:textId="77777777" w:rsidR="000C171B" w:rsidRDefault="000C171B" w:rsidP="000C171B">
      <w:pPr>
        <w:spacing w:after="0" w:line="240" w:lineRule="auto"/>
        <w:contextualSpacing/>
        <w:jc w:val="both"/>
        <w:rPr>
          <w:rFonts w:cstheme="minorHAnsi"/>
          <w:color w:val="FF0000"/>
          <w:sz w:val="24"/>
          <w:szCs w:val="24"/>
        </w:rPr>
      </w:pPr>
    </w:p>
    <w:p w14:paraId="49BCA623" w14:textId="62E324EB" w:rsidR="000C171B" w:rsidRPr="000B06F6" w:rsidRDefault="000C171B" w:rsidP="000C171B">
      <w:pPr>
        <w:spacing w:after="0" w:line="240" w:lineRule="auto"/>
        <w:jc w:val="both"/>
        <w:rPr>
          <w:color w:val="000000" w:themeColor="text1"/>
          <w:sz w:val="24"/>
          <w:szCs w:val="24"/>
        </w:rPr>
      </w:pPr>
      <w:r w:rsidRPr="00B17E6F">
        <w:rPr>
          <w:b/>
          <w:color w:val="4472C4" w:themeColor="accent1"/>
          <w:sz w:val="24"/>
          <w:szCs w:val="24"/>
        </w:rPr>
        <w:t xml:space="preserve">(xi) No discriminación racial.  </w:t>
      </w:r>
      <w:r w:rsidRPr="00FE1F07">
        <w:rPr>
          <w:rFonts w:cstheme="minorHAnsi"/>
          <w:color w:val="000000" w:themeColor="text1"/>
          <w:sz w:val="24"/>
          <w:szCs w:val="24"/>
          <w:lang w:eastAsia="en-GB"/>
        </w:rPr>
        <w:t>En el marco del Decenio para de los Afrodescendientes, a través de la Ley 64 de 6 de diciembre de</w:t>
      </w:r>
      <w:r w:rsidRPr="00C10C9E">
        <w:rPr>
          <w:rFonts w:cstheme="minorHAnsi"/>
          <w:color w:val="000000" w:themeColor="text1"/>
          <w:sz w:val="24"/>
          <w:szCs w:val="24"/>
          <w:lang w:eastAsia="en-GB"/>
        </w:rPr>
        <w:t xml:space="preserve"> 2016 creó la Secretaría Nacional para el desarrollo de los Afro</w:t>
      </w:r>
      <w:r w:rsidR="007F093E">
        <w:rPr>
          <w:rFonts w:cstheme="minorHAnsi"/>
          <w:color w:val="000000" w:themeColor="text1"/>
          <w:sz w:val="24"/>
          <w:szCs w:val="24"/>
          <w:lang w:eastAsia="en-GB"/>
        </w:rPr>
        <w:t>-</w:t>
      </w:r>
      <w:r w:rsidRPr="00C10C9E">
        <w:rPr>
          <w:rFonts w:cstheme="minorHAnsi"/>
          <w:color w:val="000000" w:themeColor="text1"/>
          <w:sz w:val="24"/>
          <w:szCs w:val="24"/>
          <w:lang w:eastAsia="en-GB"/>
        </w:rPr>
        <w:t>panameños</w:t>
      </w:r>
      <w:r w:rsidRPr="00C10C9E">
        <w:rPr>
          <w:rFonts w:cstheme="minorHAnsi"/>
          <w:color w:val="000000" w:themeColor="text1"/>
          <w:sz w:val="24"/>
          <w:szCs w:val="24"/>
          <w:vertAlign w:val="superscript"/>
          <w:lang w:eastAsia="en-GB"/>
        </w:rPr>
        <w:footnoteReference w:id="35"/>
      </w:r>
      <w:r w:rsidRPr="00C10C9E">
        <w:rPr>
          <w:rFonts w:cstheme="minorHAnsi"/>
          <w:color w:val="000000" w:themeColor="text1"/>
          <w:sz w:val="24"/>
          <w:szCs w:val="24"/>
          <w:lang w:eastAsia="en-GB"/>
        </w:rPr>
        <w:t xml:space="preserve">, adscrita al Ministerio de Desarrollo Social, cuyo objetivo es implementar el </w:t>
      </w:r>
      <w:r w:rsidRPr="000B06F6">
        <w:rPr>
          <w:rFonts w:cstheme="minorHAnsi"/>
          <w:color w:val="000000" w:themeColor="text1"/>
          <w:sz w:val="24"/>
          <w:szCs w:val="24"/>
        </w:rPr>
        <w:t>Plan de Acción para la inclusión de los Afrodescendientes</w:t>
      </w:r>
      <w:r w:rsidRPr="000B06F6">
        <w:rPr>
          <w:rFonts w:cstheme="minorHAnsi"/>
          <w:color w:val="000000" w:themeColor="text1"/>
          <w:sz w:val="24"/>
          <w:szCs w:val="24"/>
          <w:vertAlign w:val="superscript"/>
          <w:lang w:eastAsia="en-GB"/>
        </w:rPr>
        <w:footnoteReference w:id="36"/>
      </w:r>
      <w:r w:rsidRPr="000B06F6">
        <w:rPr>
          <w:rFonts w:cstheme="minorHAnsi"/>
          <w:color w:val="000000" w:themeColor="text1"/>
          <w:sz w:val="24"/>
          <w:szCs w:val="24"/>
        </w:rPr>
        <w:t xml:space="preserve">. </w:t>
      </w:r>
      <w:r w:rsidRPr="000B06F6">
        <w:rPr>
          <w:rFonts w:cstheme="minorHAnsi"/>
          <w:color w:val="000000" w:themeColor="text1"/>
          <w:sz w:val="24"/>
          <w:szCs w:val="24"/>
          <w:lang w:eastAsia="en-GB"/>
        </w:rPr>
        <w:t>A nivel local se firmó el Pacto entre Alcaldías de la Provincia de Colón</w:t>
      </w:r>
      <w:r w:rsidRPr="000B06F6">
        <w:rPr>
          <w:rFonts w:cstheme="minorHAnsi"/>
          <w:color w:val="000000" w:themeColor="text1"/>
          <w:sz w:val="24"/>
          <w:szCs w:val="24"/>
          <w:vertAlign w:val="superscript"/>
          <w:lang w:eastAsia="en-GB"/>
        </w:rPr>
        <w:footnoteReference w:id="37"/>
      </w:r>
      <w:r w:rsidRPr="000B06F6">
        <w:rPr>
          <w:rFonts w:cstheme="minorHAnsi"/>
          <w:color w:val="000000" w:themeColor="text1"/>
          <w:sz w:val="24"/>
          <w:szCs w:val="24"/>
          <w:lang w:eastAsia="en-GB"/>
        </w:rPr>
        <w:t xml:space="preserve"> para impulsar los objetivos del Decenio. En preparación del Censo de Población y Vivienda del 2020, Panamá ha facilitado un espacio de coordinación con las organizaciones afro</w:t>
      </w:r>
      <w:r w:rsidR="007F093E">
        <w:rPr>
          <w:rFonts w:cstheme="minorHAnsi"/>
          <w:color w:val="000000" w:themeColor="text1"/>
          <w:sz w:val="24"/>
          <w:szCs w:val="24"/>
          <w:lang w:eastAsia="en-GB"/>
        </w:rPr>
        <w:t>-</w:t>
      </w:r>
      <w:r w:rsidRPr="000B06F6">
        <w:rPr>
          <w:rFonts w:cstheme="minorHAnsi"/>
          <w:color w:val="000000" w:themeColor="text1"/>
          <w:sz w:val="24"/>
          <w:szCs w:val="24"/>
          <w:lang w:eastAsia="en-GB"/>
        </w:rPr>
        <w:t>panameñas y el Instituto Nacional de Estadística para la formulación de la pregunta sobre autoidentificación racial. El perfilamiento racial en las fuerzas de seguridad sigue siendo una de las mayores preocupaciones de la población afrodescendiente. La falta de datos desagregados dificulta evidenciar este hecho a pesar de ser latente en la sociedad. Asimismo</w:t>
      </w:r>
      <w:r w:rsidR="007F093E">
        <w:rPr>
          <w:rFonts w:cstheme="minorHAnsi"/>
          <w:color w:val="000000" w:themeColor="text1"/>
          <w:sz w:val="24"/>
          <w:szCs w:val="24"/>
          <w:lang w:eastAsia="en-GB"/>
        </w:rPr>
        <w:t>,</w:t>
      </w:r>
      <w:r w:rsidRPr="000B06F6">
        <w:rPr>
          <w:rFonts w:cstheme="minorHAnsi"/>
          <w:color w:val="000000" w:themeColor="text1"/>
          <w:sz w:val="24"/>
          <w:szCs w:val="24"/>
          <w:lang w:eastAsia="en-GB"/>
        </w:rPr>
        <w:t xml:space="preserve"> el país debe: (i) a</w:t>
      </w:r>
      <w:r w:rsidRPr="000B06F6">
        <w:rPr>
          <w:color w:val="000000" w:themeColor="text1"/>
          <w:sz w:val="24"/>
          <w:szCs w:val="24"/>
        </w:rPr>
        <w:t>doptar protocolos para prevenir el perfilamiento racial entre los cuerpos de seguridad.</w:t>
      </w:r>
    </w:p>
    <w:p w14:paraId="653E7BFB" w14:textId="77777777" w:rsidR="000C171B" w:rsidRPr="00C10C9E" w:rsidRDefault="000C171B" w:rsidP="000C171B">
      <w:pPr>
        <w:spacing w:after="0" w:line="240" w:lineRule="auto"/>
        <w:jc w:val="both"/>
        <w:rPr>
          <w:color w:val="000000" w:themeColor="text1"/>
          <w:sz w:val="24"/>
          <w:szCs w:val="24"/>
        </w:rPr>
      </w:pPr>
    </w:p>
    <w:p w14:paraId="29274246" w14:textId="77777777" w:rsidR="000C171B" w:rsidRPr="00CB0FC9" w:rsidRDefault="000C171B" w:rsidP="000C171B">
      <w:pPr>
        <w:spacing w:after="0" w:line="240" w:lineRule="auto"/>
        <w:jc w:val="both"/>
        <w:rPr>
          <w:rFonts w:cstheme="minorHAnsi"/>
          <w:iCs/>
          <w:color w:val="000000" w:themeColor="text1"/>
          <w:sz w:val="24"/>
          <w:szCs w:val="24"/>
        </w:rPr>
      </w:pPr>
      <w:r w:rsidRPr="00B17E6F">
        <w:rPr>
          <w:rFonts w:cstheme="minorHAnsi"/>
          <w:b/>
          <w:bCs/>
          <w:color w:val="4472C4" w:themeColor="accent1"/>
          <w:sz w:val="24"/>
          <w:szCs w:val="24"/>
        </w:rPr>
        <w:t>(</w:t>
      </w:r>
      <w:proofErr w:type="spellStart"/>
      <w:r w:rsidRPr="00B17E6F">
        <w:rPr>
          <w:rFonts w:cstheme="minorHAnsi"/>
          <w:b/>
          <w:bCs/>
          <w:color w:val="4472C4" w:themeColor="accent1"/>
          <w:sz w:val="24"/>
          <w:szCs w:val="24"/>
        </w:rPr>
        <w:t>xii</w:t>
      </w:r>
      <w:proofErr w:type="spellEnd"/>
      <w:r w:rsidRPr="00B17E6F">
        <w:rPr>
          <w:rFonts w:cstheme="minorHAnsi"/>
          <w:b/>
          <w:bCs/>
          <w:color w:val="4472C4" w:themeColor="accent1"/>
          <w:sz w:val="24"/>
          <w:szCs w:val="24"/>
        </w:rPr>
        <w:t>) Tortura, trato cruel e inhumano.</w:t>
      </w:r>
      <w:r w:rsidRPr="00B17E6F">
        <w:rPr>
          <w:rFonts w:cstheme="minorHAnsi"/>
          <w:color w:val="4472C4" w:themeColor="accent1"/>
          <w:sz w:val="24"/>
          <w:szCs w:val="24"/>
        </w:rPr>
        <w:t xml:space="preserve"> </w:t>
      </w:r>
      <w:r w:rsidRPr="00CB0FC9">
        <w:rPr>
          <w:rFonts w:cstheme="minorHAnsi"/>
          <w:color w:val="000000" w:themeColor="text1"/>
          <w:sz w:val="24"/>
          <w:szCs w:val="24"/>
        </w:rPr>
        <w:t>En el año 2017, el país estableció el Mecanismo Nacional para la prevención de la Tortura (MNPT)</w:t>
      </w:r>
      <w:r w:rsidRPr="00CB0FC9">
        <w:rPr>
          <w:rFonts w:cstheme="minorHAnsi"/>
          <w:iCs/>
          <w:color w:val="000000" w:themeColor="text1"/>
          <w:sz w:val="24"/>
          <w:szCs w:val="24"/>
        </w:rPr>
        <w:t>, adscrito a la Defensoría del Pueblo, mediante Ley 6 de 22 de febrero de 2017</w:t>
      </w:r>
      <w:r w:rsidRPr="00CB0FC9">
        <w:rPr>
          <w:rFonts w:cstheme="minorHAnsi"/>
          <w:iCs/>
          <w:color w:val="000000" w:themeColor="text1"/>
          <w:sz w:val="24"/>
          <w:szCs w:val="24"/>
          <w:vertAlign w:val="superscript"/>
        </w:rPr>
        <w:footnoteReference w:id="38"/>
      </w:r>
      <w:r w:rsidRPr="00CB0FC9">
        <w:rPr>
          <w:rFonts w:cstheme="minorHAnsi"/>
          <w:iCs/>
          <w:color w:val="000000" w:themeColor="text1"/>
          <w:sz w:val="24"/>
          <w:szCs w:val="24"/>
        </w:rPr>
        <w:t xml:space="preserve"> en cumplimiento al Protocolo Facultativo de la Convención contra la </w:t>
      </w:r>
      <w:r w:rsidRPr="00CB0FC9">
        <w:rPr>
          <w:rFonts w:cstheme="minorHAnsi"/>
          <w:iCs/>
          <w:color w:val="000000" w:themeColor="text1"/>
          <w:sz w:val="24"/>
          <w:szCs w:val="24"/>
        </w:rPr>
        <w:lastRenderedPageBreak/>
        <w:t>Tortura y otros Tratos o Penas Crueles, Inhumanos o Degradantes. El MNPT inició sus operaciones en septiembre del 2018.  La creación y puesta en marcha del MNPT constituye un importante avance especialmente para la población refugiada y solicitante de asilo en centros de detención migratoria a fin de asegurar se cumpla con las garantías mínimas sobre la aprehensión contenidas en el artículo 69 del Decreto Ejecutivo No. 5 de 16 de enero de 2018</w:t>
      </w:r>
      <w:r w:rsidRPr="00CB0FC9">
        <w:rPr>
          <w:rFonts w:cstheme="minorHAnsi"/>
          <w:iCs/>
          <w:color w:val="000000" w:themeColor="text1"/>
          <w:sz w:val="24"/>
          <w:szCs w:val="24"/>
          <w:vertAlign w:val="superscript"/>
        </w:rPr>
        <w:footnoteReference w:id="39"/>
      </w:r>
      <w:r w:rsidRPr="00CB0FC9">
        <w:rPr>
          <w:rFonts w:cstheme="minorHAnsi"/>
          <w:iCs/>
          <w:color w:val="000000" w:themeColor="text1"/>
          <w:sz w:val="24"/>
          <w:szCs w:val="24"/>
        </w:rPr>
        <w:t xml:space="preserve">. Sin embargo, el país debe: (i) consolidar el </w:t>
      </w:r>
      <w:r w:rsidRPr="00CB0FC9">
        <w:rPr>
          <w:rFonts w:cstheme="minorHAnsi"/>
          <w:color w:val="000000" w:themeColor="text1"/>
          <w:sz w:val="24"/>
          <w:szCs w:val="24"/>
        </w:rPr>
        <w:t>Mecanismo Nacional para la prevención de la Tortura (MNPT); (</w:t>
      </w:r>
      <w:proofErr w:type="spellStart"/>
      <w:r w:rsidRPr="00CB0FC9">
        <w:rPr>
          <w:rFonts w:cstheme="minorHAnsi"/>
          <w:color w:val="000000" w:themeColor="text1"/>
          <w:sz w:val="24"/>
          <w:szCs w:val="24"/>
        </w:rPr>
        <w:t>ii</w:t>
      </w:r>
      <w:proofErr w:type="spellEnd"/>
      <w:r w:rsidRPr="00CB0FC9">
        <w:rPr>
          <w:rFonts w:cstheme="minorHAnsi"/>
          <w:color w:val="000000" w:themeColor="text1"/>
          <w:sz w:val="24"/>
          <w:szCs w:val="24"/>
        </w:rPr>
        <w:t xml:space="preserve">) </w:t>
      </w:r>
      <w:r w:rsidRPr="00CB0FC9">
        <w:rPr>
          <w:rFonts w:cstheme="minorHAnsi"/>
          <w:iCs/>
          <w:color w:val="000000" w:themeColor="text1"/>
          <w:sz w:val="24"/>
          <w:szCs w:val="24"/>
        </w:rPr>
        <w:t>implementar la Ley 6 de 22 de febrero de 2017.</w:t>
      </w:r>
    </w:p>
    <w:p w14:paraId="62263518" w14:textId="77777777" w:rsidR="000C171B" w:rsidRPr="00F77811" w:rsidRDefault="000C171B" w:rsidP="000C171B">
      <w:pPr>
        <w:spacing w:after="0" w:line="240" w:lineRule="auto"/>
        <w:contextualSpacing/>
        <w:jc w:val="both"/>
        <w:rPr>
          <w:rFonts w:cstheme="minorHAnsi"/>
          <w:color w:val="FF0000"/>
          <w:sz w:val="24"/>
          <w:szCs w:val="24"/>
        </w:rPr>
      </w:pPr>
    </w:p>
    <w:p w14:paraId="6ECFC65D" w14:textId="38C5DD82" w:rsidR="000C171B" w:rsidRPr="00271F81" w:rsidRDefault="000C171B" w:rsidP="000C171B">
      <w:pPr>
        <w:spacing w:after="0" w:line="240" w:lineRule="auto"/>
        <w:jc w:val="both"/>
        <w:rPr>
          <w:rFonts w:cstheme="minorHAnsi"/>
          <w:color w:val="4472C4" w:themeColor="accent1"/>
          <w:sz w:val="24"/>
          <w:szCs w:val="24"/>
        </w:rPr>
      </w:pPr>
      <w:r w:rsidRPr="00B17E6F">
        <w:rPr>
          <w:rFonts w:cstheme="minorHAnsi"/>
          <w:b/>
          <w:bCs/>
          <w:color w:val="4472C4" w:themeColor="accent1"/>
          <w:sz w:val="24"/>
          <w:szCs w:val="24"/>
        </w:rPr>
        <w:t>(</w:t>
      </w:r>
      <w:proofErr w:type="spellStart"/>
      <w:r w:rsidRPr="00B17E6F">
        <w:rPr>
          <w:rFonts w:cstheme="minorHAnsi"/>
          <w:b/>
          <w:bCs/>
          <w:color w:val="4472C4" w:themeColor="accent1"/>
          <w:sz w:val="24"/>
          <w:szCs w:val="24"/>
        </w:rPr>
        <w:t>xii</w:t>
      </w:r>
      <w:proofErr w:type="spellEnd"/>
      <w:r w:rsidRPr="00B17E6F">
        <w:rPr>
          <w:rFonts w:cstheme="minorHAnsi"/>
          <w:b/>
          <w:bCs/>
          <w:color w:val="4472C4" w:themeColor="accent1"/>
          <w:sz w:val="24"/>
          <w:szCs w:val="24"/>
        </w:rPr>
        <w:t>) Derecho a una vida libre de violencia.</w:t>
      </w:r>
      <w:r w:rsidRPr="00B17E6F">
        <w:rPr>
          <w:rFonts w:cstheme="minorHAnsi"/>
          <w:color w:val="4472C4" w:themeColor="accent1"/>
          <w:sz w:val="24"/>
          <w:szCs w:val="24"/>
        </w:rPr>
        <w:t xml:space="preserve">  </w:t>
      </w:r>
      <w:r>
        <w:rPr>
          <w:rFonts w:cstheme="minorHAnsi"/>
          <w:color w:val="000000" w:themeColor="text1"/>
          <w:sz w:val="24"/>
          <w:szCs w:val="24"/>
        </w:rPr>
        <w:t xml:space="preserve">Mediante el </w:t>
      </w:r>
      <w:r w:rsidRPr="00C10C9E">
        <w:rPr>
          <w:rFonts w:cstheme="minorHAnsi"/>
          <w:color w:val="000000" w:themeColor="text1"/>
          <w:sz w:val="24"/>
          <w:szCs w:val="24"/>
        </w:rPr>
        <w:t>Decreto Ejecutivo 125 de 16 de abril de 2018</w:t>
      </w:r>
      <w:r>
        <w:rPr>
          <w:rFonts w:cstheme="minorHAnsi"/>
          <w:color w:val="000000" w:themeColor="text1"/>
          <w:sz w:val="24"/>
          <w:szCs w:val="24"/>
        </w:rPr>
        <w:t xml:space="preserve">, </w:t>
      </w:r>
      <w:r w:rsidRPr="00153675">
        <w:rPr>
          <w:rFonts w:eastAsia="Calibri" w:cstheme="minorHAnsi"/>
          <w:color w:val="000000" w:themeColor="text1"/>
          <w:sz w:val="24"/>
          <w:szCs w:val="24"/>
        </w:rPr>
        <w:t xml:space="preserve">se </w:t>
      </w:r>
      <w:r>
        <w:rPr>
          <w:rFonts w:eastAsia="Calibri" w:cstheme="minorHAnsi"/>
          <w:color w:val="000000" w:themeColor="text1"/>
          <w:sz w:val="24"/>
          <w:szCs w:val="24"/>
        </w:rPr>
        <w:t xml:space="preserve">adoptó </w:t>
      </w:r>
      <w:r w:rsidRPr="00153675">
        <w:rPr>
          <w:rFonts w:eastAsia="Calibri" w:cstheme="minorHAnsi"/>
          <w:color w:val="000000" w:themeColor="text1"/>
          <w:sz w:val="24"/>
          <w:szCs w:val="24"/>
        </w:rPr>
        <w:t>el Plan Nacional contra la trata de personas para el quinquenio 2017-2020</w:t>
      </w:r>
      <w:r w:rsidRPr="00153675">
        <w:rPr>
          <w:rFonts w:eastAsia="Calibri" w:cstheme="minorHAnsi"/>
          <w:color w:val="000000" w:themeColor="text1"/>
          <w:sz w:val="24"/>
          <w:szCs w:val="24"/>
          <w:vertAlign w:val="superscript"/>
        </w:rPr>
        <w:footnoteReference w:id="40"/>
      </w:r>
      <w:r w:rsidRPr="00153675">
        <w:rPr>
          <w:rFonts w:eastAsia="Calibri" w:cstheme="minorHAnsi"/>
          <w:color w:val="000000" w:themeColor="text1"/>
          <w:sz w:val="24"/>
          <w:szCs w:val="24"/>
        </w:rPr>
        <w:t xml:space="preserve"> de la Comisión Nacional contra la Trata de Personas, con el objetivo de</w:t>
      </w:r>
      <w:r w:rsidRPr="00153675">
        <w:rPr>
          <w:color w:val="000000" w:themeColor="text1"/>
        </w:rPr>
        <w:t xml:space="preserve"> prevenir, investigar y sancionar la Trata de Personas y actividades conexas, garantizar la atención y protección a sus víctimas, posibles víctimas, familiares y personas relacionadas; promover la cooperación internacional y asegurar la eficacia y efectividad de la implementación, coordinación y monitoreo de este.</w:t>
      </w:r>
      <w:r w:rsidRPr="00153675">
        <w:rPr>
          <w:rFonts w:eastAsia="Calibri" w:cstheme="minorHAnsi"/>
          <w:color w:val="000000" w:themeColor="text1"/>
          <w:sz w:val="24"/>
          <w:szCs w:val="24"/>
        </w:rPr>
        <w:t xml:space="preserve"> Desde la operativización de la Unidad de Identificación y atención a víctimas a finales del año 2017 a noviembre de 2019, </w:t>
      </w:r>
      <w:r w:rsidRPr="00153675">
        <w:rPr>
          <w:rStyle w:val="FootnoteReference"/>
          <w:rFonts w:eastAsia="Calibri" w:cstheme="minorHAnsi"/>
          <w:color w:val="000000" w:themeColor="text1"/>
          <w:sz w:val="24"/>
          <w:szCs w:val="24"/>
        </w:rPr>
        <w:footnoteReference w:id="41"/>
      </w:r>
      <w:r w:rsidRPr="00153675">
        <w:rPr>
          <w:rFonts w:eastAsia="Calibri" w:cstheme="minorHAnsi"/>
          <w:color w:val="000000" w:themeColor="text1"/>
          <w:sz w:val="24"/>
          <w:szCs w:val="24"/>
        </w:rPr>
        <w:t xml:space="preserve"> se han identificado 57 víctimas, cuyos principales países de procedencia son Colombia (28 víctimas), Venezuela (13 víctimas)  y Panamá (7 víctimas), siendo las mujeres quienes encabezan la mayor parte de los casos identificados representando un 68.4% de las víctimas versus los hombres con un 31.57%, y la modalidad sexual y laboral son los fines de explotación con mayor incidencia en los casos reportados. Según informe de la Policía Nacional, en conjunto con la Fiscalía Primera </w:t>
      </w:r>
      <w:r w:rsidRPr="00D61472">
        <w:rPr>
          <w:rFonts w:eastAsia="Calibri" w:cstheme="minorHAnsi"/>
          <w:color w:val="000000" w:themeColor="text1"/>
          <w:sz w:val="24"/>
          <w:szCs w:val="24"/>
        </w:rPr>
        <w:t>Especializada Contra la Delincuencia Organizada, en el periodo comprendido de mayo de 2015 a diciembre de 2018 indica que se realizaron 47 operativos de Tráfico Ilícito de Migrantes, a través de la apertura de 75 expedientes, con 2 sentencias condenatorias de los 61 presuntos traficantes aprehendidos logrando brindar asistencia y/o protección a 147 personas. En Panamá existe una ley de Tráfico Ilícito de migrantes desde el año 2013 y la misma necesita ser reglamentada</w:t>
      </w:r>
      <w:r w:rsidRPr="00D61472">
        <w:rPr>
          <w:rStyle w:val="FootnoteReference"/>
          <w:rFonts w:eastAsia="Calibri" w:cstheme="minorHAnsi"/>
          <w:color w:val="000000" w:themeColor="text1"/>
          <w:sz w:val="24"/>
          <w:szCs w:val="24"/>
        </w:rPr>
        <w:footnoteReference w:id="42"/>
      </w:r>
      <w:r w:rsidRPr="00D61472">
        <w:rPr>
          <w:rFonts w:eastAsia="Calibri" w:cstheme="minorHAnsi"/>
          <w:color w:val="000000" w:themeColor="text1"/>
          <w:sz w:val="24"/>
          <w:szCs w:val="24"/>
        </w:rPr>
        <w:t xml:space="preserve">. En el contexto de la migración, en Panamá, hombres, mujeres, niños y niñas, son frecuentemente objeto de tráfico ilícito de migrantes y se exponen a ser posibles víctimas de trata de personas, siendo, explotados sexualmente y sometidos a explotación laboral, trabajos forzosos y otros fines de explotación. Muchas de estas personas tienen necesidades de protección internacional y otros se encuentran en una grave situación de vulnerabilidad ante la falta de recursos. </w:t>
      </w:r>
      <w:r w:rsidRPr="00D61472">
        <w:rPr>
          <w:rFonts w:cstheme="minorHAnsi"/>
          <w:color w:val="000000" w:themeColor="text1"/>
          <w:sz w:val="24"/>
          <w:szCs w:val="24"/>
        </w:rPr>
        <w:t>La Comisión Nacional para la prevención de los delitos de explotación sexual de niños, niñas y adolescentes desarrolló durante los últimos años, acciones de movilización social y de coordinación interinstitucional para luchar contra la explotación sexual. No obstante, además el país debe: (i) promover la participación de ONPAR en sesiones de la Comisión Nacional contra la trata de personas para evaluar la existencia de víctimas de trata con necesidades de protección internacional; (</w:t>
      </w:r>
      <w:proofErr w:type="spellStart"/>
      <w:r w:rsidRPr="00D61472">
        <w:rPr>
          <w:rFonts w:cstheme="minorHAnsi"/>
          <w:color w:val="000000" w:themeColor="text1"/>
          <w:sz w:val="24"/>
          <w:szCs w:val="24"/>
        </w:rPr>
        <w:t>ii</w:t>
      </w:r>
      <w:proofErr w:type="spellEnd"/>
      <w:r w:rsidRPr="00D61472">
        <w:rPr>
          <w:rFonts w:cstheme="minorHAnsi"/>
          <w:color w:val="000000" w:themeColor="text1"/>
          <w:sz w:val="24"/>
          <w:szCs w:val="24"/>
        </w:rPr>
        <w:t>) dotar con recursos técnicos y financieros a la Unidad de atención a víctimas para apoyar el desarrollo de planes de vida de las víctimas, que incluya, entre otras opciones, el acceso al procedimiento de la condición de refugiados como una solución duradera; (</w:t>
      </w:r>
      <w:proofErr w:type="spellStart"/>
      <w:r w:rsidRPr="00D61472">
        <w:rPr>
          <w:rFonts w:cstheme="minorHAnsi"/>
          <w:color w:val="000000" w:themeColor="text1"/>
          <w:sz w:val="24"/>
          <w:szCs w:val="24"/>
        </w:rPr>
        <w:t>iii</w:t>
      </w:r>
      <w:proofErr w:type="spellEnd"/>
      <w:r w:rsidRPr="00D61472">
        <w:rPr>
          <w:rFonts w:cstheme="minorHAnsi"/>
          <w:color w:val="000000" w:themeColor="text1"/>
          <w:sz w:val="24"/>
          <w:szCs w:val="24"/>
        </w:rPr>
        <w:t xml:space="preserve">) </w:t>
      </w:r>
      <w:r w:rsidRPr="00D61472">
        <w:rPr>
          <w:rFonts w:cstheme="minorHAnsi"/>
          <w:color w:val="000000" w:themeColor="text1"/>
          <w:sz w:val="24"/>
          <w:szCs w:val="24"/>
        </w:rPr>
        <w:lastRenderedPageBreak/>
        <w:t>consolidar la respuesta institucional y el presupuesto para implementar las acciones de prevención, atención y sanción de los delitos de trata de personas, incluido el albergue para víctimas de trata; (</w:t>
      </w:r>
      <w:proofErr w:type="spellStart"/>
      <w:r w:rsidRPr="00D61472">
        <w:rPr>
          <w:rFonts w:cstheme="minorHAnsi"/>
          <w:color w:val="000000" w:themeColor="text1"/>
          <w:sz w:val="24"/>
          <w:szCs w:val="24"/>
        </w:rPr>
        <w:t>iv</w:t>
      </w:r>
      <w:proofErr w:type="spellEnd"/>
      <w:r w:rsidRPr="00D61472">
        <w:rPr>
          <w:rFonts w:cstheme="minorHAnsi"/>
          <w:color w:val="000000" w:themeColor="text1"/>
          <w:sz w:val="24"/>
          <w:szCs w:val="24"/>
        </w:rPr>
        <w:t>) continuar con la formación de calidad para servidores públicos del ejecutivo y del poder judicial;  (v) aprobar ley integral de salud sexual y reproductiva como garantía de los derechos humanos.</w:t>
      </w:r>
    </w:p>
    <w:p w14:paraId="33F9C629" w14:textId="77777777" w:rsidR="000C171B" w:rsidRPr="00B17E6F" w:rsidRDefault="000C171B" w:rsidP="000C171B">
      <w:pPr>
        <w:spacing w:after="0" w:line="240" w:lineRule="auto"/>
        <w:jc w:val="both"/>
        <w:rPr>
          <w:rFonts w:cstheme="minorHAnsi"/>
          <w:color w:val="4472C4" w:themeColor="accent1"/>
          <w:sz w:val="24"/>
          <w:szCs w:val="24"/>
        </w:rPr>
      </w:pPr>
    </w:p>
    <w:p w14:paraId="1033EDC9" w14:textId="5150BEEC" w:rsidR="000C171B" w:rsidRPr="00712DD8" w:rsidRDefault="000C171B" w:rsidP="000C171B">
      <w:pPr>
        <w:spacing w:after="0" w:line="240" w:lineRule="auto"/>
        <w:jc w:val="both"/>
        <w:rPr>
          <w:rFonts w:eastAsiaTheme="minorEastAsia"/>
          <w:color w:val="000000" w:themeColor="text1"/>
          <w:sz w:val="24"/>
          <w:szCs w:val="24"/>
          <w:lang w:val="es-VE"/>
        </w:rPr>
      </w:pPr>
      <w:r w:rsidRPr="00B17E6F">
        <w:rPr>
          <w:rFonts w:eastAsiaTheme="minorEastAsia"/>
          <w:b/>
          <w:bCs/>
          <w:color w:val="4472C4" w:themeColor="accent1"/>
          <w:sz w:val="24"/>
          <w:szCs w:val="24"/>
          <w:lang w:val="es-VE"/>
        </w:rPr>
        <w:t>(</w:t>
      </w:r>
      <w:proofErr w:type="spellStart"/>
      <w:r w:rsidRPr="00B17E6F">
        <w:rPr>
          <w:rFonts w:eastAsiaTheme="minorEastAsia"/>
          <w:b/>
          <w:bCs/>
          <w:color w:val="4472C4" w:themeColor="accent1"/>
          <w:sz w:val="24"/>
          <w:szCs w:val="24"/>
          <w:lang w:val="es-VE"/>
        </w:rPr>
        <w:t>xiv</w:t>
      </w:r>
      <w:proofErr w:type="spellEnd"/>
      <w:r w:rsidRPr="00B17E6F">
        <w:rPr>
          <w:rFonts w:eastAsiaTheme="minorEastAsia"/>
          <w:b/>
          <w:bCs/>
          <w:color w:val="4472C4" w:themeColor="accent1"/>
          <w:sz w:val="24"/>
          <w:szCs w:val="24"/>
          <w:lang w:val="es-VE"/>
        </w:rPr>
        <w:t>) Derechos ambientales.</w:t>
      </w:r>
      <w:r w:rsidRPr="00B17E6F">
        <w:rPr>
          <w:rFonts w:eastAsiaTheme="minorEastAsia"/>
          <w:color w:val="4472C4" w:themeColor="accent1"/>
          <w:sz w:val="24"/>
          <w:szCs w:val="24"/>
          <w:lang w:val="es-VE"/>
        </w:rPr>
        <w:t xml:space="preserve"> </w:t>
      </w:r>
      <w:r w:rsidRPr="00712DD8">
        <w:rPr>
          <w:rFonts w:eastAsiaTheme="minorEastAsia"/>
          <w:color w:val="000000" w:themeColor="text1"/>
          <w:sz w:val="24"/>
          <w:szCs w:val="24"/>
          <w:lang w:val="es-VE"/>
        </w:rPr>
        <w:t xml:space="preserve">Tras la ratificación de la Convención Marco de las Naciones Unidas sobre el Cambio Climático, el Protocolo de </w:t>
      </w:r>
      <w:proofErr w:type="spellStart"/>
      <w:r w:rsidRPr="00712DD8">
        <w:rPr>
          <w:rFonts w:eastAsiaTheme="minorEastAsia"/>
          <w:color w:val="000000" w:themeColor="text1"/>
          <w:sz w:val="24"/>
          <w:szCs w:val="24"/>
          <w:lang w:val="es-VE"/>
        </w:rPr>
        <w:t>Kyoto</w:t>
      </w:r>
      <w:proofErr w:type="spellEnd"/>
      <w:r w:rsidRPr="00712DD8">
        <w:rPr>
          <w:rFonts w:eastAsiaTheme="minorEastAsia"/>
          <w:color w:val="000000" w:themeColor="text1"/>
          <w:sz w:val="24"/>
          <w:szCs w:val="24"/>
          <w:lang w:val="es-VE"/>
        </w:rPr>
        <w:t xml:space="preserve"> y el Acuerdo de París, Panamá estableció un amplio marco regulatorio y legal para enfrentar el cambio climático, incluida la formulación de la Contribución Nacionalmente Determinada (NDC) en 2016. Por lo que Panamá se ha comprometido en aumentar la capacidad de absorción de GEI en el sector de uso de la tierra, cambio de uso de la tierra y silvicultura (LULUCF) en un 10% mediante la reforestación y restauración de áreas protegidas. Condicional a la provisión de financiamiento adicional, Panamá fortalecería este compromiso con un aumento del 80% en la capacidad de absorción.  De igual manera a través de otros compromisos internacionales, como Acuerdo de Paris o Acuerdo sobre las Medidas del Estado Rector del Puerto para Prevenir, Desalentar y Eliminar la Pesca Ilegal, No Declarada y No Reglamentada (AMERP), el país determinó que la pesca </w:t>
      </w:r>
      <w:r w:rsidR="00A004F8">
        <w:rPr>
          <w:rFonts w:eastAsiaTheme="minorEastAsia"/>
          <w:color w:val="000000" w:themeColor="text1"/>
          <w:sz w:val="24"/>
          <w:szCs w:val="24"/>
          <w:lang w:val="es-VE"/>
        </w:rPr>
        <w:t>i</w:t>
      </w:r>
      <w:r w:rsidRPr="00712DD8">
        <w:rPr>
          <w:rFonts w:eastAsiaTheme="minorEastAsia"/>
          <w:color w:val="000000" w:themeColor="text1"/>
          <w:sz w:val="24"/>
          <w:szCs w:val="24"/>
          <w:lang w:val="es-VE"/>
        </w:rPr>
        <w:t xml:space="preserve">legal, no declarada y no reglamentada (INDNR) es uno de los mayores problemas de las capturas pesqueras a nivel global y representa una seria amenaza para la conservación efectiva y el manejo sostenible de poblaciones pesqueras. Este tratado internacional entró en vigor el 5 de junio de 2016. A la fecha, tiene 62 Partes. Panamá realizó el depósito de su instrumento de Adhesión al AMERP el 21 de noviembre de 2016, por lo que sus disposiciones son jurídicamente vinculantes para todos los órganos del Estado y con ello se comprometió a adoptar e implementar una serie de acciones para hacer frente a la pesca INDNR. </w:t>
      </w:r>
      <w:r w:rsidRPr="00712DD8">
        <w:rPr>
          <w:rFonts w:cstheme="minorHAnsi"/>
          <w:bCs/>
          <w:color w:val="000000" w:themeColor="text1"/>
          <w:sz w:val="24"/>
          <w:szCs w:val="24"/>
          <w:lang w:eastAsia="en-GB"/>
        </w:rPr>
        <w:t>No obstante, en relación con la participación ciudadana en las estructuras de gobernanza local ambiental, a través de comisiones consultivas ambientales, establecidas por l</w:t>
      </w:r>
      <w:r>
        <w:rPr>
          <w:rFonts w:cstheme="minorHAnsi"/>
          <w:bCs/>
          <w:color w:val="000000" w:themeColor="text1"/>
          <w:sz w:val="24"/>
          <w:szCs w:val="24"/>
          <w:lang w:eastAsia="en-GB"/>
        </w:rPr>
        <w:t>a</w:t>
      </w:r>
      <w:r w:rsidRPr="000F79D8">
        <w:t xml:space="preserve"> </w:t>
      </w:r>
      <w:r w:rsidRPr="000F79D8">
        <w:rPr>
          <w:rFonts w:cstheme="minorHAnsi"/>
          <w:bCs/>
          <w:color w:val="000000" w:themeColor="text1"/>
          <w:sz w:val="24"/>
          <w:szCs w:val="24"/>
          <w:lang w:eastAsia="en-GB"/>
        </w:rPr>
        <w:t>Ley 41 de 1998</w:t>
      </w:r>
      <w:r w:rsidRPr="00712DD8">
        <w:rPr>
          <w:rStyle w:val="FootnoteReference"/>
          <w:rFonts w:cstheme="minorHAnsi"/>
          <w:bCs/>
          <w:color w:val="000000" w:themeColor="text1"/>
          <w:sz w:val="24"/>
          <w:szCs w:val="24"/>
          <w:lang w:eastAsia="en-GB"/>
        </w:rPr>
        <w:footnoteReference w:id="43"/>
      </w:r>
      <w:r w:rsidRPr="00712DD8">
        <w:rPr>
          <w:rFonts w:cstheme="minorHAnsi"/>
          <w:bCs/>
          <w:color w:val="000000" w:themeColor="text1"/>
          <w:sz w:val="24"/>
          <w:szCs w:val="24"/>
          <w:lang w:eastAsia="en-GB"/>
        </w:rPr>
        <w:t>, se debe realizar un mayor esfuerzo para garantizar este derecho.</w:t>
      </w:r>
    </w:p>
    <w:p w14:paraId="3335F829" w14:textId="77777777" w:rsidR="000C171B" w:rsidRDefault="000C171B" w:rsidP="000C171B">
      <w:pPr>
        <w:spacing w:after="0" w:line="240" w:lineRule="auto"/>
        <w:jc w:val="both"/>
        <w:rPr>
          <w:rFonts w:cstheme="minorHAnsi"/>
          <w:sz w:val="24"/>
          <w:szCs w:val="24"/>
        </w:rPr>
      </w:pPr>
    </w:p>
    <w:p w14:paraId="387E02F4" w14:textId="77777777" w:rsidR="000C171B" w:rsidRDefault="000C171B" w:rsidP="000C171B">
      <w:pPr>
        <w:spacing w:after="0" w:line="240" w:lineRule="auto"/>
        <w:rPr>
          <w:rFonts w:cstheme="minorHAnsi"/>
          <w:b/>
          <w:bCs/>
          <w:sz w:val="24"/>
          <w:szCs w:val="24"/>
        </w:rPr>
      </w:pPr>
    </w:p>
    <w:p w14:paraId="18A7D7BF" w14:textId="77777777" w:rsidR="000C171B" w:rsidRPr="00BA7353" w:rsidRDefault="000C171B" w:rsidP="000C171B">
      <w:pPr>
        <w:spacing w:after="0" w:line="240" w:lineRule="auto"/>
        <w:jc w:val="both"/>
        <w:rPr>
          <w:rFonts w:cstheme="minorHAnsi"/>
          <w:b/>
          <w:bCs/>
          <w:color w:val="4472C4" w:themeColor="accent1"/>
          <w:sz w:val="24"/>
          <w:szCs w:val="24"/>
        </w:rPr>
      </w:pPr>
      <w:r w:rsidRPr="00BA7353">
        <w:rPr>
          <w:rFonts w:cstheme="minorHAnsi"/>
          <w:b/>
          <w:bCs/>
          <w:color w:val="4472C4" w:themeColor="accent1"/>
          <w:sz w:val="24"/>
          <w:szCs w:val="24"/>
        </w:rPr>
        <w:t>6. PERSPECTIVAS TRANSFRONTERIZAS, REGIONALES Y SUBREGIONALES.</w:t>
      </w:r>
    </w:p>
    <w:p w14:paraId="7A0C68C4" w14:textId="77777777" w:rsidR="000C171B" w:rsidRPr="00BA7353" w:rsidRDefault="000C171B" w:rsidP="000C171B">
      <w:pPr>
        <w:spacing w:after="0" w:line="240" w:lineRule="auto"/>
        <w:jc w:val="both"/>
        <w:rPr>
          <w:rFonts w:cstheme="minorHAnsi"/>
          <w:color w:val="4472C4" w:themeColor="accent1"/>
          <w:sz w:val="24"/>
          <w:szCs w:val="24"/>
        </w:rPr>
      </w:pPr>
    </w:p>
    <w:p w14:paraId="491C11C0" w14:textId="77777777" w:rsidR="000C171B" w:rsidRPr="00BA7353" w:rsidRDefault="000C171B" w:rsidP="000C171B">
      <w:pPr>
        <w:spacing w:after="0" w:line="240" w:lineRule="auto"/>
        <w:jc w:val="both"/>
        <w:rPr>
          <w:rFonts w:cstheme="minorHAnsi"/>
          <w:b/>
          <w:bCs/>
          <w:color w:val="4472C4" w:themeColor="accent1"/>
          <w:sz w:val="24"/>
          <w:szCs w:val="24"/>
        </w:rPr>
      </w:pPr>
      <w:r w:rsidRPr="00BA7353">
        <w:rPr>
          <w:rFonts w:cstheme="minorHAnsi"/>
          <w:b/>
          <w:bCs/>
          <w:color w:val="4472C4" w:themeColor="accent1"/>
          <w:sz w:val="24"/>
          <w:szCs w:val="24"/>
        </w:rPr>
        <w:t>6.1. Análisis de los factores y tendencias regionales, subregionales y transfronterizos relevantes, y su impacto en el progreso del país.</w:t>
      </w:r>
    </w:p>
    <w:p w14:paraId="54E1D7FA" w14:textId="77777777" w:rsidR="000C171B" w:rsidRDefault="000C171B" w:rsidP="000C171B">
      <w:pPr>
        <w:spacing w:after="0" w:line="240" w:lineRule="auto"/>
        <w:jc w:val="both"/>
        <w:rPr>
          <w:rFonts w:cstheme="minorHAnsi"/>
          <w:sz w:val="24"/>
          <w:szCs w:val="24"/>
        </w:rPr>
      </w:pPr>
    </w:p>
    <w:p w14:paraId="77277ADE" w14:textId="689E832C" w:rsidR="000C171B" w:rsidRPr="00F432DF" w:rsidRDefault="000C171B" w:rsidP="000C171B">
      <w:pPr>
        <w:spacing w:after="0" w:line="240" w:lineRule="auto"/>
        <w:jc w:val="both"/>
        <w:rPr>
          <w:rFonts w:cstheme="minorHAnsi"/>
          <w:color w:val="000000" w:themeColor="text1"/>
          <w:sz w:val="24"/>
          <w:szCs w:val="24"/>
        </w:rPr>
      </w:pPr>
      <w:r w:rsidRPr="00F432DF">
        <w:rPr>
          <w:rFonts w:cstheme="minorHAnsi"/>
          <w:color w:val="000000" w:themeColor="text1"/>
          <w:sz w:val="24"/>
          <w:szCs w:val="24"/>
        </w:rPr>
        <w:t xml:space="preserve">En las últimas décadas, Panamá </w:t>
      </w:r>
      <w:r>
        <w:rPr>
          <w:rFonts w:cstheme="minorHAnsi"/>
          <w:color w:val="000000" w:themeColor="text1"/>
          <w:sz w:val="24"/>
          <w:szCs w:val="24"/>
        </w:rPr>
        <w:t xml:space="preserve">ha sido </w:t>
      </w:r>
      <w:r w:rsidRPr="00F432DF">
        <w:rPr>
          <w:rFonts w:cstheme="minorHAnsi"/>
          <w:color w:val="000000" w:themeColor="text1"/>
          <w:sz w:val="24"/>
          <w:szCs w:val="24"/>
        </w:rPr>
        <w:t>impactado por diversos fenómenos regionales y transfronterizos. E</w:t>
      </w:r>
      <w:r>
        <w:rPr>
          <w:rFonts w:cstheme="minorHAnsi"/>
          <w:color w:val="000000" w:themeColor="text1"/>
          <w:sz w:val="24"/>
          <w:szCs w:val="24"/>
        </w:rPr>
        <w:t xml:space="preserve">l incremento de </w:t>
      </w:r>
      <w:r w:rsidRPr="00F432DF">
        <w:rPr>
          <w:rFonts w:cstheme="minorHAnsi"/>
          <w:color w:val="000000" w:themeColor="text1"/>
          <w:sz w:val="24"/>
          <w:szCs w:val="24"/>
        </w:rPr>
        <w:t>la movilidad humana, el crimen organizado</w:t>
      </w:r>
      <w:r>
        <w:rPr>
          <w:rFonts w:cstheme="minorHAnsi"/>
          <w:color w:val="000000" w:themeColor="text1"/>
          <w:sz w:val="24"/>
          <w:szCs w:val="24"/>
        </w:rPr>
        <w:t>,</w:t>
      </w:r>
      <w:r w:rsidRPr="00F432DF">
        <w:rPr>
          <w:rFonts w:cstheme="minorHAnsi"/>
          <w:color w:val="000000" w:themeColor="text1"/>
          <w:sz w:val="24"/>
          <w:szCs w:val="24"/>
        </w:rPr>
        <w:t xml:space="preserve"> trata de personas y explotación sexual y laboral</w:t>
      </w:r>
      <w:r>
        <w:rPr>
          <w:rFonts w:cstheme="minorHAnsi"/>
          <w:color w:val="000000" w:themeColor="text1"/>
          <w:sz w:val="24"/>
          <w:szCs w:val="24"/>
        </w:rPr>
        <w:t>, tiene un efecto directo en el cumplimiento de la Agenda 2030; y</w:t>
      </w:r>
      <w:r w:rsidR="00A004F8">
        <w:rPr>
          <w:rFonts w:cstheme="minorHAnsi"/>
          <w:color w:val="000000" w:themeColor="text1"/>
          <w:sz w:val="24"/>
          <w:szCs w:val="24"/>
        </w:rPr>
        <w:t>,</w:t>
      </w:r>
      <w:r>
        <w:rPr>
          <w:rFonts w:cstheme="minorHAnsi"/>
          <w:color w:val="000000" w:themeColor="text1"/>
          <w:sz w:val="24"/>
          <w:szCs w:val="24"/>
        </w:rPr>
        <w:t xml:space="preserve"> además, resultan novedosas para las intervenciones que se desarrollan a partir de la política pública, más involucrada en cuestiones internas. </w:t>
      </w:r>
    </w:p>
    <w:p w14:paraId="40A189D0" w14:textId="5BA542D0" w:rsidR="000C171B" w:rsidRDefault="000C171B" w:rsidP="000C171B">
      <w:pPr>
        <w:spacing w:after="0" w:line="240" w:lineRule="auto"/>
        <w:jc w:val="both"/>
        <w:rPr>
          <w:rFonts w:cstheme="minorHAnsi"/>
          <w:sz w:val="24"/>
          <w:szCs w:val="24"/>
        </w:rPr>
      </w:pPr>
    </w:p>
    <w:p w14:paraId="6E0102FF" w14:textId="77777777" w:rsidR="00B0730C" w:rsidRPr="00DA00FE" w:rsidRDefault="00B0730C" w:rsidP="000C171B">
      <w:pPr>
        <w:spacing w:after="0" w:line="240" w:lineRule="auto"/>
        <w:jc w:val="both"/>
        <w:rPr>
          <w:rFonts w:cstheme="minorHAnsi"/>
          <w:sz w:val="24"/>
          <w:szCs w:val="24"/>
        </w:rPr>
      </w:pPr>
    </w:p>
    <w:p w14:paraId="1030D173" w14:textId="325D7B74" w:rsidR="000C171B" w:rsidRPr="00BA7353" w:rsidRDefault="000C171B" w:rsidP="000C171B">
      <w:pPr>
        <w:spacing w:after="0" w:line="240" w:lineRule="auto"/>
        <w:jc w:val="both"/>
        <w:rPr>
          <w:rFonts w:cstheme="minorHAnsi"/>
          <w:b/>
          <w:bCs/>
          <w:color w:val="4472C4" w:themeColor="accent1"/>
          <w:sz w:val="24"/>
          <w:szCs w:val="24"/>
        </w:rPr>
      </w:pPr>
      <w:r w:rsidRPr="00BA7353">
        <w:rPr>
          <w:rFonts w:cstheme="minorHAnsi"/>
          <w:b/>
          <w:bCs/>
          <w:color w:val="4472C4" w:themeColor="accent1"/>
          <w:sz w:val="24"/>
          <w:szCs w:val="24"/>
        </w:rPr>
        <w:lastRenderedPageBreak/>
        <w:t xml:space="preserve">6.1.1. </w:t>
      </w:r>
      <w:r w:rsidR="00B0730C">
        <w:rPr>
          <w:rFonts w:cstheme="minorHAnsi"/>
          <w:b/>
          <w:bCs/>
          <w:color w:val="4472C4" w:themeColor="accent1"/>
          <w:sz w:val="24"/>
          <w:szCs w:val="24"/>
        </w:rPr>
        <w:t xml:space="preserve">Migraciones transfronterizas y </w:t>
      </w:r>
      <w:r w:rsidRPr="00BA7353">
        <w:rPr>
          <w:rFonts w:cstheme="minorHAnsi"/>
          <w:b/>
          <w:bCs/>
          <w:color w:val="4472C4" w:themeColor="accent1"/>
          <w:sz w:val="24"/>
          <w:szCs w:val="24"/>
        </w:rPr>
        <w:t>Movilidad Humana.</w:t>
      </w:r>
    </w:p>
    <w:p w14:paraId="3BDFD6EF" w14:textId="77777777" w:rsidR="000C171B" w:rsidRPr="00DA00FE" w:rsidRDefault="000C171B" w:rsidP="000C171B">
      <w:pPr>
        <w:spacing w:after="0" w:line="240" w:lineRule="auto"/>
        <w:jc w:val="both"/>
        <w:rPr>
          <w:rFonts w:cstheme="minorHAnsi"/>
          <w:sz w:val="24"/>
          <w:szCs w:val="24"/>
        </w:rPr>
      </w:pPr>
    </w:p>
    <w:p w14:paraId="15456478" w14:textId="61B5E475" w:rsidR="000C171B" w:rsidRPr="00DA00FE" w:rsidRDefault="000C171B" w:rsidP="000C171B">
      <w:pPr>
        <w:spacing w:after="0" w:line="240" w:lineRule="auto"/>
        <w:jc w:val="both"/>
        <w:rPr>
          <w:rFonts w:cstheme="minorHAnsi"/>
          <w:color w:val="000000" w:themeColor="text1"/>
          <w:sz w:val="24"/>
          <w:szCs w:val="24"/>
        </w:rPr>
      </w:pPr>
      <w:r w:rsidRPr="00DA00FE">
        <w:rPr>
          <w:rFonts w:cstheme="minorHAnsi"/>
          <w:color w:val="000000" w:themeColor="text1"/>
          <w:sz w:val="24"/>
          <w:szCs w:val="24"/>
        </w:rPr>
        <w:t xml:space="preserve">Desde el año 1996 se ha registrado un intermitente ingreso de ciudadanos de países de Sur América por la frontera sur, vía la provincia de Darién. Sin embargo, a partir del año 2014 por esa vía no sólo ingresa población de América del Sur, también ingresa población del Caribe y del </w:t>
      </w:r>
      <w:r>
        <w:rPr>
          <w:rFonts w:cstheme="minorHAnsi"/>
          <w:color w:val="000000" w:themeColor="text1"/>
          <w:sz w:val="24"/>
          <w:szCs w:val="24"/>
        </w:rPr>
        <w:t>c</w:t>
      </w:r>
      <w:r w:rsidRPr="00DA00FE">
        <w:rPr>
          <w:rFonts w:cstheme="minorHAnsi"/>
          <w:color w:val="000000" w:themeColor="text1"/>
          <w:sz w:val="24"/>
          <w:szCs w:val="24"/>
        </w:rPr>
        <w:t xml:space="preserve">ontinente </w:t>
      </w:r>
      <w:r>
        <w:rPr>
          <w:rFonts w:cstheme="minorHAnsi"/>
          <w:color w:val="000000" w:themeColor="text1"/>
          <w:sz w:val="24"/>
          <w:szCs w:val="24"/>
        </w:rPr>
        <w:t>a</w:t>
      </w:r>
      <w:r w:rsidRPr="00DA00FE">
        <w:rPr>
          <w:rFonts w:cstheme="minorHAnsi"/>
          <w:color w:val="000000" w:themeColor="text1"/>
          <w:sz w:val="24"/>
          <w:szCs w:val="24"/>
        </w:rPr>
        <w:t xml:space="preserve">fricano y </w:t>
      </w:r>
      <w:r>
        <w:rPr>
          <w:rFonts w:cstheme="minorHAnsi"/>
          <w:color w:val="000000" w:themeColor="text1"/>
          <w:sz w:val="24"/>
          <w:szCs w:val="24"/>
        </w:rPr>
        <w:t>a</w:t>
      </w:r>
      <w:r w:rsidRPr="00DA00FE">
        <w:rPr>
          <w:rFonts w:cstheme="minorHAnsi"/>
          <w:color w:val="000000" w:themeColor="text1"/>
          <w:sz w:val="24"/>
          <w:szCs w:val="24"/>
        </w:rPr>
        <w:t>siático. Pero en los últimos años, Panamá se ha transformado en un país de tránsito (y de destino de movimientos mixtos) y flujos migratorios sur-sur y sur-norte que en muchos casos es resultado de dinámicas políticas, económicas y ambientales de la regional. Panamá también es un país destino de personas migrantes</w:t>
      </w:r>
      <w:r>
        <w:rPr>
          <w:rFonts w:cstheme="minorHAnsi"/>
          <w:color w:val="000000" w:themeColor="text1"/>
          <w:sz w:val="24"/>
          <w:szCs w:val="24"/>
        </w:rPr>
        <w:t>; c</w:t>
      </w:r>
      <w:r w:rsidRPr="00DA00FE">
        <w:rPr>
          <w:rFonts w:cstheme="minorHAnsi"/>
          <w:color w:val="000000" w:themeColor="text1"/>
          <w:sz w:val="24"/>
          <w:szCs w:val="24"/>
        </w:rPr>
        <w:t xml:space="preserve">omo puente migratorio el país se encuentra a medio camino entre el tránsito migratorio y </w:t>
      </w:r>
      <w:r>
        <w:rPr>
          <w:rFonts w:cstheme="minorHAnsi"/>
          <w:color w:val="000000" w:themeColor="text1"/>
          <w:sz w:val="24"/>
          <w:szCs w:val="24"/>
        </w:rPr>
        <w:t xml:space="preserve">país receptor de </w:t>
      </w:r>
      <w:r w:rsidRPr="00DA00FE">
        <w:rPr>
          <w:rFonts w:cstheme="minorHAnsi"/>
          <w:color w:val="000000" w:themeColor="text1"/>
          <w:sz w:val="24"/>
          <w:szCs w:val="24"/>
        </w:rPr>
        <w:t>movimientos pendular</w:t>
      </w:r>
      <w:r>
        <w:rPr>
          <w:rFonts w:cstheme="minorHAnsi"/>
          <w:color w:val="000000" w:themeColor="text1"/>
          <w:sz w:val="24"/>
          <w:szCs w:val="24"/>
        </w:rPr>
        <w:t>es</w:t>
      </w:r>
      <w:r w:rsidRPr="00DA00FE">
        <w:rPr>
          <w:rFonts w:cstheme="minorHAnsi"/>
          <w:color w:val="000000" w:themeColor="text1"/>
          <w:sz w:val="24"/>
          <w:szCs w:val="24"/>
        </w:rPr>
        <w:t xml:space="preserve"> con Costa Rica y con los pueblos indígenas binacionales</w:t>
      </w:r>
      <w:r>
        <w:rPr>
          <w:rFonts w:cstheme="minorHAnsi"/>
          <w:color w:val="000000" w:themeColor="text1"/>
          <w:sz w:val="24"/>
          <w:szCs w:val="24"/>
        </w:rPr>
        <w:t xml:space="preserve">. Recientemente se ha registrado un índice importante de </w:t>
      </w:r>
      <w:r w:rsidRPr="00DA00FE">
        <w:rPr>
          <w:rFonts w:cstheme="minorHAnsi"/>
          <w:color w:val="000000" w:themeColor="text1"/>
          <w:sz w:val="24"/>
          <w:szCs w:val="24"/>
        </w:rPr>
        <w:t xml:space="preserve">migración económica como país de renta alta; de </w:t>
      </w:r>
      <w:r>
        <w:rPr>
          <w:rFonts w:cstheme="minorHAnsi"/>
          <w:color w:val="000000" w:themeColor="text1"/>
          <w:sz w:val="24"/>
          <w:szCs w:val="24"/>
        </w:rPr>
        <w:t xml:space="preserve">movimientos en </w:t>
      </w:r>
      <w:r w:rsidRPr="00DA00FE">
        <w:rPr>
          <w:rFonts w:cstheme="minorHAnsi"/>
          <w:color w:val="000000" w:themeColor="text1"/>
          <w:sz w:val="24"/>
          <w:szCs w:val="24"/>
        </w:rPr>
        <w:t xml:space="preserve">tránsito de migrantes extra- regionales y otros en su ingreso por Darién y solicitantes de asilo de el Norte de Centroamérica, Nicaragua, Colombia y Venezuela. Se estima que el 10% de la población residente en Panamá es extranjera. Los </w:t>
      </w:r>
      <w:r>
        <w:rPr>
          <w:rFonts w:cstheme="minorHAnsi"/>
          <w:color w:val="000000" w:themeColor="text1"/>
          <w:sz w:val="24"/>
          <w:szCs w:val="24"/>
        </w:rPr>
        <w:t xml:space="preserve">principales países </w:t>
      </w:r>
      <w:r w:rsidRPr="00DA00FE">
        <w:rPr>
          <w:rFonts w:cstheme="minorHAnsi"/>
          <w:color w:val="000000" w:themeColor="text1"/>
          <w:sz w:val="24"/>
          <w:szCs w:val="24"/>
        </w:rPr>
        <w:t>de origen son: Colombia, Venezuela, Nicaragua, China y República Dominicana (UNICEF</w:t>
      </w:r>
      <w:r>
        <w:rPr>
          <w:rFonts w:cstheme="minorHAnsi"/>
          <w:color w:val="000000" w:themeColor="text1"/>
          <w:sz w:val="24"/>
          <w:szCs w:val="24"/>
        </w:rPr>
        <w:t>,</w:t>
      </w:r>
      <w:r w:rsidRPr="00DA00FE">
        <w:rPr>
          <w:rFonts w:cstheme="minorHAnsi"/>
          <w:color w:val="000000" w:themeColor="text1"/>
          <w:sz w:val="24"/>
          <w:szCs w:val="24"/>
        </w:rPr>
        <w:t xml:space="preserve"> 2019). En este contexto, de particular relevancia regional y nacional es el incremento de </w:t>
      </w:r>
      <w:r>
        <w:rPr>
          <w:rFonts w:cstheme="minorHAnsi"/>
          <w:color w:val="000000" w:themeColor="text1"/>
          <w:sz w:val="24"/>
          <w:szCs w:val="24"/>
        </w:rPr>
        <w:t xml:space="preserve">personas provenientes de Venezuela en </w:t>
      </w:r>
      <w:r w:rsidRPr="00DA00FE">
        <w:rPr>
          <w:rFonts w:cstheme="minorHAnsi"/>
          <w:color w:val="000000" w:themeColor="text1"/>
          <w:sz w:val="24"/>
          <w:szCs w:val="24"/>
        </w:rPr>
        <w:t>los últimos años, l</w:t>
      </w:r>
      <w:r>
        <w:rPr>
          <w:rFonts w:cstheme="minorHAnsi"/>
          <w:color w:val="000000" w:themeColor="text1"/>
          <w:sz w:val="24"/>
          <w:szCs w:val="24"/>
        </w:rPr>
        <w:t>o</w:t>
      </w:r>
      <w:r w:rsidRPr="00DA00FE">
        <w:rPr>
          <w:rFonts w:cstheme="minorHAnsi"/>
          <w:color w:val="000000" w:themeColor="text1"/>
          <w:sz w:val="24"/>
          <w:szCs w:val="24"/>
        </w:rPr>
        <w:t xml:space="preserve"> que representa una serie de desafíos en materia de asistencia, protección e integración en los países receptores, incluido Panamá (OIM</w:t>
      </w:r>
      <w:r>
        <w:rPr>
          <w:rFonts w:cstheme="minorHAnsi"/>
          <w:color w:val="000000" w:themeColor="text1"/>
          <w:sz w:val="24"/>
          <w:szCs w:val="24"/>
        </w:rPr>
        <w:t xml:space="preserve">, </w:t>
      </w:r>
      <w:r w:rsidRPr="00DA00FE">
        <w:rPr>
          <w:rFonts w:cstheme="minorHAnsi"/>
          <w:color w:val="000000" w:themeColor="text1"/>
          <w:sz w:val="24"/>
          <w:szCs w:val="24"/>
        </w:rPr>
        <w:t>ACNUR</w:t>
      </w:r>
      <w:r>
        <w:rPr>
          <w:rFonts w:cstheme="minorHAnsi"/>
          <w:color w:val="000000" w:themeColor="text1"/>
          <w:sz w:val="24"/>
          <w:szCs w:val="24"/>
        </w:rPr>
        <w:t xml:space="preserve">, </w:t>
      </w:r>
      <w:r w:rsidRPr="00DA00FE">
        <w:rPr>
          <w:rFonts w:cstheme="minorHAnsi"/>
          <w:color w:val="000000" w:themeColor="text1"/>
          <w:sz w:val="24"/>
          <w:szCs w:val="24"/>
        </w:rPr>
        <w:t>UNICEF</w:t>
      </w:r>
      <w:r>
        <w:rPr>
          <w:rFonts w:cstheme="minorHAnsi"/>
          <w:color w:val="000000" w:themeColor="text1"/>
          <w:sz w:val="24"/>
          <w:szCs w:val="24"/>
        </w:rPr>
        <w:t xml:space="preserve">, </w:t>
      </w:r>
      <w:r w:rsidRPr="00DA00FE">
        <w:rPr>
          <w:rFonts w:cstheme="minorHAnsi"/>
          <w:color w:val="000000" w:themeColor="text1"/>
          <w:sz w:val="24"/>
          <w:szCs w:val="24"/>
        </w:rPr>
        <w:t>OEA, 2019</w:t>
      </w:r>
      <w:r>
        <w:rPr>
          <w:rFonts w:cstheme="minorHAnsi"/>
          <w:color w:val="000000" w:themeColor="text1"/>
          <w:sz w:val="24"/>
          <w:szCs w:val="24"/>
        </w:rPr>
        <w:t>)</w:t>
      </w:r>
      <w:r w:rsidRPr="00DA00FE">
        <w:rPr>
          <w:rFonts w:cstheme="minorHAnsi"/>
          <w:color w:val="000000" w:themeColor="text1"/>
          <w:sz w:val="24"/>
          <w:szCs w:val="24"/>
        </w:rPr>
        <w:t xml:space="preserve">. </w:t>
      </w:r>
    </w:p>
    <w:p w14:paraId="222C1AAD" w14:textId="77777777" w:rsidR="000C171B" w:rsidRPr="00DA00FE" w:rsidRDefault="000C171B" w:rsidP="000C171B">
      <w:pPr>
        <w:spacing w:after="0" w:line="240" w:lineRule="auto"/>
        <w:jc w:val="both"/>
        <w:rPr>
          <w:rFonts w:cstheme="minorHAnsi"/>
          <w:color w:val="000000" w:themeColor="text1"/>
          <w:sz w:val="24"/>
          <w:szCs w:val="24"/>
        </w:rPr>
      </w:pPr>
    </w:p>
    <w:p w14:paraId="1108127A" w14:textId="7542FA51" w:rsidR="000C171B" w:rsidRPr="00DA00FE" w:rsidRDefault="000C171B" w:rsidP="000C171B">
      <w:pPr>
        <w:spacing w:after="0" w:line="240" w:lineRule="auto"/>
        <w:jc w:val="both"/>
        <w:rPr>
          <w:rFonts w:eastAsiaTheme="minorEastAsia" w:cstheme="minorHAnsi"/>
          <w:color w:val="000000" w:themeColor="text1"/>
          <w:sz w:val="24"/>
          <w:szCs w:val="24"/>
          <w:lang w:val="es-VE"/>
        </w:rPr>
      </w:pPr>
      <w:r w:rsidRPr="00DA00FE">
        <w:rPr>
          <w:rFonts w:eastAsiaTheme="minorEastAsia" w:cstheme="minorHAnsi"/>
          <w:color w:val="000000" w:themeColor="text1"/>
          <w:sz w:val="24"/>
          <w:szCs w:val="24"/>
          <w:lang w:val="es-VE"/>
        </w:rPr>
        <w:t>En esa línea, cabe destacar que Panamá suscribió la hoja de ruta de Quito durante la Primera Reunión Técnica de Coordinación sobre la Respuesta Regional al VIH/</w:t>
      </w:r>
      <w:r w:rsidR="00D27873" w:rsidRPr="00DA00FE">
        <w:rPr>
          <w:rFonts w:eastAsiaTheme="minorEastAsia" w:cstheme="minorHAnsi"/>
          <w:color w:val="000000" w:themeColor="text1"/>
          <w:sz w:val="24"/>
          <w:szCs w:val="24"/>
          <w:lang w:val="es-VE"/>
        </w:rPr>
        <w:t>SIDA</w:t>
      </w:r>
      <w:r w:rsidRPr="00DA00FE">
        <w:rPr>
          <w:rFonts w:eastAsiaTheme="minorEastAsia" w:cstheme="minorHAnsi"/>
          <w:color w:val="000000" w:themeColor="text1"/>
          <w:sz w:val="24"/>
          <w:szCs w:val="24"/>
          <w:lang w:val="es-VE"/>
        </w:rPr>
        <w:t xml:space="preserve"> en el contexto de movilidad humana realizada en noviembre de 2019. En este acuerdo el país se comprometió a ampliar la cobertura de servicios de salud para migrantes y refugiados, especialmente aquellos que viven con VIH, independiente de su estatus migratorio y garantizar tratamiento antirretroviral, acelerando la transición al </w:t>
      </w:r>
      <w:proofErr w:type="spellStart"/>
      <w:r w:rsidRPr="00DA00FE">
        <w:rPr>
          <w:rFonts w:eastAsiaTheme="minorEastAsia" w:cstheme="minorHAnsi"/>
          <w:color w:val="000000" w:themeColor="text1"/>
          <w:sz w:val="24"/>
          <w:szCs w:val="24"/>
          <w:lang w:val="es-VE"/>
        </w:rPr>
        <w:t>Dolutegravir</w:t>
      </w:r>
      <w:proofErr w:type="spellEnd"/>
      <w:r w:rsidRPr="00DA00FE">
        <w:rPr>
          <w:rFonts w:eastAsiaTheme="minorEastAsia" w:cstheme="minorHAnsi"/>
          <w:color w:val="000000" w:themeColor="text1"/>
          <w:sz w:val="24"/>
          <w:szCs w:val="24"/>
          <w:lang w:val="es-VE"/>
        </w:rPr>
        <w:t xml:space="preserve"> (DTG).</w:t>
      </w:r>
    </w:p>
    <w:p w14:paraId="7DB98B90" w14:textId="77777777" w:rsidR="000C171B" w:rsidRPr="00DA00FE" w:rsidRDefault="000C171B" w:rsidP="000C171B">
      <w:pPr>
        <w:spacing w:after="0" w:line="240" w:lineRule="auto"/>
        <w:jc w:val="both"/>
        <w:rPr>
          <w:rFonts w:eastAsiaTheme="minorEastAsia" w:cstheme="minorHAnsi"/>
          <w:color w:val="000000" w:themeColor="text1"/>
          <w:sz w:val="24"/>
          <w:szCs w:val="24"/>
          <w:lang w:val="es-VE"/>
        </w:rPr>
      </w:pPr>
    </w:p>
    <w:p w14:paraId="522C0AD3" w14:textId="77777777" w:rsidR="000C171B" w:rsidRPr="00DA00FE" w:rsidRDefault="000C171B" w:rsidP="000C171B">
      <w:pPr>
        <w:spacing w:after="0" w:line="240" w:lineRule="auto"/>
        <w:jc w:val="both"/>
        <w:rPr>
          <w:rFonts w:eastAsiaTheme="minorEastAsia" w:cstheme="minorHAnsi"/>
          <w:color w:val="000000" w:themeColor="text1"/>
          <w:sz w:val="24"/>
          <w:szCs w:val="24"/>
          <w:lang w:val="es-VE"/>
        </w:rPr>
      </w:pPr>
      <w:r w:rsidRPr="00DA00FE">
        <w:rPr>
          <w:rFonts w:eastAsiaTheme="minorEastAsia" w:cstheme="minorHAnsi"/>
          <w:color w:val="000000" w:themeColor="text1"/>
          <w:sz w:val="24"/>
          <w:szCs w:val="24"/>
          <w:lang w:val="es-VE"/>
        </w:rPr>
        <w:t xml:space="preserve">Así mismo, en Panamá existe el Decreto 149, por el cual “se desarrollan disposiciones en represión de la prostitución y se dictan medidas sobre higiene social y moralidad pública”, y las normas sanitarias que lo complementan (Ley 40, Código Sanitario, Ley 86 junto a decretos, resoluciones y normas del MINSA). Se considera que puede vulnerar la Convención Americana de Derechos Humanos, suscrita por la República de Panamá. Así mismo, este decreto fomenta la discriminación de trabajadoras sexuales en servicios de salud, ya que se parte de la base de que estas son infractoras de ley. Lo que, por su parte, las mujeres </w:t>
      </w:r>
      <w:r>
        <w:rPr>
          <w:rFonts w:eastAsiaTheme="minorEastAsia" w:cstheme="minorHAnsi"/>
          <w:color w:val="000000" w:themeColor="text1"/>
          <w:sz w:val="24"/>
          <w:szCs w:val="24"/>
          <w:lang w:val="es-VE"/>
        </w:rPr>
        <w:t>extranjeras</w:t>
      </w:r>
      <w:r w:rsidRPr="00DA00FE">
        <w:rPr>
          <w:rFonts w:eastAsiaTheme="minorEastAsia" w:cstheme="minorHAnsi"/>
          <w:color w:val="000000" w:themeColor="text1"/>
          <w:sz w:val="24"/>
          <w:szCs w:val="24"/>
          <w:lang w:val="es-VE"/>
        </w:rPr>
        <w:t xml:space="preserve"> que realizan el trabajo sexual y que viven con VIH tienen una doble dificultad para acceder a los servicios de salud por sus condiciones migratorias y por el decreto citado. </w:t>
      </w:r>
    </w:p>
    <w:p w14:paraId="7EA80FB3" w14:textId="77777777" w:rsidR="000C171B" w:rsidRPr="00DA00FE" w:rsidRDefault="000C171B" w:rsidP="000C171B">
      <w:pPr>
        <w:spacing w:after="0" w:line="240" w:lineRule="auto"/>
        <w:jc w:val="both"/>
        <w:rPr>
          <w:rFonts w:cstheme="minorHAnsi"/>
          <w:color w:val="000000" w:themeColor="text1"/>
          <w:sz w:val="24"/>
          <w:szCs w:val="24"/>
          <w:lang w:val="es-VE"/>
        </w:rPr>
      </w:pPr>
    </w:p>
    <w:p w14:paraId="106F3812" w14:textId="77777777" w:rsidR="000C171B" w:rsidRPr="00DA00FE" w:rsidRDefault="000C171B" w:rsidP="000C171B">
      <w:pPr>
        <w:spacing w:after="0" w:line="240" w:lineRule="auto"/>
        <w:jc w:val="both"/>
        <w:rPr>
          <w:rFonts w:cstheme="minorHAnsi"/>
          <w:color w:val="000000" w:themeColor="text1"/>
          <w:sz w:val="24"/>
          <w:szCs w:val="24"/>
        </w:rPr>
      </w:pPr>
      <w:r w:rsidRPr="00DA00FE">
        <w:rPr>
          <w:rFonts w:cstheme="minorHAnsi"/>
          <w:color w:val="000000" w:themeColor="text1"/>
          <w:sz w:val="24"/>
          <w:szCs w:val="24"/>
        </w:rPr>
        <w:t>En los últimos años, los factores expulsores indujeron cambios no solo en las causas de la migración y del desplazamiento forzado, sino también en el perfil de las personas salen de sus países de origen, siendo la feminización de la migración y la niñez migrante dos tendencias crecientes y más recientemente la migración de familias en grupos (SICA, OIM, ACNUR</w:t>
      </w:r>
      <w:r>
        <w:rPr>
          <w:rFonts w:cstheme="minorHAnsi"/>
          <w:color w:val="000000" w:themeColor="text1"/>
          <w:sz w:val="24"/>
          <w:szCs w:val="24"/>
        </w:rPr>
        <w:t>,</w:t>
      </w:r>
      <w:r w:rsidRPr="00DA00FE">
        <w:rPr>
          <w:rFonts w:cstheme="minorHAnsi"/>
          <w:color w:val="000000" w:themeColor="text1"/>
          <w:sz w:val="24"/>
          <w:szCs w:val="24"/>
        </w:rPr>
        <w:t xml:space="preserve"> 2019). La población refugiada está compuesta principalmente por personas de nacionalidad </w:t>
      </w:r>
      <w:r w:rsidRPr="00DA00FE">
        <w:rPr>
          <w:rFonts w:cstheme="minorHAnsi"/>
          <w:color w:val="000000" w:themeColor="text1"/>
          <w:sz w:val="24"/>
          <w:szCs w:val="24"/>
        </w:rPr>
        <w:lastRenderedPageBreak/>
        <w:t>colombiana, nicaragüense, venezolanas, cubanas y personas son provenientes de los países del Norte de Centroamérica (mayoritariamente de El Salvador).</w:t>
      </w:r>
    </w:p>
    <w:p w14:paraId="15C6CFB3" w14:textId="77777777" w:rsidR="000C171B" w:rsidRPr="00DA00FE" w:rsidRDefault="000C171B" w:rsidP="000C171B">
      <w:pPr>
        <w:spacing w:after="0" w:line="240" w:lineRule="auto"/>
        <w:jc w:val="both"/>
        <w:rPr>
          <w:rFonts w:cstheme="minorHAnsi"/>
          <w:color w:val="000000" w:themeColor="text1"/>
          <w:sz w:val="24"/>
          <w:szCs w:val="24"/>
        </w:rPr>
      </w:pPr>
    </w:p>
    <w:p w14:paraId="071AD29C" w14:textId="77777777" w:rsidR="000C171B" w:rsidRPr="00DA00FE" w:rsidRDefault="000C171B" w:rsidP="000C171B">
      <w:pPr>
        <w:spacing w:after="0" w:line="240" w:lineRule="auto"/>
        <w:jc w:val="both"/>
        <w:rPr>
          <w:rFonts w:cstheme="minorHAnsi"/>
          <w:color w:val="000000" w:themeColor="text1"/>
          <w:sz w:val="24"/>
          <w:szCs w:val="24"/>
        </w:rPr>
      </w:pPr>
      <w:r w:rsidRPr="00DA00FE">
        <w:rPr>
          <w:rFonts w:cstheme="minorHAnsi"/>
          <w:color w:val="000000" w:themeColor="text1"/>
          <w:sz w:val="24"/>
          <w:szCs w:val="24"/>
        </w:rPr>
        <w:t>El ciclo de movilidad humana emergente en el contexto de frontera cuyo objetivo es llegar a los centros económicos tiene tres perfiles, por un lado, la población que ingresa por la provincia de Darién que generalmente utiliza Panamá como puente terrestre, pero también los que determinan permanecer en el país como país de destino. Por el otro, la población que utiliza los puentes aéreos y que su estancia y movilización tiene características distintas a las poblaciones que utilizan el puente terrestre. En actualidad existen 50 nacionalidades registradas, siendo 1 de cada 10 personas que sobrevive al cruce del Darién, un niño, niñas o adolescente, pero al mismo tiempo el 50% de los niños/as es menor de 6 años (UNICEF</w:t>
      </w:r>
      <w:r>
        <w:rPr>
          <w:rFonts w:cstheme="minorHAnsi"/>
          <w:color w:val="000000" w:themeColor="text1"/>
          <w:sz w:val="24"/>
          <w:szCs w:val="24"/>
        </w:rPr>
        <w:t>,</w:t>
      </w:r>
      <w:r w:rsidRPr="00DA00FE">
        <w:rPr>
          <w:rFonts w:cstheme="minorHAnsi"/>
          <w:color w:val="000000" w:themeColor="text1"/>
          <w:sz w:val="24"/>
          <w:szCs w:val="24"/>
        </w:rPr>
        <w:t xml:space="preserve"> 2019). En la actualidad, Darién representa un desafío en términos de impacto sobre recursos naturales, calidad ambiental, acceso a agua para consumo humano, manejo de desechos sólidos tanto para la población migrante como para la población receptora.</w:t>
      </w:r>
    </w:p>
    <w:p w14:paraId="2B0E5036" w14:textId="77777777" w:rsidR="000C171B" w:rsidRPr="00DA00FE" w:rsidRDefault="000C171B" w:rsidP="000C171B">
      <w:pPr>
        <w:spacing w:after="0" w:line="240" w:lineRule="auto"/>
        <w:jc w:val="both"/>
        <w:rPr>
          <w:rFonts w:cstheme="minorHAnsi"/>
          <w:color w:val="000000" w:themeColor="text1"/>
          <w:sz w:val="24"/>
          <w:szCs w:val="24"/>
        </w:rPr>
      </w:pPr>
    </w:p>
    <w:p w14:paraId="5F280188" w14:textId="77777777" w:rsidR="000C171B" w:rsidRPr="00DA00FE" w:rsidRDefault="000C171B" w:rsidP="000C171B">
      <w:pPr>
        <w:spacing w:after="0" w:line="240" w:lineRule="auto"/>
        <w:jc w:val="both"/>
        <w:rPr>
          <w:rFonts w:cstheme="minorHAnsi"/>
          <w:color w:val="000000" w:themeColor="text1"/>
          <w:sz w:val="24"/>
          <w:szCs w:val="24"/>
        </w:rPr>
      </w:pPr>
      <w:r w:rsidRPr="00DA00FE">
        <w:rPr>
          <w:rFonts w:cstheme="minorHAnsi"/>
          <w:color w:val="000000" w:themeColor="text1"/>
          <w:sz w:val="24"/>
          <w:szCs w:val="24"/>
        </w:rPr>
        <w:t>La movilidad humana en sentido general es una alternativa para mejorar las condiciones de vida. La violencia, los conflictos armados explican una parte de los desplazamientos forzados de la población. En otros casos, la movilidad humana la inestabilidad política y la ineficiencia de las políticas económicas generan los movimientos</w:t>
      </w:r>
      <w:r w:rsidRPr="00DA00FE" w:rsidDel="00FE0779">
        <w:rPr>
          <w:rFonts w:cstheme="minorHAnsi"/>
          <w:color w:val="000000" w:themeColor="text1"/>
          <w:sz w:val="24"/>
          <w:szCs w:val="24"/>
        </w:rPr>
        <w:t xml:space="preserve"> </w:t>
      </w:r>
      <w:r w:rsidRPr="00DA00FE">
        <w:rPr>
          <w:rFonts w:cstheme="minorHAnsi"/>
          <w:color w:val="000000" w:themeColor="text1"/>
          <w:sz w:val="24"/>
          <w:szCs w:val="24"/>
        </w:rPr>
        <w:t>transnacionales e intrarregionales, temporales o permanentes. La migración con fines laborales es particularmente importante en comunidades transfronterizas, por ejemplo, de personas indígenas que se movilizan desde Panamá a Costa Rica (SICA, OIM, ACNUR</w:t>
      </w:r>
      <w:r>
        <w:rPr>
          <w:rFonts w:cstheme="minorHAnsi"/>
          <w:color w:val="000000" w:themeColor="text1"/>
          <w:sz w:val="24"/>
          <w:szCs w:val="24"/>
        </w:rPr>
        <w:t>,</w:t>
      </w:r>
      <w:r w:rsidRPr="00DA00FE">
        <w:rPr>
          <w:rFonts w:cstheme="minorHAnsi"/>
          <w:color w:val="000000" w:themeColor="text1"/>
          <w:sz w:val="24"/>
          <w:szCs w:val="24"/>
        </w:rPr>
        <w:t xml:space="preserve"> 2019).   </w:t>
      </w:r>
    </w:p>
    <w:p w14:paraId="1CCF970D" w14:textId="77777777" w:rsidR="000C171B" w:rsidRPr="00DA00FE" w:rsidRDefault="000C171B" w:rsidP="000C171B">
      <w:pPr>
        <w:spacing w:after="0" w:line="240" w:lineRule="auto"/>
        <w:jc w:val="both"/>
        <w:rPr>
          <w:rFonts w:cstheme="minorHAnsi"/>
          <w:color w:val="000000" w:themeColor="text1"/>
          <w:sz w:val="24"/>
          <w:szCs w:val="24"/>
        </w:rPr>
      </w:pPr>
    </w:p>
    <w:p w14:paraId="62E27CA0" w14:textId="77777777" w:rsidR="000C171B" w:rsidRPr="00DA00FE" w:rsidRDefault="000C171B" w:rsidP="000C171B">
      <w:pPr>
        <w:spacing w:after="0" w:line="240" w:lineRule="auto"/>
        <w:jc w:val="both"/>
        <w:rPr>
          <w:rFonts w:cstheme="minorHAnsi"/>
          <w:color w:val="000000" w:themeColor="text1"/>
          <w:sz w:val="24"/>
          <w:szCs w:val="24"/>
        </w:rPr>
      </w:pPr>
      <w:r w:rsidRPr="00DA00FE">
        <w:rPr>
          <w:rFonts w:cstheme="minorHAnsi"/>
          <w:color w:val="000000" w:themeColor="text1"/>
          <w:sz w:val="24"/>
          <w:szCs w:val="24"/>
        </w:rPr>
        <w:t xml:space="preserve">A pesar de lo anterior, el marco jurídico migratorio panameño </w:t>
      </w:r>
      <w:r>
        <w:rPr>
          <w:rFonts w:cstheme="minorHAnsi"/>
          <w:color w:val="000000" w:themeColor="text1"/>
          <w:sz w:val="24"/>
          <w:szCs w:val="24"/>
        </w:rPr>
        <w:t xml:space="preserve">sobre movilidad humana </w:t>
      </w:r>
      <w:r w:rsidRPr="00DA00FE">
        <w:rPr>
          <w:rFonts w:cstheme="minorHAnsi"/>
          <w:color w:val="000000" w:themeColor="text1"/>
          <w:sz w:val="24"/>
          <w:szCs w:val="24"/>
        </w:rPr>
        <w:t>es sumamente restrictivo</w:t>
      </w:r>
      <w:r>
        <w:rPr>
          <w:rFonts w:cstheme="minorHAnsi"/>
          <w:color w:val="000000" w:themeColor="text1"/>
          <w:sz w:val="24"/>
          <w:szCs w:val="24"/>
        </w:rPr>
        <w:t xml:space="preserve">, además de que </w:t>
      </w:r>
      <w:r w:rsidRPr="00DA00FE">
        <w:rPr>
          <w:rFonts w:cstheme="minorHAnsi"/>
          <w:color w:val="000000" w:themeColor="text1"/>
          <w:sz w:val="24"/>
          <w:szCs w:val="24"/>
        </w:rPr>
        <w:t>las garantías no se encuentran armonizadas con el escenario emergente. Por otra parte, existen vacíos en la legislación o ésta requiere actualizarse para el abordaje de la migración en contextos de emergencias.   De hecho, en el caso de la Agenda 2030, la meta 10.7 se establece que los países deben “facilitar la migración y la movilidad ordenada, segura, regular y responsable de las personas, incluso mediante la aplicación de políticas migratorias planificadas y bien gestionadas” en tanto existe una contribución positiva de los y las trabajadoras migrantes al crecimiento inclusivo y al desarrollo sostenible (OIM</w:t>
      </w:r>
      <w:r>
        <w:rPr>
          <w:rFonts w:cstheme="minorHAnsi"/>
          <w:color w:val="000000" w:themeColor="text1"/>
          <w:sz w:val="24"/>
          <w:szCs w:val="24"/>
        </w:rPr>
        <w:t>,</w:t>
      </w:r>
      <w:r w:rsidRPr="00DA00FE">
        <w:rPr>
          <w:rFonts w:cstheme="minorHAnsi"/>
          <w:color w:val="000000" w:themeColor="text1"/>
          <w:sz w:val="24"/>
          <w:szCs w:val="24"/>
        </w:rPr>
        <w:t xml:space="preserve"> 2019). En ese sentido, la Declaración de Nueva York aprobada en la 71° Sesión de la Asamblea General de la ONU en noviembre de 2016 identifica los aspectos relevantes sobre migración y refugio además de los mecanismos que priorizan los derechos de (i) niños, niñas y adolescentes, (</w:t>
      </w:r>
      <w:proofErr w:type="spellStart"/>
      <w:r w:rsidRPr="00DA00FE">
        <w:rPr>
          <w:rFonts w:cstheme="minorHAnsi"/>
          <w:color w:val="000000" w:themeColor="text1"/>
          <w:sz w:val="24"/>
          <w:szCs w:val="24"/>
        </w:rPr>
        <w:t>ii</w:t>
      </w:r>
      <w:proofErr w:type="spellEnd"/>
      <w:r w:rsidRPr="00DA00FE">
        <w:rPr>
          <w:rFonts w:cstheme="minorHAnsi"/>
          <w:color w:val="000000" w:themeColor="text1"/>
          <w:sz w:val="24"/>
          <w:szCs w:val="24"/>
        </w:rPr>
        <w:t>) niñez migrante no acompañada (</w:t>
      </w:r>
      <w:proofErr w:type="spellStart"/>
      <w:r w:rsidRPr="00DA00FE">
        <w:rPr>
          <w:rFonts w:cstheme="minorHAnsi"/>
          <w:color w:val="000000" w:themeColor="text1"/>
          <w:sz w:val="24"/>
          <w:szCs w:val="24"/>
        </w:rPr>
        <w:t>iii</w:t>
      </w:r>
      <w:proofErr w:type="spellEnd"/>
      <w:r w:rsidRPr="00DA00FE">
        <w:rPr>
          <w:rFonts w:cstheme="minorHAnsi"/>
          <w:color w:val="000000" w:themeColor="text1"/>
          <w:sz w:val="24"/>
          <w:szCs w:val="24"/>
        </w:rPr>
        <w:t>) población desplazada, (</w:t>
      </w:r>
      <w:proofErr w:type="spellStart"/>
      <w:r w:rsidRPr="00DA00FE">
        <w:rPr>
          <w:rFonts w:cstheme="minorHAnsi"/>
          <w:color w:val="000000" w:themeColor="text1"/>
          <w:sz w:val="24"/>
          <w:szCs w:val="24"/>
        </w:rPr>
        <w:t>iv</w:t>
      </w:r>
      <w:proofErr w:type="spellEnd"/>
      <w:r w:rsidRPr="00DA00FE">
        <w:rPr>
          <w:rFonts w:cstheme="minorHAnsi"/>
          <w:color w:val="000000" w:themeColor="text1"/>
          <w:sz w:val="24"/>
          <w:szCs w:val="24"/>
        </w:rPr>
        <w:t xml:space="preserve">) población afectada por la violencia. </w:t>
      </w:r>
    </w:p>
    <w:p w14:paraId="25D3FB17" w14:textId="77777777" w:rsidR="000C171B" w:rsidRPr="00DA00FE" w:rsidRDefault="000C171B" w:rsidP="000C171B">
      <w:pPr>
        <w:spacing w:after="0" w:line="240" w:lineRule="auto"/>
        <w:jc w:val="both"/>
        <w:rPr>
          <w:rFonts w:cstheme="minorHAnsi"/>
          <w:color w:val="000000" w:themeColor="text1"/>
          <w:sz w:val="24"/>
          <w:szCs w:val="24"/>
        </w:rPr>
      </w:pPr>
      <w:r w:rsidRPr="00DA00FE">
        <w:rPr>
          <w:rFonts w:cstheme="minorHAnsi"/>
          <w:color w:val="000000" w:themeColor="text1"/>
          <w:sz w:val="24"/>
          <w:szCs w:val="24"/>
        </w:rPr>
        <w:t xml:space="preserve"> </w:t>
      </w:r>
    </w:p>
    <w:p w14:paraId="50546996" w14:textId="77777777" w:rsidR="000C171B" w:rsidRPr="00DA00FE" w:rsidRDefault="000C171B" w:rsidP="000C171B">
      <w:pPr>
        <w:spacing w:after="0" w:line="240" w:lineRule="auto"/>
        <w:jc w:val="both"/>
        <w:rPr>
          <w:rFonts w:cstheme="minorHAnsi"/>
          <w:color w:val="000000" w:themeColor="text1"/>
          <w:sz w:val="24"/>
          <w:szCs w:val="24"/>
        </w:rPr>
      </w:pPr>
      <w:r w:rsidRPr="00DA00FE">
        <w:rPr>
          <w:rFonts w:cstheme="minorHAnsi"/>
          <w:color w:val="000000" w:themeColor="text1"/>
          <w:sz w:val="24"/>
          <w:szCs w:val="24"/>
        </w:rPr>
        <w:t>Sin embargo, tras la Declaración de Nueva York, los jefes de Estado Miembros de las Naciones Unidas, incluyendo Panamá, reconocieron la necesidad de desarrollar un enfoque integral sobre la movilidad humana y la protección internacional. En los años siguientes, se llevaron a cabo varias fases de consultas, deliberaciones y negociaciones entre gobiernos para lograr mayor cooperación, que resultaron en lo que hoy se conoce como el Pacto Mundial de Refugiados y el Pacto Mundial para una Migración Segura, Ordenada y Regular</w:t>
      </w:r>
    </w:p>
    <w:p w14:paraId="51637D3A" w14:textId="77777777" w:rsidR="000C171B" w:rsidRPr="00DA00FE" w:rsidRDefault="000C171B" w:rsidP="000C171B">
      <w:pPr>
        <w:spacing w:after="0" w:line="240" w:lineRule="auto"/>
        <w:jc w:val="both"/>
        <w:rPr>
          <w:rFonts w:cstheme="minorHAnsi"/>
          <w:color w:val="000000" w:themeColor="text1"/>
          <w:sz w:val="24"/>
          <w:szCs w:val="24"/>
        </w:rPr>
      </w:pPr>
    </w:p>
    <w:p w14:paraId="70C7FCD3" w14:textId="77777777" w:rsidR="000C171B" w:rsidRPr="00DA00FE" w:rsidRDefault="000C171B" w:rsidP="000C171B">
      <w:pPr>
        <w:spacing w:after="0" w:line="240" w:lineRule="auto"/>
        <w:jc w:val="both"/>
        <w:rPr>
          <w:rFonts w:cstheme="minorHAnsi"/>
          <w:color w:val="000000" w:themeColor="text1"/>
          <w:sz w:val="24"/>
          <w:szCs w:val="24"/>
        </w:rPr>
      </w:pPr>
      <w:r w:rsidRPr="00DA00FE">
        <w:rPr>
          <w:rFonts w:cstheme="minorHAnsi"/>
          <w:color w:val="000000" w:themeColor="text1"/>
          <w:sz w:val="24"/>
          <w:szCs w:val="24"/>
        </w:rPr>
        <w:t>El Pacto Mundial de Refugiados (2018) fomenta el apoyo a las personas refugiadas y a los países y comunidades que acogen grandes números —incluso por períodos de tiempo prolongados— mediante la movilización de la voluntad política, un apoyo más amplio y la activación de arreglos que buscan alcanzar una distribución de la carga y responsabilidad compartida más equitativa y predecible. Por su parte, el Pacto Mundial para una Migración Segura, Ordenada y Regular (2018), busca apoyar la cooperación internacional en cuanto a gobernanza de la migración; proporcionar una serie de medidas para los Estados desde donde pueden seleccionar opciones de políticas para abordar algunos de los problemas relacionados con la migración internacional; y otorgar a los Estados espacio y flexibilidad para seguir la implementación en función de sus propias realidades y capacidades de migración.</w:t>
      </w:r>
    </w:p>
    <w:p w14:paraId="433B13ED" w14:textId="77777777" w:rsidR="000C171B" w:rsidRPr="00DA00FE" w:rsidRDefault="000C171B" w:rsidP="000C171B">
      <w:pPr>
        <w:spacing w:after="0" w:line="240" w:lineRule="auto"/>
        <w:jc w:val="both"/>
        <w:rPr>
          <w:rFonts w:cstheme="minorHAnsi"/>
          <w:color w:val="000000" w:themeColor="text1"/>
          <w:sz w:val="24"/>
          <w:szCs w:val="24"/>
        </w:rPr>
      </w:pPr>
    </w:p>
    <w:p w14:paraId="4C784CE1" w14:textId="77777777" w:rsidR="000C171B" w:rsidRPr="00DA00FE" w:rsidRDefault="000C171B" w:rsidP="000C171B">
      <w:pPr>
        <w:spacing w:after="0" w:line="240" w:lineRule="auto"/>
        <w:jc w:val="both"/>
        <w:rPr>
          <w:rFonts w:cstheme="minorHAnsi"/>
          <w:color w:val="000000" w:themeColor="text1"/>
          <w:sz w:val="24"/>
          <w:szCs w:val="24"/>
        </w:rPr>
      </w:pPr>
      <w:r w:rsidRPr="00DA00FE">
        <w:rPr>
          <w:rFonts w:cstheme="minorHAnsi"/>
          <w:color w:val="000000" w:themeColor="text1"/>
          <w:sz w:val="24"/>
          <w:szCs w:val="24"/>
        </w:rPr>
        <w:t>En el marco de los compromisos de implementación de los Pactos, en julio de 2017, Panamá se incorporó al Marco Regional Integral de Protección y Soluciones (MIRPS), a través del cual desarrolló un plan de acción nacional basado en un proceso de consulta, que contó con la participación de las entidades y autoridades nacionales, los ministerios de línea y la sociedad civil. El plan de acción tiene por objeto fortalecer el sistema de asilo y mejorar la integración local de los solicitantes de asilo y los refugiados en el país. Aunque los dos pactos mundiales sobre Migración y sobre Refugiados son pactos separados, distintos e independientes, con su propia finalidad, la adopción e implementación exitosa de cada pacto ayudará a reforzar los objetivos del otro. Los dos Pactos Mundiales se complementan entre sí ya que hay cuestiones que afectan a los refugiados y a los migrantes en contexto de movimiento mixtos que requieren una respuesta internacional común.</w:t>
      </w:r>
    </w:p>
    <w:p w14:paraId="3E2A2F27" w14:textId="77777777" w:rsidR="000C171B" w:rsidRPr="00DA00FE" w:rsidRDefault="000C171B" w:rsidP="000C171B">
      <w:pPr>
        <w:spacing w:after="0" w:line="240" w:lineRule="auto"/>
        <w:jc w:val="both"/>
        <w:rPr>
          <w:rFonts w:cstheme="minorHAnsi"/>
          <w:color w:val="000000" w:themeColor="text1"/>
          <w:sz w:val="24"/>
          <w:szCs w:val="24"/>
        </w:rPr>
      </w:pPr>
    </w:p>
    <w:p w14:paraId="735FB5B8" w14:textId="77777777" w:rsidR="000C171B" w:rsidRPr="00DA00FE" w:rsidRDefault="000C171B" w:rsidP="000C171B">
      <w:pPr>
        <w:spacing w:after="0" w:line="240" w:lineRule="auto"/>
        <w:jc w:val="both"/>
        <w:rPr>
          <w:rFonts w:cstheme="minorHAnsi"/>
          <w:color w:val="000000" w:themeColor="text1"/>
          <w:sz w:val="24"/>
          <w:szCs w:val="24"/>
        </w:rPr>
      </w:pPr>
      <w:r w:rsidRPr="00DA00FE">
        <w:rPr>
          <w:rFonts w:cstheme="minorHAnsi"/>
          <w:color w:val="000000" w:themeColor="text1"/>
          <w:sz w:val="24"/>
          <w:szCs w:val="24"/>
        </w:rPr>
        <w:t>Por su parte, igualmente, la Convención Internacional sobre la Protección de los Derechos de Todos los Trabajadores Migratorios y de sus Familiares y la Convención sobre los Derechos del Niño (CMW/C/GC/3−CRC/C/GC/22) señalan las obligaciones en materia de los derechos humanos de la población migrante en países de origen, tránsito, destino y retorno (SAVE THE CHILDREN</w:t>
      </w:r>
      <w:r>
        <w:rPr>
          <w:rFonts w:cstheme="minorHAnsi"/>
          <w:color w:val="000000" w:themeColor="text1"/>
          <w:sz w:val="24"/>
          <w:szCs w:val="24"/>
        </w:rPr>
        <w:t>,</w:t>
      </w:r>
      <w:r w:rsidRPr="00DA00FE">
        <w:rPr>
          <w:rFonts w:cstheme="minorHAnsi"/>
          <w:color w:val="000000" w:themeColor="text1"/>
          <w:sz w:val="24"/>
          <w:szCs w:val="24"/>
        </w:rPr>
        <w:t xml:space="preserve"> 2018).  </w:t>
      </w:r>
    </w:p>
    <w:p w14:paraId="39CB49C8" w14:textId="77777777" w:rsidR="000C171B" w:rsidRPr="00DA00FE" w:rsidRDefault="000C171B" w:rsidP="000C171B">
      <w:pPr>
        <w:spacing w:after="0" w:line="240" w:lineRule="auto"/>
        <w:jc w:val="both"/>
        <w:rPr>
          <w:rFonts w:cstheme="minorHAnsi"/>
          <w:color w:val="000000" w:themeColor="text1"/>
          <w:sz w:val="24"/>
          <w:szCs w:val="24"/>
        </w:rPr>
      </w:pPr>
    </w:p>
    <w:p w14:paraId="46DA53E6" w14:textId="77777777" w:rsidR="000C171B" w:rsidRPr="00DA00FE" w:rsidRDefault="000C171B" w:rsidP="000C171B">
      <w:pPr>
        <w:spacing w:after="0" w:line="240" w:lineRule="auto"/>
        <w:jc w:val="both"/>
        <w:rPr>
          <w:rFonts w:cstheme="minorHAnsi"/>
          <w:color w:val="000000" w:themeColor="text1"/>
          <w:sz w:val="24"/>
          <w:szCs w:val="24"/>
        </w:rPr>
      </w:pPr>
      <w:r w:rsidRPr="00DA00FE">
        <w:rPr>
          <w:rFonts w:cstheme="minorHAnsi"/>
          <w:color w:val="000000" w:themeColor="text1"/>
          <w:sz w:val="24"/>
          <w:szCs w:val="24"/>
        </w:rPr>
        <w:t>Cabe señalar que, según diversas investigaciones realizadas, cada persona que se moviliza cíclicamente y/o emigra hacia otras regiones o países, se encuentra acompañado de por lo menos, dos personas. Por ello es importante consensuar políticas y programas de atención y protección social en salud, educación y condiciones laborales, con especial énfasis en las condiciones de la mujer y los niños, niñas y adolescentes migrantes (CEPAL</w:t>
      </w:r>
      <w:r>
        <w:rPr>
          <w:rFonts w:cstheme="minorHAnsi"/>
          <w:color w:val="000000" w:themeColor="text1"/>
          <w:sz w:val="24"/>
          <w:szCs w:val="24"/>
        </w:rPr>
        <w:t xml:space="preserve">, </w:t>
      </w:r>
      <w:r w:rsidRPr="00DA00FE">
        <w:rPr>
          <w:rFonts w:cstheme="minorHAnsi"/>
          <w:color w:val="000000" w:themeColor="text1"/>
          <w:sz w:val="24"/>
          <w:szCs w:val="24"/>
        </w:rPr>
        <w:t>2009). Considerando, entre otras, (i) medidas de cuidado alternativo desde el momento de recepción para niños, niñas y adolescentes no acompañados y separados, (</w:t>
      </w:r>
      <w:proofErr w:type="spellStart"/>
      <w:r w:rsidRPr="00DA00FE">
        <w:rPr>
          <w:rFonts w:cstheme="minorHAnsi"/>
          <w:color w:val="000000" w:themeColor="text1"/>
          <w:sz w:val="24"/>
          <w:szCs w:val="24"/>
        </w:rPr>
        <w:t>ii</w:t>
      </w:r>
      <w:proofErr w:type="spellEnd"/>
      <w:r w:rsidRPr="00DA00FE">
        <w:rPr>
          <w:rFonts w:cstheme="minorHAnsi"/>
          <w:color w:val="000000" w:themeColor="text1"/>
          <w:sz w:val="24"/>
          <w:szCs w:val="24"/>
        </w:rPr>
        <w:t>) requerimientos de protección consular, (</w:t>
      </w:r>
      <w:proofErr w:type="spellStart"/>
      <w:r w:rsidRPr="00DA00FE">
        <w:rPr>
          <w:rFonts w:cstheme="minorHAnsi"/>
          <w:color w:val="000000" w:themeColor="text1"/>
          <w:sz w:val="24"/>
          <w:szCs w:val="24"/>
        </w:rPr>
        <w:t>iii</w:t>
      </w:r>
      <w:proofErr w:type="spellEnd"/>
      <w:r w:rsidRPr="00DA00FE">
        <w:rPr>
          <w:rFonts w:cstheme="minorHAnsi"/>
          <w:color w:val="000000" w:themeColor="text1"/>
          <w:sz w:val="24"/>
          <w:szCs w:val="24"/>
        </w:rPr>
        <w:t>) mecanismos de retorno y reintegración o declaración de abandono de los niños, niñas y adolescentes cuando el interés superior así lo determine, (</w:t>
      </w:r>
      <w:proofErr w:type="spellStart"/>
      <w:r w:rsidRPr="00DA00FE">
        <w:rPr>
          <w:rFonts w:cstheme="minorHAnsi"/>
          <w:color w:val="000000" w:themeColor="text1"/>
          <w:sz w:val="24"/>
          <w:szCs w:val="24"/>
        </w:rPr>
        <w:t>iv</w:t>
      </w:r>
      <w:proofErr w:type="spellEnd"/>
      <w:r w:rsidRPr="00DA00FE">
        <w:rPr>
          <w:rFonts w:cstheme="minorHAnsi"/>
          <w:color w:val="000000" w:themeColor="text1"/>
          <w:sz w:val="24"/>
          <w:szCs w:val="24"/>
        </w:rPr>
        <w:t>) respuesta humanitaria, (v) protocolos para población en busca de condición de refugio (UNICEF</w:t>
      </w:r>
      <w:r>
        <w:rPr>
          <w:rFonts w:cstheme="minorHAnsi"/>
          <w:color w:val="000000" w:themeColor="text1"/>
          <w:sz w:val="24"/>
          <w:szCs w:val="24"/>
        </w:rPr>
        <w:t>,</w:t>
      </w:r>
      <w:r w:rsidRPr="00DA00FE">
        <w:rPr>
          <w:rFonts w:cstheme="minorHAnsi"/>
          <w:color w:val="000000" w:themeColor="text1"/>
          <w:sz w:val="24"/>
          <w:szCs w:val="24"/>
        </w:rPr>
        <w:t xml:space="preserve"> 2019).</w:t>
      </w:r>
    </w:p>
    <w:p w14:paraId="40D17B04" w14:textId="77777777" w:rsidR="000C171B" w:rsidRPr="00DA00FE" w:rsidRDefault="000C171B" w:rsidP="000C171B">
      <w:pPr>
        <w:spacing w:after="0" w:line="240" w:lineRule="auto"/>
        <w:jc w:val="both"/>
        <w:rPr>
          <w:rFonts w:cstheme="minorHAnsi"/>
          <w:color w:val="000000" w:themeColor="text1"/>
          <w:sz w:val="24"/>
          <w:szCs w:val="24"/>
        </w:rPr>
      </w:pPr>
    </w:p>
    <w:p w14:paraId="3F6927D6" w14:textId="77777777" w:rsidR="000C171B" w:rsidRPr="00DA00FE" w:rsidRDefault="000C171B" w:rsidP="000C171B">
      <w:pPr>
        <w:spacing w:after="0" w:line="240" w:lineRule="auto"/>
        <w:jc w:val="both"/>
        <w:rPr>
          <w:rFonts w:cstheme="minorHAnsi"/>
          <w:sz w:val="24"/>
          <w:szCs w:val="24"/>
        </w:rPr>
      </w:pPr>
      <w:r w:rsidRPr="00DA00FE">
        <w:rPr>
          <w:rFonts w:cstheme="minorHAnsi"/>
          <w:color w:val="000000" w:themeColor="text1"/>
          <w:sz w:val="24"/>
          <w:szCs w:val="24"/>
        </w:rPr>
        <w:t xml:space="preserve">En el caso de Panamá, a partir del año 2017, el </w:t>
      </w:r>
      <w:r>
        <w:rPr>
          <w:rFonts w:cstheme="minorHAnsi"/>
          <w:color w:val="000000" w:themeColor="text1"/>
          <w:sz w:val="24"/>
          <w:szCs w:val="24"/>
        </w:rPr>
        <w:t>tema de movilidad humana tomó otras dimensiones</w:t>
      </w:r>
      <w:r w:rsidRPr="00DA00FE">
        <w:rPr>
          <w:rFonts w:cstheme="minorHAnsi"/>
          <w:color w:val="000000" w:themeColor="text1"/>
          <w:sz w:val="24"/>
          <w:szCs w:val="24"/>
        </w:rPr>
        <w:t xml:space="preserve">. Para el año </w:t>
      </w:r>
      <w:r w:rsidRPr="00DA00FE">
        <w:rPr>
          <w:rFonts w:cstheme="minorHAnsi"/>
          <w:sz w:val="24"/>
          <w:szCs w:val="24"/>
        </w:rPr>
        <w:t xml:space="preserve">2018, dentro de los países de la región, había cerca de 8,000 personas </w:t>
      </w:r>
      <w:r w:rsidRPr="00DA00FE">
        <w:rPr>
          <w:rFonts w:cstheme="minorHAnsi"/>
          <w:sz w:val="24"/>
          <w:szCs w:val="24"/>
        </w:rPr>
        <w:lastRenderedPageBreak/>
        <w:t>refugiadas y 50,300 solicitantes de asilo, pendientes de decisión. En</w:t>
      </w:r>
      <w:r>
        <w:rPr>
          <w:rFonts w:cstheme="minorHAnsi"/>
          <w:sz w:val="24"/>
          <w:szCs w:val="24"/>
        </w:rPr>
        <w:t xml:space="preserve">tre </w:t>
      </w:r>
      <w:r w:rsidRPr="00DA00FE">
        <w:rPr>
          <w:rFonts w:cstheme="minorHAnsi"/>
          <w:sz w:val="24"/>
          <w:szCs w:val="24"/>
        </w:rPr>
        <w:t xml:space="preserve">los países con </w:t>
      </w:r>
      <w:r>
        <w:rPr>
          <w:rFonts w:cstheme="minorHAnsi"/>
          <w:sz w:val="24"/>
          <w:szCs w:val="24"/>
        </w:rPr>
        <w:t xml:space="preserve">el </w:t>
      </w:r>
      <w:r w:rsidRPr="00DA00FE">
        <w:rPr>
          <w:rFonts w:cstheme="minorHAnsi"/>
          <w:sz w:val="24"/>
          <w:szCs w:val="24"/>
        </w:rPr>
        <w:t xml:space="preserve">mayor número de solicitudes </w:t>
      </w:r>
      <w:r>
        <w:rPr>
          <w:rFonts w:cstheme="minorHAnsi"/>
          <w:sz w:val="24"/>
          <w:szCs w:val="24"/>
        </w:rPr>
        <w:t xml:space="preserve">pendientes </w:t>
      </w:r>
      <w:r w:rsidRPr="00DA00FE">
        <w:rPr>
          <w:rFonts w:cstheme="minorHAnsi"/>
          <w:sz w:val="24"/>
          <w:szCs w:val="24"/>
        </w:rPr>
        <w:t>de asilo</w:t>
      </w:r>
      <w:r>
        <w:rPr>
          <w:rFonts w:cstheme="minorHAnsi"/>
          <w:sz w:val="24"/>
          <w:szCs w:val="24"/>
        </w:rPr>
        <w:t xml:space="preserve"> son,</w:t>
      </w:r>
      <w:r w:rsidRPr="00DA00FE">
        <w:rPr>
          <w:rFonts w:cstheme="minorHAnsi"/>
          <w:sz w:val="24"/>
          <w:szCs w:val="24"/>
        </w:rPr>
        <w:t xml:space="preserve"> Panamá y Belice (SICA, OIM, ACNUR 2019). Lo que </w:t>
      </w:r>
      <w:r>
        <w:rPr>
          <w:rFonts w:cstheme="minorHAnsi"/>
          <w:sz w:val="24"/>
          <w:szCs w:val="24"/>
        </w:rPr>
        <w:t xml:space="preserve">muestra </w:t>
      </w:r>
      <w:r w:rsidRPr="00DA00FE">
        <w:rPr>
          <w:rFonts w:cstheme="minorHAnsi"/>
          <w:sz w:val="24"/>
          <w:szCs w:val="24"/>
        </w:rPr>
        <w:t xml:space="preserve">lo complejo del proceso migratorio y sus impactos en la dinámica </w:t>
      </w:r>
      <w:r>
        <w:rPr>
          <w:rFonts w:cstheme="minorHAnsi"/>
          <w:sz w:val="24"/>
          <w:szCs w:val="24"/>
        </w:rPr>
        <w:t xml:space="preserve">institucional, </w:t>
      </w:r>
      <w:r w:rsidRPr="00DA00FE">
        <w:rPr>
          <w:rFonts w:cstheme="minorHAnsi"/>
          <w:sz w:val="24"/>
          <w:szCs w:val="24"/>
        </w:rPr>
        <w:t xml:space="preserve">poblacional y económica en el país. </w:t>
      </w:r>
    </w:p>
    <w:p w14:paraId="402A1F59" w14:textId="77777777" w:rsidR="000C171B" w:rsidRPr="00DA00FE" w:rsidRDefault="000C171B" w:rsidP="000C171B">
      <w:pPr>
        <w:spacing w:after="0" w:line="240" w:lineRule="auto"/>
        <w:jc w:val="both"/>
        <w:rPr>
          <w:rFonts w:cstheme="minorHAnsi"/>
          <w:sz w:val="24"/>
          <w:szCs w:val="24"/>
        </w:rPr>
      </w:pPr>
    </w:p>
    <w:p w14:paraId="2B0174AC" w14:textId="77777777" w:rsidR="000C171B" w:rsidRPr="00DA00FE" w:rsidRDefault="000C171B" w:rsidP="000C171B">
      <w:pPr>
        <w:spacing w:after="0" w:line="240" w:lineRule="auto"/>
        <w:jc w:val="both"/>
        <w:rPr>
          <w:rFonts w:cstheme="minorHAnsi"/>
          <w:color w:val="000000" w:themeColor="text1"/>
          <w:sz w:val="24"/>
          <w:szCs w:val="24"/>
        </w:rPr>
      </w:pPr>
      <w:r w:rsidRPr="00DA00FE">
        <w:rPr>
          <w:rFonts w:cstheme="minorHAnsi"/>
          <w:color w:val="000000" w:themeColor="text1"/>
          <w:sz w:val="24"/>
          <w:szCs w:val="24"/>
        </w:rPr>
        <w:t xml:space="preserve">De acuerdo con las cifras oficiales, </w:t>
      </w:r>
      <w:r>
        <w:rPr>
          <w:rFonts w:cstheme="minorHAnsi"/>
          <w:color w:val="000000" w:themeColor="text1"/>
          <w:sz w:val="24"/>
          <w:szCs w:val="24"/>
        </w:rPr>
        <w:t xml:space="preserve">durante el año 2019 </w:t>
      </w:r>
      <w:r w:rsidRPr="00DA00FE">
        <w:rPr>
          <w:rFonts w:cstheme="minorHAnsi"/>
          <w:color w:val="000000" w:themeColor="text1"/>
          <w:sz w:val="24"/>
          <w:szCs w:val="24"/>
        </w:rPr>
        <w:t>ingresa</w:t>
      </w:r>
      <w:r>
        <w:rPr>
          <w:rFonts w:cstheme="minorHAnsi"/>
          <w:color w:val="000000" w:themeColor="text1"/>
          <w:sz w:val="24"/>
          <w:szCs w:val="24"/>
        </w:rPr>
        <w:t xml:space="preserve">ron al país, </w:t>
      </w:r>
      <w:r w:rsidRPr="00DA00FE">
        <w:rPr>
          <w:rFonts w:cstheme="minorHAnsi"/>
          <w:color w:val="000000" w:themeColor="text1"/>
          <w:sz w:val="24"/>
          <w:szCs w:val="24"/>
        </w:rPr>
        <w:t>21,378 personas por el Darién, frontera de Panamá con Colombia. La mayor parte de la población migrante proviene de</w:t>
      </w:r>
      <w:r>
        <w:rPr>
          <w:rFonts w:cstheme="minorHAnsi"/>
          <w:color w:val="000000" w:themeColor="text1"/>
          <w:sz w:val="24"/>
          <w:szCs w:val="24"/>
        </w:rPr>
        <w:t>l Caribe</w:t>
      </w:r>
      <w:r w:rsidRPr="00DA00FE">
        <w:rPr>
          <w:rFonts w:cstheme="minorHAnsi"/>
          <w:color w:val="000000" w:themeColor="text1"/>
          <w:sz w:val="24"/>
          <w:szCs w:val="24"/>
        </w:rPr>
        <w:t>, África y Asia,</w:t>
      </w:r>
      <w:r w:rsidRPr="00DA00FE">
        <w:rPr>
          <w:rStyle w:val="FootnoteReference"/>
          <w:rFonts w:cstheme="minorHAnsi"/>
          <w:color w:val="000000" w:themeColor="text1"/>
          <w:sz w:val="24"/>
          <w:szCs w:val="24"/>
        </w:rPr>
        <w:footnoteReference w:id="44"/>
      </w:r>
      <w:r w:rsidRPr="00DA00FE">
        <w:rPr>
          <w:rFonts w:cstheme="minorHAnsi"/>
          <w:color w:val="000000" w:themeColor="text1"/>
          <w:sz w:val="24"/>
          <w:szCs w:val="24"/>
        </w:rPr>
        <w:t xml:space="preserve"> c</w:t>
      </w:r>
      <w:r>
        <w:rPr>
          <w:rFonts w:cstheme="minorHAnsi"/>
          <w:color w:val="000000" w:themeColor="text1"/>
          <w:sz w:val="24"/>
          <w:szCs w:val="24"/>
        </w:rPr>
        <w:t xml:space="preserve">on el </w:t>
      </w:r>
      <w:r w:rsidRPr="00DA00FE">
        <w:rPr>
          <w:rFonts w:cstheme="minorHAnsi"/>
          <w:color w:val="000000" w:themeColor="text1"/>
          <w:sz w:val="24"/>
          <w:szCs w:val="24"/>
        </w:rPr>
        <w:t xml:space="preserve">objetivo </w:t>
      </w:r>
      <w:r>
        <w:rPr>
          <w:rFonts w:cstheme="minorHAnsi"/>
          <w:color w:val="000000" w:themeColor="text1"/>
          <w:sz w:val="24"/>
          <w:szCs w:val="24"/>
        </w:rPr>
        <w:t xml:space="preserve">de ingresar </w:t>
      </w:r>
      <w:r w:rsidRPr="00DA00FE">
        <w:rPr>
          <w:rFonts w:cstheme="minorHAnsi"/>
          <w:color w:val="000000" w:themeColor="text1"/>
          <w:sz w:val="24"/>
          <w:szCs w:val="24"/>
        </w:rPr>
        <w:t>a los países de Norte América</w:t>
      </w:r>
      <w:r>
        <w:rPr>
          <w:rFonts w:cstheme="minorHAnsi"/>
          <w:color w:val="000000" w:themeColor="text1"/>
          <w:sz w:val="24"/>
          <w:szCs w:val="24"/>
        </w:rPr>
        <w:t>:</w:t>
      </w:r>
      <w:r w:rsidRPr="00DA00FE">
        <w:rPr>
          <w:rFonts w:cstheme="minorHAnsi"/>
          <w:color w:val="000000" w:themeColor="text1"/>
          <w:sz w:val="24"/>
          <w:szCs w:val="24"/>
        </w:rPr>
        <w:t xml:space="preserve"> Estados Unidos, Canadá y México. </w:t>
      </w:r>
      <w:r>
        <w:rPr>
          <w:rFonts w:cstheme="minorHAnsi"/>
          <w:color w:val="000000" w:themeColor="text1"/>
          <w:sz w:val="24"/>
          <w:szCs w:val="24"/>
        </w:rPr>
        <w:t>En su ruta hacia Norte América, d</w:t>
      </w:r>
      <w:r w:rsidRPr="00DA00FE">
        <w:rPr>
          <w:rFonts w:cstheme="minorHAnsi"/>
          <w:color w:val="000000" w:themeColor="text1"/>
          <w:sz w:val="24"/>
          <w:szCs w:val="24"/>
        </w:rPr>
        <w:t xml:space="preserve">urante el tránsito </w:t>
      </w:r>
      <w:r>
        <w:rPr>
          <w:rFonts w:cstheme="minorHAnsi"/>
          <w:color w:val="000000" w:themeColor="text1"/>
          <w:sz w:val="24"/>
          <w:szCs w:val="24"/>
        </w:rPr>
        <w:t xml:space="preserve">por </w:t>
      </w:r>
      <w:r w:rsidRPr="00DA00FE">
        <w:rPr>
          <w:rFonts w:cstheme="minorHAnsi"/>
          <w:color w:val="000000" w:themeColor="text1"/>
          <w:sz w:val="24"/>
          <w:szCs w:val="24"/>
        </w:rPr>
        <w:t>la selva del Darién, las personas son</w:t>
      </w:r>
      <w:r>
        <w:rPr>
          <w:rFonts w:cstheme="minorHAnsi"/>
          <w:color w:val="000000" w:themeColor="text1"/>
          <w:sz w:val="24"/>
          <w:szCs w:val="24"/>
        </w:rPr>
        <w:t xml:space="preserve">, por un lado, </w:t>
      </w:r>
      <w:r w:rsidRPr="00DA00FE">
        <w:rPr>
          <w:rFonts w:cstheme="minorHAnsi"/>
          <w:color w:val="000000" w:themeColor="text1"/>
          <w:sz w:val="24"/>
          <w:szCs w:val="24"/>
        </w:rPr>
        <w:t>víctimas de robos, de ataques</w:t>
      </w:r>
      <w:r>
        <w:rPr>
          <w:rFonts w:cstheme="minorHAnsi"/>
          <w:color w:val="000000" w:themeColor="text1"/>
          <w:sz w:val="24"/>
          <w:szCs w:val="24"/>
        </w:rPr>
        <w:t>,</w:t>
      </w:r>
      <w:r w:rsidRPr="00DA00FE">
        <w:rPr>
          <w:rFonts w:cstheme="minorHAnsi"/>
          <w:color w:val="000000" w:themeColor="text1"/>
          <w:sz w:val="24"/>
          <w:szCs w:val="24"/>
        </w:rPr>
        <w:t xml:space="preserve"> secuestros, y homicidios por grupos armados</w:t>
      </w:r>
      <w:r>
        <w:rPr>
          <w:rFonts w:cstheme="minorHAnsi"/>
          <w:color w:val="000000" w:themeColor="text1"/>
          <w:sz w:val="24"/>
          <w:szCs w:val="24"/>
        </w:rPr>
        <w:t xml:space="preserve">; por el otro, en particular </w:t>
      </w:r>
      <w:r w:rsidRPr="00DA00FE">
        <w:rPr>
          <w:rFonts w:cstheme="minorHAnsi"/>
          <w:color w:val="000000" w:themeColor="text1"/>
          <w:sz w:val="24"/>
          <w:szCs w:val="24"/>
        </w:rPr>
        <w:t>las mujeres</w:t>
      </w:r>
      <w:r>
        <w:rPr>
          <w:rFonts w:cstheme="minorHAnsi"/>
          <w:color w:val="000000" w:themeColor="text1"/>
          <w:sz w:val="24"/>
          <w:szCs w:val="24"/>
        </w:rPr>
        <w:t xml:space="preserve"> son víctimas de ab</w:t>
      </w:r>
      <w:r w:rsidRPr="00DA00FE">
        <w:rPr>
          <w:rFonts w:cstheme="minorHAnsi"/>
          <w:color w:val="000000" w:themeColor="text1"/>
          <w:sz w:val="24"/>
          <w:szCs w:val="24"/>
        </w:rPr>
        <w:t xml:space="preserve">usos sexuales </w:t>
      </w:r>
      <w:r>
        <w:rPr>
          <w:rFonts w:cstheme="minorHAnsi"/>
          <w:color w:val="000000" w:themeColor="text1"/>
          <w:sz w:val="24"/>
          <w:szCs w:val="24"/>
        </w:rPr>
        <w:t>y prácticas discriminatorios, p</w:t>
      </w:r>
      <w:r w:rsidRPr="00DA00FE">
        <w:rPr>
          <w:rFonts w:cstheme="minorHAnsi"/>
          <w:color w:val="000000" w:themeColor="text1"/>
          <w:sz w:val="24"/>
          <w:szCs w:val="24"/>
        </w:rPr>
        <w:t>or parte de los mismos grupos</w:t>
      </w:r>
      <w:r>
        <w:rPr>
          <w:rFonts w:cstheme="minorHAnsi"/>
          <w:color w:val="000000" w:themeColor="text1"/>
          <w:sz w:val="24"/>
          <w:szCs w:val="24"/>
        </w:rPr>
        <w:t xml:space="preserve"> migrantes</w:t>
      </w:r>
      <w:r w:rsidRPr="00DA00FE">
        <w:rPr>
          <w:rFonts w:cstheme="minorHAnsi"/>
          <w:color w:val="000000" w:themeColor="text1"/>
          <w:sz w:val="24"/>
          <w:szCs w:val="24"/>
        </w:rPr>
        <w:t xml:space="preserve">.  </w:t>
      </w:r>
    </w:p>
    <w:p w14:paraId="71E5AE11" w14:textId="77777777" w:rsidR="000C171B" w:rsidRPr="00DA00FE" w:rsidRDefault="000C171B" w:rsidP="000C171B">
      <w:pPr>
        <w:spacing w:after="0" w:line="240" w:lineRule="auto"/>
        <w:jc w:val="both"/>
        <w:rPr>
          <w:rFonts w:cstheme="minorHAnsi"/>
          <w:sz w:val="24"/>
          <w:szCs w:val="24"/>
        </w:rPr>
      </w:pPr>
    </w:p>
    <w:p w14:paraId="1353BC3D" w14:textId="77777777" w:rsidR="000C171B" w:rsidRDefault="000C171B" w:rsidP="000C171B">
      <w:pPr>
        <w:spacing w:after="0" w:line="240" w:lineRule="auto"/>
        <w:jc w:val="both"/>
        <w:rPr>
          <w:rFonts w:cstheme="minorHAnsi"/>
          <w:color w:val="000000" w:themeColor="text1"/>
          <w:sz w:val="24"/>
          <w:szCs w:val="24"/>
        </w:rPr>
      </w:pPr>
      <w:r>
        <w:rPr>
          <w:rFonts w:cstheme="minorHAnsi"/>
          <w:color w:val="000000" w:themeColor="text1"/>
          <w:sz w:val="24"/>
          <w:szCs w:val="24"/>
        </w:rPr>
        <w:t xml:space="preserve">No obstante, la </w:t>
      </w:r>
      <w:r w:rsidRPr="00DA00FE">
        <w:rPr>
          <w:rFonts w:cstheme="minorHAnsi"/>
          <w:color w:val="000000" w:themeColor="text1"/>
          <w:sz w:val="24"/>
          <w:szCs w:val="24"/>
        </w:rPr>
        <w:t>situación de derechos humanos de la población de reciente ingreso</w:t>
      </w:r>
      <w:r>
        <w:rPr>
          <w:rFonts w:cstheme="minorHAnsi"/>
          <w:color w:val="000000" w:themeColor="text1"/>
          <w:sz w:val="24"/>
          <w:szCs w:val="24"/>
        </w:rPr>
        <w:t xml:space="preserve">, y en tránsito, tiene relación con </w:t>
      </w:r>
      <w:r w:rsidRPr="00DA00FE">
        <w:rPr>
          <w:rFonts w:cstheme="minorHAnsi"/>
          <w:color w:val="000000" w:themeColor="text1"/>
          <w:sz w:val="24"/>
          <w:szCs w:val="24"/>
        </w:rPr>
        <w:t>la respuesta insuficiente del Estado a la situación de vulneración</w:t>
      </w:r>
      <w:r>
        <w:rPr>
          <w:rFonts w:cstheme="minorHAnsi"/>
          <w:color w:val="000000" w:themeColor="text1"/>
          <w:sz w:val="24"/>
          <w:szCs w:val="24"/>
        </w:rPr>
        <w:t xml:space="preserve">. Además, porque </w:t>
      </w:r>
      <w:r w:rsidRPr="00DA00FE">
        <w:rPr>
          <w:rFonts w:cstheme="minorHAnsi"/>
          <w:color w:val="000000" w:themeColor="text1"/>
          <w:sz w:val="24"/>
          <w:szCs w:val="24"/>
        </w:rPr>
        <w:t>gobernanza de la migración irregular en la frontera sur, iniciada en 2018, se realiza con un enfoque de seguridad nacional a cargo del Servicio Nacional de Fronteras (SENAFRONT)</w:t>
      </w:r>
      <w:r>
        <w:rPr>
          <w:rFonts w:cstheme="minorHAnsi"/>
          <w:color w:val="000000" w:themeColor="text1"/>
          <w:sz w:val="24"/>
          <w:szCs w:val="24"/>
        </w:rPr>
        <w:t xml:space="preserve">, dejando de lado, tanto a la </w:t>
      </w:r>
      <w:r w:rsidRPr="00DA00FE">
        <w:rPr>
          <w:rFonts w:cstheme="minorHAnsi"/>
          <w:color w:val="000000" w:themeColor="text1"/>
          <w:sz w:val="24"/>
          <w:szCs w:val="24"/>
        </w:rPr>
        <w:t>prote</w:t>
      </w:r>
      <w:r>
        <w:rPr>
          <w:rFonts w:cstheme="minorHAnsi"/>
          <w:color w:val="000000" w:themeColor="text1"/>
          <w:sz w:val="24"/>
          <w:szCs w:val="24"/>
        </w:rPr>
        <w:t xml:space="preserve">cción de </w:t>
      </w:r>
      <w:r w:rsidRPr="00DA00FE">
        <w:rPr>
          <w:rFonts w:cstheme="minorHAnsi"/>
          <w:color w:val="000000" w:themeColor="text1"/>
          <w:sz w:val="24"/>
          <w:szCs w:val="24"/>
        </w:rPr>
        <w:t>los derechos humanos</w:t>
      </w:r>
      <w:r>
        <w:rPr>
          <w:rFonts w:cstheme="minorHAnsi"/>
          <w:color w:val="000000" w:themeColor="text1"/>
          <w:sz w:val="24"/>
          <w:szCs w:val="24"/>
        </w:rPr>
        <w:t xml:space="preserve">, como a la </w:t>
      </w:r>
      <w:r w:rsidRPr="00DA00FE">
        <w:rPr>
          <w:rFonts w:cstheme="minorHAnsi"/>
          <w:color w:val="000000" w:themeColor="text1"/>
          <w:sz w:val="24"/>
          <w:szCs w:val="24"/>
        </w:rPr>
        <w:t>asistencia humanitaria (acceso a alimentación, salud, albergue digno, agua y saneamiento)</w:t>
      </w:r>
      <w:r>
        <w:rPr>
          <w:rFonts w:cstheme="minorHAnsi"/>
          <w:color w:val="000000" w:themeColor="text1"/>
          <w:sz w:val="24"/>
          <w:szCs w:val="24"/>
        </w:rPr>
        <w:t xml:space="preserve">. Por lo que </w:t>
      </w:r>
      <w:r w:rsidRPr="00DA00FE">
        <w:rPr>
          <w:rFonts w:cstheme="minorHAnsi"/>
          <w:color w:val="000000" w:themeColor="text1"/>
          <w:sz w:val="24"/>
          <w:szCs w:val="24"/>
        </w:rPr>
        <w:t>los servicios</w:t>
      </w:r>
      <w:r>
        <w:rPr>
          <w:rFonts w:cstheme="minorHAnsi"/>
          <w:color w:val="000000" w:themeColor="text1"/>
          <w:sz w:val="24"/>
          <w:szCs w:val="24"/>
        </w:rPr>
        <w:t xml:space="preserve"> no sólo son </w:t>
      </w:r>
      <w:r w:rsidRPr="00DA00FE">
        <w:rPr>
          <w:rFonts w:cstheme="minorHAnsi"/>
          <w:color w:val="000000" w:themeColor="text1"/>
          <w:sz w:val="24"/>
          <w:szCs w:val="24"/>
        </w:rPr>
        <w:t>insuficientes</w:t>
      </w:r>
      <w:r>
        <w:rPr>
          <w:rFonts w:cstheme="minorHAnsi"/>
          <w:color w:val="000000" w:themeColor="text1"/>
          <w:sz w:val="24"/>
          <w:szCs w:val="24"/>
        </w:rPr>
        <w:t>, sino que además son p</w:t>
      </w:r>
      <w:r w:rsidRPr="00DA00FE">
        <w:rPr>
          <w:rFonts w:cstheme="minorHAnsi"/>
          <w:color w:val="000000" w:themeColor="text1"/>
          <w:sz w:val="24"/>
          <w:szCs w:val="24"/>
        </w:rPr>
        <w:t xml:space="preserve">rovistos de forma irregular </w:t>
      </w:r>
      <w:r>
        <w:rPr>
          <w:rFonts w:cstheme="minorHAnsi"/>
          <w:color w:val="000000" w:themeColor="text1"/>
          <w:sz w:val="24"/>
          <w:szCs w:val="24"/>
        </w:rPr>
        <w:t xml:space="preserve">y de manera </w:t>
      </w:r>
      <w:r w:rsidRPr="00DA00FE">
        <w:rPr>
          <w:rFonts w:cstheme="minorHAnsi"/>
          <w:color w:val="000000" w:themeColor="text1"/>
          <w:sz w:val="24"/>
          <w:szCs w:val="24"/>
        </w:rPr>
        <w:t>inadecuada</w:t>
      </w:r>
      <w:r>
        <w:rPr>
          <w:rFonts w:cstheme="minorHAnsi"/>
          <w:color w:val="000000" w:themeColor="text1"/>
          <w:sz w:val="24"/>
          <w:szCs w:val="24"/>
        </w:rPr>
        <w:t xml:space="preserve">. </w:t>
      </w:r>
      <w:r w:rsidRPr="00DA00FE">
        <w:rPr>
          <w:rFonts w:cstheme="minorHAnsi"/>
          <w:color w:val="000000" w:themeColor="text1"/>
          <w:sz w:val="24"/>
          <w:szCs w:val="24"/>
        </w:rPr>
        <w:t xml:space="preserve"> </w:t>
      </w:r>
      <w:r>
        <w:rPr>
          <w:rFonts w:cstheme="minorHAnsi"/>
          <w:color w:val="000000" w:themeColor="text1"/>
          <w:sz w:val="24"/>
          <w:szCs w:val="24"/>
        </w:rPr>
        <w:t>Es decir, están ausentes: (i) las medidas básicas de</w:t>
      </w:r>
      <w:r w:rsidRPr="00DA00FE">
        <w:rPr>
          <w:rFonts w:cstheme="minorHAnsi"/>
          <w:color w:val="000000" w:themeColor="text1"/>
          <w:sz w:val="24"/>
          <w:szCs w:val="24"/>
        </w:rPr>
        <w:t xml:space="preserve"> protección especial de </w:t>
      </w:r>
      <w:r>
        <w:rPr>
          <w:rFonts w:cstheme="minorHAnsi"/>
          <w:color w:val="000000" w:themeColor="text1"/>
          <w:sz w:val="24"/>
          <w:szCs w:val="24"/>
        </w:rPr>
        <w:t xml:space="preserve">las </w:t>
      </w:r>
      <w:r w:rsidRPr="00DA00FE">
        <w:rPr>
          <w:rFonts w:cstheme="minorHAnsi"/>
          <w:color w:val="000000" w:themeColor="text1"/>
          <w:sz w:val="24"/>
          <w:szCs w:val="24"/>
        </w:rPr>
        <w:t>familias con niñas y niños</w:t>
      </w:r>
      <w:r>
        <w:rPr>
          <w:rFonts w:cstheme="minorHAnsi"/>
          <w:color w:val="000000" w:themeColor="text1"/>
          <w:sz w:val="24"/>
          <w:szCs w:val="24"/>
        </w:rPr>
        <w:t>; (</w:t>
      </w:r>
      <w:proofErr w:type="spellStart"/>
      <w:r>
        <w:rPr>
          <w:rFonts w:cstheme="minorHAnsi"/>
          <w:color w:val="000000" w:themeColor="text1"/>
          <w:sz w:val="24"/>
          <w:szCs w:val="24"/>
        </w:rPr>
        <w:t>ii</w:t>
      </w:r>
      <w:proofErr w:type="spellEnd"/>
      <w:r>
        <w:rPr>
          <w:rFonts w:cstheme="minorHAnsi"/>
          <w:color w:val="000000" w:themeColor="text1"/>
          <w:sz w:val="24"/>
          <w:szCs w:val="24"/>
        </w:rPr>
        <w:t xml:space="preserve">) la </w:t>
      </w:r>
      <w:r w:rsidRPr="00DA00FE">
        <w:rPr>
          <w:rFonts w:cstheme="minorHAnsi"/>
          <w:color w:val="000000" w:themeColor="text1"/>
          <w:sz w:val="24"/>
          <w:szCs w:val="24"/>
        </w:rPr>
        <w:t>investigación de los delitos reportados</w:t>
      </w:r>
      <w:r>
        <w:rPr>
          <w:rFonts w:cstheme="minorHAnsi"/>
          <w:color w:val="000000" w:themeColor="text1"/>
          <w:sz w:val="24"/>
          <w:szCs w:val="24"/>
        </w:rPr>
        <w:t>; (</w:t>
      </w:r>
      <w:proofErr w:type="spellStart"/>
      <w:r>
        <w:rPr>
          <w:rFonts w:cstheme="minorHAnsi"/>
          <w:color w:val="000000" w:themeColor="text1"/>
          <w:sz w:val="24"/>
          <w:szCs w:val="24"/>
        </w:rPr>
        <w:t>iii</w:t>
      </w:r>
      <w:proofErr w:type="spellEnd"/>
      <w:r>
        <w:rPr>
          <w:rFonts w:cstheme="minorHAnsi"/>
          <w:color w:val="000000" w:themeColor="text1"/>
          <w:sz w:val="24"/>
          <w:szCs w:val="24"/>
        </w:rPr>
        <w:t xml:space="preserve">) los </w:t>
      </w:r>
      <w:r w:rsidRPr="00DA00FE">
        <w:rPr>
          <w:rFonts w:cstheme="minorHAnsi"/>
          <w:color w:val="000000" w:themeColor="text1"/>
          <w:sz w:val="24"/>
          <w:szCs w:val="24"/>
        </w:rPr>
        <w:t>protocolos para atender casos de abusos sexuales</w:t>
      </w:r>
      <w:r w:rsidRPr="00DA00FE">
        <w:rPr>
          <w:rStyle w:val="FootnoteReference"/>
          <w:rFonts w:cstheme="minorHAnsi"/>
          <w:color w:val="000000" w:themeColor="text1"/>
          <w:sz w:val="24"/>
          <w:szCs w:val="24"/>
        </w:rPr>
        <w:footnoteReference w:id="45"/>
      </w:r>
      <w:r>
        <w:rPr>
          <w:rFonts w:cstheme="minorHAnsi"/>
          <w:color w:val="000000" w:themeColor="text1"/>
          <w:sz w:val="24"/>
          <w:szCs w:val="24"/>
        </w:rPr>
        <w:t>; (</w:t>
      </w:r>
      <w:proofErr w:type="spellStart"/>
      <w:r>
        <w:rPr>
          <w:rFonts w:cstheme="minorHAnsi"/>
          <w:color w:val="000000" w:themeColor="text1"/>
          <w:sz w:val="24"/>
          <w:szCs w:val="24"/>
        </w:rPr>
        <w:t>iv</w:t>
      </w:r>
      <w:proofErr w:type="spellEnd"/>
      <w:r>
        <w:rPr>
          <w:rFonts w:cstheme="minorHAnsi"/>
          <w:color w:val="000000" w:themeColor="text1"/>
          <w:sz w:val="24"/>
          <w:szCs w:val="24"/>
        </w:rPr>
        <w:t>) l</w:t>
      </w:r>
      <w:r w:rsidRPr="00DA00FE">
        <w:rPr>
          <w:rFonts w:cstheme="minorHAnsi"/>
          <w:color w:val="000000" w:themeColor="text1"/>
          <w:sz w:val="24"/>
          <w:szCs w:val="24"/>
        </w:rPr>
        <w:t xml:space="preserve">a inhumación </w:t>
      </w:r>
      <w:r>
        <w:rPr>
          <w:rFonts w:cstheme="minorHAnsi"/>
          <w:color w:val="000000" w:themeColor="text1"/>
          <w:sz w:val="24"/>
          <w:szCs w:val="24"/>
        </w:rPr>
        <w:t xml:space="preserve">adecuada </w:t>
      </w:r>
      <w:r w:rsidRPr="00DA00FE">
        <w:rPr>
          <w:rFonts w:cstheme="minorHAnsi"/>
          <w:color w:val="000000" w:themeColor="text1"/>
          <w:sz w:val="24"/>
          <w:szCs w:val="24"/>
        </w:rPr>
        <w:t xml:space="preserve">de </w:t>
      </w:r>
      <w:r>
        <w:rPr>
          <w:rFonts w:cstheme="minorHAnsi"/>
          <w:color w:val="000000" w:themeColor="text1"/>
          <w:sz w:val="24"/>
          <w:szCs w:val="24"/>
        </w:rPr>
        <w:t xml:space="preserve">las </w:t>
      </w:r>
      <w:r w:rsidRPr="00DA00FE">
        <w:rPr>
          <w:rFonts w:cstheme="minorHAnsi"/>
          <w:color w:val="000000" w:themeColor="text1"/>
          <w:sz w:val="24"/>
          <w:szCs w:val="24"/>
        </w:rPr>
        <w:t xml:space="preserve">personas, encontrados </w:t>
      </w:r>
      <w:r>
        <w:rPr>
          <w:rFonts w:cstheme="minorHAnsi"/>
          <w:color w:val="000000" w:themeColor="text1"/>
          <w:sz w:val="24"/>
          <w:szCs w:val="24"/>
        </w:rPr>
        <w:t xml:space="preserve">en la selva </w:t>
      </w:r>
      <w:r w:rsidRPr="00DA00FE">
        <w:rPr>
          <w:rFonts w:cstheme="minorHAnsi"/>
          <w:color w:val="000000" w:themeColor="text1"/>
          <w:sz w:val="24"/>
          <w:szCs w:val="24"/>
        </w:rPr>
        <w:t>a lo largo de la ruta migratoria</w:t>
      </w:r>
      <w:r>
        <w:rPr>
          <w:rFonts w:cstheme="minorHAnsi"/>
          <w:color w:val="000000" w:themeColor="text1"/>
          <w:sz w:val="24"/>
          <w:szCs w:val="24"/>
        </w:rPr>
        <w:t xml:space="preserve">.  </w:t>
      </w:r>
    </w:p>
    <w:p w14:paraId="0E691F98" w14:textId="77777777" w:rsidR="000C171B" w:rsidRDefault="000C171B" w:rsidP="000C171B">
      <w:pPr>
        <w:spacing w:after="0" w:line="240" w:lineRule="auto"/>
        <w:jc w:val="both"/>
        <w:rPr>
          <w:rFonts w:cstheme="minorHAnsi"/>
          <w:color w:val="000000" w:themeColor="text1"/>
          <w:sz w:val="24"/>
          <w:szCs w:val="24"/>
        </w:rPr>
      </w:pPr>
    </w:p>
    <w:p w14:paraId="71EDBCDE" w14:textId="77777777" w:rsidR="000C171B" w:rsidRPr="00DA00FE" w:rsidRDefault="000C171B" w:rsidP="000C171B">
      <w:pPr>
        <w:spacing w:after="0" w:line="240" w:lineRule="auto"/>
        <w:jc w:val="both"/>
        <w:rPr>
          <w:rFonts w:cstheme="minorHAnsi"/>
          <w:color w:val="000000" w:themeColor="text1"/>
          <w:sz w:val="24"/>
          <w:szCs w:val="24"/>
        </w:rPr>
      </w:pPr>
      <w:r>
        <w:rPr>
          <w:rFonts w:cstheme="minorHAnsi"/>
          <w:color w:val="000000" w:themeColor="text1"/>
          <w:sz w:val="24"/>
          <w:szCs w:val="24"/>
        </w:rPr>
        <w:t xml:space="preserve">Pero existen también otras prácticas institucionales, vinculadas con situaciones de seguridad nacional, que afectan sensiblemente los derechos de las personas extranjeras. Tal es el caso de: (i) los </w:t>
      </w:r>
      <w:r w:rsidRPr="006D4D78">
        <w:rPr>
          <w:rFonts w:cstheme="minorHAnsi"/>
          <w:color w:val="000000" w:themeColor="text1"/>
          <w:sz w:val="24"/>
          <w:szCs w:val="24"/>
        </w:rPr>
        <w:t xml:space="preserve">procedimientos de obtención de datos biométricos de personas en tránsito </w:t>
      </w:r>
      <w:r>
        <w:rPr>
          <w:rFonts w:cstheme="minorHAnsi"/>
          <w:color w:val="000000" w:themeColor="text1"/>
          <w:sz w:val="24"/>
          <w:szCs w:val="24"/>
        </w:rPr>
        <w:t xml:space="preserve">que </w:t>
      </w:r>
      <w:r w:rsidRPr="006D4D78">
        <w:rPr>
          <w:rFonts w:cstheme="minorHAnsi"/>
          <w:color w:val="000000" w:themeColor="text1"/>
          <w:sz w:val="24"/>
          <w:szCs w:val="24"/>
        </w:rPr>
        <w:t>estaría contrariando los principios de proporcionalidad y necesidad</w:t>
      </w:r>
      <w:r>
        <w:rPr>
          <w:rFonts w:cstheme="minorHAnsi"/>
          <w:color w:val="000000" w:themeColor="text1"/>
          <w:sz w:val="24"/>
          <w:szCs w:val="24"/>
        </w:rPr>
        <w:t>; (</w:t>
      </w:r>
      <w:proofErr w:type="spellStart"/>
      <w:r>
        <w:rPr>
          <w:rFonts w:cstheme="minorHAnsi"/>
          <w:color w:val="000000" w:themeColor="text1"/>
          <w:sz w:val="24"/>
          <w:szCs w:val="24"/>
        </w:rPr>
        <w:t>ii</w:t>
      </w:r>
      <w:proofErr w:type="spellEnd"/>
      <w:r>
        <w:rPr>
          <w:rFonts w:cstheme="minorHAnsi"/>
          <w:color w:val="000000" w:themeColor="text1"/>
          <w:sz w:val="24"/>
          <w:szCs w:val="24"/>
        </w:rPr>
        <w:t xml:space="preserve">) </w:t>
      </w:r>
      <w:r w:rsidRPr="00DA00FE">
        <w:rPr>
          <w:rFonts w:cstheme="minorHAnsi"/>
          <w:color w:val="000000" w:themeColor="text1"/>
          <w:sz w:val="24"/>
          <w:szCs w:val="24"/>
        </w:rPr>
        <w:t xml:space="preserve">la colaboración de las autoridades panameñas en la entrega personas, que </w:t>
      </w:r>
      <w:r>
        <w:rPr>
          <w:rFonts w:cstheme="minorHAnsi"/>
          <w:color w:val="000000" w:themeColor="text1"/>
          <w:sz w:val="24"/>
          <w:szCs w:val="24"/>
        </w:rPr>
        <w:t>“</w:t>
      </w:r>
      <w:r w:rsidRPr="00DA00FE">
        <w:rPr>
          <w:rFonts w:cstheme="minorHAnsi"/>
          <w:color w:val="000000" w:themeColor="text1"/>
          <w:sz w:val="24"/>
          <w:szCs w:val="24"/>
        </w:rPr>
        <w:t>supuestamente</w:t>
      </w:r>
      <w:r>
        <w:rPr>
          <w:rFonts w:cstheme="minorHAnsi"/>
          <w:color w:val="000000" w:themeColor="text1"/>
          <w:sz w:val="24"/>
          <w:szCs w:val="24"/>
        </w:rPr>
        <w:t>”</w:t>
      </w:r>
      <w:r w:rsidRPr="00DA00FE">
        <w:rPr>
          <w:rFonts w:cstheme="minorHAnsi"/>
          <w:color w:val="000000" w:themeColor="text1"/>
          <w:sz w:val="24"/>
          <w:szCs w:val="24"/>
        </w:rPr>
        <w:t xml:space="preserve"> tienen una alerta migratoria internacional, al margen del debido proceso.</w:t>
      </w:r>
    </w:p>
    <w:p w14:paraId="487388C2" w14:textId="77777777" w:rsidR="000C171B" w:rsidRPr="00DA00FE" w:rsidRDefault="000C171B" w:rsidP="000C171B">
      <w:pPr>
        <w:spacing w:after="0" w:line="240" w:lineRule="auto"/>
        <w:jc w:val="both"/>
        <w:rPr>
          <w:rFonts w:cstheme="minorHAnsi"/>
          <w:sz w:val="24"/>
          <w:szCs w:val="24"/>
        </w:rPr>
      </w:pPr>
    </w:p>
    <w:p w14:paraId="13525AEA" w14:textId="77777777" w:rsidR="000C171B" w:rsidRPr="00DA00FE" w:rsidRDefault="000C171B" w:rsidP="000C171B">
      <w:pPr>
        <w:spacing w:after="0" w:line="240" w:lineRule="auto"/>
        <w:jc w:val="both"/>
        <w:rPr>
          <w:rFonts w:cstheme="minorHAnsi"/>
          <w:sz w:val="24"/>
          <w:szCs w:val="24"/>
        </w:rPr>
      </w:pPr>
      <w:r>
        <w:rPr>
          <w:rFonts w:cstheme="minorHAnsi"/>
          <w:sz w:val="24"/>
          <w:szCs w:val="24"/>
        </w:rPr>
        <w:t xml:space="preserve">Sin embargo, </w:t>
      </w:r>
      <w:r w:rsidRPr="00DA00FE">
        <w:rPr>
          <w:rFonts w:cstheme="minorHAnsi"/>
          <w:sz w:val="24"/>
          <w:szCs w:val="24"/>
        </w:rPr>
        <w:t xml:space="preserve">en Panamá no sólo se registran ciclos inmigratorios en distintas condiciones. También se registran procesos cíclicos de emigración. La población indígena </w:t>
      </w:r>
      <w:proofErr w:type="spellStart"/>
      <w:r w:rsidRPr="00DA00FE">
        <w:rPr>
          <w:rFonts w:cstheme="minorHAnsi"/>
          <w:sz w:val="24"/>
          <w:szCs w:val="24"/>
        </w:rPr>
        <w:t>ngäbe-buglé</w:t>
      </w:r>
      <w:proofErr w:type="spellEnd"/>
      <w:r w:rsidRPr="00DA00FE">
        <w:rPr>
          <w:rFonts w:cstheme="minorHAnsi"/>
          <w:sz w:val="24"/>
          <w:szCs w:val="24"/>
        </w:rPr>
        <w:t>, la más numerosa del país, ubicada en zonas con pocas vías de acceso y presencia de condicionantes económicos</w:t>
      </w:r>
      <w:r>
        <w:rPr>
          <w:rFonts w:cstheme="minorHAnsi"/>
          <w:sz w:val="24"/>
          <w:szCs w:val="24"/>
        </w:rPr>
        <w:t>, sociales, ambientales</w:t>
      </w:r>
      <w:r w:rsidRPr="00DA00FE">
        <w:rPr>
          <w:rFonts w:cstheme="minorHAnsi"/>
          <w:sz w:val="24"/>
          <w:szCs w:val="24"/>
        </w:rPr>
        <w:t xml:space="preserve"> y culturales, emigra hacia Costa Rica para participar, según la temporada, en la cosecha del café, banano, piña y hortalizas. Según diversas investigaciones realizadas, cada persona que se moviliza cíclicamente se encuentra acompañado de familiares entre ellos, niños, niñas y adolescentes que colaboran en el proceso de recolección agrícola</w:t>
      </w:r>
      <w:r>
        <w:rPr>
          <w:rFonts w:cstheme="minorHAnsi"/>
          <w:sz w:val="24"/>
          <w:szCs w:val="24"/>
        </w:rPr>
        <w:t xml:space="preserve"> (OIT, 2018)</w:t>
      </w:r>
      <w:r w:rsidRPr="00DA00FE">
        <w:rPr>
          <w:rFonts w:cstheme="minorHAnsi"/>
          <w:sz w:val="24"/>
          <w:szCs w:val="24"/>
        </w:rPr>
        <w:t xml:space="preserve">. Sin embargo, no existe una cifra exacta de los niños, niñas </w:t>
      </w:r>
      <w:r w:rsidRPr="00DA00FE">
        <w:rPr>
          <w:rFonts w:cstheme="minorHAnsi"/>
          <w:sz w:val="24"/>
          <w:szCs w:val="24"/>
        </w:rPr>
        <w:lastRenderedPageBreak/>
        <w:t xml:space="preserve">y adolescentes involucrados </w:t>
      </w:r>
      <w:r>
        <w:rPr>
          <w:rFonts w:cstheme="minorHAnsi"/>
          <w:sz w:val="24"/>
          <w:szCs w:val="24"/>
        </w:rPr>
        <w:t xml:space="preserve">tanto el proceso de emigración, como en los tipos de </w:t>
      </w:r>
      <w:r w:rsidRPr="00DA00FE">
        <w:rPr>
          <w:rFonts w:cstheme="minorHAnsi"/>
          <w:sz w:val="24"/>
          <w:szCs w:val="24"/>
        </w:rPr>
        <w:t>trabajo estacional</w:t>
      </w:r>
      <w:r>
        <w:rPr>
          <w:rFonts w:cstheme="minorHAnsi"/>
          <w:sz w:val="24"/>
          <w:szCs w:val="24"/>
        </w:rPr>
        <w:t xml:space="preserve"> que realizan</w:t>
      </w:r>
      <w:r w:rsidRPr="00DA00FE">
        <w:rPr>
          <w:rFonts w:cstheme="minorHAnsi"/>
          <w:sz w:val="24"/>
          <w:szCs w:val="24"/>
        </w:rPr>
        <w:t xml:space="preserve">, porque generalmente </w:t>
      </w:r>
      <w:r>
        <w:rPr>
          <w:rFonts w:cstheme="minorHAnsi"/>
          <w:sz w:val="24"/>
          <w:szCs w:val="24"/>
        </w:rPr>
        <w:t xml:space="preserve">no son </w:t>
      </w:r>
      <w:r w:rsidRPr="00DA00FE">
        <w:rPr>
          <w:rFonts w:cstheme="minorHAnsi"/>
          <w:sz w:val="24"/>
          <w:szCs w:val="24"/>
        </w:rPr>
        <w:t>registra</w:t>
      </w:r>
      <w:r>
        <w:rPr>
          <w:rFonts w:cstheme="minorHAnsi"/>
          <w:sz w:val="24"/>
          <w:szCs w:val="24"/>
        </w:rPr>
        <w:t>dos</w:t>
      </w:r>
      <w:r w:rsidRPr="00DA00FE">
        <w:rPr>
          <w:rFonts w:cstheme="minorHAnsi"/>
          <w:sz w:val="24"/>
          <w:szCs w:val="24"/>
        </w:rPr>
        <w:t xml:space="preserve"> como trabajadores. Por lo cual </w:t>
      </w:r>
      <w:r>
        <w:rPr>
          <w:rFonts w:cstheme="minorHAnsi"/>
          <w:sz w:val="24"/>
          <w:szCs w:val="24"/>
        </w:rPr>
        <w:t xml:space="preserve">las </w:t>
      </w:r>
      <w:r w:rsidRPr="00DA00FE">
        <w:rPr>
          <w:rFonts w:cstheme="minorHAnsi"/>
          <w:sz w:val="24"/>
          <w:szCs w:val="24"/>
        </w:rPr>
        <w:t xml:space="preserve">estadísticas </w:t>
      </w:r>
      <w:r>
        <w:rPr>
          <w:rFonts w:cstheme="minorHAnsi"/>
          <w:sz w:val="24"/>
          <w:szCs w:val="24"/>
        </w:rPr>
        <w:t xml:space="preserve">sobre los ciclos </w:t>
      </w:r>
      <w:r w:rsidRPr="00DA00FE">
        <w:rPr>
          <w:rFonts w:cstheme="minorHAnsi"/>
          <w:sz w:val="24"/>
          <w:szCs w:val="24"/>
        </w:rPr>
        <w:t xml:space="preserve">migratorias no reflejan de manera completa la </w:t>
      </w:r>
      <w:r>
        <w:rPr>
          <w:rFonts w:cstheme="minorHAnsi"/>
          <w:sz w:val="24"/>
          <w:szCs w:val="24"/>
        </w:rPr>
        <w:t xml:space="preserve">dinámica transfronteriza </w:t>
      </w:r>
      <w:r w:rsidRPr="00DA00FE">
        <w:rPr>
          <w:rFonts w:cstheme="minorHAnsi"/>
          <w:sz w:val="24"/>
          <w:szCs w:val="24"/>
        </w:rPr>
        <w:t xml:space="preserve">relacionada con la recolección de café, banano, piña y hortalizas. </w:t>
      </w:r>
    </w:p>
    <w:p w14:paraId="59766DB7" w14:textId="77777777" w:rsidR="000C171B" w:rsidRPr="00DA00FE" w:rsidRDefault="000C171B" w:rsidP="000C171B">
      <w:pPr>
        <w:spacing w:after="0" w:line="240" w:lineRule="auto"/>
        <w:jc w:val="both"/>
        <w:rPr>
          <w:rFonts w:cstheme="minorHAnsi"/>
          <w:sz w:val="24"/>
          <w:szCs w:val="24"/>
        </w:rPr>
      </w:pPr>
    </w:p>
    <w:p w14:paraId="2F5BF3DA" w14:textId="77777777" w:rsidR="000C171B" w:rsidRPr="00DA00FE" w:rsidRDefault="000C171B" w:rsidP="000C171B">
      <w:pPr>
        <w:spacing w:after="0" w:line="240" w:lineRule="auto"/>
        <w:jc w:val="both"/>
        <w:rPr>
          <w:rFonts w:cstheme="minorHAnsi"/>
          <w:sz w:val="24"/>
          <w:szCs w:val="24"/>
        </w:rPr>
      </w:pPr>
      <w:r w:rsidRPr="00DA00FE">
        <w:rPr>
          <w:rFonts w:cstheme="minorHAnsi"/>
          <w:sz w:val="24"/>
          <w:szCs w:val="24"/>
        </w:rPr>
        <w:t xml:space="preserve">Por año, aproximadamente, 13,000 indígenas </w:t>
      </w:r>
      <w:proofErr w:type="spellStart"/>
      <w:r w:rsidRPr="00DA00FE">
        <w:rPr>
          <w:rFonts w:cstheme="minorHAnsi"/>
          <w:sz w:val="24"/>
          <w:szCs w:val="24"/>
        </w:rPr>
        <w:t>ngäbe-buglé</w:t>
      </w:r>
      <w:proofErr w:type="spellEnd"/>
      <w:r w:rsidRPr="00DA00FE">
        <w:rPr>
          <w:rFonts w:cstheme="minorHAnsi"/>
          <w:sz w:val="24"/>
          <w:szCs w:val="24"/>
        </w:rPr>
        <w:t xml:space="preserve"> reciben salvoconductos para viajar a Costa Rica y participar en labores agrícolas </w:t>
      </w:r>
      <w:r>
        <w:rPr>
          <w:rFonts w:cstheme="minorHAnsi"/>
          <w:sz w:val="24"/>
          <w:szCs w:val="24"/>
        </w:rPr>
        <w:t xml:space="preserve">en: (i) </w:t>
      </w:r>
      <w:r w:rsidRPr="00DA00FE">
        <w:rPr>
          <w:rFonts w:cstheme="minorHAnsi"/>
          <w:sz w:val="24"/>
          <w:szCs w:val="24"/>
        </w:rPr>
        <w:t>Zona Atlántica Sur</w:t>
      </w:r>
      <w:r>
        <w:rPr>
          <w:rFonts w:cstheme="minorHAnsi"/>
          <w:sz w:val="24"/>
          <w:szCs w:val="24"/>
        </w:rPr>
        <w:t>; (</w:t>
      </w:r>
      <w:proofErr w:type="spellStart"/>
      <w:r>
        <w:rPr>
          <w:rFonts w:cstheme="minorHAnsi"/>
          <w:sz w:val="24"/>
          <w:szCs w:val="24"/>
        </w:rPr>
        <w:t>ii</w:t>
      </w:r>
      <w:proofErr w:type="spellEnd"/>
      <w:r>
        <w:rPr>
          <w:rFonts w:cstheme="minorHAnsi"/>
          <w:sz w:val="24"/>
          <w:szCs w:val="24"/>
        </w:rPr>
        <w:t xml:space="preserve">) </w:t>
      </w:r>
      <w:r w:rsidRPr="00DA00FE">
        <w:rPr>
          <w:rFonts w:cstheme="minorHAnsi"/>
          <w:sz w:val="24"/>
          <w:szCs w:val="24"/>
        </w:rPr>
        <w:t>región Bribri-Sixaola</w:t>
      </w:r>
      <w:r>
        <w:rPr>
          <w:rFonts w:cstheme="minorHAnsi"/>
          <w:sz w:val="24"/>
          <w:szCs w:val="24"/>
        </w:rPr>
        <w:t>; (</w:t>
      </w:r>
      <w:proofErr w:type="spellStart"/>
      <w:r>
        <w:rPr>
          <w:rFonts w:cstheme="minorHAnsi"/>
          <w:sz w:val="24"/>
          <w:szCs w:val="24"/>
        </w:rPr>
        <w:t>iii</w:t>
      </w:r>
      <w:proofErr w:type="spellEnd"/>
      <w:r>
        <w:rPr>
          <w:rFonts w:cstheme="minorHAnsi"/>
          <w:sz w:val="24"/>
          <w:szCs w:val="24"/>
        </w:rPr>
        <w:t xml:space="preserve">) </w:t>
      </w:r>
      <w:r w:rsidRPr="00DA00FE">
        <w:rPr>
          <w:rFonts w:cstheme="minorHAnsi"/>
          <w:sz w:val="24"/>
          <w:szCs w:val="24"/>
        </w:rPr>
        <w:t>ruta migratoria de San Vito de Coto Brus</w:t>
      </w:r>
      <w:r>
        <w:rPr>
          <w:rFonts w:cstheme="minorHAnsi"/>
          <w:sz w:val="24"/>
          <w:szCs w:val="24"/>
        </w:rPr>
        <w:t xml:space="preserve"> y</w:t>
      </w:r>
      <w:r w:rsidRPr="00DA00FE">
        <w:rPr>
          <w:rFonts w:cstheme="minorHAnsi"/>
          <w:sz w:val="24"/>
          <w:szCs w:val="24"/>
        </w:rPr>
        <w:t xml:space="preserve"> Pérez Zeledón</w:t>
      </w:r>
      <w:r>
        <w:rPr>
          <w:rFonts w:cstheme="minorHAnsi"/>
          <w:sz w:val="24"/>
          <w:szCs w:val="24"/>
        </w:rPr>
        <w:t>; (</w:t>
      </w:r>
      <w:proofErr w:type="spellStart"/>
      <w:r>
        <w:rPr>
          <w:rFonts w:cstheme="minorHAnsi"/>
          <w:sz w:val="24"/>
          <w:szCs w:val="24"/>
        </w:rPr>
        <w:t>iv</w:t>
      </w:r>
      <w:proofErr w:type="spellEnd"/>
      <w:r>
        <w:rPr>
          <w:rFonts w:cstheme="minorHAnsi"/>
          <w:sz w:val="24"/>
          <w:szCs w:val="24"/>
        </w:rPr>
        <w:t xml:space="preserve">) </w:t>
      </w:r>
      <w:r w:rsidRPr="00DA00FE">
        <w:rPr>
          <w:rFonts w:cstheme="minorHAnsi"/>
          <w:sz w:val="24"/>
          <w:szCs w:val="24"/>
        </w:rPr>
        <w:t xml:space="preserve">zona de Los Santos. Esta población que se traslada a Costa Rica para la cosecha del </w:t>
      </w:r>
      <w:r>
        <w:rPr>
          <w:rFonts w:cstheme="minorHAnsi"/>
          <w:sz w:val="24"/>
          <w:szCs w:val="24"/>
        </w:rPr>
        <w:t>c</w:t>
      </w:r>
      <w:r w:rsidRPr="00DA00FE">
        <w:rPr>
          <w:rFonts w:cstheme="minorHAnsi"/>
          <w:sz w:val="24"/>
          <w:szCs w:val="24"/>
        </w:rPr>
        <w:t>afé</w:t>
      </w:r>
      <w:r>
        <w:rPr>
          <w:rFonts w:cstheme="minorHAnsi"/>
          <w:sz w:val="24"/>
          <w:szCs w:val="24"/>
        </w:rPr>
        <w:t>,</w:t>
      </w:r>
      <w:r w:rsidRPr="00DA00FE">
        <w:rPr>
          <w:rFonts w:cstheme="minorHAnsi"/>
          <w:sz w:val="24"/>
          <w:szCs w:val="24"/>
        </w:rPr>
        <w:t xml:space="preserve"> banano, piña y hortalizas </w:t>
      </w:r>
      <w:r>
        <w:rPr>
          <w:rFonts w:cstheme="minorHAnsi"/>
          <w:sz w:val="24"/>
          <w:szCs w:val="24"/>
        </w:rPr>
        <w:t xml:space="preserve">se encuentra en situación de </w:t>
      </w:r>
      <w:r w:rsidRPr="00DA00FE">
        <w:rPr>
          <w:rFonts w:cstheme="minorHAnsi"/>
          <w:sz w:val="24"/>
          <w:szCs w:val="24"/>
        </w:rPr>
        <w:t>vulnerab</w:t>
      </w:r>
      <w:r>
        <w:rPr>
          <w:rFonts w:cstheme="minorHAnsi"/>
          <w:sz w:val="24"/>
          <w:szCs w:val="24"/>
        </w:rPr>
        <w:t xml:space="preserve">ilidad </w:t>
      </w:r>
      <w:r w:rsidRPr="00DA00FE">
        <w:rPr>
          <w:rFonts w:cstheme="minorHAnsi"/>
          <w:sz w:val="24"/>
          <w:szCs w:val="24"/>
        </w:rPr>
        <w:t>y riesgo</w:t>
      </w:r>
      <w:r>
        <w:rPr>
          <w:rFonts w:cstheme="minorHAnsi"/>
          <w:sz w:val="24"/>
          <w:szCs w:val="24"/>
        </w:rPr>
        <w:t>,</w:t>
      </w:r>
      <w:r w:rsidRPr="00DA00FE">
        <w:rPr>
          <w:rFonts w:cstheme="minorHAnsi"/>
          <w:sz w:val="24"/>
          <w:szCs w:val="24"/>
        </w:rPr>
        <w:t xml:space="preserve"> porque</w:t>
      </w:r>
      <w:r>
        <w:rPr>
          <w:rFonts w:cstheme="minorHAnsi"/>
          <w:sz w:val="24"/>
          <w:szCs w:val="24"/>
        </w:rPr>
        <w:t xml:space="preserve">, entre otros, </w:t>
      </w:r>
      <w:r w:rsidRPr="00DA00FE">
        <w:rPr>
          <w:rFonts w:cstheme="minorHAnsi"/>
          <w:sz w:val="24"/>
          <w:szCs w:val="24"/>
        </w:rPr>
        <w:t xml:space="preserve">la atención en salud y educación se hacen </w:t>
      </w:r>
      <w:r>
        <w:rPr>
          <w:rFonts w:cstheme="minorHAnsi"/>
          <w:sz w:val="24"/>
          <w:szCs w:val="24"/>
        </w:rPr>
        <w:t>interculturalmente</w:t>
      </w:r>
      <w:r w:rsidRPr="00DA00FE">
        <w:rPr>
          <w:rFonts w:cstheme="minorHAnsi"/>
          <w:sz w:val="24"/>
          <w:szCs w:val="24"/>
        </w:rPr>
        <w:t xml:space="preserve"> más complejas. Por ello</w:t>
      </w:r>
      <w:r>
        <w:rPr>
          <w:rFonts w:cstheme="minorHAnsi"/>
          <w:sz w:val="24"/>
          <w:szCs w:val="24"/>
        </w:rPr>
        <w:t>,</w:t>
      </w:r>
      <w:r w:rsidRPr="00DA00FE">
        <w:rPr>
          <w:rFonts w:cstheme="minorHAnsi"/>
          <w:sz w:val="24"/>
          <w:szCs w:val="24"/>
        </w:rPr>
        <w:t xml:space="preserve"> Panamá firmó e</w:t>
      </w:r>
      <w:r>
        <w:rPr>
          <w:rFonts w:cstheme="minorHAnsi"/>
          <w:sz w:val="24"/>
          <w:szCs w:val="24"/>
        </w:rPr>
        <w:t>n</w:t>
      </w:r>
      <w:r w:rsidRPr="00DA00FE">
        <w:rPr>
          <w:rFonts w:cstheme="minorHAnsi"/>
          <w:sz w:val="24"/>
          <w:szCs w:val="24"/>
        </w:rPr>
        <w:t xml:space="preserve"> 14 de mayo de 2009</w:t>
      </w:r>
      <w:r>
        <w:rPr>
          <w:rFonts w:cstheme="minorHAnsi"/>
          <w:sz w:val="24"/>
          <w:szCs w:val="24"/>
        </w:rPr>
        <w:t>,</w:t>
      </w:r>
      <w:r w:rsidRPr="00DA00FE">
        <w:rPr>
          <w:rFonts w:cstheme="minorHAnsi"/>
          <w:sz w:val="24"/>
          <w:szCs w:val="24"/>
        </w:rPr>
        <w:t xml:space="preserve"> el Acuerdo entre Costa Rica y Panamá que permite la administración de los flujos migratorios </w:t>
      </w:r>
      <w:r>
        <w:rPr>
          <w:rFonts w:cstheme="minorHAnsi"/>
          <w:sz w:val="24"/>
          <w:szCs w:val="24"/>
        </w:rPr>
        <w:t xml:space="preserve">de </w:t>
      </w:r>
      <w:r w:rsidRPr="00DA00FE">
        <w:rPr>
          <w:rFonts w:cstheme="minorHAnsi"/>
          <w:sz w:val="24"/>
          <w:szCs w:val="24"/>
        </w:rPr>
        <w:t>trabajadores indígenas Ngäbe-Buglé</w:t>
      </w:r>
      <w:r>
        <w:rPr>
          <w:rFonts w:cstheme="minorHAnsi"/>
          <w:sz w:val="24"/>
          <w:szCs w:val="24"/>
        </w:rPr>
        <w:t xml:space="preserve"> </w:t>
      </w:r>
      <w:r w:rsidRPr="00DA00FE">
        <w:rPr>
          <w:rFonts w:cstheme="minorHAnsi"/>
          <w:sz w:val="24"/>
          <w:szCs w:val="24"/>
        </w:rPr>
        <w:t>(OIM</w:t>
      </w:r>
      <w:r>
        <w:rPr>
          <w:rFonts w:cstheme="minorHAnsi"/>
          <w:sz w:val="24"/>
          <w:szCs w:val="24"/>
        </w:rPr>
        <w:t>,</w:t>
      </w:r>
      <w:r w:rsidRPr="00DA00FE">
        <w:rPr>
          <w:rFonts w:cstheme="minorHAnsi"/>
          <w:sz w:val="24"/>
          <w:szCs w:val="24"/>
        </w:rPr>
        <w:t xml:space="preserve"> 2019).</w:t>
      </w:r>
      <w:r>
        <w:rPr>
          <w:rFonts w:cstheme="minorHAnsi"/>
          <w:sz w:val="24"/>
          <w:szCs w:val="24"/>
        </w:rPr>
        <w:t xml:space="preserve"> No obstante, el mismo no ha sido evaluado para conocer su efectividad e impacto la movilidad transfronteriza la población indígena.</w:t>
      </w:r>
    </w:p>
    <w:p w14:paraId="75A6BB06" w14:textId="77777777" w:rsidR="000C171B" w:rsidRDefault="000C171B" w:rsidP="000C171B">
      <w:pPr>
        <w:spacing w:after="0" w:line="240" w:lineRule="auto"/>
        <w:jc w:val="both"/>
        <w:rPr>
          <w:rFonts w:cstheme="minorHAnsi"/>
          <w:sz w:val="24"/>
          <w:szCs w:val="24"/>
        </w:rPr>
      </w:pPr>
    </w:p>
    <w:p w14:paraId="1861C44D" w14:textId="77777777" w:rsidR="000C171B" w:rsidRPr="00BA7353" w:rsidRDefault="000C171B" w:rsidP="000C171B">
      <w:pPr>
        <w:spacing w:after="0" w:line="240" w:lineRule="auto"/>
        <w:jc w:val="both"/>
        <w:rPr>
          <w:rFonts w:cstheme="minorHAnsi"/>
          <w:b/>
          <w:bCs/>
          <w:color w:val="4472C4" w:themeColor="accent1"/>
          <w:sz w:val="24"/>
          <w:szCs w:val="24"/>
        </w:rPr>
      </w:pPr>
      <w:r w:rsidRPr="00BA7353">
        <w:rPr>
          <w:rFonts w:cstheme="minorHAnsi"/>
          <w:b/>
          <w:bCs/>
          <w:color w:val="4472C4" w:themeColor="accent1"/>
          <w:sz w:val="24"/>
          <w:szCs w:val="24"/>
        </w:rPr>
        <w:t>6.1.2. Crimen organizado.</w:t>
      </w:r>
    </w:p>
    <w:p w14:paraId="79B47FD5" w14:textId="77777777" w:rsidR="000C171B" w:rsidRPr="00DA00FE" w:rsidRDefault="000C171B" w:rsidP="000C171B">
      <w:pPr>
        <w:spacing w:after="0" w:line="240" w:lineRule="auto"/>
        <w:jc w:val="both"/>
        <w:rPr>
          <w:rFonts w:cstheme="minorHAnsi"/>
          <w:sz w:val="24"/>
          <w:szCs w:val="24"/>
        </w:rPr>
      </w:pPr>
    </w:p>
    <w:p w14:paraId="1C99019F" w14:textId="77777777" w:rsidR="000C171B" w:rsidRPr="00F60F82" w:rsidRDefault="000C171B" w:rsidP="000C171B">
      <w:pPr>
        <w:spacing w:after="0" w:line="240" w:lineRule="auto"/>
        <w:jc w:val="both"/>
        <w:rPr>
          <w:rFonts w:cstheme="minorHAnsi"/>
          <w:color w:val="000000" w:themeColor="text1"/>
          <w:sz w:val="24"/>
          <w:szCs w:val="24"/>
        </w:rPr>
      </w:pPr>
      <w:r w:rsidRPr="00F60F82">
        <w:rPr>
          <w:rFonts w:cstheme="minorHAnsi"/>
          <w:color w:val="000000" w:themeColor="text1"/>
          <w:sz w:val="24"/>
          <w:szCs w:val="24"/>
        </w:rPr>
        <w:t>A partir de la década del noventa, las actividades del crimen organizado incrementaron su capacidad de incidir en el ámbito nacional, como resultado, por un lado, de la ausencia de políticas transfronterizas adecuadas; por el otro, de problemas emergentes derivados de la transmisión intergeneracional y regional de las desigualdades. Es decir, se han puesto en evidencia los problemas de pobreza, desigualdad e inseguridad regionales que han derivado en crisis políticas y en una mayor emigración irregular ante la falta de oportunidades económicas (BID, 2019). En Centroamérica, aproximadamente el 5% del PIB regional, está vinculado, directa e indirectamente, con el narcotráfico (MINSEG, 2017).</w:t>
      </w:r>
    </w:p>
    <w:p w14:paraId="34DFF253" w14:textId="77777777" w:rsidR="000C171B" w:rsidRDefault="000C171B" w:rsidP="000C171B">
      <w:pPr>
        <w:spacing w:after="0" w:line="240" w:lineRule="auto"/>
        <w:jc w:val="both"/>
        <w:rPr>
          <w:rFonts w:cstheme="minorHAnsi"/>
          <w:sz w:val="24"/>
          <w:szCs w:val="24"/>
        </w:rPr>
      </w:pPr>
    </w:p>
    <w:p w14:paraId="0E603186" w14:textId="77777777" w:rsidR="000C171B" w:rsidRPr="00DA00FE" w:rsidRDefault="000C171B" w:rsidP="000C171B">
      <w:pPr>
        <w:spacing w:after="0" w:line="240" w:lineRule="auto"/>
        <w:jc w:val="both"/>
        <w:rPr>
          <w:rFonts w:cstheme="minorHAnsi"/>
          <w:sz w:val="24"/>
          <w:szCs w:val="24"/>
        </w:rPr>
      </w:pPr>
      <w:r w:rsidRPr="00DA00FE">
        <w:rPr>
          <w:rFonts w:cstheme="minorHAnsi"/>
          <w:sz w:val="24"/>
          <w:szCs w:val="24"/>
        </w:rPr>
        <w:t xml:space="preserve">El crimen organizado, la violencia y la inseguridad </w:t>
      </w:r>
      <w:r>
        <w:rPr>
          <w:rFonts w:cstheme="minorHAnsi"/>
          <w:sz w:val="24"/>
          <w:szCs w:val="24"/>
        </w:rPr>
        <w:t xml:space="preserve">en el país, </w:t>
      </w:r>
      <w:r w:rsidRPr="00DA00FE">
        <w:rPr>
          <w:rFonts w:cstheme="minorHAnsi"/>
          <w:sz w:val="24"/>
          <w:szCs w:val="24"/>
        </w:rPr>
        <w:t xml:space="preserve">limitan e inciden en el </w:t>
      </w:r>
      <w:r>
        <w:rPr>
          <w:rFonts w:cstheme="minorHAnsi"/>
          <w:sz w:val="24"/>
          <w:szCs w:val="24"/>
        </w:rPr>
        <w:t>l</w:t>
      </w:r>
      <w:r w:rsidRPr="00DA00FE">
        <w:rPr>
          <w:rFonts w:cstheme="minorHAnsi"/>
          <w:sz w:val="24"/>
          <w:szCs w:val="24"/>
        </w:rPr>
        <w:t>ibre ejercicio de los derechos humanos</w:t>
      </w:r>
      <w:r>
        <w:rPr>
          <w:rFonts w:cstheme="minorHAnsi"/>
          <w:sz w:val="24"/>
          <w:szCs w:val="24"/>
        </w:rPr>
        <w:t xml:space="preserve"> de las personas</w:t>
      </w:r>
      <w:r w:rsidRPr="00DA00FE">
        <w:rPr>
          <w:rFonts w:cstheme="minorHAnsi"/>
          <w:sz w:val="24"/>
          <w:szCs w:val="24"/>
        </w:rPr>
        <w:t xml:space="preserve">, la generación de mejores condiciones de desarrollo y el fortalecimiento de la gobernabilidad democrática. El </w:t>
      </w:r>
      <w:r>
        <w:rPr>
          <w:rFonts w:cstheme="minorHAnsi"/>
          <w:sz w:val="24"/>
          <w:szCs w:val="24"/>
        </w:rPr>
        <w:t xml:space="preserve">incremento de las actividades del </w:t>
      </w:r>
      <w:r w:rsidRPr="00DA00FE">
        <w:rPr>
          <w:rFonts w:cstheme="minorHAnsi"/>
          <w:sz w:val="24"/>
          <w:szCs w:val="24"/>
        </w:rPr>
        <w:t>crimen organizado muestra que existe una distribución desigual de</w:t>
      </w:r>
      <w:r>
        <w:rPr>
          <w:rFonts w:cstheme="minorHAnsi"/>
          <w:sz w:val="24"/>
          <w:szCs w:val="24"/>
        </w:rPr>
        <w:t xml:space="preserve">l derecho </w:t>
      </w:r>
      <w:r w:rsidRPr="000C0403">
        <w:rPr>
          <w:rFonts w:cstheme="minorHAnsi"/>
          <w:sz w:val="24"/>
          <w:szCs w:val="24"/>
        </w:rPr>
        <w:t>a</w:t>
      </w:r>
      <w:r>
        <w:rPr>
          <w:rFonts w:cstheme="minorHAnsi"/>
          <w:sz w:val="24"/>
          <w:szCs w:val="24"/>
        </w:rPr>
        <w:t xml:space="preserve"> </w:t>
      </w:r>
      <w:r w:rsidRPr="000C0403">
        <w:rPr>
          <w:rFonts w:cstheme="minorHAnsi"/>
          <w:sz w:val="24"/>
          <w:szCs w:val="24"/>
        </w:rPr>
        <w:t>una vida</w:t>
      </w:r>
      <w:r>
        <w:rPr>
          <w:rFonts w:cstheme="minorHAnsi"/>
          <w:sz w:val="24"/>
          <w:szCs w:val="24"/>
        </w:rPr>
        <w:t xml:space="preserve"> </w:t>
      </w:r>
      <w:r w:rsidRPr="000C0403">
        <w:rPr>
          <w:rFonts w:cstheme="minorHAnsi"/>
          <w:sz w:val="24"/>
          <w:szCs w:val="24"/>
        </w:rPr>
        <w:t>libre de</w:t>
      </w:r>
      <w:r>
        <w:rPr>
          <w:rFonts w:cstheme="minorHAnsi"/>
          <w:sz w:val="24"/>
          <w:szCs w:val="24"/>
        </w:rPr>
        <w:t xml:space="preserve"> </w:t>
      </w:r>
      <w:r w:rsidRPr="000C0403">
        <w:rPr>
          <w:rFonts w:cstheme="minorHAnsi"/>
          <w:sz w:val="24"/>
          <w:szCs w:val="24"/>
        </w:rPr>
        <w:t>violencia</w:t>
      </w:r>
      <w:r w:rsidRPr="00DA00FE">
        <w:rPr>
          <w:rFonts w:cstheme="minorHAnsi"/>
          <w:sz w:val="24"/>
          <w:szCs w:val="24"/>
        </w:rPr>
        <w:t>. Es decir, l</w:t>
      </w:r>
      <w:r>
        <w:rPr>
          <w:rFonts w:cstheme="minorHAnsi"/>
          <w:sz w:val="24"/>
          <w:szCs w:val="24"/>
        </w:rPr>
        <w:t>os</w:t>
      </w:r>
      <w:r w:rsidRPr="00DA00FE">
        <w:rPr>
          <w:rFonts w:cstheme="minorHAnsi"/>
          <w:sz w:val="24"/>
          <w:szCs w:val="24"/>
        </w:rPr>
        <w:t xml:space="preserve"> mecanismos para la protección eficiente de las poblaciones y personas </w:t>
      </w:r>
      <w:r>
        <w:rPr>
          <w:rFonts w:cstheme="minorHAnsi"/>
          <w:sz w:val="24"/>
          <w:szCs w:val="24"/>
        </w:rPr>
        <w:t>están seriamente afectados por la i</w:t>
      </w:r>
      <w:r w:rsidRPr="00DA00FE">
        <w:rPr>
          <w:rFonts w:cstheme="minorHAnsi"/>
          <w:sz w:val="24"/>
          <w:szCs w:val="24"/>
        </w:rPr>
        <w:t>nseguridad y la violencia.</w:t>
      </w:r>
    </w:p>
    <w:p w14:paraId="1B588D37" w14:textId="77777777" w:rsidR="000C171B" w:rsidRDefault="000C171B" w:rsidP="000C171B">
      <w:pPr>
        <w:spacing w:after="0" w:line="240" w:lineRule="auto"/>
        <w:jc w:val="both"/>
        <w:rPr>
          <w:rFonts w:cstheme="minorHAnsi"/>
          <w:sz w:val="24"/>
          <w:szCs w:val="24"/>
        </w:rPr>
      </w:pPr>
    </w:p>
    <w:p w14:paraId="2F2E3EEA" w14:textId="10A7EFEB" w:rsidR="000C171B" w:rsidRDefault="000C171B" w:rsidP="000C171B">
      <w:pPr>
        <w:spacing w:after="0" w:line="240" w:lineRule="auto"/>
        <w:jc w:val="both"/>
        <w:rPr>
          <w:rFonts w:cstheme="minorHAnsi"/>
          <w:sz w:val="24"/>
          <w:szCs w:val="24"/>
        </w:rPr>
      </w:pPr>
      <w:r>
        <w:rPr>
          <w:rFonts w:cstheme="minorHAnsi"/>
          <w:sz w:val="24"/>
          <w:szCs w:val="24"/>
        </w:rPr>
        <w:t>La forma de organización delincuencial más extendida y utilizada por el crimen organizado en el país, son las bandas y pandillas</w:t>
      </w:r>
      <w:r>
        <w:rPr>
          <w:rStyle w:val="FootnoteReference"/>
          <w:rFonts w:cstheme="minorHAnsi"/>
          <w:sz w:val="24"/>
          <w:szCs w:val="24"/>
        </w:rPr>
        <w:footnoteReference w:id="46"/>
      </w:r>
      <w:r>
        <w:rPr>
          <w:rFonts w:cstheme="minorHAnsi"/>
          <w:sz w:val="24"/>
          <w:szCs w:val="24"/>
        </w:rPr>
        <w:t xml:space="preserve">. En </w:t>
      </w:r>
      <w:r w:rsidRPr="00C939A9">
        <w:rPr>
          <w:rFonts w:cstheme="minorHAnsi"/>
          <w:sz w:val="24"/>
          <w:szCs w:val="24"/>
        </w:rPr>
        <w:t>Panamá</w:t>
      </w:r>
      <w:r>
        <w:rPr>
          <w:rFonts w:cstheme="minorHAnsi"/>
          <w:sz w:val="24"/>
          <w:szCs w:val="24"/>
        </w:rPr>
        <w:t xml:space="preserve">, </w:t>
      </w:r>
      <w:r w:rsidRPr="00C939A9">
        <w:rPr>
          <w:rFonts w:cstheme="minorHAnsi"/>
          <w:sz w:val="24"/>
          <w:szCs w:val="24"/>
        </w:rPr>
        <w:t xml:space="preserve">desde la década de 1980, </w:t>
      </w:r>
      <w:r>
        <w:rPr>
          <w:rFonts w:cstheme="minorHAnsi"/>
          <w:sz w:val="24"/>
          <w:szCs w:val="24"/>
        </w:rPr>
        <w:t xml:space="preserve">emergen las pandillas, </w:t>
      </w:r>
      <w:r w:rsidRPr="00C939A9">
        <w:rPr>
          <w:rFonts w:cstheme="minorHAnsi"/>
          <w:sz w:val="24"/>
          <w:szCs w:val="24"/>
        </w:rPr>
        <w:t xml:space="preserve">aunque no de la magnitud de otros países de la región. Por mucho tiempo, estos grupos se dedicaron mayormente a delitos menores, pero </w:t>
      </w:r>
      <w:r>
        <w:rPr>
          <w:rFonts w:cstheme="minorHAnsi"/>
          <w:sz w:val="24"/>
          <w:szCs w:val="24"/>
        </w:rPr>
        <w:t xml:space="preserve">en los últimos años </w:t>
      </w:r>
      <w:r w:rsidRPr="00C939A9">
        <w:rPr>
          <w:rFonts w:cstheme="minorHAnsi"/>
          <w:sz w:val="24"/>
          <w:szCs w:val="24"/>
        </w:rPr>
        <w:t>aumentar</w:t>
      </w:r>
      <w:r>
        <w:rPr>
          <w:rFonts w:cstheme="minorHAnsi"/>
          <w:sz w:val="24"/>
          <w:szCs w:val="24"/>
        </w:rPr>
        <w:t>on su</w:t>
      </w:r>
      <w:r w:rsidRPr="00C939A9">
        <w:rPr>
          <w:rFonts w:cstheme="minorHAnsi"/>
          <w:sz w:val="24"/>
          <w:szCs w:val="24"/>
        </w:rPr>
        <w:t xml:space="preserve"> tamañ</w:t>
      </w:r>
      <w:r>
        <w:rPr>
          <w:rFonts w:cstheme="minorHAnsi"/>
          <w:sz w:val="24"/>
          <w:szCs w:val="24"/>
        </w:rPr>
        <w:t>o, forma de organización y tipo de actividad delictiva (</w:t>
      </w:r>
      <w:r w:rsidRPr="00C939A9">
        <w:rPr>
          <w:rFonts w:cstheme="minorHAnsi"/>
          <w:sz w:val="24"/>
          <w:szCs w:val="24"/>
        </w:rPr>
        <w:t>narcotráfico, extorsión, trata de personas, lavado de dinero y secuestro</w:t>
      </w:r>
      <w:r>
        <w:rPr>
          <w:rFonts w:cstheme="minorHAnsi"/>
          <w:sz w:val="24"/>
          <w:szCs w:val="24"/>
        </w:rPr>
        <w:t>) (I</w:t>
      </w:r>
      <w:r w:rsidRPr="00EE7D84">
        <w:rPr>
          <w:rFonts w:cstheme="minorHAnsi"/>
          <w:sz w:val="24"/>
          <w:szCs w:val="24"/>
        </w:rPr>
        <w:t>NSIGHT</w:t>
      </w:r>
      <w:r>
        <w:rPr>
          <w:rFonts w:cstheme="minorHAnsi"/>
          <w:sz w:val="24"/>
          <w:szCs w:val="24"/>
        </w:rPr>
        <w:t xml:space="preserve"> C</w:t>
      </w:r>
      <w:r w:rsidRPr="00EE7D84">
        <w:rPr>
          <w:rFonts w:cstheme="minorHAnsi"/>
          <w:sz w:val="24"/>
          <w:szCs w:val="24"/>
        </w:rPr>
        <w:t>RIME</w:t>
      </w:r>
      <w:r>
        <w:rPr>
          <w:rFonts w:cstheme="minorHAnsi"/>
          <w:sz w:val="24"/>
          <w:szCs w:val="24"/>
        </w:rPr>
        <w:t>, 2019)</w:t>
      </w:r>
      <w:r w:rsidRPr="00C939A9">
        <w:rPr>
          <w:rFonts w:cstheme="minorHAnsi"/>
          <w:sz w:val="24"/>
          <w:szCs w:val="24"/>
        </w:rPr>
        <w:t>.</w:t>
      </w:r>
      <w:r>
        <w:rPr>
          <w:rFonts w:cstheme="minorHAnsi"/>
          <w:sz w:val="24"/>
          <w:szCs w:val="24"/>
        </w:rPr>
        <w:t xml:space="preserve"> </w:t>
      </w:r>
      <w:r w:rsidRPr="00C939A9">
        <w:rPr>
          <w:rFonts w:cstheme="minorHAnsi"/>
          <w:sz w:val="24"/>
          <w:szCs w:val="24"/>
        </w:rPr>
        <w:t>Actualmente</w:t>
      </w:r>
      <w:r>
        <w:rPr>
          <w:rFonts w:cstheme="minorHAnsi"/>
          <w:sz w:val="24"/>
          <w:szCs w:val="24"/>
        </w:rPr>
        <w:t>,</w:t>
      </w:r>
      <w:r w:rsidRPr="00C939A9">
        <w:rPr>
          <w:rFonts w:cstheme="minorHAnsi"/>
          <w:sz w:val="24"/>
          <w:szCs w:val="24"/>
        </w:rPr>
        <w:t xml:space="preserve"> Bagdad y Calor</w:t>
      </w:r>
      <w:r>
        <w:rPr>
          <w:rFonts w:cstheme="minorHAnsi"/>
          <w:sz w:val="24"/>
          <w:szCs w:val="24"/>
        </w:rPr>
        <w:t xml:space="preserve">, integradas por redes de organizaciones criminales ha configurado </w:t>
      </w:r>
      <w:r w:rsidRPr="00C939A9">
        <w:rPr>
          <w:rFonts w:cstheme="minorHAnsi"/>
          <w:sz w:val="24"/>
          <w:szCs w:val="24"/>
        </w:rPr>
        <w:t xml:space="preserve">sofisticadas estructuras conocidas como </w:t>
      </w:r>
      <w:r w:rsidRPr="00C939A9">
        <w:rPr>
          <w:rFonts w:cstheme="minorHAnsi"/>
          <w:sz w:val="24"/>
          <w:szCs w:val="24"/>
        </w:rPr>
        <w:lastRenderedPageBreak/>
        <w:t>“oficinas de cobro”, que trabajan directamente con narcotraficantes transnacionales.</w:t>
      </w:r>
      <w:r>
        <w:rPr>
          <w:rFonts w:cstheme="minorHAnsi"/>
          <w:sz w:val="24"/>
          <w:szCs w:val="24"/>
        </w:rPr>
        <w:t xml:space="preserve"> </w:t>
      </w:r>
      <w:r w:rsidRPr="00C939A9">
        <w:rPr>
          <w:rFonts w:cstheme="minorHAnsi"/>
          <w:sz w:val="24"/>
          <w:szCs w:val="24"/>
        </w:rPr>
        <w:t>Diferentes organizaciones criminales transnacionales —especialmente organizaciones con base en Colombia y México</w:t>
      </w:r>
      <w:r>
        <w:rPr>
          <w:rFonts w:cstheme="minorHAnsi"/>
          <w:sz w:val="24"/>
          <w:szCs w:val="24"/>
        </w:rPr>
        <w:t xml:space="preserve"> utilizan el país como centro de tránsito de drogas y capitales (I</w:t>
      </w:r>
      <w:r w:rsidRPr="00EE7D84">
        <w:rPr>
          <w:rFonts w:cstheme="minorHAnsi"/>
          <w:sz w:val="24"/>
          <w:szCs w:val="24"/>
        </w:rPr>
        <w:t>NSIGHT</w:t>
      </w:r>
      <w:r>
        <w:rPr>
          <w:rFonts w:cstheme="minorHAnsi"/>
          <w:sz w:val="24"/>
          <w:szCs w:val="24"/>
        </w:rPr>
        <w:t xml:space="preserve"> C</w:t>
      </w:r>
      <w:r w:rsidRPr="00EE7D84">
        <w:rPr>
          <w:rFonts w:cstheme="minorHAnsi"/>
          <w:sz w:val="24"/>
          <w:szCs w:val="24"/>
        </w:rPr>
        <w:t>RIME</w:t>
      </w:r>
      <w:r>
        <w:rPr>
          <w:rFonts w:cstheme="minorHAnsi"/>
          <w:sz w:val="24"/>
          <w:szCs w:val="24"/>
        </w:rPr>
        <w:t>, 2019)</w:t>
      </w:r>
      <w:r w:rsidRPr="00C939A9">
        <w:rPr>
          <w:rFonts w:cstheme="minorHAnsi"/>
          <w:sz w:val="24"/>
          <w:szCs w:val="24"/>
        </w:rPr>
        <w:t>.</w:t>
      </w:r>
    </w:p>
    <w:p w14:paraId="1C3058DF" w14:textId="77777777" w:rsidR="000C171B" w:rsidRPr="00DA00FE" w:rsidRDefault="000C171B" w:rsidP="000C171B">
      <w:pPr>
        <w:spacing w:after="0" w:line="240" w:lineRule="auto"/>
        <w:jc w:val="both"/>
        <w:rPr>
          <w:rFonts w:cstheme="minorHAnsi"/>
          <w:sz w:val="24"/>
          <w:szCs w:val="24"/>
        </w:rPr>
      </w:pPr>
    </w:p>
    <w:p w14:paraId="05CE2FE4" w14:textId="15ABBB4D" w:rsidR="000C171B" w:rsidRPr="00834627" w:rsidRDefault="000C171B" w:rsidP="000C171B">
      <w:pPr>
        <w:spacing w:after="0" w:line="240" w:lineRule="auto"/>
        <w:jc w:val="both"/>
        <w:rPr>
          <w:rFonts w:cstheme="minorHAnsi"/>
          <w:sz w:val="24"/>
          <w:szCs w:val="24"/>
        </w:rPr>
      </w:pPr>
      <w:r>
        <w:rPr>
          <w:rFonts w:cstheme="minorHAnsi"/>
          <w:sz w:val="24"/>
          <w:szCs w:val="24"/>
        </w:rPr>
        <w:t>No obstante, cabe señalarlo, l</w:t>
      </w:r>
      <w:r w:rsidRPr="00DA00FE">
        <w:rPr>
          <w:rFonts w:cstheme="minorHAnsi"/>
          <w:sz w:val="24"/>
          <w:szCs w:val="24"/>
        </w:rPr>
        <w:t xml:space="preserve">a evolución cuantitativa y cualitativa del crimen organizado muestra un desequilibrio entre </w:t>
      </w:r>
      <w:r>
        <w:rPr>
          <w:rFonts w:cstheme="minorHAnsi"/>
          <w:sz w:val="24"/>
          <w:szCs w:val="24"/>
        </w:rPr>
        <w:t xml:space="preserve">la </w:t>
      </w:r>
      <w:r w:rsidRPr="00DA00FE">
        <w:rPr>
          <w:rFonts w:cstheme="minorHAnsi"/>
          <w:sz w:val="24"/>
          <w:szCs w:val="24"/>
        </w:rPr>
        <w:t>capacidad de las estructuras administrativo-reactivas y las modalidades de intervención. Esto provoca que</w:t>
      </w:r>
      <w:r>
        <w:rPr>
          <w:rFonts w:cstheme="minorHAnsi"/>
          <w:sz w:val="24"/>
          <w:szCs w:val="24"/>
        </w:rPr>
        <w:t xml:space="preserve"> en el país: (i) </w:t>
      </w:r>
      <w:r w:rsidRPr="00DA00FE">
        <w:rPr>
          <w:rFonts w:cstheme="minorHAnsi"/>
          <w:sz w:val="24"/>
          <w:szCs w:val="24"/>
        </w:rPr>
        <w:t xml:space="preserve">un 70% de la población tenga una percepción de inseguridad; </w:t>
      </w:r>
      <w:r>
        <w:rPr>
          <w:rFonts w:cstheme="minorHAnsi"/>
          <w:sz w:val="24"/>
          <w:szCs w:val="24"/>
        </w:rPr>
        <w:t>(</w:t>
      </w:r>
      <w:proofErr w:type="spellStart"/>
      <w:r>
        <w:rPr>
          <w:rFonts w:cstheme="minorHAnsi"/>
          <w:sz w:val="24"/>
          <w:szCs w:val="24"/>
        </w:rPr>
        <w:t>ii</w:t>
      </w:r>
      <w:proofErr w:type="spellEnd"/>
      <w:r>
        <w:rPr>
          <w:rFonts w:cstheme="minorHAnsi"/>
          <w:sz w:val="24"/>
          <w:szCs w:val="24"/>
        </w:rPr>
        <w:t xml:space="preserve">) </w:t>
      </w:r>
      <w:r w:rsidRPr="00834627">
        <w:rPr>
          <w:rFonts w:cstheme="minorHAnsi"/>
          <w:sz w:val="24"/>
          <w:szCs w:val="24"/>
        </w:rPr>
        <w:t>un 19% de la población fue</w:t>
      </w:r>
      <w:r>
        <w:rPr>
          <w:rFonts w:cstheme="minorHAnsi"/>
          <w:sz w:val="24"/>
          <w:szCs w:val="24"/>
        </w:rPr>
        <w:t>se</w:t>
      </w:r>
      <w:r w:rsidRPr="00834627">
        <w:rPr>
          <w:rFonts w:cstheme="minorHAnsi"/>
          <w:sz w:val="24"/>
          <w:szCs w:val="24"/>
        </w:rPr>
        <w:t xml:space="preserve"> víctima de algún crimen o acto delictivo</w:t>
      </w:r>
      <w:r>
        <w:rPr>
          <w:rFonts w:cstheme="minorHAnsi"/>
          <w:sz w:val="24"/>
          <w:szCs w:val="24"/>
        </w:rPr>
        <w:t>; (</w:t>
      </w:r>
      <w:proofErr w:type="spellStart"/>
      <w:r>
        <w:rPr>
          <w:rFonts w:cstheme="minorHAnsi"/>
          <w:sz w:val="24"/>
          <w:szCs w:val="24"/>
        </w:rPr>
        <w:t>iii</w:t>
      </w:r>
      <w:proofErr w:type="spellEnd"/>
      <w:r>
        <w:rPr>
          <w:rFonts w:cstheme="minorHAnsi"/>
          <w:sz w:val="24"/>
          <w:szCs w:val="24"/>
        </w:rPr>
        <w:t xml:space="preserve">) </w:t>
      </w:r>
      <w:r w:rsidRPr="00834627">
        <w:rPr>
          <w:rFonts w:cstheme="minorHAnsi"/>
          <w:sz w:val="24"/>
          <w:szCs w:val="24"/>
        </w:rPr>
        <w:t>un 66% se siente insegura</w:t>
      </w:r>
      <w:r>
        <w:rPr>
          <w:rFonts w:cstheme="minorHAnsi"/>
          <w:sz w:val="24"/>
          <w:szCs w:val="24"/>
        </w:rPr>
        <w:t>; (</w:t>
      </w:r>
      <w:proofErr w:type="spellStart"/>
      <w:r>
        <w:rPr>
          <w:rFonts w:cstheme="minorHAnsi"/>
          <w:sz w:val="24"/>
          <w:szCs w:val="24"/>
        </w:rPr>
        <w:t>iv</w:t>
      </w:r>
      <w:proofErr w:type="spellEnd"/>
      <w:r>
        <w:rPr>
          <w:rFonts w:cstheme="minorHAnsi"/>
          <w:sz w:val="24"/>
          <w:szCs w:val="24"/>
        </w:rPr>
        <w:t xml:space="preserve">) una </w:t>
      </w:r>
      <w:r w:rsidRPr="00834627">
        <w:rPr>
          <w:rFonts w:cstheme="minorHAnsi"/>
          <w:sz w:val="24"/>
          <w:szCs w:val="24"/>
        </w:rPr>
        <w:t>baja tasa de denuncia (sólo 1 de cada 10 casos son reportados)</w:t>
      </w:r>
      <w:r>
        <w:rPr>
          <w:rFonts w:cstheme="minorHAnsi"/>
          <w:sz w:val="24"/>
          <w:szCs w:val="24"/>
        </w:rPr>
        <w:t xml:space="preserve"> </w:t>
      </w:r>
      <w:r w:rsidRPr="00834627">
        <w:rPr>
          <w:rFonts w:cstheme="minorHAnsi"/>
          <w:sz w:val="24"/>
          <w:szCs w:val="24"/>
        </w:rPr>
        <w:t>(MINSEG, 2017).</w:t>
      </w:r>
      <w:r w:rsidRPr="006C71C8">
        <w:rPr>
          <w:rFonts w:cstheme="minorHAnsi"/>
          <w:sz w:val="24"/>
          <w:szCs w:val="24"/>
        </w:rPr>
        <w:t xml:space="preserve"> </w:t>
      </w:r>
      <w:r>
        <w:rPr>
          <w:rFonts w:cstheme="minorHAnsi"/>
          <w:sz w:val="24"/>
          <w:szCs w:val="24"/>
        </w:rPr>
        <w:t xml:space="preserve">En su conjunto, los indicadores muestran la </w:t>
      </w:r>
      <w:r w:rsidRPr="00DA00FE">
        <w:rPr>
          <w:rFonts w:cstheme="minorHAnsi"/>
          <w:sz w:val="24"/>
          <w:szCs w:val="24"/>
        </w:rPr>
        <w:t>desconfianza en las autoridades rectoras del sector</w:t>
      </w:r>
      <w:r w:rsidRPr="00DA00FE">
        <w:rPr>
          <w:rStyle w:val="FootnoteReference"/>
          <w:rFonts w:cstheme="minorHAnsi"/>
          <w:sz w:val="24"/>
          <w:szCs w:val="24"/>
        </w:rPr>
        <w:footnoteReference w:id="47"/>
      </w:r>
      <w:r w:rsidRPr="00DA00FE">
        <w:rPr>
          <w:rFonts w:cstheme="minorHAnsi"/>
          <w:sz w:val="24"/>
          <w:szCs w:val="24"/>
        </w:rPr>
        <w:t xml:space="preserve">.  </w:t>
      </w:r>
    </w:p>
    <w:p w14:paraId="520FFF3D" w14:textId="77777777" w:rsidR="000C171B" w:rsidRPr="00DA00FE" w:rsidRDefault="000C171B" w:rsidP="000C171B">
      <w:pPr>
        <w:spacing w:after="0" w:line="240" w:lineRule="auto"/>
        <w:jc w:val="both"/>
        <w:rPr>
          <w:rFonts w:cstheme="minorHAnsi"/>
          <w:sz w:val="24"/>
          <w:szCs w:val="24"/>
        </w:rPr>
      </w:pPr>
    </w:p>
    <w:p w14:paraId="4ABFB6F4" w14:textId="77777777" w:rsidR="000C171B" w:rsidRPr="00F60F82" w:rsidRDefault="000C171B" w:rsidP="000C171B">
      <w:pPr>
        <w:spacing w:after="0" w:line="240" w:lineRule="auto"/>
        <w:jc w:val="both"/>
        <w:rPr>
          <w:rFonts w:cstheme="minorHAnsi"/>
          <w:color w:val="000000" w:themeColor="text1"/>
          <w:sz w:val="24"/>
          <w:szCs w:val="24"/>
        </w:rPr>
      </w:pPr>
      <w:r w:rsidRPr="00F60F82">
        <w:rPr>
          <w:rFonts w:eastAsia="Times New Roman" w:cstheme="minorHAnsi"/>
          <w:color w:val="000000" w:themeColor="text1"/>
          <w:sz w:val="24"/>
          <w:szCs w:val="24"/>
          <w:shd w:val="clear" w:color="auto" w:fill="FFFFFF"/>
          <w:lang w:eastAsia="es-PA"/>
        </w:rPr>
        <w:t xml:space="preserve">En el caso de Panamá, la </w:t>
      </w:r>
      <w:r w:rsidRPr="00F60F82">
        <w:rPr>
          <w:rFonts w:cstheme="minorHAnsi"/>
          <w:color w:val="000000" w:themeColor="text1"/>
          <w:sz w:val="24"/>
          <w:szCs w:val="24"/>
        </w:rPr>
        <w:t xml:space="preserve">situación geográfica y estratégica del país, parece incidir en la dinámica de las actividades delictivas como el narcotráfico. Por ello se han tomado medidas como el bloqueo de sus fuentes de financiamiento, el fortalecimiento de las instituciones financieras y la adecuación de la legislación nacional a los estándares internacionales (MINSEG, 2017. Estas medidas han requerido de un esfuerzo conjunto de los países vecinos, a través del intercambio de información y del apoyo técnico de la cooperación internacional para el fortalecimiento institucional (MINSEG, 2017).  Además de los esfuerzos por reforzar la plataforma de servicios logísticos y financieros, con el fin de evitar su utilización por parte del crimen organizado (MINSEG, 2017).  </w:t>
      </w:r>
    </w:p>
    <w:p w14:paraId="37DA88C8" w14:textId="77777777" w:rsidR="000C171B" w:rsidRDefault="000C171B" w:rsidP="000C171B">
      <w:pPr>
        <w:spacing w:after="0" w:line="240" w:lineRule="auto"/>
        <w:jc w:val="both"/>
        <w:rPr>
          <w:rFonts w:cstheme="minorHAnsi"/>
          <w:color w:val="FF0000"/>
          <w:sz w:val="24"/>
          <w:szCs w:val="24"/>
        </w:rPr>
      </w:pPr>
    </w:p>
    <w:p w14:paraId="55BE27D6" w14:textId="77777777" w:rsidR="000C171B" w:rsidRPr="00F60F82" w:rsidRDefault="000C171B" w:rsidP="000C171B">
      <w:pPr>
        <w:spacing w:after="0" w:line="240" w:lineRule="auto"/>
        <w:jc w:val="both"/>
        <w:rPr>
          <w:rFonts w:cstheme="minorHAnsi"/>
          <w:color w:val="000000" w:themeColor="text1"/>
          <w:sz w:val="24"/>
          <w:szCs w:val="24"/>
        </w:rPr>
      </w:pPr>
      <w:r w:rsidRPr="00F60F82">
        <w:rPr>
          <w:rFonts w:cstheme="minorHAnsi"/>
          <w:color w:val="000000" w:themeColor="text1"/>
          <w:sz w:val="24"/>
          <w:szCs w:val="24"/>
        </w:rPr>
        <w:t xml:space="preserve">Entre los años 2012 y 2016 la tasa de tráfico de drogas disminuyó de 6,84 cada 100 mil habitantes a 0,94. En cuanto a la frecuencia del delito, éste pasa de 259 hechos a 38 en el mismo período, lo que equivale a una disminución del 85%. Si el análisis se hace a partir de las cifras de posesión de drogas, la tasa también disminuye entre los años 2012 y 2016; de 23,79 cada 100 mil habitantes a 5,87. En términos de frecuencia la baja que se registra es de 664 hechos menos, lo que equivale a una disminución del 74% (MINSEG, 2017). </w:t>
      </w:r>
    </w:p>
    <w:p w14:paraId="7B0B2C02" w14:textId="77777777" w:rsidR="000C171B" w:rsidRPr="00F60F82" w:rsidRDefault="000C171B" w:rsidP="000C171B">
      <w:pPr>
        <w:spacing w:after="0" w:line="240" w:lineRule="auto"/>
        <w:jc w:val="both"/>
        <w:rPr>
          <w:rFonts w:cstheme="minorHAnsi"/>
          <w:color w:val="000000" w:themeColor="text1"/>
          <w:sz w:val="24"/>
          <w:szCs w:val="24"/>
        </w:rPr>
      </w:pPr>
    </w:p>
    <w:p w14:paraId="76A43ECF" w14:textId="77777777" w:rsidR="000C171B" w:rsidRPr="00F60F82" w:rsidRDefault="000C171B" w:rsidP="000C171B">
      <w:pPr>
        <w:spacing w:after="0" w:line="240" w:lineRule="auto"/>
        <w:jc w:val="both"/>
        <w:rPr>
          <w:rFonts w:cstheme="minorHAnsi"/>
          <w:color w:val="000000" w:themeColor="text1"/>
          <w:sz w:val="24"/>
          <w:szCs w:val="24"/>
        </w:rPr>
      </w:pPr>
      <w:r w:rsidRPr="00F60F82">
        <w:rPr>
          <w:rFonts w:cstheme="minorHAnsi"/>
          <w:color w:val="000000" w:themeColor="text1"/>
          <w:sz w:val="24"/>
          <w:szCs w:val="24"/>
        </w:rPr>
        <w:t>El narcotráfico como actividad delictiva tiene efectos colaterales en los secuestros, las extorsiones y homicidios. En el quinquenio 2012 (17) - 2016 (23), la tasa de secuestros por cada 100 mil habitantes varía de 0,45 a 0,57.  En el caso del delito de extorsión, la tasa varió entre los años 2012 (2,46) y 2016 (3,10), en tanto la frecuencia se incrementó un 34%. Sin embargo, por sus particularidades, son delitos que tienen una alta tasa de subregistro (MINSEG, 2017).</w:t>
      </w:r>
    </w:p>
    <w:p w14:paraId="160A9598" w14:textId="77777777" w:rsidR="000C171B" w:rsidRPr="00F60F82" w:rsidRDefault="000C171B" w:rsidP="000C171B">
      <w:pPr>
        <w:spacing w:after="0" w:line="240" w:lineRule="auto"/>
        <w:jc w:val="both"/>
        <w:rPr>
          <w:rFonts w:cstheme="minorHAnsi"/>
          <w:color w:val="000000" w:themeColor="text1"/>
          <w:sz w:val="24"/>
          <w:szCs w:val="24"/>
        </w:rPr>
      </w:pPr>
    </w:p>
    <w:p w14:paraId="2F19AE94" w14:textId="783D43E6" w:rsidR="000C171B" w:rsidRPr="00F60F82" w:rsidRDefault="000C171B" w:rsidP="000C171B">
      <w:pPr>
        <w:spacing w:after="0" w:line="240" w:lineRule="auto"/>
        <w:jc w:val="both"/>
        <w:rPr>
          <w:rFonts w:cstheme="minorHAnsi"/>
          <w:color w:val="000000" w:themeColor="text1"/>
          <w:sz w:val="24"/>
          <w:szCs w:val="24"/>
        </w:rPr>
      </w:pPr>
      <w:r w:rsidRPr="00F60F82">
        <w:rPr>
          <w:rFonts w:cstheme="minorHAnsi"/>
          <w:color w:val="000000" w:themeColor="text1"/>
          <w:sz w:val="24"/>
          <w:szCs w:val="24"/>
        </w:rPr>
        <w:t xml:space="preserve">Por su parte, durante el quinquenio (2012-2016) los homicidios se redujeron un 37,1%. Es decir, en promedio los homicidios disminuyeron un 11% anual. Con relación a la tasa por cada 100 mil habitantes, se experimentó una importante caída de 7,2 puntos porcentuales, lo que significó una disminución relativa del 41% en el período, es decir a razón de 12,4% de disminución promedio anual. La mayor concentración de víctimas de homicidios se ubica en la población </w:t>
      </w:r>
      <w:r w:rsidRPr="00F60F82">
        <w:rPr>
          <w:rFonts w:cstheme="minorHAnsi"/>
          <w:color w:val="000000" w:themeColor="text1"/>
          <w:sz w:val="24"/>
          <w:szCs w:val="24"/>
        </w:rPr>
        <w:lastRenderedPageBreak/>
        <w:t xml:space="preserve">entre 25 y 29 años, tanto para hombres como mujeres. Los homicidios se concentran en términos relativos en Colón (19,6), Panamá (15,1), Herrera (8,5), Chiriquí (7,3) y Panamá Oeste (6,9). Las provincias que destacan por un aumento son: Herrera con 42% y Colón con 12,8%. Las que más disminuyen por su parte son: comarca Ngäbe Buglé con 61%, Coclé con 35,8% y Panamá Oeste con 34,2% (MINSEG, 2017).  </w:t>
      </w:r>
    </w:p>
    <w:p w14:paraId="074B2CC0" w14:textId="77777777" w:rsidR="000C171B" w:rsidRDefault="000C171B" w:rsidP="000C171B">
      <w:pPr>
        <w:spacing w:after="0" w:line="240" w:lineRule="auto"/>
        <w:rPr>
          <w:rFonts w:cstheme="minorHAnsi"/>
          <w:color w:val="FF0000"/>
          <w:sz w:val="24"/>
          <w:szCs w:val="24"/>
        </w:rPr>
      </w:pPr>
    </w:p>
    <w:p w14:paraId="6A007214" w14:textId="77777777" w:rsidR="000C171B" w:rsidRPr="00DA00FE" w:rsidRDefault="000C171B" w:rsidP="000C171B">
      <w:pPr>
        <w:spacing w:after="0" w:line="240" w:lineRule="auto"/>
        <w:jc w:val="both"/>
        <w:rPr>
          <w:rFonts w:eastAsia="Times New Roman" w:cstheme="minorHAnsi"/>
          <w:color w:val="000000" w:themeColor="text1"/>
          <w:sz w:val="24"/>
          <w:szCs w:val="24"/>
          <w:shd w:val="clear" w:color="auto" w:fill="FFFFFF"/>
          <w:lang w:eastAsia="es-PA"/>
        </w:rPr>
      </w:pPr>
      <w:r w:rsidRPr="00DA00FE">
        <w:rPr>
          <w:rFonts w:eastAsia="Times New Roman" w:cstheme="minorHAnsi"/>
          <w:color w:val="000000" w:themeColor="text1"/>
          <w:sz w:val="24"/>
          <w:szCs w:val="24"/>
          <w:shd w:val="clear" w:color="auto" w:fill="FFFFFF"/>
          <w:lang w:eastAsia="es-PA"/>
        </w:rPr>
        <w:t>Según cifras oficiales el mes de noviembre de 2019 se registraron 395 homicidios, mostrando una disminución (-1.74 %) en comparación con el mismo período en el 2018.  Sin embargo, estos homicidios son perpetrados en barrios populares, cerca o dentro de las casas donde vivían las víctimas, quienes en su mayoría mantenían: (i) antecedentes penales y criminales; (</w:t>
      </w:r>
      <w:proofErr w:type="spellStart"/>
      <w:r w:rsidRPr="00DA00FE">
        <w:rPr>
          <w:rFonts w:eastAsia="Times New Roman" w:cstheme="minorHAnsi"/>
          <w:color w:val="000000" w:themeColor="text1"/>
          <w:sz w:val="24"/>
          <w:szCs w:val="24"/>
          <w:shd w:val="clear" w:color="auto" w:fill="FFFFFF"/>
          <w:lang w:eastAsia="es-PA"/>
        </w:rPr>
        <w:t>ii</w:t>
      </w:r>
      <w:proofErr w:type="spellEnd"/>
      <w:r w:rsidRPr="00DA00FE">
        <w:rPr>
          <w:rFonts w:eastAsia="Times New Roman" w:cstheme="minorHAnsi"/>
          <w:color w:val="000000" w:themeColor="text1"/>
          <w:sz w:val="24"/>
          <w:szCs w:val="24"/>
          <w:shd w:val="clear" w:color="auto" w:fill="FFFFFF"/>
          <w:lang w:eastAsia="es-PA"/>
        </w:rPr>
        <w:t>) poco tiempo de haber salido de un centro penitenciario; (</w:t>
      </w:r>
      <w:proofErr w:type="spellStart"/>
      <w:r w:rsidRPr="00DA00FE">
        <w:rPr>
          <w:rFonts w:eastAsia="Times New Roman" w:cstheme="minorHAnsi"/>
          <w:color w:val="000000" w:themeColor="text1"/>
          <w:sz w:val="24"/>
          <w:szCs w:val="24"/>
          <w:shd w:val="clear" w:color="auto" w:fill="FFFFFF"/>
          <w:lang w:eastAsia="es-PA"/>
        </w:rPr>
        <w:t>iii</w:t>
      </w:r>
      <w:proofErr w:type="spellEnd"/>
      <w:r w:rsidRPr="00DA00FE">
        <w:rPr>
          <w:rFonts w:eastAsia="Times New Roman" w:cstheme="minorHAnsi"/>
          <w:color w:val="000000" w:themeColor="text1"/>
          <w:sz w:val="24"/>
          <w:szCs w:val="24"/>
          <w:shd w:val="clear" w:color="auto" w:fill="FFFFFF"/>
          <w:lang w:eastAsia="es-PA"/>
        </w:rPr>
        <w:t>) alguna medida cautelar distinta de la detención preventiva. Para el año 2017, unas 150 pandillas identificadas en el país tenían 2,500 miembros</w:t>
      </w:r>
      <w:r w:rsidRPr="00DA00FE">
        <w:rPr>
          <w:rStyle w:val="FootnoteReference"/>
          <w:rFonts w:eastAsia="Times New Roman" w:cstheme="minorHAnsi"/>
          <w:color w:val="000000" w:themeColor="text1"/>
          <w:sz w:val="24"/>
          <w:szCs w:val="24"/>
          <w:shd w:val="clear" w:color="auto" w:fill="FFFFFF"/>
        </w:rPr>
        <w:footnoteReference w:id="48"/>
      </w:r>
      <w:r w:rsidRPr="00DA00FE">
        <w:rPr>
          <w:rFonts w:eastAsia="Times New Roman" w:cstheme="minorHAnsi"/>
          <w:color w:val="000000" w:themeColor="text1"/>
          <w:sz w:val="24"/>
          <w:szCs w:val="24"/>
          <w:shd w:val="clear" w:color="auto" w:fill="FFFFFF"/>
          <w:lang w:eastAsia="es-PA"/>
        </w:rPr>
        <w:t>.</w:t>
      </w:r>
    </w:p>
    <w:p w14:paraId="2E25492D" w14:textId="77777777" w:rsidR="000C171B" w:rsidRDefault="000C171B" w:rsidP="000C171B">
      <w:pPr>
        <w:spacing w:after="0" w:line="240" w:lineRule="auto"/>
        <w:jc w:val="both"/>
        <w:rPr>
          <w:rFonts w:eastAsia="Times New Roman" w:cstheme="minorHAnsi"/>
          <w:color w:val="ED7D31" w:themeColor="accent2"/>
          <w:sz w:val="24"/>
          <w:szCs w:val="24"/>
          <w:shd w:val="clear" w:color="auto" w:fill="FFFFFF"/>
          <w:lang w:eastAsia="es-PA"/>
        </w:rPr>
      </w:pPr>
    </w:p>
    <w:p w14:paraId="67750A01" w14:textId="77777777" w:rsidR="000C171B" w:rsidRPr="00DA00FE" w:rsidRDefault="000C171B" w:rsidP="000C171B">
      <w:pPr>
        <w:spacing w:after="0" w:line="240" w:lineRule="auto"/>
        <w:jc w:val="both"/>
        <w:rPr>
          <w:rFonts w:eastAsia="Times New Roman" w:cstheme="minorHAnsi"/>
          <w:color w:val="000000"/>
          <w:sz w:val="24"/>
          <w:szCs w:val="24"/>
          <w:shd w:val="clear" w:color="auto" w:fill="FFFFFF"/>
          <w:lang w:eastAsia="es-PA"/>
        </w:rPr>
      </w:pPr>
      <w:r w:rsidRPr="00DA00FE">
        <w:rPr>
          <w:rFonts w:eastAsia="Times New Roman" w:cstheme="minorHAnsi"/>
          <w:color w:val="000000"/>
          <w:sz w:val="24"/>
          <w:szCs w:val="24"/>
          <w:shd w:val="clear" w:color="auto" w:fill="FFFFFF"/>
          <w:lang w:eastAsia="es-PA"/>
        </w:rPr>
        <w:t>De igual manera en Panamá, existe una relación directa entre crimen organizado y posesión de arma de fuego</w:t>
      </w:r>
      <w:r>
        <w:rPr>
          <w:rFonts w:eastAsia="Times New Roman" w:cstheme="minorHAnsi"/>
          <w:color w:val="000000"/>
          <w:sz w:val="24"/>
          <w:szCs w:val="24"/>
          <w:shd w:val="clear" w:color="auto" w:fill="FFFFFF"/>
          <w:lang w:eastAsia="es-PA"/>
        </w:rPr>
        <w:t xml:space="preserve">, que </w:t>
      </w:r>
      <w:r w:rsidRPr="00F629AC">
        <w:rPr>
          <w:sz w:val="24"/>
          <w:szCs w:val="24"/>
        </w:rPr>
        <w:t>se presenta como el</w:t>
      </w:r>
      <w:r>
        <w:rPr>
          <w:sz w:val="24"/>
          <w:szCs w:val="24"/>
        </w:rPr>
        <w:t xml:space="preserve"> </w:t>
      </w:r>
      <w:r w:rsidRPr="00F629AC">
        <w:rPr>
          <w:sz w:val="24"/>
          <w:szCs w:val="24"/>
        </w:rPr>
        <w:t>problema que más incide en la seguridad</w:t>
      </w:r>
      <w:r>
        <w:rPr>
          <w:sz w:val="24"/>
          <w:szCs w:val="24"/>
        </w:rPr>
        <w:t xml:space="preserve"> </w:t>
      </w:r>
      <w:r w:rsidRPr="00F629AC">
        <w:rPr>
          <w:sz w:val="24"/>
          <w:szCs w:val="24"/>
        </w:rPr>
        <w:t>de la región. Panamá, por ser un punto</w:t>
      </w:r>
      <w:r>
        <w:rPr>
          <w:sz w:val="24"/>
          <w:szCs w:val="24"/>
        </w:rPr>
        <w:t xml:space="preserve"> </w:t>
      </w:r>
      <w:r w:rsidRPr="00F629AC">
        <w:rPr>
          <w:sz w:val="24"/>
          <w:szCs w:val="24"/>
        </w:rPr>
        <w:t>de paso del tráfico marítimo mundial,</w:t>
      </w:r>
      <w:r>
        <w:rPr>
          <w:sz w:val="24"/>
          <w:szCs w:val="24"/>
        </w:rPr>
        <w:t xml:space="preserve"> </w:t>
      </w:r>
      <w:r w:rsidRPr="00F629AC">
        <w:rPr>
          <w:sz w:val="24"/>
          <w:szCs w:val="24"/>
        </w:rPr>
        <w:t>se convierte en un potencial centro de</w:t>
      </w:r>
      <w:r>
        <w:rPr>
          <w:sz w:val="24"/>
          <w:szCs w:val="24"/>
        </w:rPr>
        <w:t xml:space="preserve"> </w:t>
      </w:r>
      <w:r w:rsidRPr="00F629AC">
        <w:rPr>
          <w:sz w:val="24"/>
          <w:szCs w:val="24"/>
        </w:rPr>
        <w:t>distribución del contrabando</w:t>
      </w:r>
      <w:r>
        <w:rPr>
          <w:sz w:val="24"/>
          <w:szCs w:val="24"/>
        </w:rPr>
        <w:t xml:space="preserve"> </w:t>
      </w:r>
      <w:r w:rsidRPr="00043793">
        <w:rPr>
          <w:sz w:val="24"/>
          <w:szCs w:val="24"/>
        </w:rPr>
        <w:t>(MINSEG, 2017).</w:t>
      </w:r>
      <w:r>
        <w:rPr>
          <w:sz w:val="24"/>
          <w:szCs w:val="24"/>
        </w:rPr>
        <w:t xml:space="preserve"> </w:t>
      </w:r>
      <w:r w:rsidRPr="00DA00FE">
        <w:rPr>
          <w:rFonts w:eastAsia="Times New Roman" w:cstheme="minorHAnsi"/>
          <w:color w:val="000000"/>
          <w:sz w:val="24"/>
          <w:szCs w:val="24"/>
          <w:shd w:val="clear" w:color="auto" w:fill="FFFFFF"/>
          <w:lang w:eastAsia="es-PA"/>
        </w:rPr>
        <w:t xml:space="preserve">Durante el año 2019, los estamentos de seguridad incautaron 786 armas de fuego y 34,233 municiones de diferentes calibres. Así mismo fueron puestos a ordenes de las autoridades competentes, 503 personas tanto nacionales como extranjeras. </w:t>
      </w:r>
    </w:p>
    <w:p w14:paraId="100DAD38" w14:textId="77777777" w:rsidR="000C171B" w:rsidRPr="00CA50A1" w:rsidRDefault="000C171B" w:rsidP="000C171B">
      <w:pPr>
        <w:spacing w:after="0" w:line="240" w:lineRule="auto"/>
        <w:rPr>
          <w:rFonts w:cstheme="minorHAnsi"/>
          <w:color w:val="FF0000"/>
          <w:sz w:val="24"/>
          <w:szCs w:val="24"/>
        </w:rPr>
      </w:pPr>
    </w:p>
    <w:p w14:paraId="77BB038C" w14:textId="77777777" w:rsidR="000C171B" w:rsidRPr="00DA00FE" w:rsidRDefault="000C171B" w:rsidP="000C171B">
      <w:pPr>
        <w:spacing w:after="0" w:line="240" w:lineRule="auto"/>
        <w:jc w:val="both"/>
        <w:rPr>
          <w:rFonts w:cstheme="minorHAnsi"/>
          <w:sz w:val="24"/>
          <w:szCs w:val="24"/>
        </w:rPr>
      </w:pPr>
      <w:r w:rsidRPr="00DA00FE">
        <w:rPr>
          <w:rFonts w:cstheme="minorHAnsi"/>
          <w:sz w:val="24"/>
          <w:szCs w:val="24"/>
        </w:rPr>
        <w:t xml:space="preserve">La </w:t>
      </w:r>
      <w:r>
        <w:rPr>
          <w:rFonts w:cstheme="minorHAnsi"/>
          <w:sz w:val="24"/>
          <w:szCs w:val="24"/>
        </w:rPr>
        <w:t>in</w:t>
      </w:r>
      <w:r w:rsidRPr="00DA00FE">
        <w:rPr>
          <w:rFonts w:cstheme="minorHAnsi"/>
          <w:sz w:val="24"/>
          <w:szCs w:val="24"/>
        </w:rPr>
        <w:t xml:space="preserve">seguridad en todas sus dimensiones y niveles ha </w:t>
      </w:r>
      <w:r>
        <w:rPr>
          <w:rFonts w:cstheme="minorHAnsi"/>
          <w:sz w:val="24"/>
          <w:szCs w:val="24"/>
        </w:rPr>
        <w:t>puesto en evidencia las deficiencias d</w:t>
      </w:r>
      <w:r w:rsidRPr="00DA00FE">
        <w:rPr>
          <w:rFonts w:cstheme="minorHAnsi"/>
          <w:sz w:val="24"/>
          <w:szCs w:val="24"/>
        </w:rPr>
        <w:t>el modelo de seguridad</w:t>
      </w:r>
      <w:r>
        <w:rPr>
          <w:rFonts w:cstheme="minorHAnsi"/>
          <w:sz w:val="24"/>
          <w:szCs w:val="24"/>
        </w:rPr>
        <w:t xml:space="preserve">. </w:t>
      </w:r>
      <w:r w:rsidRPr="00DA00FE">
        <w:rPr>
          <w:rFonts w:cstheme="minorHAnsi"/>
          <w:sz w:val="24"/>
          <w:szCs w:val="24"/>
        </w:rPr>
        <w:t xml:space="preserve"> Durante los últimos diez años, </w:t>
      </w:r>
      <w:r>
        <w:rPr>
          <w:rFonts w:cstheme="minorHAnsi"/>
          <w:sz w:val="24"/>
          <w:szCs w:val="24"/>
        </w:rPr>
        <w:t>el país avanzó en los siguientes aspectos:</w:t>
      </w:r>
      <w:r w:rsidRPr="00DA00FE">
        <w:rPr>
          <w:rFonts w:cstheme="minorHAnsi"/>
          <w:sz w:val="24"/>
          <w:szCs w:val="24"/>
        </w:rPr>
        <w:t xml:space="preserve"> (i) gestión de información para la seguridad pública</w:t>
      </w:r>
      <w:r>
        <w:rPr>
          <w:rFonts w:cstheme="minorHAnsi"/>
          <w:sz w:val="24"/>
          <w:szCs w:val="24"/>
        </w:rPr>
        <w:t>;</w:t>
      </w:r>
      <w:r w:rsidRPr="00DA00FE">
        <w:rPr>
          <w:rFonts w:cstheme="minorHAnsi"/>
          <w:sz w:val="24"/>
          <w:szCs w:val="24"/>
        </w:rPr>
        <w:t xml:space="preserve"> (</w:t>
      </w:r>
      <w:proofErr w:type="spellStart"/>
      <w:r w:rsidRPr="00DA00FE">
        <w:rPr>
          <w:rFonts w:cstheme="minorHAnsi"/>
          <w:sz w:val="24"/>
          <w:szCs w:val="24"/>
        </w:rPr>
        <w:t>ii</w:t>
      </w:r>
      <w:proofErr w:type="spellEnd"/>
      <w:r w:rsidRPr="00DA00FE">
        <w:rPr>
          <w:rFonts w:cstheme="minorHAnsi"/>
          <w:sz w:val="24"/>
          <w:szCs w:val="24"/>
        </w:rPr>
        <w:t>) reforzando las capacidades de los estamentos de seguridad</w:t>
      </w:r>
      <w:r>
        <w:rPr>
          <w:rFonts w:cstheme="minorHAnsi"/>
          <w:sz w:val="24"/>
          <w:szCs w:val="24"/>
        </w:rPr>
        <w:t>;</w:t>
      </w:r>
      <w:r w:rsidRPr="00DA00FE">
        <w:rPr>
          <w:rFonts w:cstheme="minorHAnsi"/>
          <w:sz w:val="24"/>
          <w:szCs w:val="24"/>
        </w:rPr>
        <w:t xml:space="preserve"> (</w:t>
      </w:r>
      <w:proofErr w:type="spellStart"/>
      <w:r w:rsidRPr="00DA00FE">
        <w:rPr>
          <w:rFonts w:cstheme="minorHAnsi"/>
          <w:sz w:val="24"/>
          <w:szCs w:val="24"/>
        </w:rPr>
        <w:t>iii</w:t>
      </w:r>
      <w:proofErr w:type="spellEnd"/>
      <w:r w:rsidRPr="00DA00FE">
        <w:rPr>
          <w:rFonts w:cstheme="minorHAnsi"/>
          <w:sz w:val="24"/>
          <w:szCs w:val="24"/>
        </w:rPr>
        <w:t>)</w:t>
      </w:r>
      <w:r>
        <w:rPr>
          <w:rFonts w:cstheme="minorHAnsi"/>
          <w:sz w:val="24"/>
          <w:szCs w:val="24"/>
        </w:rPr>
        <w:t xml:space="preserve"> adhesión a los acuerdos sobre t</w:t>
      </w:r>
      <w:r w:rsidRPr="00DA00FE">
        <w:rPr>
          <w:rFonts w:cstheme="minorHAnsi"/>
          <w:sz w:val="24"/>
          <w:szCs w:val="24"/>
        </w:rPr>
        <w:t>rata de personas</w:t>
      </w:r>
      <w:r>
        <w:rPr>
          <w:rFonts w:cstheme="minorHAnsi"/>
          <w:sz w:val="24"/>
          <w:szCs w:val="24"/>
        </w:rPr>
        <w:t>;</w:t>
      </w:r>
      <w:r w:rsidRPr="00DA00FE">
        <w:rPr>
          <w:rFonts w:cstheme="minorHAnsi"/>
          <w:sz w:val="24"/>
          <w:szCs w:val="24"/>
        </w:rPr>
        <w:t xml:space="preserve"> (</w:t>
      </w:r>
      <w:proofErr w:type="spellStart"/>
      <w:r w:rsidRPr="00DA00FE">
        <w:rPr>
          <w:rFonts w:cstheme="minorHAnsi"/>
          <w:sz w:val="24"/>
          <w:szCs w:val="24"/>
        </w:rPr>
        <w:t>iv</w:t>
      </w:r>
      <w:proofErr w:type="spellEnd"/>
      <w:r w:rsidRPr="00DA00FE">
        <w:rPr>
          <w:rFonts w:cstheme="minorHAnsi"/>
          <w:sz w:val="24"/>
          <w:szCs w:val="24"/>
        </w:rPr>
        <w:t xml:space="preserve">) </w:t>
      </w:r>
      <w:r>
        <w:rPr>
          <w:rFonts w:cstheme="minorHAnsi"/>
          <w:sz w:val="24"/>
          <w:szCs w:val="24"/>
        </w:rPr>
        <w:t xml:space="preserve">desarrollo de </w:t>
      </w:r>
      <w:r w:rsidRPr="00DA00FE">
        <w:rPr>
          <w:rFonts w:cstheme="minorHAnsi"/>
          <w:sz w:val="24"/>
          <w:szCs w:val="24"/>
        </w:rPr>
        <w:t xml:space="preserve">capacidades </w:t>
      </w:r>
      <w:r>
        <w:rPr>
          <w:rFonts w:cstheme="minorHAnsi"/>
          <w:sz w:val="24"/>
          <w:szCs w:val="24"/>
        </w:rPr>
        <w:t xml:space="preserve">para que </w:t>
      </w:r>
      <w:r w:rsidRPr="00DA00FE">
        <w:rPr>
          <w:rFonts w:cstheme="minorHAnsi"/>
          <w:sz w:val="24"/>
          <w:szCs w:val="24"/>
        </w:rPr>
        <w:t xml:space="preserve">los gobiernos locales </w:t>
      </w:r>
      <w:r>
        <w:rPr>
          <w:rFonts w:cstheme="minorHAnsi"/>
          <w:sz w:val="24"/>
          <w:szCs w:val="24"/>
        </w:rPr>
        <w:t xml:space="preserve">atiendan </w:t>
      </w:r>
      <w:r w:rsidRPr="00DA00FE">
        <w:rPr>
          <w:rFonts w:cstheme="minorHAnsi"/>
          <w:sz w:val="24"/>
          <w:szCs w:val="24"/>
        </w:rPr>
        <w:t>asuntos de prevención de las violencias</w:t>
      </w:r>
      <w:r>
        <w:rPr>
          <w:rFonts w:cstheme="minorHAnsi"/>
          <w:sz w:val="24"/>
          <w:szCs w:val="24"/>
        </w:rPr>
        <w:t>;</w:t>
      </w:r>
      <w:r w:rsidRPr="00DA00FE">
        <w:rPr>
          <w:rFonts w:cstheme="minorHAnsi"/>
          <w:sz w:val="24"/>
          <w:szCs w:val="24"/>
        </w:rPr>
        <w:t xml:space="preserve"> (</w:t>
      </w:r>
      <w:proofErr w:type="spellStart"/>
      <w:r w:rsidRPr="00DA00FE">
        <w:rPr>
          <w:rFonts w:cstheme="minorHAnsi"/>
          <w:sz w:val="24"/>
          <w:szCs w:val="24"/>
        </w:rPr>
        <w:t>iv</w:t>
      </w:r>
      <w:proofErr w:type="spellEnd"/>
      <w:r w:rsidRPr="00DA00FE">
        <w:rPr>
          <w:rFonts w:cstheme="minorHAnsi"/>
          <w:sz w:val="24"/>
          <w:szCs w:val="24"/>
        </w:rPr>
        <w:t>)</w:t>
      </w:r>
      <w:r>
        <w:rPr>
          <w:rFonts w:cstheme="minorHAnsi"/>
          <w:sz w:val="24"/>
          <w:szCs w:val="24"/>
        </w:rPr>
        <w:t xml:space="preserve"> </w:t>
      </w:r>
      <w:r w:rsidRPr="00DA00FE">
        <w:rPr>
          <w:rFonts w:cstheme="minorHAnsi"/>
          <w:sz w:val="24"/>
          <w:szCs w:val="24"/>
        </w:rPr>
        <w:t>estrategias específicas para atender violencia contra las mujeres</w:t>
      </w:r>
      <w:r>
        <w:rPr>
          <w:rFonts w:cstheme="minorHAnsi"/>
          <w:sz w:val="24"/>
          <w:szCs w:val="24"/>
        </w:rPr>
        <w:t>;</w:t>
      </w:r>
      <w:r w:rsidRPr="00DA00FE">
        <w:rPr>
          <w:rFonts w:cstheme="minorHAnsi"/>
          <w:sz w:val="24"/>
          <w:szCs w:val="24"/>
        </w:rPr>
        <w:t xml:space="preserve"> (v) gestión de la </w:t>
      </w:r>
      <w:r>
        <w:rPr>
          <w:rFonts w:cstheme="minorHAnsi"/>
          <w:sz w:val="24"/>
          <w:szCs w:val="24"/>
        </w:rPr>
        <w:t xml:space="preserve">información para la </w:t>
      </w:r>
      <w:r w:rsidRPr="00DA00FE">
        <w:rPr>
          <w:rFonts w:cstheme="minorHAnsi"/>
          <w:sz w:val="24"/>
          <w:szCs w:val="24"/>
        </w:rPr>
        <w:t xml:space="preserve">respuesta a la ciudadanía. </w:t>
      </w:r>
    </w:p>
    <w:p w14:paraId="5C8419A1" w14:textId="77777777" w:rsidR="000C171B" w:rsidRPr="00DA00FE" w:rsidRDefault="000C171B" w:rsidP="000C171B">
      <w:pPr>
        <w:spacing w:after="0" w:line="240" w:lineRule="auto"/>
        <w:jc w:val="both"/>
        <w:rPr>
          <w:rFonts w:cstheme="minorHAnsi"/>
          <w:sz w:val="24"/>
          <w:szCs w:val="24"/>
        </w:rPr>
      </w:pPr>
    </w:p>
    <w:p w14:paraId="52D8146C" w14:textId="77777777" w:rsidR="000C171B" w:rsidRDefault="000C171B" w:rsidP="000C171B">
      <w:pPr>
        <w:spacing w:after="0" w:line="240" w:lineRule="auto"/>
        <w:jc w:val="both"/>
        <w:rPr>
          <w:rFonts w:cstheme="minorHAnsi"/>
          <w:sz w:val="24"/>
          <w:szCs w:val="24"/>
        </w:rPr>
      </w:pPr>
      <w:r>
        <w:rPr>
          <w:rFonts w:cstheme="minorHAnsi"/>
          <w:sz w:val="24"/>
          <w:szCs w:val="24"/>
        </w:rPr>
        <w:t>El país a través de la</w:t>
      </w:r>
      <w:r w:rsidRPr="00F67E8C">
        <w:rPr>
          <w:rFonts w:cstheme="minorHAnsi"/>
          <w:sz w:val="24"/>
          <w:szCs w:val="24"/>
        </w:rPr>
        <w:t xml:space="preserve"> </w:t>
      </w:r>
      <w:r w:rsidRPr="00DA00FE">
        <w:rPr>
          <w:rFonts w:cstheme="minorHAnsi"/>
          <w:sz w:val="24"/>
          <w:szCs w:val="24"/>
        </w:rPr>
        <w:t xml:space="preserve">Estrategia Nacional de Seguridad (aprobada por Resolución de Gabinete 78 –28 de agosto de 2018), ha consolidado un enfoque integral de intervención </w:t>
      </w:r>
      <w:r>
        <w:rPr>
          <w:rFonts w:cstheme="minorHAnsi"/>
          <w:sz w:val="24"/>
          <w:szCs w:val="24"/>
        </w:rPr>
        <w:t xml:space="preserve">que </w:t>
      </w:r>
      <w:r w:rsidRPr="00DA00FE">
        <w:rPr>
          <w:rFonts w:cstheme="minorHAnsi"/>
          <w:sz w:val="24"/>
          <w:szCs w:val="24"/>
        </w:rPr>
        <w:t xml:space="preserve">contempla el ciclo de política pública y atiende a cada instancia de la respuesta institucional: prevención, atención, persecución del delito, control, sanción, y resocialización. </w:t>
      </w:r>
      <w:r>
        <w:rPr>
          <w:rFonts w:cstheme="minorHAnsi"/>
          <w:sz w:val="24"/>
          <w:szCs w:val="24"/>
        </w:rPr>
        <w:t>C</w:t>
      </w:r>
      <w:r w:rsidRPr="00DA00FE">
        <w:rPr>
          <w:rFonts w:cstheme="minorHAnsi"/>
          <w:sz w:val="24"/>
          <w:szCs w:val="24"/>
        </w:rPr>
        <w:t>on un enfoque de ciclo de vida,</w:t>
      </w:r>
      <w:r>
        <w:rPr>
          <w:rFonts w:cstheme="minorHAnsi"/>
          <w:sz w:val="24"/>
          <w:szCs w:val="24"/>
        </w:rPr>
        <w:t xml:space="preserve"> </w:t>
      </w:r>
      <w:r w:rsidRPr="00DA00FE">
        <w:rPr>
          <w:rFonts w:cstheme="minorHAnsi"/>
          <w:sz w:val="24"/>
          <w:szCs w:val="24"/>
        </w:rPr>
        <w:t xml:space="preserve">promoviendo plataformas interinstitucionales de acción coordinada para prevenir violencias según población (CONNIPREVINA, CONVIMU), </w:t>
      </w:r>
      <w:r>
        <w:rPr>
          <w:rFonts w:cstheme="minorHAnsi"/>
          <w:sz w:val="24"/>
          <w:szCs w:val="24"/>
        </w:rPr>
        <w:t xml:space="preserve">desarrollando </w:t>
      </w:r>
      <w:r w:rsidRPr="00DA00FE">
        <w:rPr>
          <w:rFonts w:cstheme="minorHAnsi"/>
          <w:sz w:val="24"/>
          <w:szCs w:val="24"/>
        </w:rPr>
        <w:t>planes integrales de acción a nivel nacional y locales, y estimulando la presencia territorial</w:t>
      </w:r>
      <w:r>
        <w:rPr>
          <w:rFonts w:cstheme="minorHAnsi"/>
          <w:sz w:val="24"/>
          <w:szCs w:val="24"/>
        </w:rPr>
        <w:t xml:space="preserve"> (MINSEG, 2017)</w:t>
      </w:r>
      <w:r w:rsidRPr="00DA00FE">
        <w:rPr>
          <w:rFonts w:cstheme="minorHAnsi"/>
          <w:sz w:val="24"/>
          <w:szCs w:val="24"/>
        </w:rPr>
        <w:t xml:space="preserve">. </w:t>
      </w:r>
    </w:p>
    <w:p w14:paraId="46945265" w14:textId="77777777" w:rsidR="000C171B" w:rsidRDefault="000C171B" w:rsidP="000C171B">
      <w:pPr>
        <w:spacing w:after="0" w:line="240" w:lineRule="auto"/>
        <w:jc w:val="both"/>
        <w:rPr>
          <w:rFonts w:cstheme="minorHAnsi"/>
          <w:sz w:val="24"/>
          <w:szCs w:val="24"/>
        </w:rPr>
      </w:pPr>
    </w:p>
    <w:p w14:paraId="4329BA64" w14:textId="77777777" w:rsidR="000C171B" w:rsidRDefault="000C171B" w:rsidP="000C171B">
      <w:pPr>
        <w:spacing w:after="0" w:line="240" w:lineRule="auto"/>
        <w:jc w:val="both"/>
        <w:rPr>
          <w:rFonts w:cstheme="minorHAnsi"/>
          <w:sz w:val="24"/>
          <w:szCs w:val="24"/>
        </w:rPr>
      </w:pPr>
      <w:r>
        <w:rPr>
          <w:rFonts w:cstheme="minorHAnsi"/>
          <w:sz w:val="24"/>
          <w:szCs w:val="24"/>
        </w:rPr>
        <w:t xml:space="preserve">Sin embargo, aún y con los avances, el derecho </w:t>
      </w:r>
      <w:r w:rsidRPr="000C0403">
        <w:rPr>
          <w:rFonts w:cstheme="minorHAnsi"/>
          <w:sz w:val="24"/>
          <w:szCs w:val="24"/>
        </w:rPr>
        <w:t>a</w:t>
      </w:r>
      <w:r>
        <w:rPr>
          <w:rFonts w:cstheme="minorHAnsi"/>
          <w:sz w:val="24"/>
          <w:szCs w:val="24"/>
        </w:rPr>
        <w:t xml:space="preserve"> </w:t>
      </w:r>
      <w:r w:rsidRPr="000C0403">
        <w:rPr>
          <w:rFonts w:cstheme="minorHAnsi"/>
          <w:sz w:val="24"/>
          <w:szCs w:val="24"/>
        </w:rPr>
        <w:t>una vida</w:t>
      </w:r>
      <w:r>
        <w:rPr>
          <w:rFonts w:cstheme="minorHAnsi"/>
          <w:sz w:val="24"/>
          <w:szCs w:val="24"/>
        </w:rPr>
        <w:t xml:space="preserve"> </w:t>
      </w:r>
      <w:r w:rsidRPr="000C0403">
        <w:rPr>
          <w:rFonts w:cstheme="minorHAnsi"/>
          <w:sz w:val="24"/>
          <w:szCs w:val="24"/>
        </w:rPr>
        <w:t>libre de</w:t>
      </w:r>
      <w:r>
        <w:rPr>
          <w:rFonts w:cstheme="minorHAnsi"/>
          <w:sz w:val="24"/>
          <w:szCs w:val="24"/>
        </w:rPr>
        <w:t xml:space="preserve"> </w:t>
      </w:r>
      <w:r w:rsidRPr="000C0403">
        <w:rPr>
          <w:rFonts w:cstheme="minorHAnsi"/>
          <w:sz w:val="24"/>
          <w:szCs w:val="24"/>
        </w:rPr>
        <w:t>violencia</w:t>
      </w:r>
      <w:r>
        <w:rPr>
          <w:rFonts w:cstheme="minorHAnsi"/>
          <w:sz w:val="24"/>
          <w:szCs w:val="24"/>
        </w:rPr>
        <w:t xml:space="preserve"> sigue siendo no sólo una cuestión de políticas públicas en general, sino también una cuestión de la garantías en el ámbito local.  </w:t>
      </w:r>
    </w:p>
    <w:p w14:paraId="32E07608" w14:textId="77777777" w:rsidR="000C171B" w:rsidRPr="00CA50A1" w:rsidRDefault="000C171B" w:rsidP="000C171B">
      <w:pPr>
        <w:spacing w:after="0" w:line="240" w:lineRule="auto"/>
        <w:rPr>
          <w:rFonts w:cstheme="minorHAnsi"/>
          <w:color w:val="FF0000"/>
          <w:sz w:val="24"/>
          <w:szCs w:val="24"/>
        </w:rPr>
      </w:pPr>
    </w:p>
    <w:p w14:paraId="681CD35E" w14:textId="77777777" w:rsidR="000C171B" w:rsidRPr="00BA7353" w:rsidRDefault="000C171B" w:rsidP="000C171B">
      <w:pPr>
        <w:spacing w:after="0" w:line="240" w:lineRule="auto"/>
        <w:jc w:val="both"/>
        <w:rPr>
          <w:rFonts w:cstheme="minorHAnsi"/>
          <w:color w:val="4472C4" w:themeColor="accent1"/>
          <w:sz w:val="24"/>
          <w:szCs w:val="24"/>
        </w:rPr>
      </w:pPr>
      <w:r w:rsidRPr="00BA7353">
        <w:rPr>
          <w:rFonts w:cstheme="minorHAnsi"/>
          <w:b/>
          <w:bCs/>
          <w:color w:val="4472C4" w:themeColor="accent1"/>
          <w:sz w:val="24"/>
          <w:szCs w:val="24"/>
        </w:rPr>
        <w:t>6.1.3. Trata de personas y explotación sexual y laboral.</w:t>
      </w:r>
      <w:r w:rsidRPr="00BA7353">
        <w:rPr>
          <w:rFonts w:cstheme="minorHAnsi"/>
          <w:color w:val="4472C4" w:themeColor="accent1"/>
          <w:sz w:val="24"/>
          <w:szCs w:val="24"/>
        </w:rPr>
        <w:t xml:space="preserve"> </w:t>
      </w:r>
    </w:p>
    <w:p w14:paraId="34E59B69" w14:textId="77777777" w:rsidR="000C171B" w:rsidRPr="00DA00FE" w:rsidRDefault="000C171B" w:rsidP="000C171B">
      <w:pPr>
        <w:spacing w:after="0" w:line="240" w:lineRule="auto"/>
        <w:jc w:val="both"/>
        <w:rPr>
          <w:rFonts w:cstheme="minorHAnsi"/>
          <w:sz w:val="24"/>
          <w:szCs w:val="24"/>
        </w:rPr>
      </w:pPr>
    </w:p>
    <w:p w14:paraId="6787D1F3" w14:textId="2491D205" w:rsidR="000C171B" w:rsidRDefault="000C171B" w:rsidP="000C171B">
      <w:pPr>
        <w:spacing w:after="0" w:line="240" w:lineRule="auto"/>
        <w:jc w:val="both"/>
        <w:rPr>
          <w:rFonts w:cstheme="minorHAnsi"/>
          <w:color w:val="000000" w:themeColor="text1"/>
          <w:sz w:val="24"/>
          <w:szCs w:val="24"/>
        </w:rPr>
      </w:pPr>
      <w:r w:rsidRPr="00034EBA">
        <w:rPr>
          <w:rFonts w:cstheme="minorHAnsi"/>
          <w:color w:val="000000" w:themeColor="text1"/>
          <w:sz w:val="24"/>
          <w:szCs w:val="24"/>
        </w:rPr>
        <w:t>Las violaciones a los derechos humanos de víctimas del tráfico son graves y variadas y se</w:t>
      </w:r>
      <w:r>
        <w:rPr>
          <w:rFonts w:cstheme="minorHAnsi"/>
          <w:color w:val="000000" w:themeColor="text1"/>
          <w:sz w:val="24"/>
          <w:szCs w:val="24"/>
        </w:rPr>
        <w:t xml:space="preserve"> </w:t>
      </w:r>
      <w:r w:rsidRPr="00034EBA">
        <w:rPr>
          <w:rFonts w:cstheme="minorHAnsi"/>
          <w:color w:val="000000" w:themeColor="text1"/>
          <w:sz w:val="24"/>
          <w:szCs w:val="24"/>
        </w:rPr>
        <w:t xml:space="preserve">relacionan con los mecanismos de control que </w:t>
      </w:r>
      <w:r>
        <w:rPr>
          <w:rFonts w:cstheme="minorHAnsi"/>
          <w:color w:val="000000" w:themeColor="text1"/>
          <w:sz w:val="24"/>
          <w:szCs w:val="24"/>
        </w:rPr>
        <w:t xml:space="preserve">incluyen: (i) </w:t>
      </w:r>
      <w:r w:rsidRPr="00034EBA">
        <w:rPr>
          <w:rFonts w:cstheme="minorHAnsi"/>
          <w:color w:val="000000" w:themeColor="text1"/>
          <w:sz w:val="24"/>
          <w:szCs w:val="24"/>
        </w:rPr>
        <w:t>retención de documentos de identificación, viaje o de salud</w:t>
      </w:r>
      <w:r>
        <w:rPr>
          <w:rFonts w:cstheme="minorHAnsi"/>
          <w:color w:val="000000" w:themeColor="text1"/>
          <w:sz w:val="24"/>
          <w:szCs w:val="24"/>
        </w:rPr>
        <w:t>; (</w:t>
      </w:r>
      <w:proofErr w:type="spellStart"/>
      <w:r>
        <w:rPr>
          <w:rFonts w:cstheme="minorHAnsi"/>
          <w:color w:val="000000" w:themeColor="text1"/>
          <w:sz w:val="24"/>
          <w:szCs w:val="24"/>
        </w:rPr>
        <w:t>ii</w:t>
      </w:r>
      <w:proofErr w:type="spellEnd"/>
      <w:r>
        <w:rPr>
          <w:rFonts w:cstheme="minorHAnsi"/>
          <w:color w:val="000000" w:themeColor="text1"/>
          <w:sz w:val="24"/>
          <w:szCs w:val="24"/>
        </w:rPr>
        <w:t>) i</w:t>
      </w:r>
      <w:r w:rsidRPr="00034EBA">
        <w:rPr>
          <w:rFonts w:cstheme="minorHAnsi"/>
          <w:color w:val="000000" w:themeColor="text1"/>
          <w:sz w:val="24"/>
          <w:szCs w:val="24"/>
        </w:rPr>
        <w:t>mposición de deudas por transporte, alojamiento, alimentación y otras necesidades</w:t>
      </w:r>
      <w:r>
        <w:rPr>
          <w:rFonts w:cstheme="minorHAnsi"/>
          <w:color w:val="000000" w:themeColor="text1"/>
          <w:sz w:val="24"/>
          <w:szCs w:val="24"/>
        </w:rPr>
        <w:t xml:space="preserve"> </w:t>
      </w:r>
      <w:r w:rsidRPr="00034EBA">
        <w:rPr>
          <w:rFonts w:cstheme="minorHAnsi"/>
          <w:color w:val="000000" w:themeColor="text1"/>
          <w:sz w:val="24"/>
          <w:szCs w:val="24"/>
        </w:rPr>
        <w:t>básicas</w:t>
      </w:r>
      <w:r>
        <w:rPr>
          <w:rFonts w:cstheme="minorHAnsi"/>
          <w:color w:val="000000" w:themeColor="text1"/>
          <w:sz w:val="24"/>
          <w:szCs w:val="24"/>
        </w:rPr>
        <w:t>; (</w:t>
      </w:r>
      <w:proofErr w:type="spellStart"/>
      <w:r>
        <w:rPr>
          <w:rFonts w:cstheme="minorHAnsi"/>
          <w:color w:val="000000" w:themeColor="text1"/>
          <w:sz w:val="24"/>
          <w:szCs w:val="24"/>
        </w:rPr>
        <w:t>iii</w:t>
      </w:r>
      <w:proofErr w:type="spellEnd"/>
      <w:r>
        <w:rPr>
          <w:rFonts w:cstheme="minorHAnsi"/>
          <w:color w:val="000000" w:themeColor="text1"/>
          <w:sz w:val="24"/>
          <w:szCs w:val="24"/>
        </w:rPr>
        <w:t>) a</w:t>
      </w:r>
      <w:r w:rsidRPr="00034EBA">
        <w:rPr>
          <w:rFonts w:cstheme="minorHAnsi"/>
          <w:color w:val="000000" w:themeColor="text1"/>
          <w:sz w:val="24"/>
          <w:szCs w:val="24"/>
        </w:rPr>
        <w:t>menazas de informar su condición inmigratoria a las autoridades</w:t>
      </w:r>
      <w:r>
        <w:rPr>
          <w:rFonts w:cstheme="minorHAnsi"/>
          <w:color w:val="000000" w:themeColor="text1"/>
          <w:sz w:val="24"/>
          <w:szCs w:val="24"/>
        </w:rPr>
        <w:t>; (</w:t>
      </w:r>
      <w:proofErr w:type="spellStart"/>
      <w:r>
        <w:rPr>
          <w:rFonts w:cstheme="minorHAnsi"/>
          <w:color w:val="000000" w:themeColor="text1"/>
          <w:sz w:val="24"/>
          <w:szCs w:val="24"/>
        </w:rPr>
        <w:t>iv</w:t>
      </w:r>
      <w:proofErr w:type="spellEnd"/>
      <w:r>
        <w:rPr>
          <w:rFonts w:cstheme="minorHAnsi"/>
          <w:color w:val="000000" w:themeColor="text1"/>
          <w:sz w:val="24"/>
          <w:szCs w:val="24"/>
        </w:rPr>
        <w:t>) g</w:t>
      </w:r>
      <w:r w:rsidRPr="00034EBA">
        <w:rPr>
          <w:rFonts w:cstheme="minorHAnsi"/>
          <w:color w:val="000000" w:themeColor="text1"/>
          <w:sz w:val="24"/>
          <w:szCs w:val="24"/>
        </w:rPr>
        <w:t>olpes y abusos físicos</w:t>
      </w:r>
      <w:r>
        <w:rPr>
          <w:rFonts w:cstheme="minorHAnsi"/>
          <w:color w:val="000000" w:themeColor="text1"/>
          <w:sz w:val="24"/>
          <w:szCs w:val="24"/>
        </w:rPr>
        <w:t>; (v) g</w:t>
      </w:r>
      <w:r w:rsidRPr="00034EBA">
        <w:rPr>
          <w:rFonts w:cstheme="minorHAnsi"/>
          <w:color w:val="000000" w:themeColor="text1"/>
          <w:sz w:val="24"/>
          <w:szCs w:val="24"/>
        </w:rPr>
        <w:t>uardias que las vigilan o ejercen otros métodos de restricción de la libertad</w:t>
      </w:r>
      <w:r>
        <w:rPr>
          <w:rFonts w:cstheme="minorHAnsi"/>
          <w:color w:val="000000" w:themeColor="text1"/>
          <w:sz w:val="24"/>
          <w:szCs w:val="24"/>
        </w:rPr>
        <w:t xml:space="preserve"> (CEPAL, 2003)</w:t>
      </w:r>
      <w:r w:rsidRPr="00034EBA">
        <w:rPr>
          <w:rFonts w:cstheme="minorHAnsi"/>
          <w:color w:val="000000" w:themeColor="text1"/>
          <w:sz w:val="24"/>
          <w:szCs w:val="24"/>
        </w:rPr>
        <w:t xml:space="preserve">. </w:t>
      </w:r>
    </w:p>
    <w:p w14:paraId="608E4A11" w14:textId="77777777" w:rsidR="000C171B" w:rsidRDefault="000C171B" w:rsidP="000C171B">
      <w:pPr>
        <w:spacing w:after="0" w:line="240" w:lineRule="auto"/>
        <w:jc w:val="both"/>
        <w:rPr>
          <w:rFonts w:cstheme="minorHAnsi"/>
          <w:color w:val="000000" w:themeColor="text1"/>
          <w:sz w:val="24"/>
          <w:szCs w:val="24"/>
        </w:rPr>
      </w:pPr>
    </w:p>
    <w:p w14:paraId="4DBC5281" w14:textId="77777777" w:rsidR="000C171B" w:rsidRDefault="000C171B" w:rsidP="000C171B">
      <w:pPr>
        <w:spacing w:after="0" w:line="240" w:lineRule="auto"/>
        <w:jc w:val="both"/>
        <w:rPr>
          <w:rFonts w:cstheme="minorHAnsi"/>
          <w:color w:val="000000" w:themeColor="text1"/>
          <w:sz w:val="24"/>
          <w:szCs w:val="24"/>
        </w:rPr>
      </w:pPr>
      <w:r>
        <w:rPr>
          <w:rFonts w:cstheme="minorHAnsi"/>
          <w:color w:val="000000" w:themeColor="text1"/>
          <w:sz w:val="24"/>
          <w:szCs w:val="24"/>
        </w:rPr>
        <w:t>En el país, la trata de personas es una actividad delictiva emergente y en ascenso. D</w:t>
      </w:r>
      <w:r w:rsidRPr="00FE0EA7">
        <w:rPr>
          <w:rFonts w:cstheme="minorHAnsi"/>
          <w:color w:val="000000" w:themeColor="text1"/>
          <w:sz w:val="24"/>
          <w:szCs w:val="24"/>
        </w:rPr>
        <w:t>e acuerdo con las cifras de la Policía Nacional de Panamá, las situaciones de explotación sexual aumentaron entre 2015 y 2016, de 49 hechos a 84, esto es, un aumento del 71% (MINSEG, 2017).</w:t>
      </w:r>
      <w:r>
        <w:rPr>
          <w:rFonts w:cstheme="minorHAnsi"/>
          <w:color w:val="000000" w:themeColor="text1"/>
          <w:sz w:val="24"/>
          <w:szCs w:val="24"/>
        </w:rPr>
        <w:t xml:space="preserve"> </w:t>
      </w:r>
      <w:r w:rsidRPr="00FE0EA7">
        <w:rPr>
          <w:rFonts w:cstheme="minorHAnsi"/>
          <w:color w:val="000000" w:themeColor="text1"/>
          <w:sz w:val="24"/>
          <w:szCs w:val="24"/>
        </w:rPr>
        <w:t>Según registros periodísticos, hasta el año 2019, se desarticula</w:t>
      </w:r>
      <w:r>
        <w:rPr>
          <w:rFonts w:cstheme="minorHAnsi"/>
          <w:color w:val="000000" w:themeColor="text1"/>
          <w:sz w:val="24"/>
          <w:szCs w:val="24"/>
        </w:rPr>
        <w:t>n</w:t>
      </w:r>
      <w:r w:rsidRPr="00FE0EA7">
        <w:rPr>
          <w:rFonts w:cstheme="minorHAnsi"/>
          <w:color w:val="000000" w:themeColor="text1"/>
          <w:sz w:val="24"/>
          <w:szCs w:val="24"/>
        </w:rPr>
        <w:t xml:space="preserve"> 22 redes vinculadas con actividades de explotación sexual (UNFPA</w:t>
      </w:r>
      <w:r>
        <w:rPr>
          <w:rFonts w:cstheme="minorHAnsi"/>
          <w:color w:val="000000" w:themeColor="text1"/>
          <w:sz w:val="24"/>
          <w:szCs w:val="24"/>
        </w:rPr>
        <w:t>,</w:t>
      </w:r>
      <w:r w:rsidRPr="00FE0EA7">
        <w:rPr>
          <w:rFonts w:cstheme="minorHAnsi"/>
          <w:color w:val="000000" w:themeColor="text1"/>
          <w:sz w:val="24"/>
          <w:szCs w:val="24"/>
        </w:rPr>
        <w:t xml:space="preserve"> 2019). </w:t>
      </w:r>
    </w:p>
    <w:p w14:paraId="4CB60105" w14:textId="77777777" w:rsidR="000C171B" w:rsidRDefault="000C171B" w:rsidP="000C171B">
      <w:pPr>
        <w:spacing w:after="0" w:line="240" w:lineRule="auto"/>
        <w:jc w:val="both"/>
        <w:rPr>
          <w:rFonts w:cstheme="minorHAnsi"/>
          <w:color w:val="000000" w:themeColor="text1"/>
          <w:sz w:val="24"/>
          <w:szCs w:val="24"/>
        </w:rPr>
      </w:pPr>
    </w:p>
    <w:p w14:paraId="7D51F4B4" w14:textId="571766B7" w:rsidR="000C171B" w:rsidRDefault="000C171B" w:rsidP="000C171B">
      <w:pPr>
        <w:spacing w:after="0" w:line="240" w:lineRule="auto"/>
        <w:jc w:val="both"/>
        <w:rPr>
          <w:rFonts w:cstheme="minorHAnsi"/>
          <w:color w:val="000000" w:themeColor="text1"/>
          <w:sz w:val="24"/>
          <w:szCs w:val="24"/>
        </w:rPr>
      </w:pPr>
      <w:r>
        <w:rPr>
          <w:rFonts w:cstheme="minorHAnsi"/>
          <w:color w:val="000000" w:themeColor="text1"/>
          <w:sz w:val="24"/>
          <w:szCs w:val="24"/>
        </w:rPr>
        <w:t xml:space="preserve">Entre los años </w:t>
      </w:r>
      <w:r w:rsidRPr="00FE0EA7">
        <w:rPr>
          <w:rFonts w:cstheme="minorHAnsi"/>
          <w:color w:val="000000" w:themeColor="text1"/>
          <w:sz w:val="24"/>
          <w:szCs w:val="24"/>
        </w:rPr>
        <w:t xml:space="preserve">2017 </w:t>
      </w:r>
      <w:r>
        <w:rPr>
          <w:rFonts w:cstheme="minorHAnsi"/>
          <w:color w:val="000000" w:themeColor="text1"/>
          <w:sz w:val="24"/>
          <w:szCs w:val="24"/>
        </w:rPr>
        <w:t xml:space="preserve">y </w:t>
      </w:r>
      <w:r w:rsidRPr="00FE0EA7">
        <w:rPr>
          <w:rFonts w:cstheme="minorHAnsi"/>
          <w:color w:val="000000" w:themeColor="text1"/>
          <w:sz w:val="24"/>
          <w:szCs w:val="24"/>
        </w:rPr>
        <w:t>2019</w:t>
      </w:r>
      <w:r>
        <w:rPr>
          <w:rFonts w:cstheme="minorHAnsi"/>
          <w:color w:val="000000" w:themeColor="text1"/>
          <w:sz w:val="24"/>
          <w:szCs w:val="24"/>
        </w:rPr>
        <w:t xml:space="preserve">, en el país, </w:t>
      </w:r>
      <w:r w:rsidRPr="00FE0EA7">
        <w:rPr>
          <w:rFonts w:cstheme="minorHAnsi"/>
          <w:color w:val="000000" w:themeColor="text1"/>
          <w:sz w:val="24"/>
          <w:szCs w:val="24"/>
        </w:rPr>
        <w:t xml:space="preserve">se han registrado 57 casos </w:t>
      </w:r>
      <w:r>
        <w:rPr>
          <w:rFonts w:cstheme="minorHAnsi"/>
          <w:color w:val="000000" w:themeColor="text1"/>
          <w:sz w:val="24"/>
          <w:szCs w:val="24"/>
        </w:rPr>
        <w:t xml:space="preserve">de </w:t>
      </w:r>
      <w:r w:rsidRPr="00FE0EA7">
        <w:rPr>
          <w:rFonts w:cstheme="minorHAnsi"/>
          <w:color w:val="000000" w:themeColor="text1"/>
          <w:sz w:val="24"/>
          <w:szCs w:val="24"/>
        </w:rPr>
        <w:t>trata personas de nacionalidades como Colombia, Venezuela y Panamá</w:t>
      </w:r>
      <w:r w:rsidRPr="00FE0EA7">
        <w:rPr>
          <w:rStyle w:val="FootnoteReference"/>
          <w:rFonts w:cstheme="minorHAnsi"/>
          <w:color w:val="000000" w:themeColor="text1"/>
          <w:sz w:val="24"/>
          <w:szCs w:val="24"/>
        </w:rPr>
        <w:footnoteReference w:id="49"/>
      </w:r>
      <w:r>
        <w:rPr>
          <w:rFonts w:cstheme="minorHAnsi"/>
          <w:color w:val="000000" w:themeColor="text1"/>
          <w:sz w:val="24"/>
          <w:szCs w:val="24"/>
        </w:rPr>
        <w:t xml:space="preserve">. Asimismo, </w:t>
      </w:r>
      <w:r w:rsidRPr="00664178">
        <w:rPr>
          <w:rFonts w:cstheme="minorHAnsi"/>
          <w:color w:val="000000" w:themeColor="text1"/>
          <w:sz w:val="24"/>
          <w:szCs w:val="24"/>
        </w:rPr>
        <w:t>la Unidad de Identificación y Atención a Víctimas (</w:t>
      </w:r>
      <w:r>
        <w:rPr>
          <w:rFonts w:cstheme="minorHAnsi"/>
          <w:color w:val="000000" w:themeColor="text1"/>
          <w:sz w:val="24"/>
          <w:szCs w:val="24"/>
        </w:rPr>
        <w:t>2019</w:t>
      </w:r>
      <w:r w:rsidRPr="00664178">
        <w:rPr>
          <w:rFonts w:cstheme="minorHAnsi"/>
          <w:color w:val="000000" w:themeColor="text1"/>
          <w:sz w:val="24"/>
          <w:szCs w:val="24"/>
        </w:rPr>
        <w:t>) identific</w:t>
      </w:r>
      <w:r>
        <w:rPr>
          <w:rFonts w:cstheme="minorHAnsi"/>
          <w:color w:val="000000" w:themeColor="text1"/>
          <w:sz w:val="24"/>
          <w:szCs w:val="24"/>
        </w:rPr>
        <w:t>ó, por un lado, e</w:t>
      </w:r>
      <w:r w:rsidRPr="00664178">
        <w:rPr>
          <w:rFonts w:cstheme="minorHAnsi"/>
          <w:color w:val="000000" w:themeColor="text1"/>
          <w:sz w:val="24"/>
          <w:szCs w:val="24"/>
        </w:rPr>
        <w:t>n forma plena</w:t>
      </w:r>
      <w:r>
        <w:rPr>
          <w:rFonts w:cstheme="minorHAnsi"/>
          <w:color w:val="000000" w:themeColor="text1"/>
          <w:sz w:val="24"/>
          <w:szCs w:val="24"/>
        </w:rPr>
        <w:t xml:space="preserve"> a</w:t>
      </w:r>
      <w:r w:rsidRPr="00664178">
        <w:rPr>
          <w:rFonts w:cstheme="minorHAnsi"/>
          <w:color w:val="000000" w:themeColor="text1"/>
          <w:sz w:val="24"/>
          <w:szCs w:val="24"/>
        </w:rPr>
        <w:t xml:space="preserve"> 8 víctimas</w:t>
      </w:r>
      <w:r>
        <w:rPr>
          <w:rFonts w:cstheme="minorHAnsi"/>
          <w:color w:val="000000" w:themeColor="text1"/>
          <w:sz w:val="24"/>
          <w:szCs w:val="24"/>
        </w:rPr>
        <w:t xml:space="preserve"> de trata de personas; por el otro, </w:t>
      </w:r>
      <w:r w:rsidRPr="00664178">
        <w:rPr>
          <w:rFonts w:cstheme="minorHAnsi"/>
          <w:color w:val="000000" w:themeColor="text1"/>
          <w:sz w:val="24"/>
          <w:szCs w:val="24"/>
        </w:rPr>
        <w:t>en forma preliminar a 54 posibles víctimas de trata de personas</w:t>
      </w:r>
      <w:r w:rsidRPr="00FE0EA7">
        <w:rPr>
          <w:rStyle w:val="FootnoteReference"/>
          <w:rFonts w:cstheme="minorHAnsi"/>
          <w:color w:val="000000" w:themeColor="text1"/>
          <w:sz w:val="24"/>
          <w:szCs w:val="24"/>
        </w:rPr>
        <w:footnoteReference w:id="50"/>
      </w:r>
      <w:r w:rsidRPr="00664178">
        <w:rPr>
          <w:rFonts w:cstheme="minorHAnsi"/>
          <w:color w:val="000000" w:themeColor="text1"/>
          <w:sz w:val="24"/>
          <w:szCs w:val="24"/>
        </w:rPr>
        <w:t xml:space="preserve">. </w:t>
      </w:r>
      <w:r>
        <w:rPr>
          <w:rFonts w:cstheme="minorHAnsi"/>
          <w:color w:val="000000" w:themeColor="text1"/>
          <w:sz w:val="24"/>
          <w:szCs w:val="24"/>
        </w:rPr>
        <w:t xml:space="preserve">Además, </w:t>
      </w:r>
      <w:r w:rsidRPr="00664178">
        <w:rPr>
          <w:rFonts w:cstheme="minorHAnsi"/>
          <w:color w:val="000000" w:themeColor="text1"/>
          <w:sz w:val="24"/>
          <w:szCs w:val="24"/>
        </w:rPr>
        <w:t>el Ministerio Público inició investigaciones en contra de 13 personas</w:t>
      </w:r>
      <w:r>
        <w:rPr>
          <w:rFonts w:cstheme="minorHAnsi"/>
          <w:color w:val="000000" w:themeColor="text1"/>
          <w:sz w:val="24"/>
          <w:szCs w:val="24"/>
        </w:rPr>
        <w:t xml:space="preserve"> (</w:t>
      </w:r>
      <w:r w:rsidRPr="00664178">
        <w:rPr>
          <w:rFonts w:cstheme="minorHAnsi"/>
          <w:color w:val="000000" w:themeColor="text1"/>
          <w:sz w:val="24"/>
          <w:szCs w:val="24"/>
        </w:rPr>
        <w:t>9 hombres adultos y 4 mujeres adultas</w:t>
      </w:r>
      <w:r>
        <w:rPr>
          <w:rFonts w:cstheme="minorHAnsi"/>
          <w:color w:val="000000" w:themeColor="text1"/>
          <w:sz w:val="24"/>
          <w:szCs w:val="24"/>
        </w:rPr>
        <w:t>)</w:t>
      </w:r>
      <w:r w:rsidRPr="00664178">
        <w:rPr>
          <w:rFonts w:cstheme="minorHAnsi"/>
          <w:color w:val="000000" w:themeColor="text1"/>
          <w:sz w:val="24"/>
          <w:szCs w:val="24"/>
        </w:rPr>
        <w:t xml:space="preserve"> por la supuesta comisión del delito de trata de personas y actividades conexas. Y </w:t>
      </w:r>
      <w:r>
        <w:rPr>
          <w:rFonts w:cstheme="minorHAnsi"/>
          <w:color w:val="000000" w:themeColor="text1"/>
          <w:sz w:val="24"/>
          <w:szCs w:val="24"/>
        </w:rPr>
        <w:t>se c</w:t>
      </w:r>
      <w:r w:rsidRPr="00664178">
        <w:rPr>
          <w:rFonts w:cstheme="minorHAnsi"/>
          <w:color w:val="000000" w:themeColor="text1"/>
          <w:sz w:val="24"/>
          <w:szCs w:val="24"/>
        </w:rPr>
        <w:t>onden</w:t>
      </w:r>
      <w:r>
        <w:rPr>
          <w:rFonts w:cstheme="minorHAnsi"/>
          <w:color w:val="000000" w:themeColor="text1"/>
          <w:sz w:val="24"/>
          <w:szCs w:val="24"/>
        </w:rPr>
        <w:t xml:space="preserve">ó </w:t>
      </w:r>
      <w:r w:rsidRPr="00664178">
        <w:rPr>
          <w:rFonts w:cstheme="minorHAnsi"/>
          <w:color w:val="000000" w:themeColor="text1"/>
          <w:sz w:val="24"/>
          <w:szCs w:val="24"/>
        </w:rPr>
        <w:t>a 8 personas por la comisión del delito de Trata de Personas y actividades conexas en la modalidad sexual</w:t>
      </w:r>
      <w:r w:rsidRPr="00FE0EA7">
        <w:rPr>
          <w:rStyle w:val="FootnoteReference"/>
          <w:rFonts w:cstheme="minorHAnsi"/>
          <w:color w:val="000000" w:themeColor="text1"/>
          <w:sz w:val="24"/>
          <w:szCs w:val="24"/>
        </w:rPr>
        <w:footnoteReference w:id="51"/>
      </w:r>
      <w:r w:rsidRPr="00664178">
        <w:rPr>
          <w:rFonts w:cstheme="minorHAnsi"/>
          <w:color w:val="000000" w:themeColor="text1"/>
          <w:sz w:val="24"/>
          <w:szCs w:val="24"/>
        </w:rPr>
        <w:t xml:space="preserve">. </w:t>
      </w:r>
    </w:p>
    <w:p w14:paraId="4C25A011" w14:textId="77777777" w:rsidR="000C171B" w:rsidRDefault="000C171B" w:rsidP="000C171B">
      <w:pPr>
        <w:spacing w:after="0" w:line="240" w:lineRule="auto"/>
        <w:jc w:val="both"/>
        <w:rPr>
          <w:rFonts w:cstheme="minorHAnsi"/>
          <w:color w:val="000000" w:themeColor="text1"/>
          <w:sz w:val="24"/>
          <w:szCs w:val="24"/>
        </w:rPr>
      </w:pPr>
    </w:p>
    <w:p w14:paraId="5A7A7D9F" w14:textId="77777777" w:rsidR="000C171B" w:rsidRDefault="000C171B" w:rsidP="000C171B">
      <w:pPr>
        <w:spacing w:after="0" w:line="240" w:lineRule="auto"/>
        <w:jc w:val="both"/>
        <w:rPr>
          <w:rFonts w:cstheme="minorHAnsi"/>
          <w:sz w:val="24"/>
          <w:szCs w:val="24"/>
        </w:rPr>
      </w:pPr>
      <w:r>
        <w:rPr>
          <w:rFonts w:cstheme="minorHAnsi"/>
          <w:sz w:val="24"/>
          <w:szCs w:val="24"/>
        </w:rPr>
        <w:t>Según el Informe de Trata de Personas del Departamento de Estado</w:t>
      </w:r>
      <w:r>
        <w:rPr>
          <w:rStyle w:val="FootnoteReference"/>
          <w:rFonts w:cstheme="minorHAnsi"/>
          <w:sz w:val="24"/>
          <w:szCs w:val="24"/>
        </w:rPr>
        <w:footnoteReference w:id="52"/>
      </w:r>
      <w:r>
        <w:rPr>
          <w:rFonts w:cstheme="minorHAnsi"/>
          <w:sz w:val="24"/>
          <w:szCs w:val="24"/>
        </w:rPr>
        <w:t xml:space="preserve">, </w:t>
      </w:r>
      <w:r w:rsidRPr="00ED56F3">
        <w:rPr>
          <w:rFonts w:cstheme="minorHAnsi"/>
          <w:sz w:val="24"/>
          <w:szCs w:val="24"/>
        </w:rPr>
        <w:t>los tratantes explotan a víctimas</w:t>
      </w:r>
      <w:r>
        <w:rPr>
          <w:rFonts w:cstheme="minorHAnsi"/>
          <w:sz w:val="24"/>
          <w:szCs w:val="24"/>
        </w:rPr>
        <w:t xml:space="preserve"> </w:t>
      </w:r>
      <w:r w:rsidRPr="00ED56F3">
        <w:rPr>
          <w:rFonts w:cstheme="minorHAnsi"/>
          <w:sz w:val="24"/>
          <w:szCs w:val="24"/>
        </w:rPr>
        <w:t>locales y extranjeras en Panamá, y los tratantes explotan a víctimas panameñas en</w:t>
      </w:r>
      <w:r>
        <w:rPr>
          <w:rFonts w:cstheme="minorHAnsi"/>
          <w:sz w:val="24"/>
          <w:szCs w:val="24"/>
        </w:rPr>
        <w:t xml:space="preserve"> </w:t>
      </w:r>
      <w:r w:rsidRPr="00ED56F3">
        <w:rPr>
          <w:rFonts w:cstheme="minorHAnsi"/>
          <w:sz w:val="24"/>
          <w:szCs w:val="24"/>
        </w:rPr>
        <w:t>el exterior. Los tratantes explotan a menores en el trabajo forzado, particularmente</w:t>
      </w:r>
      <w:r>
        <w:rPr>
          <w:rFonts w:cstheme="minorHAnsi"/>
          <w:sz w:val="24"/>
          <w:szCs w:val="24"/>
        </w:rPr>
        <w:t xml:space="preserve"> </w:t>
      </w:r>
      <w:r w:rsidRPr="00ED56F3">
        <w:rPr>
          <w:rFonts w:cstheme="minorHAnsi"/>
          <w:sz w:val="24"/>
          <w:szCs w:val="24"/>
        </w:rPr>
        <w:t>la servidumbre doméstica, y la trata sexual en Panamá</w:t>
      </w:r>
      <w:r>
        <w:rPr>
          <w:rFonts w:cstheme="minorHAnsi"/>
          <w:sz w:val="24"/>
          <w:szCs w:val="24"/>
        </w:rPr>
        <w:t xml:space="preserve"> (TIP, 2019)</w:t>
      </w:r>
      <w:r w:rsidRPr="00ED56F3">
        <w:rPr>
          <w:rFonts w:cstheme="minorHAnsi"/>
          <w:sz w:val="24"/>
          <w:szCs w:val="24"/>
        </w:rPr>
        <w:t xml:space="preserve">. </w:t>
      </w:r>
      <w:r>
        <w:rPr>
          <w:rFonts w:cstheme="minorHAnsi"/>
          <w:sz w:val="24"/>
          <w:szCs w:val="24"/>
        </w:rPr>
        <w:t xml:space="preserve"> L</w:t>
      </w:r>
      <w:r w:rsidRPr="00ED56F3">
        <w:rPr>
          <w:rFonts w:cstheme="minorHAnsi"/>
          <w:sz w:val="24"/>
          <w:szCs w:val="24"/>
        </w:rPr>
        <w:t>as víctimas</w:t>
      </w:r>
      <w:r>
        <w:rPr>
          <w:rFonts w:cstheme="minorHAnsi"/>
          <w:sz w:val="24"/>
          <w:szCs w:val="24"/>
        </w:rPr>
        <w:t xml:space="preserve"> </w:t>
      </w:r>
      <w:r w:rsidRPr="00ED56F3">
        <w:rPr>
          <w:rFonts w:cstheme="minorHAnsi"/>
          <w:sz w:val="24"/>
          <w:szCs w:val="24"/>
        </w:rPr>
        <w:t>de trata identificadas son extranjeras adultas explotadas en la trata sexual,</w:t>
      </w:r>
      <w:r>
        <w:rPr>
          <w:rFonts w:cstheme="minorHAnsi"/>
          <w:sz w:val="24"/>
          <w:szCs w:val="24"/>
        </w:rPr>
        <w:t xml:space="preserve"> </w:t>
      </w:r>
      <w:r w:rsidRPr="00ED56F3">
        <w:rPr>
          <w:rFonts w:cstheme="minorHAnsi"/>
          <w:sz w:val="24"/>
          <w:szCs w:val="24"/>
        </w:rPr>
        <w:t>especialmente mujeres de América del Sur y América Central. Sin embargo, los</w:t>
      </w:r>
      <w:r>
        <w:rPr>
          <w:rFonts w:cstheme="minorHAnsi"/>
          <w:sz w:val="24"/>
          <w:szCs w:val="24"/>
        </w:rPr>
        <w:t xml:space="preserve"> </w:t>
      </w:r>
      <w:r w:rsidRPr="00ED56F3">
        <w:rPr>
          <w:rFonts w:cstheme="minorHAnsi"/>
          <w:sz w:val="24"/>
          <w:szCs w:val="24"/>
        </w:rPr>
        <w:t xml:space="preserve">tratantes también explotan </w:t>
      </w:r>
      <w:r>
        <w:rPr>
          <w:rFonts w:cstheme="minorHAnsi"/>
          <w:sz w:val="24"/>
          <w:szCs w:val="24"/>
        </w:rPr>
        <w:t xml:space="preserve">personas de nacionalidad panameña </w:t>
      </w:r>
      <w:r w:rsidRPr="00ED56F3">
        <w:rPr>
          <w:rFonts w:cstheme="minorHAnsi"/>
          <w:sz w:val="24"/>
          <w:szCs w:val="24"/>
        </w:rPr>
        <w:t>en la trata sexual en Panamá y en el Caribe y América Central, y América del Sur. Los tratantes han explotado a</w:t>
      </w:r>
      <w:r>
        <w:rPr>
          <w:rFonts w:cstheme="minorHAnsi"/>
          <w:sz w:val="24"/>
          <w:szCs w:val="24"/>
        </w:rPr>
        <w:t xml:space="preserve"> personas </w:t>
      </w:r>
      <w:r w:rsidRPr="00ED56F3">
        <w:rPr>
          <w:rFonts w:cstheme="minorHAnsi"/>
          <w:sz w:val="24"/>
          <w:szCs w:val="24"/>
        </w:rPr>
        <w:t>transgénero en la trata sexual debido en parte a mayor vulnerabilidad</w:t>
      </w:r>
      <w:r>
        <w:rPr>
          <w:rFonts w:cstheme="minorHAnsi"/>
          <w:sz w:val="24"/>
          <w:szCs w:val="24"/>
        </w:rPr>
        <w:t xml:space="preserve"> </w:t>
      </w:r>
      <w:r w:rsidRPr="00ED56F3">
        <w:rPr>
          <w:rFonts w:cstheme="minorHAnsi"/>
          <w:sz w:val="24"/>
          <w:szCs w:val="24"/>
        </w:rPr>
        <w:t>por la discriminación de la que son sujeto y la alta demanda por los servicios de</w:t>
      </w:r>
      <w:r>
        <w:rPr>
          <w:rFonts w:cstheme="minorHAnsi"/>
          <w:sz w:val="24"/>
          <w:szCs w:val="24"/>
        </w:rPr>
        <w:t xml:space="preserve"> </w:t>
      </w:r>
      <w:r w:rsidRPr="00ED56F3">
        <w:rPr>
          <w:rFonts w:cstheme="minorHAnsi"/>
          <w:sz w:val="24"/>
          <w:szCs w:val="24"/>
        </w:rPr>
        <w:t>esta población</w:t>
      </w:r>
      <w:r>
        <w:rPr>
          <w:rFonts w:cstheme="minorHAnsi"/>
          <w:sz w:val="24"/>
          <w:szCs w:val="24"/>
        </w:rPr>
        <w:t xml:space="preserve"> (TIP, 2019)</w:t>
      </w:r>
      <w:r w:rsidRPr="00ED56F3">
        <w:rPr>
          <w:rFonts w:cstheme="minorHAnsi"/>
          <w:sz w:val="24"/>
          <w:szCs w:val="24"/>
        </w:rPr>
        <w:t xml:space="preserve">. </w:t>
      </w:r>
    </w:p>
    <w:p w14:paraId="2832279C" w14:textId="77777777" w:rsidR="000C171B" w:rsidRDefault="000C171B" w:rsidP="000C171B">
      <w:pPr>
        <w:spacing w:after="0" w:line="240" w:lineRule="auto"/>
        <w:jc w:val="both"/>
        <w:rPr>
          <w:rFonts w:cstheme="minorHAnsi"/>
          <w:sz w:val="24"/>
          <w:szCs w:val="24"/>
        </w:rPr>
      </w:pPr>
    </w:p>
    <w:p w14:paraId="27266643" w14:textId="77777777" w:rsidR="000C171B" w:rsidRDefault="000C171B" w:rsidP="000C171B">
      <w:pPr>
        <w:spacing w:after="0" w:line="240" w:lineRule="auto"/>
        <w:jc w:val="both"/>
        <w:rPr>
          <w:rFonts w:cstheme="minorHAnsi"/>
          <w:sz w:val="24"/>
          <w:szCs w:val="24"/>
        </w:rPr>
      </w:pPr>
      <w:r w:rsidRPr="00ED56F3">
        <w:rPr>
          <w:rFonts w:cstheme="minorHAnsi"/>
          <w:sz w:val="24"/>
          <w:szCs w:val="24"/>
        </w:rPr>
        <w:t>Los tratantes explotan</w:t>
      </w:r>
      <w:r>
        <w:rPr>
          <w:rFonts w:cstheme="minorHAnsi"/>
          <w:sz w:val="24"/>
          <w:szCs w:val="24"/>
        </w:rPr>
        <w:t xml:space="preserve">: (i) </w:t>
      </w:r>
      <w:r w:rsidRPr="00ED56F3">
        <w:rPr>
          <w:rFonts w:cstheme="minorHAnsi"/>
          <w:sz w:val="24"/>
          <w:szCs w:val="24"/>
        </w:rPr>
        <w:t>a hombres y mujeres de América</w:t>
      </w:r>
      <w:r>
        <w:rPr>
          <w:rFonts w:cstheme="minorHAnsi"/>
          <w:sz w:val="24"/>
          <w:szCs w:val="24"/>
        </w:rPr>
        <w:t xml:space="preserve"> </w:t>
      </w:r>
      <w:r w:rsidRPr="00ED56F3">
        <w:rPr>
          <w:rFonts w:cstheme="minorHAnsi"/>
          <w:sz w:val="24"/>
          <w:szCs w:val="24"/>
        </w:rPr>
        <w:t>Central que están en tránsito por Panamá en ruta al Caribe o Europa en la trata</w:t>
      </w:r>
      <w:r>
        <w:rPr>
          <w:rFonts w:cstheme="minorHAnsi"/>
          <w:sz w:val="24"/>
          <w:szCs w:val="24"/>
        </w:rPr>
        <w:t xml:space="preserve"> </w:t>
      </w:r>
      <w:r w:rsidRPr="00ED56F3">
        <w:rPr>
          <w:rFonts w:cstheme="minorHAnsi"/>
          <w:sz w:val="24"/>
          <w:szCs w:val="24"/>
        </w:rPr>
        <w:t>sexual o el trabajo forzado en los países de destino</w:t>
      </w:r>
      <w:r>
        <w:rPr>
          <w:rFonts w:cstheme="minorHAnsi"/>
          <w:sz w:val="24"/>
          <w:szCs w:val="24"/>
        </w:rPr>
        <w:t>;  (</w:t>
      </w:r>
      <w:proofErr w:type="spellStart"/>
      <w:r>
        <w:rPr>
          <w:rFonts w:cstheme="minorHAnsi"/>
          <w:sz w:val="24"/>
          <w:szCs w:val="24"/>
        </w:rPr>
        <w:t>ii</w:t>
      </w:r>
      <w:proofErr w:type="spellEnd"/>
      <w:r>
        <w:rPr>
          <w:rFonts w:cstheme="minorHAnsi"/>
          <w:sz w:val="24"/>
          <w:szCs w:val="24"/>
        </w:rPr>
        <w:t xml:space="preserve">) </w:t>
      </w:r>
      <w:r w:rsidRPr="00ED56F3">
        <w:rPr>
          <w:rFonts w:cstheme="minorHAnsi"/>
          <w:sz w:val="24"/>
          <w:szCs w:val="24"/>
        </w:rPr>
        <w:t>mujeres indígenas en el trabajo forzado en áreas fronterizas, rurales y muy pobres</w:t>
      </w:r>
      <w:r>
        <w:rPr>
          <w:rFonts w:cstheme="minorHAnsi"/>
          <w:sz w:val="24"/>
          <w:szCs w:val="24"/>
        </w:rPr>
        <w:t xml:space="preserve"> </w:t>
      </w:r>
      <w:r w:rsidRPr="00ED56F3">
        <w:rPr>
          <w:rFonts w:cstheme="minorHAnsi"/>
          <w:sz w:val="24"/>
          <w:szCs w:val="24"/>
        </w:rPr>
        <w:lastRenderedPageBreak/>
        <w:t>del país</w:t>
      </w:r>
      <w:r>
        <w:rPr>
          <w:rFonts w:cstheme="minorHAnsi"/>
          <w:sz w:val="24"/>
          <w:szCs w:val="24"/>
        </w:rPr>
        <w:t>; (</w:t>
      </w:r>
      <w:proofErr w:type="spellStart"/>
      <w:r>
        <w:rPr>
          <w:rFonts w:cstheme="minorHAnsi"/>
          <w:sz w:val="24"/>
          <w:szCs w:val="24"/>
        </w:rPr>
        <w:t>iii</w:t>
      </w:r>
      <w:proofErr w:type="spellEnd"/>
      <w:r>
        <w:rPr>
          <w:rFonts w:cstheme="minorHAnsi"/>
          <w:sz w:val="24"/>
          <w:szCs w:val="24"/>
        </w:rPr>
        <w:t>) a</w:t>
      </w:r>
      <w:r w:rsidRPr="00ED56F3">
        <w:rPr>
          <w:rFonts w:cstheme="minorHAnsi"/>
          <w:sz w:val="24"/>
          <w:szCs w:val="24"/>
        </w:rPr>
        <w:t xml:space="preserve"> hombres de América Central y América del Sur</w:t>
      </w:r>
      <w:r>
        <w:rPr>
          <w:rFonts w:cstheme="minorHAnsi"/>
          <w:sz w:val="24"/>
          <w:szCs w:val="24"/>
        </w:rPr>
        <w:t>; (</w:t>
      </w:r>
      <w:proofErr w:type="spellStart"/>
      <w:r>
        <w:rPr>
          <w:rFonts w:cstheme="minorHAnsi"/>
          <w:sz w:val="24"/>
          <w:szCs w:val="24"/>
        </w:rPr>
        <w:t>iv</w:t>
      </w:r>
      <w:proofErr w:type="spellEnd"/>
      <w:r>
        <w:rPr>
          <w:rFonts w:cstheme="minorHAnsi"/>
          <w:sz w:val="24"/>
          <w:szCs w:val="24"/>
        </w:rPr>
        <w:t>)</w:t>
      </w:r>
      <w:r w:rsidRPr="00ED56F3">
        <w:rPr>
          <w:rFonts w:cstheme="minorHAnsi"/>
          <w:sz w:val="24"/>
          <w:szCs w:val="24"/>
        </w:rPr>
        <w:t>,</w:t>
      </w:r>
      <w:r>
        <w:rPr>
          <w:rFonts w:cstheme="minorHAnsi"/>
          <w:sz w:val="24"/>
          <w:szCs w:val="24"/>
        </w:rPr>
        <w:t xml:space="preserve"> </w:t>
      </w:r>
      <w:r w:rsidRPr="00ED56F3">
        <w:rPr>
          <w:rFonts w:cstheme="minorHAnsi"/>
          <w:sz w:val="24"/>
          <w:szCs w:val="24"/>
        </w:rPr>
        <w:t>a chinos y vietnamitas en el trabajo forzado en la construcción, la agricultura, la</w:t>
      </w:r>
      <w:r>
        <w:rPr>
          <w:rFonts w:cstheme="minorHAnsi"/>
          <w:sz w:val="24"/>
          <w:szCs w:val="24"/>
        </w:rPr>
        <w:t xml:space="preserve"> </w:t>
      </w:r>
      <w:r w:rsidRPr="00ED56F3">
        <w:rPr>
          <w:rFonts w:cstheme="minorHAnsi"/>
          <w:sz w:val="24"/>
          <w:szCs w:val="24"/>
        </w:rPr>
        <w:t>minería, los restaurantes, las ventas puerta a puerta y otros sectores utilizando la</w:t>
      </w:r>
      <w:r>
        <w:rPr>
          <w:rFonts w:cstheme="minorHAnsi"/>
          <w:sz w:val="24"/>
          <w:szCs w:val="24"/>
        </w:rPr>
        <w:t xml:space="preserve"> </w:t>
      </w:r>
      <w:r w:rsidRPr="00ED56F3">
        <w:rPr>
          <w:rFonts w:cstheme="minorHAnsi"/>
          <w:sz w:val="24"/>
          <w:szCs w:val="24"/>
        </w:rPr>
        <w:t>servidumbre por deuda, las promesas falsas, el desconocimiento del proceso de</w:t>
      </w:r>
      <w:r>
        <w:rPr>
          <w:rFonts w:cstheme="minorHAnsi"/>
          <w:sz w:val="24"/>
          <w:szCs w:val="24"/>
        </w:rPr>
        <w:t xml:space="preserve"> </w:t>
      </w:r>
      <w:r w:rsidRPr="00ED56F3">
        <w:rPr>
          <w:rFonts w:cstheme="minorHAnsi"/>
          <w:sz w:val="24"/>
          <w:szCs w:val="24"/>
        </w:rPr>
        <w:t>refugio y la condición de irregularidad, las restricciones al movimiento, y otros</w:t>
      </w:r>
      <w:r>
        <w:rPr>
          <w:rFonts w:cstheme="minorHAnsi"/>
          <w:sz w:val="24"/>
          <w:szCs w:val="24"/>
        </w:rPr>
        <w:t xml:space="preserve"> </w:t>
      </w:r>
      <w:r w:rsidRPr="00ED56F3">
        <w:rPr>
          <w:rFonts w:cstheme="minorHAnsi"/>
          <w:sz w:val="24"/>
          <w:szCs w:val="24"/>
        </w:rPr>
        <w:t xml:space="preserve">medios </w:t>
      </w:r>
      <w:r>
        <w:rPr>
          <w:rFonts w:cstheme="minorHAnsi"/>
          <w:sz w:val="24"/>
          <w:szCs w:val="24"/>
        </w:rPr>
        <w:t>(TIP, 2019)</w:t>
      </w:r>
      <w:r w:rsidRPr="00ED56F3">
        <w:rPr>
          <w:rFonts w:cstheme="minorHAnsi"/>
          <w:sz w:val="24"/>
          <w:szCs w:val="24"/>
        </w:rPr>
        <w:t>.</w:t>
      </w:r>
    </w:p>
    <w:p w14:paraId="072DE2F9" w14:textId="77777777" w:rsidR="000C171B" w:rsidRPr="00DA00FE" w:rsidRDefault="000C171B" w:rsidP="000C171B">
      <w:pPr>
        <w:spacing w:after="0" w:line="240" w:lineRule="auto"/>
        <w:jc w:val="both"/>
        <w:rPr>
          <w:rFonts w:cstheme="minorHAnsi"/>
          <w:sz w:val="24"/>
          <w:szCs w:val="24"/>
        </w:rPr>
      </w:pPr>
    </w:p>
    <w:p w14:paraId="06691AA4" w14:textId="77777777" w:rsidR="000C171B" w:rsidRPr="00DA00FE" w:rsidRDefault="000C171B" w:rsidP="000C171B">
      <w:pPr>
        <w:pStyle w:val="ListParagraph"/>
        <w:spacing w:after="0" w:line="240" w:lineRule="auto"/>
        <w:ind w:left="0"/>
        <w:jc w:val="both"/>
        <w:rPr>
          <w:rFonts w:cstheme="minorHAnsi"/>
          <w:sz w:val="24"/>
          <w:szCs w:val="24"/>
        </w:rPr>
      </w:pPr>
      <w:r w:rsidRPr="00DA00FE">
        <w:rPr>
          <w:rFonts w:cstheme="minorHAnsi"/>
          <w:sz w:val="24"/>
          <w:szCs w:val="24"/>
        </w:rPr>
        <w:t>Recientemente, según UNFPA 2019 y UNODC 2019, para coordinar las operaciones de los estamentos de seguridad contra el crimen organizado relacionado a la trata de personas y actividades conexas, y como resultado del incremento de casos</w:t>
      </w:r>
      <w:r w:rsidRPr="00DA00FE">
        <w:rPr>
          <w:rStyle w:val="FootnoteReference"/>
          <w:rFonts w:cstheme="minorHAnsi"/>
          <w:sz w:val="24"/>
          <w:szCs w:val="24"/>
        </w:rPr>
        <w:footnoteReference w:id="53"/>
      </w:r>
      <w:r>
        <w:rPr>
          <w:rFonts w:cstheme="minorHAnsi"/>
          <w:sz w:val="24"/>
          <w:szCs w:val="24"/>
        </w:rPr>
        <w:t xml:space="preserve">.Por ello se adoptaron las siguientes mecanismos, instrumentos y acciones: </w:t>
      </w:r>
      <w:r w:rsidRPr="00DA00FE">
        <w:rPr>
          <w:rFonts w:cstheme="minorHAnsi"/>
          <w:sz w:val="24"/>
          <w:szCs w:val="24"/>
        </w:rPr>
        <w:t>(i) Comisión Nacional Contra la Trata de Personas</w:t>
      </w:r>
      <w:r w:rsidRPr="00DA00FE">
        <w:rPr>
          <w:rStyle w:val="FootnoteReference"/>
          <w:rFonts w:cstheme="minorHAnsi"/>
          <w:sz w:val="24"/>
          <w:szCs w:val="24"/>
        </w:rPr>
        <w:footnoteReference w:id="54"/>
      </w:r>
      <w:r w:rsidRPr="00DA00FE">
        <w:rPr>
          <w:rFonts w:cstheme="minorHAnsi"/>
          <w:sz w:val="24"/>
          <w:szCs w:val="24"/>
        </w:rPr>
        <w:t xml:space="preserve"> (CNCTP)</w:t>
      </w:r>
      <w:r>
        <w:rPr>
          <w:rFonts w:cstheme="minorHAnsi"/>
          <w:sz w:val="24"/>
          <w:szCs w:val="24"/>
        </w:rPr>
        <w:t xml:space="preserve">, </w:t>
      </w:r>
      <w:r w:rsidRPr="00DA00FE">
        <w:rPr>
          <w:rFonts w:cstheme="minorHAnsi"/>
          <w:sz w:val="24"/>
          <w:szCs w:val="24"/>
        </w:rPr>
        <w:t>2016</w:t>
      </w:r>
      <w:r>
        <w:rPr>
          <w:rFonts w:cstheme="minorHAnsi"/>
          <w:sz w:val="24"/>
          <w:szCs w:val="24"/>
        </w:rPr>
        <w:t>;</w:t>
      </w:r>
      <w:r w:rsidRPr="00DA00FE">
        <w:rPr>
          <w:rFonts w:cstheme="minorHAnsi"/>
          <w:sz w:val="24"/>
          <w:szCs w:val="24"/>
        </w:rPr>
        <w:t xml:space="preserve"> (</w:t>
      </w:r>
      <w:proofErr w:type="spellStart"/>
      <w:r w:rsidRPr="00DA00FE">
        <w:rPr>
          <w:rFonts w:cstheme="minorHAnsi"/>
          <w:sz w:val="24"/>
          <w:szCs w:val="24"/>
        </w:rPr>
        <w:t>ii</w:t>
      </w:r>
      <w:proofErr w:type="spellEnd"/>
      <w:r w:rsidRPr="00DA00FE">
        <w:rPr>
          <w:rFonts w:cstheme="minorHAnsi"/>
          <w:sz w:val="24"/>
          <w:szCs w:val="24"/>
        </w:rPr>
        <w:t>) Ley 79 de 2011 sobre Trata de Personas y actividades conexas (2016)</w:t>
      </w:r>
      <w:r>
        <w:rPr>
          <w:rFonts w:cstheme="minorHAnsi"/>
          <w:sz w:val="24"/>
          <w:szCs w:val="24"/>
        </w:rPr>
        <w:t xml:space="preserve">; </w:t>
      </w:r>
      <w:r w:rsidRPr="00DA00FE">
        <w:rPr>
          <w:rFonts w:cstheme="minorHAnsi"/>
          <w:sz w:val="24"/>
          <w:szCs w:val="24"/>
        </w:rPr>
        <w:t>(</w:t>
      </w:r>
      <w:proofErr w:type="spellStart"/>
      <w:r w:rsidRPr="00DA00FE">
        <w:rPr>
          <w:rFonts w:cstheme="minorHAnsi"/>
          <w:sz w:val="24"/>
          <w:szCs w:val="24"/>
        </w:rPr>
        <w:t>iii</w:t>
      </w:r>
      <w:proofErr w:type="spellEnd"/>
      <w:r w:rsidRPr="00DA00FE">
        <w:rPr>
          <w:rFonts w:cstheme="minorHAnsi"/>
          <w:sz w:val="24"/>
          <w:szCs w:val="24"/>
        </w:rPr>
        <w:t>) Unidad de Identificación y Atención a Víctimas de Trata de Personas (2017); (</w:t>
      </w:r>
      <w:proofErr w:type="spellStart"/>
      <w:r w:rsidRPr="00DA00FE">
        <w:rPr>
          <w:rFonts w:cstheme="minorHAnsi"/>
          <w:sz w:val="24"/>
          <w:szCs w:val="24"/>
        </w:rPr>
        <w:t>iv</w:t>
      </w:r>
      <w:proofErr w:type="spellEnd"/>
      <w:r w:rsidRPr="00DA00FE">
        <w:rPr>
          <w:rFonts w:cstheme="minorHAnsi"/>
          <w:sz w:val="24"/>
          <w:szCs w:val="24"/>
        </w:rPr>
        <w:t>) aproba</w:t>
      </w:r>
      <w:r>
        <w:rPr>
          <w:rFonts w:cstheme="minorHAnsi"/>
          <w:sz w:val="24"/>
          <w:szCs w:val="24"/>
        </w:rPr>
        <w:t xml:space="preserve">ción, a través del </w:t>
      </w:r>
      <w:r w:rsidRPr="00F97DEE">
        <w:rPr>
          <w:rFonts w:cstheme="minorHAnsi"/>
          <w:sz w:val="24"/>
          <w:szCs w:val="24"/>
        </w:rPr>
        <w:t>Decreto Ejecutivo No. 303 de 2016</w:t>
      </w:r>
      <w:r>
        <w:rPr>
          <w:rFonts w:cstheme="minorHAnsi"/>
          <w:sz w:val="24"/>
          <w:szCs w:val="24"/>
        </w:rPr>
        <w:t xml:space="preserve"> y </w:t>
      </w:r>
      <w:r w:rsidRPr="00F97DEE">
        <w:rPr>
          <w:rFonts w:cstheme="minorHAnsi"/>
          <w:sz w:val="24"/>
          <w:szCs w:val="24"/>
        </w:rPr>
        <w:t>Decreto Ejecutivo 125 de 17 de abril de 2018</w:t>
      </w:r>
      <w:r>
        <w:rPr>
          <w:rFonts w:cstheme="minorHAnsi"/>
          <w:sz w:val="24"/>
          <w:szCs w:val="24"/>
        </w:rPr>
        <w:t>,</w:t>
      </w:r>
      <w:r w:rsidRPr="00DA00FE">
        <w:rPr>
          <w:rFonts w:cstheme="minorHAnsi"/>
          <w:sz w:val="24"/>
          <w:szCs w:val="24"/>
        </w:rPr>
        <w:t xml:space="preserve"> los Planes Nacionales contra la Trata de Personas (2016-2017) y (2018-2022)</w:t>
      </w:r>
      <w:r>
        <w:rPr>
          <w:rFonts w:cstheme="minorHAnsi"/>
          <w:sz w:val="24"/>
          <w:szCs w:val="24"/>
        </w:rPr>
        <w:t>, respectivamente</w:t>
      </w:r>
      <w:r w:rsidRPr="00DA00FE">
        <w:rPr>
          <w:rFonts w:cstheme="minorHAnsi"/>
          <w:sz w:val="24"/>
          <w:szCs w:val="24"/>
        </w:rPr>
        <w:t xml:space="preserve">); </w:t>
      </w:r>
      <w:r>
        <w:rPr>
          <w:rFonts w:cstheme="minorHAnsi"/>
          <w:sz w:val="24"/>
          <w:szCs w:val="24"/>
        </w:rPr>
        <w:t xml:space="preserve"> </w:t>
      </w:r>
      <w:r w:rsidRPr="00DA00FE">
        <w:rPr>
          <w:rFonts w:cstheme="minorHAnsi"/>
          <w:sz w:val="24"/>
          <w:szCs w:val="24"/>
        </w:rPr>
        <w:t>(v) a</w:t>
      </w:r>
      <w:r>
        <w:rPr>
          <w:rFonts w:cstheme="minorHAnsi"/>
          <w:sz w:val="24"/>
          <w:szCs w:val="24"/>
        </w:rPr>
        <w:t>dopción de</w:t>
      </w:r>
      <w:r w:rsidRPr="00DA00FE">
        <w:rPr>
          <w:rFonts w:cstheme="minorHAnsi"/>
          <w:sz w:val="24"/>
          <w:szCs w:val="24"/>
        </w:rPr>
        <w:t>l Protocolo de Actuación de la Unidad de Identificación y Atención de Víctimas (UIA) para la detección, identificación, asistencia y protección de las víctimas de trata de personas</w:t>
      </w:r>
      <w:r>
        <w:rPr>
          <w:rFonts w:cstheme="minorHAnsi"/>
          <w:sz w:val="24"/>
          <w:szCs w:val="24"/>
        </w:rPr>
        <w:t>;</w:t>
      </w:r>
      <w:r w:rsidRPr="00DA00FE">
        <w:rPr>
          <w:rFonts w:cstheme="minorHAnsi"/>
          <w:sz w:val="24"/>
          <w:szCs w:val="24"/>
        </w:rPr>
        <w:t xml:space="preserve"> (vi) cre</w:t>
      </w:r>
      <w:r>
        <w:rPr>
          <w:rFonts w:cstheme="minorHAnsi"/>
          <w:sz w:val="24"/>
          <w:szCs w:val="24"/>
        </w:rPr>
        <w:t>ación de</w:t>
      </w:r>
      <w:r w:rsidRPr="00DA00FE">
        <w:rPr>
          <w:rFonts w:cstheme="minorHAnsi"/>
          <w:sz w:val="24"/>
          <w:szCs w:val="24"/>
        </w:rPr>
        <w:t xml:space="preserve"> la Unidad de Administración del Fondo para Víctimas bajo la CNCTP, adscrita al Ministerio de Seguridad Pública (2018), Oficina Institucional Contra la Trata de Personas (2018)</w:t>
      </w:r>
      <w:r w:rsidRPr="00DA00FE">
        <w:rPr>
          <w:rStyle w:val="FootnoteReference"/>
          <w:rFonts w:cstheme="minorHAnsi"/>
          <w:sz w:val="24"/>
          <w:szCs w:val="24"/>
        </w:rPr>
        <w:footnoteReference w:id="55"/>
      </w:r>
      <w:r w:rsidRPr="00DA00FE">
        <w:rPr>
          <w:rFonts w:cstheme="minorHAnsi"/>
          <w:sz w:val="24"/>
          <w:szCs w:val="24"/>
        </w:rPr>
        <w:t>; (</w:t>
      </w:r>
      <w:proofErr w:type="spellStart"/>
      <w:r w:rsidRPr="00DA00FE">
        <w:rPr>
          <w:rFonts w:cstheme="minorHAnsi"/>
          <w:sz w:val="24"/>
          <w:szCs w:val="24"/>
        </w:rPr>
        <w:t>vii</w:t>
      </w:r>
      <w:proofErr w:type="spellEnd"/>
      <w:r w:rsidRPr="00DA00FE">
        <w:rPr>
          <w:rFonts w:cstheme="minorHAnsi"/>
          <w:sz w:val="24"/>
          <w:szCs w:val="24"/>
        </w:rPr>
        <w:t xml:space="preserve">) Reglamento Interno de la Unidad de Identificación y Atención a víctimas de trata que  garantiza la eficacia y eficiencia en la protección de las víctimas; </w:t>
      </w:r>
      <w:r>
        <w:rPr>
          <w:rFonts w:cstheme="minorHAnsi"/>
          <w:sz w:val="24"/>
          <w:szCs w:val="24"/>
        </w:rPr>
        <w:t xml:space="preserve"> </w:t>
      </w:r>
      <w:r w:rsidRPr="00DA00FE">
        <w:rPr>
          <w:rFonts w:cstheme="minorHAnsi"/>
          <w:sz w:val="24"/>
          <w:szCs w:val="24"/>
        </w:rPr>
        <w:t>(</w:t>
      </w:r>
      <w:proofErr w:type="spellStart"/>
      <w:r w:rsidRPr="00DA00FE">
        <w:rPr>
          <w:rFonts w:cstheme="minorHAnsi"/>
          <w:sz w:val="24"/>
          <w:szCs w:val="24"/>
        </w:rPr>
        <w:t>viii</w:t>
      </w:r>
      <w:proofErr w:type="spellEnd"/>
      <w:r w:rsidRPr="00DA00FE">
        <w:rPr>
          <w:rFonts w:cstheme="minorHAnsi"/>
          <w:sz w:val="24"/>
          <w:szCs w:val="24"/>
        </w:rPr>
        <w:t>) Planes Operativos Anuales 2019 y 2020 de la Comisión Nacional Contra la Trata de Personas; (</w:t>
      </w:r>
      <w:proofErr w:type="spellStart"/>
      <w:r w:rsidRPr="00DA00FE">
        <w:rPr>
          <w:rFonts w:cstheme="minorHAnsi"/>
          <w:sz w:val="24"/>
          <w:szCs w:val="24"/>
        </w:rPr>
        <w:t>ix</w:t>
      </w:r>
      <w:proofErr w:type="spellEnd"/>
      <w:r w:rsidRPr="00DA00FE">
        <w:rPr>
          <w:rFonts w:cstheme="minorHAnsi"/>
          <w:sz w:val="24"/>
          <w:szCs w:val="24"/>
        </w:rPr>
        <w:t>) Oficina Institucional contra la Trata de Personas, Ministerio de Seguridad Pública, según Resolución 004 de 18 de junio de 2019, con funciones de coordinar y facilitar las acciones operativas de los estamentos de seguridad contra la Trata de Personas y actividades conexas; Residente Temporal, el Permiso Temporal Humanitario de Protección, dirigido a víctimas de trata de personas otorgándoles el derecho a permanecer en el territorio nacional, según el Decreto Ejecutivo No. 7 del 8 de enero de 2019; (x) Permiso de Trabajo para las víctimas de trata, como parte del reconocimiento de sus derechos a la reintegración de sus derechos a la regulación migratoria en el país de la explotación, según el Decreto Ejecutivo 21 del 28 de mayo de 2019; (xi) Protección de información contenida en los expedientes administrativos sobre la identificación de personas víctimas de trata de personas y actividades conexas, según Resolución 001-2019 del 13 de agosto del 2019, publicada en Gaceta Oficial 28868-A; (</w:t>
      </w:r>
      <w:proofErr w:type="spellStart"/>
      <w:r w:rsidRPr="00DA00FE">
        <w:rPr>
          <w:rFonts w:cstheme="minorHAnsi"/>
          <w:sz w:val="24"/>
          <w:szCs w:val="24"/>
        </w:rPr>
        <w:t>xii</w:t>
      </w:r>
      <w:proofErr w:type="spellEnd"/>
      <w:r w:rsidRPr="00DA00FE">
        <w:rPr>
          <w:rFonts w:cstheme="minorHAnsi"/>
          <w:sz w:val="24"/>
          <w:szCs w:val="24"/>
        </w:rPr>
        <w:t>) Lineamientos de intercambio de información para la investigación, detección, derivación y atención de víctimas o posibles víctimas de trata de personas y actividades conexas, aprobados en diciembre de 2019;  (</w:t>
      </w:r>
      <w:proofErr w:type="spellStart"/>
      <w:r w:rsidRPr="00DA00FE">
        <w:rPr>
          <w:rFonts w:cstheme="minorHAnsi"/>
          <w:sz w:val="24"/>
          <w:szCs w:val="24"/>
        </w:rPr>
        <w:t>xiii</w:t>
      </w:r>
      <w:proofErr w:type="spellEnd"/>
      <w:r w:rsidRPr="00DA00FE">
        <w:rPr>
          <w:rFonts w:cstheme="minorHAnsi"/>
          <w:sz w:val="24"/>
          <w:szCs w:val="24"/>
        </w:rPr>
        <w:t xml:space="preserve">) Guía de capacitación dirigida a los integrantes de la Unidad de Identificación y Atención a víctimas de trata de personas que proporciona capacidades, competencias y destrezas requeridas para actuar de manera oportuna y hay un equipo de </w:t>
      </w:r>
      <w:r w:rsidRPr="00DA00FE">
        <w:rPr>
          <w:rFonts w:cstheme="minorHAnsi"/>
          <w:sz w:val="24"/>
          <w:szCs w:val="24"/>
        </w:rPr>
        <w:lastRenderedPageBreak/>
        <w:t>formadores interinstitucionales encargado de las réplicas a nivel de las instituciones; (</w:t>
      </w:r>
      <w:proofErr w:type="spellStart"/>
      <w:r w:rsidRPr="00DA00FE">
        <w:rPr>
          <w:rFonts w:cstheme="minorHAnsi"/>
          <w:sz w:val="24"/>
          <w:szCs w:val="24"/>
        </w:rPr>
        <w:t>xiv</w:t>
      </w:r>
      <w:proofErr w:type="spellEnd"/>
      <w:r w:rsidRPr="00DA00FE">
        <w:rPr>
          <w:rFonts w:cstheme="minorHAnsi"/>
          <w:sz w:val="24"/>
          <w:szCs w:val="24"/>
        </w:rPr>
        <w:t>) Albergue para víctimas de trata de personas en Panamá. (UNODC 2019)</w:t>
      </w:r>
      <w:r w:rsidRPr="00DA00FE">
        <w:rPr>
          <w:rStyle w:val="FootnoteReference"/>
          <w:rFonts w:cstheme="minorHAnsi"/>
          <w:sz w:val="24"/>
          <w:szCs w:val="24"/>
        </w:rPr>
        <w:footnoteReference w:id="56"/>
      </w:r>
    </w:p>
    <w:p w14:paraId="092FB131" w14:textId="77777777" w:rsidR="000C171B" w:rsidRPr="00DA00FE" w:rsidRDefault="000C171B" w:rsidP="000C171B">
      <w:pPr>
        <w:pStyle w:val="ListParagraph"/>
        <w:spacing w:after="0" w:line="240" w:lineRule="auto"/>
        <w:ind w:left="0"/>
        <w:jc w:val="both"/>
        <w:rPr>
          <w:rFonts w:cstheme="minorHAnsi"/>
          <w:sz w:val="24"/>
          <w:szCs w:val="24"/>
        </w:rPr>
      </w:pPr>
    </w:p>
    <w:p w14:paraId="05AD4D57" w14:textId="77777777" w:rsidR="000C171B" w:rsidRDefault="000C171B" w:rsidP="000C171B">
      <w:pPr>
        <w:spacing w:after="0" w:line="240" w:lineRule="auto"/>
        <w:jc w:val="both"/>
        <w:rPr>
          <w:rFonts w:cstheme="minorHAnsi"/>
          <w:sz w:val="24"/>
          <w:szCs w:val="24"/>
        </w:rPr>
      </w:pPr>
      <w:r w:rsidRPr="00DA00FE">
        <w:rPr>
          <w:rFonts w:cstheme="minorHAnsi"/>
          <w:sz w:val="24"/>
          <w:szCs w:val="24"/>
        </w:rPr>
        <w:t>Sin embargo, los avances en la implementación del Plan Nacional y las actividades de la Unidad de Identificación y Atención a Víctimas de Trata de Personas y de la Unidad de Administración del Fondo para Víctimas y la provisión de los servicios a las víctimas que mandata la Ley 79/2011</w:t>
      </w:r>
      <w:r>
        <w:rPr>
          <w:rFonts w:cstheme="minorHAnsi"/>
          <w:sz w:val="24"/>
          <w:szCs w:val="24"/>
        </w:rPr>
        <w:t xml:space="preserve">, </w:t>
      </w:r>
      <w:r w:rsidRPr="00DA00FE">
        <w:rPr>
          <w:rFonts w:cstheme="minorHAnsi"/>
          <w:sz w:val="24"/>
          <w:szCs w:val="24"/>
        </w:rPr>
        <w:t>han sido débiles</w:t>
      </w:r>
      <w:r>
        <w:rPr>
          <w:rFonts w:cstheme="minorHAnsi"/>
          <w:sz w:val="24"/>
          <w:szCs w:val="24"/>
        </w:rPr>
        <w:t xml:space="preserve">, en especial, </w:t>
      </w:r>
      <w:r w:rsidRPr="00DA00FE">
        <w:rPr>
          <w:rFonts w:cstheme="minorHAnsi"/>
          <w:sz w:val="24"/>
          <w:szCs w:val="24"/>
        </w:rPr>
        <w:t xml:space="preserve">por falta de las asignaciones presupuestarias. </w:t>
      </w:r>
      <w:r>
        <w:rPr>
          <w:rFonts w:cstheme="minorHAnsi"/>
          <w:sz w:val="24"/>
          <w:szCs w:val="24"/>
        </w:rPr>
        <w:t xml:space="preserve">Según las disposiciones legales, el país debe proporcionar: (i) </w:t>
      </w:r>
      <w:r w:rsidRPr="00F97DEE">
        <w:rPr>
          <w:rFonts w:cstheme="minorHAnsi"/>
          <w:sz w:val="24"/>
          <w:szCs w:val="24"/>
        </w:rPr>
        <w:t>alojamiento apropiado, accesible y seguro</w:t>
      </w:r>
      <w:r>
        <w:rPr>
          <w:rFonts w:cstheme="minorHAnsi"/>
          <w:sz w:val="24"/>
          <w:szCs w:val="24"/>
        </w:rPr>
        <w:t>; (</w:t>
      </w:r>
      <w:proofErr w:type="spellStart"/>
      <w:r>
        <w:rPr>
          <w:rFonts w:cstheme="minorHAnsi"/>
          <w:sz w:val="24"/>
          <w:szCs w:val="24"/>
        </w:rPr>
        <w:t>ii</w:t>
      </w:r>
      <w:proofErr w:type="spellEnd"/>
      <w:r>
        <w:rPr>
          <w:rFonts w:cstheme="minorHAnsi"/>
          <w:sz w:val="24"/>
          <w:szCs w:val="24"/>
        </w:rPr>
        <w:t xml:space="preserve">) </w:t>
      </w:r>
      <w:r w:rsidRPr="00F97DEE">
        <w:rPr>
          <w:rFonts w:cstheme="minorHAnsi"/>
          <w:sz w:val="24"/>
          <w:szCs w:val="24"/>
        </w:rPr>
        <w:t>personal técnico interdisciplinario para la atención integral en los albergues</w:t>
      </w:r>
      <w:r>
        <w:rPr>
          <w:rFonts w:cstheme="minorHAnsi"/>
          <w:sz w:val="24"/>
          <w:szCs w:val="24"/>
        </w:rPr>
        <w:t>; (</w:t>
      </w:r>
      <w:proofErr w:type="spellStart"/>
      <w:r>
        <w:rPr>
          <w:rFonts w:cstheme="minorHAnsi"/>
          <w:sz w:val="24"/>
          <w:szCs w:val="24"/>
        </w:rPr>
        <w:t>iii</w:t>
      </w:r>
      <w:proofErr w:type="spellEnd"/>
      <w:r>
        <w:rPr>
          <w:rFonts w:cstheme="minorHAnsi"/>
          <w:sz w:val="24"/>
          <w:szCs w:val="24"/>
        </w:rPr>
        <w:t xml:space="preserve">) </w:t>
      </w:r>
      <w:r w:rsidRPr="00F97DEE">
        <w:rPr>
          <w:rFonts w:cstheme="minorHAnsi"/>
          <w:sz w:val="24"/>
          <w:szCs w:val="24"/>
        </w:rPr>
        <w:t xml:space="preserve">cobertura de </w:t>
      </w:r>
      <w:r>
        <w:rPr>
          <w:rFonts w:cstheme="minorHAnsi"/>
          <w:sz w:val="24"/>
          <w:szCs w:val="24"/>
        </w:rPr>
        <w:t xml:space="preserve">las </w:t>
      </w:r>
      <w:r w:rsidRPr="00F97DEE">
        <w:rPr>
          <w:rFonts w:cstheme="minorHAnsi"/>
          <w:sz w:val="24"/>
          <w:szCs w:val="24"/>
        </w:rPr>
        <w:t>necesidades básicas de alimentación, vestimenta e higiene, la asistencia médica y sicológica, incluyendo terapias y medicamentos, la asesoría jurídica y servicios de traducción e interpretación.</w:t>
      </w:r>
    </w:p>
    <w:p w14:paraId="647CC058" w14:textId="77777777" w:rsidR="000C171B" w:rsidRDefault="000C171B" w:rsidP="000C171B">
      <w:pPr>
        <w:spacing w:after="0" w:line="240" w:lineRule="auto"/>
        <w:jc w:val="both"/>
        <w:rPr>
          <w:rFonts w:cstheme="minorHAnsi"/>
          <w:sz w:val="24"/>
          <w:szCs w:val="24"/>
        </w:rPr>
      </w:pPr>
    </w:p>
    <w:p w14:paraId="20EBE396" w14:textId="77777777" w:rsidR="000C171B" w:rsidRPr="00664178" w:rsidRDefault="000C171B" w:rsidP="000C171B">
      <w:pPr>
        <w:spacing w:after="0" w:line="240" w:lineRule="auto"/>
        <w:jc w:val="both"/>
        <w:rPr>
          <w:rFonts w:cstheme="minorHAnsi"/>
          <w:color w:val="000000" w:themeColor="text1"/>
          <w:sz w:val="24"/>
          <w:szCs w:val="24"/>
        </w:rPr>
      </w:pPr>
      <w:r w:rsidRPr="00664178">
        <w:rPr>
          <w:rFonts w:cstheme="minorHAnsi"/>
          <w:color w:val="000000" w:themeColor="text1"/>
          <w:sz w:val="24"/>
          <w:szCs w:val="24"/>
        </w:rPr>
        <w:t>De hecho, permanecen también están pendientes, tanto en la Dirección de Investigación Judicial (DIJ) de la Policía Nacional, como en el Órgano Judicial, según el artículo 79 de la Ley 79 de 2011, y la reforma de la ley de migración, la creación de las instancias especializadas para la investigación y procesamiento de delitos conexos con la trata de personas, que faciliten la expedición de: (i) permisos de residencia humanitaria; (</w:t>
      </w:r>
      <w:proofErr w:type="spellStart"/>
      <w:r w:rsidRPr="00664178">
        <w:rPr>
          <w:rFonts w:cstheme="minorHAnsi"/>
          <w:color w:val="000000" w:themeColor="text1"/>
          <w:sz w:val="24"/>
          <w:szCs w:val="24"/>
        </w:rPr>
        <w:t>ii</w:t>
      </w:r>
      <w:proofErr w:type="spellEnd"/>
      <w:r w:rsidRPr="00664178">
        <w:rPr>
          <w:rFonts w:cstheme="minorHAnsi"/>
          <w:color w:val="000000" w:themeColor="text1"/>
          <w:sz w:val="24"/>
          <w:szCs w:val="24"/>
        </w:rPr>
        <w:t>) permisos de trabajo a personas rescatadas que temen regresar al país de origen por razones de seguridad; (</w:t>
      </w:r>
      <w:proofErr w:type="spellStart"/>
      <w:r w:rsidRPr="00664178">
        <w:rPr>
          <w:rFonts w:cstheme="minorHAnsi"/>
          <w:color w:val="000000" w:themeColor="text1"/>
          <w:sz w:val="24"/>
          <w:szCs w:val="24"/>
        </w:rPr>
        <w:t>iii</w:t>
      </w:r>
      <w:proofErr w:type="spellEnd"/>
      <w:r w:rsidRPr="00664178">
        <w:rPr>
          <w:rFonts w:cstheme="minorHAnsi"/>
          <w:color w:val="000000" w:themeColor="text1"/>
          <w:sz w:val="24"/>
          <w:szCs w:val="24"/>
        </w:rPr>
        <w:t>) permisos provisionales de residencia para víctimas. Y la eliminación de las disparidades en las sanciones penales existentes entre la ley de trata y otras leyes que penalizan delitos de trata sexual tales como la explotación sexual comercial de menores (UNFPA</w:t>
      </w:r>
      <w:r>
        <w:rPr>
          <w:rFonts w:cstheme="minorHAnsi"/>
          <w:color w:val="000000" w:themeColor="text1"/>
          <w:sz w:val="24"/>
          <w:szCs w:val="24"/>
        </w:rPr>
        <w:t>,</w:t>
      </w:r>
      <w:r w:rsidRPr="00664178">
        <w:rPr>
          <w:rFonts w:cstheme="minorHAnsi"/>
          <w:color w:val="000000" w:themeColor="text1"/>
          <w:sz w:val="24"/>
          <w:szCs w:val="24"/>
        </w:rPr>
        <w:t xml:space="preserve"> 2019).</w:t>
      </w:r>
    </w:p>
    <w:p w14:paraId="1486AF63" w14:textId="77777777" w:rsidR="000C171B" w:rsidRPr="00664178" w:rsidRDefault="000C171B" w:rsidP="000C171B">
      <w:pPr>
        <w:spacing w:after="0" w:line="240" w:lineRule="auto"/>
        <w:jc w:val="both"/>
        <w:rPr>
          <w:rFonts w:cstheme="minorHAnsi"/>
          <w:color w:val="000000" w:themeColor="text1"/>
          <w:sz w:val="24"/>
          <w:szCs w:val="24"/>
        </w:rPr>
      </w:pPr>
    </w:p>
    <w:p w14:paraId="0E031DCB" w14:textId="77777777" w:rsidR="000C171B" w:rsidRPr="00BA7353" w:rsidRDefault="000C171B" w:rsidP="000C171B">
      <w:pPr>
        <w:spacing w:after="0" w:line="240" w:lineRule="auto"/>
        <w:rPr>
          <w:rFonts w:cstheme="minorHAnsi"/>
          <w:b/>
          <w:bCs/>
          <w:color w:val="4472C4" w:themeColor="accent1"/>
          <w:sz w:val="24"/>
          <w:szCs w:val="24"/>
        </w:rPr>
      </w:pPr>
      <w:r w:rsidRPr="00BA7353">
        <w:rPr>
          <w:rFonts w:cstheme="minorHAnsi"/>
          <w:b/>
          <w:bCs/>
          <w:color w:val="4472C4" w:themeColor="accent1"/>
          <w:sz w:val="24"/>
          <w:szCs w:val="24"/>
        </w:rPr>
        <w:t xml:space="preserve">6.2. Cooperación Sur-Sur en el logro de la Agenda 2030: triangulación, marcos y estrategias regionales y continentales. </w:t>
      </w:r>
    </w:p>
    <w:p w14:paraId="289AAA66" w14:textId="77777777" w:rsidR="000C171B" w:rsidRPr="00DA00FE" w:rsidRDefault="000C171B" w:rsidP="000C171B">
      <w:pPr>
        <w:spacing w:after="0" w:line="240" w:lineRule="auto"/>
        <w:rPr>
          <w:rFonts w:cstheme="minorHAnsi"/>
          <w:sz w:val="24"/>
          <w:szCs w:val="24"/>
        </w:rPr>
      </w:pPr>
    </w:p>
    <w:p w14:paraId="5087C0A1" w14:textId="6FC6C2DB" w:rsidR="000C171B" w:rsidRPr="00DA00FE" w:rsidRDefault="000C171B" w:rsidP="000C171B">
      <w:pPr>
        <w:spacing w:after="0" w:line="240" w:lineRule="auto"/>
        <w:jc w:val="both"/>
        <w:rPr>
          <w:rFonts w:cstheme="minorHAnsi"/>
          <w:sz w:val="24"/>
          <w:szCs w:val="24"/>
        </w:rPr>
      </w:pPr>
      <w:r w:rsidRPr="00DA00FE">
        <w:rPr>
          <w:rFonts w:cstheme="minorHAnsi"/>
          <w:sz w:val="24"/>
          <w:szCs w:val="24"/>
        </w:rPr>
        <w:t>En el marco del proceso de adopción de los ODS, se elaboró el Plan Nacional de Cooperación de Panamá, Panamá Coopera 2030, que se orienta hacia el aprovechamiento de las ventajas geoestratégicas, económicas e institucionales, para posicionar a Panamá como actor clave para diálogo sobre el financiamiento de la Agenda de Desarrollo Sostenible 2030 y agilizar las Alianzas para el Desarrollo en la región (</w:t>
      </w:r>
      <w:r w:rsidR="00B0730C">
        <w:rPr>
          <w:rFonts w:cstheme="minorHAnsi"/>
          <w:sz w:val="24"/>
          <w:szCs w:val="24"/>
        </w:rPr>
        <w:t>MIDES-</w:t>
      </w:r>
      <w:r w:rsidRPr="00DA00FE">
        <w:rPr>
          <w:rFonts w:cstheme="minorHAnsi"/>
          <w:sz w:val="24"/>
          <w:szCs w:val="24"/>
        </w:rPr>
        <w:t>VNR</w:t>
      </w:r>
      <w:r>
        <w:rPr>
          <w:rFonts w:cstheme="minorHAnsi"/>
          <w:sz w:val="24"/>
          <w:szCs w:val="24"/>
        </w:rPr>
        <w:t>,</w:t>
      </w:r>
      <w:r w:rsidRPr="00DA00FE">
        <w:rPr>
          <w:rFonts w:cstheme="minorHAnsi"/>
          <w:sz w:val="24"/>
          <w:szCs w:val="24"/>
        </w:rPr>
        <w:t xml:space="preserve"> 2017). </w:t>
      </w:r>
    </w:p>
    <w:p w14:paraId="02F5B576" w14:textId="77777777" w:rsidR="000C171B" w:rsidRPr="00DA00FE" w:rsidRDefault="000C171B" w:rsidP="000C171B">
      <w:pPr>
        <w:spacing w:after="0" w:line="240" w:lineRule="auto"/>
        <w:jc w:val="both"/>
        <w:rPr>
          <w:rFonts w:cstheme="minorHAnsi"/>
          <w:sz w:val="24"/>
          <w:szCs w:val="24"/>
        </w:rPr>
      </w:pPr>
    </w:p>
    <w:p w14:paraId="273F2298" w14:textId="3624D015" w:rsidR="000C171B" w:rsidRPr="00DA00FE" w:rsidRDefault="000C171B" w:rsidP="000C171B">
      <w:pPr>
        <w:spacing w:after="0" w:line="240" w:lineRule="auto"/>
        <w:jc w:val="both"/>
        <w:rPr>
          <w:rFonts w:cstheme="minorHAnsi"/>
          <w:sz w:val="24"/>
          <w:szCs w:val="24"/>
        </w:rPr>
      </w:pPr>
      <w:r w:rsidRPr="00DA00FE">
        <w:rPr>
          <w:rFonts w:cstheme="minorHAnsi"/>
          <w:sz w:val="24"/>
          <w:szCs w:val="24"/>
        </w:rPr>
        <w:t xml:space="preserve">Panamá Coopera 2030 define principios, estrategias e instrumentales a fin de maximizar los resultados tanto de la política oficial de cooperación, como del Sistema Nacional de Cooperación (SNC) en tanto instrumento de articulación y coordinación entre los actores nacionales y la comunidad cooperante sobre la base de las prioridades nacionales </w:t>
      </w:r>
      <w:r w:rsidR="00B0730C" w:rsidRPr="00DA00FE">
        <w:rPr>
          <w:rFonts w:cstheme="minorHAnsi"/>
          <w:sz w:val="24"/>
          <w:szCs w:val="24"/>
        </w:rPr>
        <w:t>(</w:t>
      </w:r>
      <w:r w:rsidR="00B0730C">
        <w:rPr>
          <w:rFonts w:cstheme="minorHAnsi"/>
          <w:sz w:val="24"/>
          <w:szCs w:val="24"/>
        </w:rPr>
        <w:t>MIDES-</w:t>
      </w:r>
      <w:r w:rsidR="00B0730C" w:rsidRPr="00DA00FE">
        <w:rPr>
          <w:rFonts w:cstheme="minorHAnsi"/>
          <w:sz w:val="24"/>
          <w:szCs w:val="24"/>
        </w:rPr>
        <w:t>VNR</w:t>
      </w:r>
      <w:r w:rsidR="00B0730C">
        <w:rPr>
          <w:rFonts w:cstheme="minorHAnsi"/>
          <w:sz w:val="24"/>
          <w:szCs w:val="24"/>
        </w:rPr>
        <w:t>,</w:t>
      </w:r>
      <w:r w:rsidR="00B0730C" w:rsidRPr="00DA00FE">
        <w:rPr>
          <w:rFonts w:cstheme="minorHAnsi"/>
          <w:sz w:val="24"/>
          <w:szCs w:val="24"/>
        </w:rPr>
        <w:t xml:space="preserve"> 2017).</w:t>
      </w:r>
    </w:p>
    <w:p w14:paraId="3C1EF9F0" w14:textId="77777777" w:rsidR="000C171B" w:rsidRPr="00DA00FE" w:rsidRDefault="000C171B" w:rsidP="000C171B">
      <w:pPr>
        <w:spacing w:after="0" w:line="240" w:lineRule="auto"/>
        <w:jc w:val="both"/>
        <w:rPr>
          <w:rFonts w:cstheme="minorHAnsi"/>
          <w:sz w:val="24"/>
          <w:szCs w:val="24"/>
        </w:rPr>
      </w:pPr>
    </w:p>
    <w:p w14:paraId="0B673911" w14:textId="2F6DE9B5" w:rsidR="000C171B" w:rsidRPr="00DA00FE" w:rsidRDefault="000C171B" w:rsidP="000C171B">
      <w:pPr>
        <w:spacing w:after="0" w:line="240" w:lineRule="auto"/>
        <w:jc w:val="both"/>
        <w:rPr>
          <w:rFonts w:cstheme="minorHAnsi"/>
          <w:sz w:val="24"/>
          <w:szCs w:val="24"/>
        </w:rPr>
      </w:pPr>
      <w:r w:rsidRPr="00DA00FE">
        <w:rPr>
          <w:rFonts w:cstheme="minorHAnsi"/>
          <w:sz w:val="24"/>
          <w:szCs w:val="24"/>
        </w:rPr>
        <w:t xml:space="preserve">Con el Plan Panamá Coopera, el país adecua sus políticas de cooperación a los estándares tendencias del sistema internacional de cooperación considerando que el país se encuentra en proceso de adecuación de su política pública; desarrollo de mecanismos de gobernanza, diálogo </w:t>
      </w:r>
      <w:r w:rsidRPr="00DA00FE">
        <w:rPr>
          <w:rFonts w:cstheme="minorHAnsi"/>
          <w:sz w:val="24"/>
          <w:szCs w:val="24"/>
        </w:rPr>
        <w:lastRenderedPageBreak/>
        <w:t xml:space="preserve">y participación social, así como el desarrollo de planes regionales para garantizar la sostenibilidad ambiental y económica. Entre las acciones relevantes desarrolladas en esa dirección destacan  significativos en áreas como los derechos humanos, especialmente en lo concerniente a las poblaciones más vulnerables como niños y niñas, la mujer y personas en pobreza extrema; así como importantes avances en el fortalecimiento de las políticas públicas y el marco legal para garantizar una mayor participación de las mujeres, la reglamentación de leyes para combatir la violencia contra la mujer y la trata de personas </w:t>
      </w:r>
      <w:r w:rsidR="00B0730C" w:rsidRPr="00DA00FE">
        <w:rPr>
          <w:rFonts w:cstheme="minorHAnsi"/>
          <w:sz w:val="24"/>
          <w:szCs w:val="24"/>
        </w:rPr>
        <w:t>(</w:t>
      </w:r>
      <w:r w:rsidR="00B0730C">
        <w:rPr>
          <w:rFonts w:cstheme="minorHAnsi"/>
          <w:sz w:val="24"/>
          <w:szCs w:val="24"/>
        </w:rPr>
        <w:t>MIDES-</w:t>
      </w:r>
      <w:r w:rsidR="00B0730C" w:rsidRPr="00DA00FE">
        <w:rPr>
          <w:rFonts w:cstheme="minorHAnsi"/>
          <w:sz w:val="24"/>
          <w:szCs w:val="24"/>
        </w:rPr>
        <w:t>VNR</w:t>
      </w:r>
      <w:r w:rsidR="00B0730C">
        <w:rPr>
          <w:rFonts w:cstheme="minorHAnsi"/>
          <w:sz w:val="24"/>
          <w:szCs w:val="24"/>
        </w:rPr>
        <w:t>,</w:t>
      </w:r>
      <w:r w:rsidR="00B0730C" w:rsidRPr="00DA00FE">
        <w:rPr>
          <w:rFonts w:cstheme="minorHAnsi"/>
          <w:sz w:val="24"/>
          <w:szCs w:val="24"/>
        </w:rPr>
        <w:t xml:space="preserve"> 2017).</w:t>
      </w:r>
    </w:p>
    <w:p w14:paraId="12050297" w14:textId="77777777" w:rsidR="000C171B" w:rsidRPr="00DA00FE" w:rsidRDefault="000C171B" w:rsidP="000C171B">
      <w:pPr>
        <w:spacing w:after="0" w:line="240" w:lineRule="auto"/>
        <w:jc w:val="both"/>
        <w:rPr>
          <w:rFonts w:cstheme="minorHAnsi"/>
          <w:sz w:val="24"/>
          <w:szCs w:val="24"/>
        </w:rPr>
      </w:pPr>
    </w:p>
    <w:p w14:paraId="65412449" w14:textId="77777777" w:rsidR="000C171B" w:rsidRPr="00DA00FE" w:rsidRDefault="000C171B" w:rsidP="000C171B">
      <w:pPr>
        <w:spacing w:after="0" w:line="240" w:lineRule="auto"/>
        <w:jc w:val="both"/>
        <w:rPr>
          <w:rFonts w:cstheme="minorHAnsi"/>
          <w:b/>
          <w:bCs/>
          <w:sz w:val="24"/>
          <w:szCs w:val="24"/>
        </w:rPr>
      </w:pPr>
      <w:r w:rsidRPr="00DA00FE">
        <w:rPr>
          <w:rFonts w:cstheme="minorHAnsi"/>
          <w:sz w:val="24"/>
          <w:szCs w:val="24"/>
        </w:rPr>
        <w:t>Hasta el momento la oferta de cooperación se enfoca en cinco sectores: (i) crecimiento económico, (</w:t>
      </w:r>
      <w:proofErr w:type="spellStart"/>
      <w:r w:rsidRPr="00DA00FE">
        <w:rPr>
          <w:rFonts w:cstheme="minorHAnsi"/>
          <w:sz w:val="24"/>
          <w:szCs w:val="24"/>
        </w:rPr>
        <w:t>ii</w:t>
      </w:r>
      <w:proofErr w:type="spellEnd"/>
      <w:r w:rsidRPr="00DA00FE">
        <w:rPr>
          <w:rFonts w:cstheme="minorHAnsi"/>
          <w:sz w:val="24"/>
          <w:szCs w:val="24"/>
        </w:rPr>
        <w:t>) desarrollo e inclusión social, (</w:t>
      </w:r>
      <w:proofErr w:type="spellStart"/>
      <w:r w:rsidRPr="00DA00FE">
        <w:rPr>
          <w:rFonts w:cstheme="minorHAnsi"/>
          <w:sz w:val="24"/>
          <w:szCs w:val="24"/>
        </w:rPr>
        <w:t>iii</w:t>
      </w:r>
      <w:proofErr w:type="spellEnd"/>
      <w:r w:rsidRPr="00DA00FE">
        <w:rPr>
          <w:rFonts w:cstheme="minorHAnsi"/>
          <w:sz w:val="24"/>
          <w:szCs w:val="24"/>
        </w:rPr>
        <w:t>) educación e innovación científica, (</w:t>
      </w:r>
      <w:proofErr w:type="spellStart"/>
      <w:r w:rsidRPr="00DA00FE">
        <w:rPr>
          <w:rFonts w:cstheme="minorHAnsi"/>
          <w:sz w:val="24"/>
          <w:szCs w:val="24"/>
        </w:rPr>
        <w:t>iv</w:t>
      </w:r>
      <w:proofErr w:type="spellEnd"/>
      <w:r w:rsidRPr="00DA00FE">
        <w:rPr>
          <w:rFonts w:cstheme="minorHAnsi"/>
          <w:sz w:val="24"/>
          <w:szCs w:val="24"/>
        </w:rPr>
        <w:t>) sostenibilidad ambiental, (v) justicia, estado y gobernabilidad. En materia de cooperación Sur-Sur Panamá estableció como líneas estratégicas las áreas de (i) logística de carga y transporte, (</w:t>
      </w:r>
      <w:proofErr w:type="spellStart"/>
      <w:r w:rsidRPr="00DA00FE">
        <w:rPr>
          <w:rFonts w:cstheme="minorHAnsi"/>
          <w:sz w:val="24"/>
          <w:szCs w:val="24"/>
        </w:rPr>
        <w:t>ii</w:t>
      </w:r>
      <w:proofErr w:type="spellEnd"/>
      <w:r w:rsidRPr="00DA00FE">
        <w:rPr>
          <w:rFonts w:cstheme="minorHAnsi"/>
          <w:sz w:val="24"/>
          <w:szCs w:val="24"/>
        </w:rPr>
        <w:t>) sistema bancario, (</w:t>
      </w:r>
      <w:proofErr w:type="spellStart"/>
      <w:r w:rsidRPr="00DA00FE">
        <w:rPr>
          <w:rFonts w:cstheme="minorHAnsi"/>
          <w:sz w:val="24"/>
          <w:szCs w:val="24"/>
        </w:rPr>
        <w:t>iii</w:t>
      </w:r>
      <w:proofErr w:type="spellEnd"/>
      <w:r w:rsidRPr="00DA00FE">
        <w:rPr>
          <w:rFonts w:cstheme="minorHAnsi"/>
          <w:sz w:val="24"/>
          <w:szCs w:val="24"/>
        </w:rPr>
        <w:t>) manejo de cuencas hidrográficas, (</w:t>
      </w:r>
      <w:proofErr w:type="spellStart"/>
      <w:r w:rsidRPr="00DA00FE">
        <w:rPr>
          <w:rFonts w:cstheme="minorHAnsi"/>
          <w:sz w:val="24"/>
          <w:szCs w:val="24"/>
        </w:rPr>
        <w:t>iv</w:t>
      </w:r>
      <w:proofErr w:type="spellEnd"/>
      <w:r w:rsidRPr="00DA00FE">
        <w:rPr>
          <w:rFonts w:cstheme="minorHAnsi"/>
          <w:sz w:val="24"/>
          <w:szCs w:val="24"/>
        </w:rPr>
        <w:t xml:space="preserve">) el servicio 311 de atención ciudadana, (v) intercambios entre países a través del </w:t>
      </w:r>
      <w:proofErr w:type="spellStart"/>
      <w:r w:rsidRPr="00DA00FE">
        <w:rPr>
          <w:rFonts w:cstheme="minorHAnsi"/>
          <w:sz w:val="24"/>
          <w:szCs w:val="24"/>
        </w:rPr>
        <w:t>hub</w:t>
      </w:r>
      <w:proofErr w:type="spellEnd"/>
      <w:r w:rsidRPr="00DA00FE">
        <w:rPr>
          <w:rFonts w:cstheme="minorHAnsi"/>
          <w:sz w:val="24"/>
          <w:szCs w:val="24"/>
        </w:rPr>
        <w:t>/puente internacional de cooperación. Asimismo, en materia de cooperación Sur-Norte se identificaron potencialidad en áreas como (i) tecnologías educativas, (</w:t>
      </w:r>
      <w:proofErr w:type="spellStart"/>
      <w:r w:rsidRPr="00DA00FE">
        <w:rPr>
          <w:rFonts w:cstheme="minorHAnsi"/>
          <w:sz w:val="24"/>
          <w:szCs w:val="24"/>
        </w:rPr>
        <w:t>ii</w:t>
      </w:r>
      <w:proofErr w:type="spellEnd"/>
      <w:r w:rsidRPr="00DA00FE">
        <w:rPr>
          <w:rFonts w:cstheme="minorHAnsi"/>
          <w:sz w:val="24"/>
          <w:szCs w:val="24"/>
        </w:rPr>
        <w:t>) biodiversidad, (</w:t>
      </w:r>
      <w:proofErr w:type="spellStart"/>
      <w:r w:rsidRPr="00DA00FE">
        <w:rPr>
          <w:rFonts w:cstheme="minorHAnsi"/>
          <w:sz w:val="24"/>
          <w:szCs w:val="24"/>
        </w:rPr>
        <w:t>iii</w:t>
      </w:r>
      <w:proofErr w:type="spellEnd"/>
      <w:r w:rsidRPr="00DA00FE">
        <w:rPr>
          <w:rFonts w:cstheme="minorHAnsi"/>
          <w:sz w:val="24"/>
          <w:szCs w:val="24"/>
        </w:rPr>
        <w:t>) bioquímica, gobierno abierto, (</w:t>
      </w:r>
      <w:proofErr w:type="spellStart"/>
      <w:r w:rsidRPr="00DA00FE">
        <w:rPr>
          <w:rFonts w:cstheme="minorHAnsi"/>
          <w:sz w:val="24"/>
          <w:szCs w:val="24"/>
        </w:rPr>
        <w:t>iv</w:t>
      </w:r>
      <w:proofErr w:type="spellEnd"/>
      <w:r w:rsidRPr="00DA00FE">
        <w:rPr>
          <w:rFonts w:cstheme="minorHAnsi"/>
          <w:sz w:val="24"/>
          <w:szCs w:val="24"/>
        </w:rPr>
        <w:t>) economía colaborativa, (v) derechos indígenas, (vi) bienes culturales. Hasta el momento, en el marco del Plan Panamá Coopera se han establecido relaciones de cooperación con 47 países. Mayormente son acuerdos en las siguientes áreas: (i) cooperación cultural, (</w:t>
      </w:r>
      <w:proofErr w:type="spellStart"/>
      <w:r w:rsidRPr="00DA00FE">
        <w:rPr>
          <w:rFonts w:cstheme="minorHAnsi"/>
          <w:sz w:val="24"/>
          <w:szCs w:val="24"/>
        </w:rPr>
        <w:t>ii</w:t>
      </w:r>
      <w:proofErr w:type="spellEnd"/>
      <w:r w:rsidRPr="00DA00FE">
        <w:rPr>
          <w:rFonts w:cstheme="minorHAnsi"/>
          <w:sz w:val="24"/>
          <w:szCs w:val="24"/>
        </w:rPr>
        <w:t>) cooperación científica, (</w:t>
      </w:r>
      <w:proofErr w:type="spellStart"/>
      <w:r w:rsidRPr="00DA00FE">
        <w:rPr>
          <w:rFonts w:cstheme="minorHAnsi"/>
          <w:sz w:val="24"/>
          <w:szCs w:val="24"/>
        </w:rPr>
        <w:t>iii</w:t>
      </w:r>
      <w:proofErr w:type="spellEnd"/>
      <w:r w:rsidRPr="00DA00FE">
        <w:rPr>
          <w:rFonts w:cstheme="minorHAnsi"/>
          <w:sz w:val="24"/>
          <w:szCs w:val="24"/>
        </w:rPr>
        <w:t>) cooperación educativa</w:t>
      </w:r>
      <w:r w:rsidRPr="00DA00FE">
        <w:rPr>
          <w:rStyle w:val="FootnoteReference"/>
          <w:rFonts w:cstheme="minorHAnsi"/>
          <w:sz w:val="24"/>
          <w:szCs w:val="24"/>
        </w:rPr>
        <w:footnoteReference w:id="57"/>
      </w:r>
      <w:r w:rsidRPr="00DA00FE">
        <w:rPr>
          <w:rFonts w:cstheme="minorHAnsi"/>
          <w:sz w:val="24"/>
          <w:szCs w:val="24"/>
        </w:rPr>
        <w:t>.</w:t>
      </w:r>
    </w:p>
    <w:p w14:paraId="0F19DEA9" w14:textId="77777777" w:rsidR="000C171B" w:rsidRPr="00DA00FE" w:rsidRDefault="000C171B" w:rsidP="000C171B">
      <w:pPr>
        <w:spacing w:after="0" w:line="240" w:lineRule="auto"/>
        <w:jc w:val="both"/>
        <w:rPr>
          <w:rFonts w:cstheme="minorHAnsi"/>
          <w:b/>
          <w:bCs/>
          <w:sz w:val="24"/>
          <w:szCs w:val="24"/>
        </w:rPr>
      </w:pPr>
    </w:p>
    <w:p w14:paraId="6E7FC093" w14:textId="77777777" w:rsidR="000C171B" w:rsidRPr="00DA00FE" w:rsidRDefault="000C171B" w:rsidP="000C171B">
      <w:pPr>
        <w:spacing w:after="0" w:line="240" w:lineRule="auto"/>
        <w:jc w:val="both"/>
        <w:rPr>
          <w:rFonts w:cstheme="minorHAnsi"/>
          <w:sz w:val="24"/>
          <w:szCs w:val="24"/>
        </w:rPr>
      </w:pPr>
      <w:r w:rsidRPr="00DA00FE">
        <w:rPr>
          <w:rFonts w:cstheme="minorHAnsi"/>
          <w:sz w:val="24"/>
          <w:szCs w:val="24"/>
        </w:rPr>
        <w:t xml:space="preserve">El avance de Panamá Coopera se registra en el campo de la Diplomacia Cultural, sin embargo, en el campo de los aspectos estratégicos de la cooperación Sur-Sur para la aceleración y el logro de la Agenda 2030 aún están por definir. </w:t>
      </w:r>
    </w:p>
    <w:p w14:paraId="360BB6AC" w14:textId="77777777" w:rsidR="000C171B" w:rsidRPr="00725057" w:rsidRDefault="000C171B" w:rsidP="000C171B">
      <w:pPr>
        <w:rPr>
          <w:rFonts w:cstheme="minorHAnsi"/>
          <w:sz w:val="24"/>
          <w:szCs w:val="24"/>
        </w:rPr>
      </w:pPr>
    </w:p>
    <w:p w14:paraId="7A6BB448" w14:textId="77777777" w:rsidR="000C171B" w:rsidRPr="00BA7353" w:rsidRDefault="000C171B" w:rsidP="000C171B">
      <w:pPr>
        <w:spacing w:after="0" w:line="240" w:lineRule="auto"/>
        <w:rPr>
          <w:rFonts w:cstheme="minorHAnsi"/>
          <w:color w:val="4472C4" w:themeColor="accent1"/>
          <w:sz w:val="24"/>
          <w:szCs w:val="24"/>
        </w:rPr>
      </w:pPr>
      <w:r w:rsidRPr="00BA7353">
        <w:rPr>
          <w:rFonts w:cstheme="minorHAnsi"/>
          <w:b/>
          <w:bCs/>
          <w:color w:val="4472C4" w:themeColor="accent1"/>
          <w:sz w:val="24"/>
          <w:szCs w:val="24"/>
        </w:rPr>
        <w:t>7. PANORAMA Y OPORTUNIDADES DE FINANCIAMIENTO DEL DESARROLLO SOSTENIBLE.</w:t>
      </w:r>
    </w:p>
    <w:p w14:paraId="10F01928" w14:textId="77777777" w:rsidR="000C171B" w:rsidRPr="00BA7353" w:rsidRDefault="000C171B" w:rsidP="000C171B">
      <w:pPr>
        <w:spacing w:after="0" w:line="240" w:lineRule="auto"/>
        <w:rPr>
          <w:rFonts w:cstheme="minorHAnsi"/>
          <w:color w:val="4472C4" w:themeColor="accent1"/>
          <w:sz w:val="24"/>
          <w:szCs w:val="24"/>
        </w:rPr>
      </w:pPr>
    </w:p>
    <w:p w14:paraId="6601D5B1" w14:textId="77777777" w:rsidR="000C171B" w:rsidRPr="00BA7353" w:rsidRDefault="000C171B" w:rsidP="000C171B">
      <w:pPr>
        <w:spacing w:after="0" w:line="240" w:lineRule="auto"/>
        <w:jc w:val="both"/>
        <w:rPr>
          <w:rFonts w:cstheme="minorHAnsi"/>
          <w:color w:val="4472C4" w:themeColor="accent1"/>
          <w:sz w:val="24"/>
          <w:szCs w:val="24"/>
        </w:rPr>
      </w:pPr>
      <w:r w:rsidRPr="00BA7353">
        <w:rPr>
          <w:rFonts w:cstheme="minorHAnsi"/>
          <w:b/>
          <w:bCs/>
          <w:color w:val="4472C4" w:themeColor="accent1"/>
          <w:sz w:val="24"/>
          <w:szCs w:val="24"/>
        </w:rPr>
        <w:t>7.1. Examen del panorama financiero del país para el desarrollo sostenible, basado en un mapeo y análisis de los flujos financieros.</w:t>
      </w:r>
    </w:p>
    <w:p w14:paraId="6F6FD00C" w14:textId="77777777" w:rsidR="000C171B" w:rsidRPr="00C60BCE" w:rsidRDefault="000C171B" w:rsidP="000C171B">
      <w:pPr>
        <w:spacing w:after="0" w:line="240" w:lineRule="auto"/>
        <w:jc w:val="both"/>
        <w:rPr>
          <w:rFonts w:cstheme="minorHAnsi"/>
          <w:sz w:val="24"/>
          <w:szCs w:val="24"/>
        </w:rPr>
      </w:pPr>
    </w:p>
    <w:p w14:paraId="2F8D5A04" w14:textId="77777777" w:rsidR="000C171B" w:rsidRPr="00C60BCE" w:rsidRDefault="000C171B" w:rsidP="000C171B">
      <w:pPr>
        <w:spacing w:after="0" w:line="240" w:lineRule="auto"/>
        <w:jc w:val="both"/>
        <w:rPr>
          <w:rFonts w:cstheme="minorHAnsi"/>
          <w:sz w:val="24"/>
          <w:szCs w:val="24"/>
        </w:rPr>
      </w:pPr>
      <w:r w:rsidRPr="00C60BCE">
        <w:rPr>
          <w:rFonts w:cstheme="minorHAnsi"/>
          <w:sz w:val="24"/>
          <w:szCs w:val="24"/>
        </w:rPr>
        <w:t xml:space="preserve">En la última década, la deuda externa se ha triplicado. La economía de abundancia promovida a través de megaproyectos y gastos excesivos, muchos de ellos no redituables, financiados a través de un modelo de endeudamientos crecientes no sólo no funcionó, sino que lo llevó a los límites especificado en la </w:t>
      </w:r>
      <w:r w:rsidRPr="00815D99">
        <w:rPr>
          <w:rFonts w:cstheme="minorHAnsi"/>
          <w:sz w:val="24"/>
          <w:szCs w:val="24"/>
        </w:rPr>
        <w:t>Ley de Responsabilidad Fiscal</w:t>
      </w:r>
      <w:r>
        <w:rPr>
          <w:rFonts w:cstheme="minorHAnsi"/>
          <w:sz w:val="24"/>
          <w:szCs w:val="24"/>
        </w:rPr>
        <w:t xml:space="preserve"> (</w:t>
      </w:r>
      <w:r w:rsidRPr="00C60BCE">
        <w:rPr>
          <w:rFonts w:cstheme="minorHAnsi"/>
          <w:sz w:val="24"/>
          <w:szCs w:val="24"/>
        </w:rPr>
        <w:t>LRSF</w:t>
      </w:r>
      <w:r>
        <w:rPr>
          <w:rFonts w:cstheme="minorHAnsi"/>
          <w:sz w:val="24"/>
          <w:szCs w:val="24"/>
        </w:rPr>
        <w:t>)</w:t>
      </w:r>
      <w:r w:rsidRPr="00C60BCE">
        <w:rPr>
          <w:rFonts w:cstheme="minorHAnsi"/>
          <w:sz w:val="24"/>
          <w:szCs w:val="24"/>
        </w:rPr>
        <w:t>. Los problemas fiscales que tomaron alrededor de diez años en crear dicha situación tomarán un largo período en resolverse, por lo cual la disciplina fiscal y una</w:t>
      </w:r>
      <w:r w:rsidRPr="00C60BCE">
        <w:t xml:space="preserve"> </w:t>
      </w:r>
      <w:r w:rsidRPr="00C60BCE">
        <w:rPr>
          <w:rFonts w:cstheme="minorHAnsi"/>
          <w:sz w:val="24"/>
          <w:szCs w:val="24"/>
        </w:rPr>
        <w:t xml:space="preserve">clara fijación de prioridades en el gasto público serán totalmente requeridas y necesarias (PEG, 2019-2024).  Es decir, la  deuda pública se situó alrededor del límite de 40% neto establecido en la Ley de Responsabilidad Social Fiscal (LRSF), eliminando la posibilidad del uso del instrumento fiscal como mecanismo de estímulo (PEG, 2019-2024).  </w:t>
      </w:r>
    </w:p>
    <w:p w14:paraId="5CC31674" w14:textId="77777777" w:rsidR="000C171B" w:rsidRPr="00C60BCE" w:rsidRDefault="000C171B" w:rsidP="000C171B">
      <w:pPr>
        <w:spacing w:after="0" w:line="240" w:lineRule="auto"/>
        <w:jc w:val="both"/>
        <w:rPr>
          <w:rFonts w:cstheme="minorHAnsi"/>
          <w:sz w:val="24"/>
          <w:szCs w:val="24"/>
        </w:rPr>
      </w:pPr>
    </w:p>
    <w:p w14:paraId="43415986" w14:textId="77777777" w:rsidR="000C171B" w:rsidRPr="00C60BCE" w:rsidRDefault="000C171B" w:rsidP="000C171B">
      <w:pPr>
        <w:spacing w:after="0" w:line="240" w:lineRule="auto"/>
        <w:jc w:val="both"/>
        <w:rPr>
          <w:rFonts w:cstheme="minorHAnsi"/>
          <w:sz w:val="24"/>
          <w:szCs w:val="24"/>
        </w:rPr>
      </w:pPr>
      <w:r w:rsidRPr="00C60BCE">
        <w:rPr>
          <w:rFonts w:cstheme="minorHAnsi"/>
          <w:sz w:val="24"/>
          <w:szCs w:val="24"/>
        </w:rPr>
        <w:t>El modelo de asignación de recursos, utilizado en los últimos diez años, sacrificó los gastos en educación, formación profesional y salud, a favor de proyectos “llave en mano” y otros carentes de análisis de costo beneficio (PEG, 2019-2024), cuyo endeudamiento limitará ahora la capacidad de inversión pública.  Porque si la tasa de crecimiento de la deuda pública aumenta más rápidamente que la del crecimiento de la economía, la relación deuda pública/PIB continuará aumentando. Por lo que se afectará la solvencia financiera, la calificación de crédito y sustraerá recursos de programas claves del gobierno para hacerle frente al pago de los compromisos de deuda. Por lo tanto, urgen acciones en dos áreas claves en asegurar que los indicadores de deuda pública sean viables: reactivar la tasa de crecimiento de la economía e instrumentar un manejo prudente de las de las finanzas públicas durante el periodo 2020 – 2024 (PEG, 2019-2020).</w:t>
      </w:r>
    </w:p>
    <w:p w14:paraId="3D144D69" w14:textId="77777777" w:rsidR="000C171B" w:rsidRPr="00C60BCE" w:rsidRDefault="000C171B" w:rsidP="000C171B">
      <w:pPr>
        <w:spacing w:after="0" w:line="240" w:lineRule="auto"/>
        <w:jc w:val="both"/>
        <w:rPr>
          <w:rFonts w:cstheme="minorHAnsi"/>
          <w:sz w:val="24"/>
          <w:szCs w:val="24"/>
        </w:rPr>
      </w:pPr>
    </w:p>
    <w:p w14:paraId="4EEA85EB" w14:textId="77777777" w:rsidR="000C171B" w:rsidRPr="00C60BCE" w:rsidRDefault="000C171B" w:rsidP="000C171B">
      <w:pPr>
        <w:spacing w:after="0" w:line="240" w:lineRule="auto"/>
        <w:jc w:val="both"/>
        <w:rPr>
          <w:rFonts w:cstheme="minorHAnsi"/>
          <w:sz w:val="24"/>
          <w:szCs w:val="24"/>
        </w:rPr>
      </w:pPr>
      <w:r w:rsidRPr="00C60BCE">
        <w:rPr>
          <w:rFonts w:cstheme="minorHAnsi"/>
          <w:sz w:val="24"/>
          <w:szCs w:val="24"/>
        </w:rPr>
        <w:t>Por tanto, el programa de recuperación económica se encuentra enfocado tres áreas que contribuirían en lograr un crecimiento sostenible e inclusivo: (i) fortalecimiento de las finanzas públicas incrementando el ahorro público, acelerando inversiones públicas productivas, mejorando la selección de proyectos y optimizando la eficiencia de empresas públicas y entidades descentralizadas; (</w:t>
      </w:r>
      <w:proofErr w:type="spellStart"/>
      <w:r w:rsidRPr="00C60BCE">
        <w:rPr>
          <w:rFonts w:cstheme="minorHAnsi"/>
          <w:sz w:val="24"/>
          <w:szCs w:val="24"/>
        </w:rPr>
        <w:t>ii</w:t>
      </w:r>
      <w:proofErr w:type="spellEnd"/>
      <w:r w:rsidRPr="00C60BCE">
        <w:rPr>
          <w:rFonts w:cstheme="minorHAnsi"/>
          <w:sz w:val="24"/>
          <w:szCs w:val="24"/>
        </w:rPr>
        <w:t>) aumento de la inversión total (IDE, privada y pública) que logre aumentos de productividad, conscientes de restricciones fiscales que limitan el endeudamiento público. Por lo tanto, será indispensable promover inversión privada nacional e IDE, además de acelerar las políticas públicas con impactos secundarios importantes; y (</w:t>
      </w:r>
      <w:proofErr w:type="spellStart"/>
      <w:r w:rsidRPr="00C60BCE">
        <w:rPr>
          <w:rFonts w:cstheme="minorHAnsi"/>
          <w:sz w:val="24"/>
          <w:szCs w:val="24"/>
        </w:rPr>
        <w:t>iii</w:t>
      </w:r>
      <w:proofErr w:type="spellEnd"/>
      <w:r w:rsidRPr="00C60BCE">
        <w:rPr>
          <w:rFonts w:cstheme="minorHAnsi"/>
          <w:sz w:val="24"/>
          <w:szCs w:val="24"/>
        </w:rPr>
        <w:t xml:space="preserve">) mejoramiento de incentivos y promoción de exportaciones (PEG, 2019-2020). </w:t>
      </w:r>
    </w:p>
    <w:p w14:paraId="16205ADF" w14:textId="77777777" w:rsidR="000C171B" w:rsidRPr="00C60BCE" w:rsidRDefault="000C171B" w:rsidP="000C171B">
      <w:pPr>
        <w:spacing w:after="0" w:line="240" w:lineRule="auto"/>
        <w:jc w:val="both"/>
        <w:rPr>
          <w:rFonts w:cstheme="minorHAnsi"/>
          <w:sz w:val="24"/>
          <w:szCs w:val="24"/>
        </w:rPr>
      </w:pPr>
    </w:p>
    <w:p w14:paraId="724ACFF6" w14:textId="77777777" w:rsidR="000C171B" w:rsidRDefault="000C171B" w:rsidP="000C171B">
      <w:pPr>
        <w:spacing w:after="0" w:line="240" w:lineRule="auto"/>
        <w:jc w:val="both"/>
        <w:rPr>
          <w:rFonts w:cstheme="minorHAnsi"/>
          <w:sz w:val="24"/>
          <w:szCs w:val="24"/>
        </w:rPr>
      </w:pPr>
      <w:r w:rsidRPr="00C60BCE">
        <w:rPr>
          <w:rFonts w:cstheme="minorHAnsi"/>
          <w:sz w:val="24"/>
          <w:szCs w:val="24"/>
        </w:rPr>
        <w:t>Adicionalmente, para reactivar</w:t>
      </w:r>
      <w:r>
        <w:rPr>
          <w:rFonts w:cstheme="minorHAnsi"/>
          <w:sz w:val="24"/>
          <w:szCs w:val="24"/>
        </w:rPr>
        <w:t xml:space="preserve"> la economía con políticas contra cíclicas</w:t>
      </w:r>
      <w:r w:rsidRPr="00C60BCE">
        <w:rPr>
          <w:rFonts w:cstheme="minorHAnsi"/>
          <w:sz w:val="24"/>
          <w:szCs w:val="24"/>
        </w:rPr>
        <w:t xml:space="preserve">, por un lado, </w:t>
      </w:r>
      <w:r>
        <w:rPr>
          <w:rFonts w:cstheme="minorHAnsi"/>
          <w:sz w:val="24"/>
          <w:szCs w:val="24"/>
        </w:rPr>
        <w:t xml:space="preserve">se fomentará </w:t>
      </w:r>
      <w:r w:rsidRPr="00C60BCE">
        <w:rPr>
          <w:rFonts w:cstheme="minorHAnsi"/>
          <w:sz w:val="24"/>
          <w:szCs w:val="24"/>
        </w:rPr>
        <w:t xml:space="preserve">la construcción en áreas en donde no existe sobreoferta; </w:t>
      </w:r>
      <w:r>
        <w:rPr>
          <w:rFonts w:cstheme="minorHAnsi"/>
          <w:sz w:val="24"/>
          <w:szCs w:val="24"/>
        </w:rPr>
        <w:t xml:space="preserve">mientras que </w:t>
      </w:r>
      <w:r w:rsidRPr="00C60BCE">
        <w:rPr>
          <w:rFonts w:cstheme="minorHAnsi"/>
          <w:sz w:val="24"/>
          <w:szCs w:val="24"/>
        </w:rPr>
        <w:t>por el otro, el turismo con fuerte participación del sector privado. Con la finalidad de incrementar la productividad y el empleo. Sus resultados sentarán las bases para alcanzar un crecimiento inclusivo con reducción de desempleo y desigualdad de ingresos a mediano plazo beneficiando a grupos marginados de la sociedad, jóvenes que buscan trabajo pero que no cuentan con las competencias que demanda el mercado y otros afectados por la desaceleración (PEG, 2019-2020).</w:t>
      </w:r>
    </w:p>
    <w:p w14:paraId="3B18FDFD" w14:textId="77777777" w:rsidR="000C171B" w:rsidRDefault="000C171B" w:rsidP="000C171B">
      <w:pPr>
        <w:spacing w:after="0" w:line="240" w:lineRule="auto"/>
        <w:jc w:val="both"/>
        <w:rPr>
          <w:rFonts w:cstheme="minorHAnsi"/>
          <w:sz w:val="24"/>
          <w:szCs w:val="24"/>
        </w:rPr>
      </w:pPr>
    </w:p>
    <w:p w14:paraId="48D4A2DC" w14:textId="77777777" w:rsidR="000C171B" w:rsidRPr="00D7303B" w:rsidRDefault="000C171B" w:rsidP="000C171B">
      <w:pPr>
        <w:spacing w:after="0" w:line="240" w:lineRule="auto"/>
        <w:jc w:val="both"/>
        <w:rPr>
          <w:rFonts w:cstheme="minorHAnsi"/>
          <w:sz w:val="24"/>
          <w:szCs w:val="24"/>
        </w:rPr>
      </w:pPr>
      <w:r>
        <w:rPr>
          <w:rFonts w:cstheme="minorHAnsi"/>
          <w:sz w:val="24"/>
          <w:szCs w:val="24"/>
        </w:rPr>
        <w:t>Pero l</w:t>
      </w:r>
      <w:r w:rsidRPr="005B1255">
        <w:rPr>
          <w:rFonts w:cstheme="minorHAnsi"/>
          <w:sz w:val="24"/>
          <w:szCs w:val="24"/>
        </w:rPr>
        <w:t xml:space="preserve">a movilización de recursos </w:t>
      </w:r>
      <w:r>
        <w:rPr>
          <w:rFonts w:cstheme="minorHAnsi"/>
          <w:sz w:val="24"/>
          <w:szCs w:val="24"/>
        </w:rPr>
        <w:t xml:space="preserve">internos </w:t>
      </w:r>
      <w:r w:rsidRPr="005B1255">
        <w:rPr>
          <w:rFonts w:cstheme="minorHAnsi"/>
          <w:sz w:val="24"/>
          <w:szCs w:val="24"/>
        </w:rPr>
        <w:t xml:space="preserve">para cubrir </w:t>
      </w:r>
      <w:r>
        <w:rPr>
          <w:rFonts w:cstheme="minorHAnsi"/>
          <w:sz w:val="24"/>
          <w:szCs w:val="24"/>
        </w:rPr>
        <w:t xml:space="preserve">los </w:t>
      </w:r>
      <w:r w:rsidRPr="005B1255">
        <w:rPr>
          <w:rFonts w:cstheme="minorHAnsi"/>
          <w:sz w:val="24"/>
          <w:szCs w:val="24"/>
        </w:rPr>
        <w:t xml:space="preserve">incrementos del gasto </w:t>
      </w:r>
      <w:r>
        <w:rPr>
          <w:rFonts w:cstheme="minorHAnsi"/>
          <w:sz w:val="24"/>
          <w:szCs w:val="24"/>
        </w:rPr>
        <w:t xml:space="preserve">e inversión </w:t>
      </w:r>
      <w:r w:rsidRPr="005B1255">
        <w:rPr>
          <w:rFonts w:cstheme="minorHAnsi"/>
          <w:sz w:val="24"/>
          <w:szCs w:val="24"/>
        </w:rPr>
        <w:t>públic</w:t>
      </w:r>
      <w:r>
        <w:rPr>
          <w:rFonts w:cstheme="minorHAnsi"/>
          <w:sz w:val="24"/>
          <w:szCs w:val="24"/>
        </w:rPr>
        <w:t xml:space="preserve">a, para acelerar el cumplimiento de las metas establecidas en la Agenda 2030, tiene como contraparte: (i) la </w:t>
      </w:r>
      <w:r w:rsidRPr="005B1255">
        <w:rPr>
          <w:rFonts w:cstheme="minorHAnsi"/>
          <w:sz w:val="24"/>
          <w:szCs w:val="24"/>
        </w:rPr>
        <w:t>carga tributaria baja y regresiva</w:t>
      </w:r>
      <w:r>
        <w:rPr>
          <w:rFonts w:cstheme="minorHAnsi"/>
          <w:sz w:val="24"/>
          <w:szCs w:val="24"/>
        </w:rPr>
        <w:t>; (</w:t>
      </w:r>
      <w:proofErr w:type="spellStart"/>
      <w:r>
        <w:rPr>
          <w:rFonts w:cstheme="minorHAnsi"/>
          <w:sz w:val="24"/>
          <w:szCs w:val="24"/>
        </w:rPr>
        <w:t>ii</w:t>
      </w:r>
      <w:proofErr w:type="spellEnd"/>
      <w:r>
        <w:rPr>
          <w:rFonts w:cstheme="minorHAnsi"/>
          <w:sz w:val="24"/>
          <w:szCs w:val="24"/>
        </w:rPr>
        <w:t xml:space="preserve">) la </w:t>
      </w:r>
      <w:r w:rsidRPr="005B1255">
        <w:rPr>
          <w:rFonts w:cstheme="minorHAnsi"/>
          <w:sz w:val="24"/>
          <w:szCs w:val="24"/>
        </w:rPr>
        <w:t>proliferación de</w:t>
      </w:r>
      <w:r>
        <w:rPr>
          <w:rFonts w:cstheme="minorHAnsi"/>
          <w:sz w:val="24"/>
          <w:szCs w:val="24"/>
        </w:rPr>
        <w:t xml:space="preserve"> </w:t>
      </w:r>
      <w:r w:rsidRPr="005B1255">
        <w:rPr>
          <w:rFonts w:cstheme="minorHAnsi"/>
          <w:sz w:val="24"/>
          <w:szCs w:val="24"/>
        </w:rPr>
        <w:t>privilegios fiscales injustificados</w:t>
      </w:r>
      <w:r>
        <w:rPr>
          <w:rFonts w:cstheme="minorHAnsi"/>
          <w:sz w:val="24"/>
          <w:szCs w:val="24"/>
        </w:rPr>
        <w:t>; (</w:t>
      </w:r>
      <w:proofErr w:type="spellStart"/>
      <w:r>
        <w:rPr>
          <w:rFonts w:cstheme="minorHAnsi"/>
          <w:sz w:val="24"/>
          <w:szCs w:val="24"/>
        </w:rPr>
        <w:t>iii</w:t>
      </w:r>
      <w:proofErr w:type="spellEnd"/>
      <w:r>
        <w:rPr>
          <w:rFonts w:cstheme="minorHAnsi"/>
          <w:sz w:val="24"/>
          <w:szCs w:val="24"/>
        </w:rPr>
        <w:t xml:space="preserve">) la ausencia de </w:t>
      </w:r>
      <w:r w:rsidRPr="005B1255">
        <w:rPr>
          <w:rFonts w:cstheme="minorHAnsi"/>
          <w:sz w:val="24"/>
          <w:szCs w:val="24"/>
        </w:rPr>
        <w:t xml:space="preserve">herramientas para </w:t>
      </w:r>
      <w:r>
        <w:rPr>
          <w:rFonts w:cstheme="minorHAnsi"/>
          <w:sz w:val="24"/>
          <w:szCs w:val="24"/>
        </w:rPr>
        <w:t>co</w:t>
      </w:r>
      <w:r w:rsidRPr="005B1255">
        <w:rPr>
          <w:rFonts w:cstheme="minorHAnsi"/>
          <w:sz w:val="24"/>
          <w:szCs w:val="24"/>
        </w:rPr>
        <w:t>mbatir la</w:t>
      </w:r>
      <w:r>
        <w:rPr>
          <w:rFonts w:cstheme="minorHAnsi"/>
          <w:sz w:val="24"/>
          <w:szCs w:val="24"/>
        </w:rPr>
        <w:t xml:space="preserve"> </w:t>
      </w:r>
      <w:r w:rsidRPr="005B1255">
        <w:rPr>
          <w:rFonts w:cstheme="minorHAnsi"/>
          <w:sz w:val="24"/>
          <w:szCs w:val="24"/>
        </w:rPr>
        <w:t>evasión y la elusión tributarias, especialmente en el campo de los flujos ilícitos de capitales</w:t>
      </w:r>
      <w:r>
        <w:rPr>
          <w:rFonts w:cstheme="minorHAnsi"/>
          <w:sz w:val="24"/>
          <w:szCs w:val="24"/>
        </w:rPr>
        <w:t xml:space="preserve"> (ICEFI, 2019)</w:t>
      </w:r>
      <w:r w:rsidRPr="005B1255">
        <w:rPr>
          <w:rFonts w:cstheme="minorHAnsi"/>
          <w:sz w:val="24"/>
          <w:szCs w:val="24"/>
        </w:rPr>
        <w:t xml:space="preserve">. </w:t>
      </w:r>
      <w:r>
        <w:rPr>
          <w:rFonts w:cstheme="minorHAnsi"/>
          <w:sz w:val="24"/>
          <w:szCs w:val="24"/>
        </w:rPr>
        <w:t xml:space="preserve">Pero todo ello representa un reto país. Porque en el mediano plazo se requieren políticas orientada hacia: (i) </w:t>
      </w:r>
      <w:r w:rsidRPr="00D7303B">
        <w:rPr>
          <w:rFonts w:cstheme="minorHAnsi"/>
          <w:sz w:val="24"/>
          <w:szCs w:val="24"/>
        </w:rPr>
        <w:t xml:space="preserve">la supresión de privilegios fiscales injustificados que incrementaría la progresividad de los impuestos); </w:t>
      </w:r>
      <w:r>
        <w:rPr>
          <w:rFonts w:cstheme="minorHAnsi"/>
          <w:sz w:val="24"/>
          <w:szCs w:val="24"/>
        </w:rPr>
        <w:t>(</w:t>
      </w:r>
      <w:proofErr w:type="spellStart"/>
      <w:r>
        <w:rPr>
          <w:rFonts w:cstheme="minorHAnsi"/>
          <w:sz w:val="24"/>
          <w:szCs w:val="24"/>
        </w:rPr>
        <w:t>ii</w:t>
      </w:r>
      <w:proofErr w:type="spellEnd"/>
      <w:r>
        <w:rPr>
          <w:rFonts w:cstheme="minorHAnsi"/>
          <w:sz w:val="24"/>
          <w:szCs w:val="24"/>
        </w:rPr>
        <w:t xml:space="preserve">) </w:t>
      </w:r>
      <w:r w:rsidRPr="00D7303B">
        <w:rPr>
          <w:rFonts w:cstheme="minorHAnsi"/>
          <w:sz w:val="24"/>
          <w:szCs w:val="24"/>
        </w:rPr>
        <w:t xml:space="preserve">la disminución efectiva de la evasión que incrementaría la productividad de los impuestos sobre la renta y sobre el consumo; revisión y evaluación de la gestión y del gasto público; </w:t>
      </w:r>
      <w:r>
        <w:rPr>
          <w:rFonts w:cstheme="minorHAnsi"/>
          <w:sz w:val="24"/>
          <w:szCs w:val="24"/>
        </w:rPr>
        <w:t>(</w:t>
      </w:r>
      <w:proofErr w:type="spellStart"/>
      <w:r>
        <w:rPr>
          <w:rFonts w:cstheme="minorHAnsi"/>
          <w:sz w:val="24"/>
          <w:szCs w:val="24"/>
        </w:rPr>
        <w:t>iii</w:t>
      </w:r>
      <w:proofErr w:type="spellEnd"/>
      <w:r>
        <w:rPr>
          <w:rFonts w:cstheme="minorHAnsi"/>
          <w:sz w:val="24"/>
          <w:szCs w:val="24"/>
        </w:rPr>
        <w:t xml:space="preserve">) </w:t>
      </w:r>
      <w:r w:rsidRPr="00D7303B">
        <w:rPr>
          <w:rFonts w:cstheme="minorHAnsi"/>
          <w:sz w:val="24"/>
          <w:szCs w:val="24"/>
        </w:rPr>
        <w:t xml:space="preserve">revisión del marco de transparencia fiscal y políticas anticorrupción; </w:t>
      </w:r>
      <w:r>
        <w:rPr>
          <w:rFonts w:cstheme="minorHAnsi"/>
          <w:sz w:val="24"/>
          <w:szCs w:val="24"/>
        </w:rPr>
        <w:t>(</w:t>
      </w:r>
      <w:proofErr w:type="spellStart"/>
      <w:r>
        <w:rPr>
          <w:rFonts w:cstheme="minorHAnsi"/>
          <w:sz w:val="24"/>
          <w:szCs w:val="24"/>
        </w:rPr>
        <w:t>iv</w:t>
      </w:r>
      <w:proofErr w:type="spellEnd"/>
      <w:r>
        <w:rPr>
          <w:rFonts w:cstheme="minorHAnsi"/>
          <w:sz w:val="24"/>
          <w:szCs w:val="24"/>
        </w:rPr>
        <w:t xml:space="preserve">) </w:t>
      </w:r>
      <w:r w:rsidRPr="00D7303B">
        <w:rPr>
          <w:rFonts w:cstheme="minorHAnsi"/>
          <w:sz w:val="24"/>
          <w:szCs w:val="24"/>
        </w:rPr>
        <w:lastRenderedPageBreak/>
        <w:t>implementación de reformas a los servicios civiles</w:t>
      </w:r>
      <w:r>
        <w:rPr>
          <w:rFonts w:cstheme="minorHAnsi"/>
          <w:sz w:val="24"/>
          <w:szCs w:val="24"/>
        </w:rPr>
        <w:t xml:space="preserve"> y </w:t>
      </w:r>
      <w:r w:rsidRPr="00D7303B">
        <w:rPr>
          <w:rFonts w:cstheme="minorHAnsi"/>
          <w:sz w:val="24"/>
          <w:szCs w:val="24"/>
        </w:rPr>
        <w:t>los marcos de evaluación y planificación</w:t>
      </w:r>
      <w:r>
        <w:rPr>
          <w:rFonts w:cstheme="minorHAnsi"/>
          <w:sz w:val="24"/>
          <w:szCs w:val="24"/>
        </w:rPr>
        <w:t xml:space="preserve">; </w:t>
      </w:r>
      <w:r w:rsidRPr="00D7303B">
        <w:rPr>
          <w:rFonts w:cstheme="minorHAnsi"/>
          <w:sz w:val="24"/>
          <w:szCs w:val="24"/>
        </w:rPr>
        <w:t>implementación de políticas efectivas de transparencia y probidad</w:t>
      </w:r>
      <w:r>
        <w:rPr>
          <w:rFonts w:cstheme="minorHAnsi"/>
          <w:sz w:val="24"/>
          <w:szCs w:val="24"/>
        </w:rPr>
        <w:t xml:space="preserve"> (ICEFI, 2019)</w:t>
      </w:r>
      <w:r w:rsidRPr="00D7303B">
        <w:rPr>
          <w:rFonts w:cstheme="minorHAnsi"/>
          <w:sz w:val="24"/>
          <w:szCs w:val="24"/>
        </w:rPr>
        <w:t>.</w:t>
      </w:r>
    </w:p>
    <w:p w14:paraId="2078A47F" w14:textId="77777777" w:rsidR="000C171B" w:rsidRDefault="000C171B" w:rsidP="000C171B">
      <w:pPr>
        <w:spacing w:after="0" w:line="240" w:lineRule="auto"/>
        <w:jc w:val="both"/>
        <w:rPr>
          <w:rFonts w:cstheme="minorHAnsi"/>
          <w:sz w:val="24"/>
          <w:szCs w:val="24"/>
        </w:rPr>
      </w:pPr>
    </w:p>
    <w:p w14:paraId="4F4B560E" w14:textId="77777777" w:rsidR="000C171B" w:rsidRDefault="000C171B" w:rsidP="000C171B">
      <w:pPr>
        <w:spacing w:after="0" w:line="240" w:lineRule="auto"/>
        <w:jc w:val="both"/>
        <w:rPr>
          <w:rFonts w:cstheme="minorHAnsi"/>
          <w:sz w:val="24"/>
          <w:szCs w:val="24"/>
        </w:rPr>
      </w:pPr>
      <w:r>
        <w:rPr>
          <w:rFonts w:cstheme="minorHAnsi"/>
          <w:sz w:val="24"/>
          <w:szCs w:val="24"/>
        </w:rPr>
        <w:t>P</w:t>
      </w:r>
      <w:r w:rsidRPr="00CC3FEA">
        <w:rPr>
          <w:rFonts w:cstheme="minorHAnsi"/>
          <w:sz w:val="24"/>
          <w:szCs w:val="24"/>
        </w:rPr>
        <w:t>ara impulsar el cumplimiento de los Objetivos de la Agenda 2030</w:t>
      </w:r>
      <w:r>
        <w:rPr>
          <w:rFonts w:cstheme="minorHAnsi"/>
          <w:sz w:val="24"/>
          <w:szCs w:val="24"/>
        </w:rPr>
        <w:t xml:space="preserve">, mediante </w:t>
      </w:r>
      <w:r w:rsidRPr="00CC3FEA">
        <w:rPr>
          <w:rFonts w:cstheme="minorHAnsi"/>
          <w:sz w:val="24"/>
          <w:szCs w:val="24"/>
        </w:rPr>
        <w:t>una vinculación entre ODS y beneficios</w:t>
      </w:r>
      <w:r>
        <w:rPr>
          <w:rFonts w:cstheme="minorHAnsi"/>
          <w:sz w:val="24"/>
          <w:szCs w:val="24"/>
        </w:rPr>
        <w:t>/</w:t>
      </w:r>
      <w:r w:rsidRPr="00CC3FEA">
        <w:rPr>
          <w:rFonts w:cstheme="minorHAnsi"/>
          <w:sz w:val="24"/>
          <w:szCs w:val="24"/>
        </w:rPr>
        <w:t>incentivos tributarios de forma integral,</w:t>
      </w:r>
      <w:r>
        <w:rPr>
          <w:rFonts w:cstheme="minorHAnsi"/>
          <w:sz w:val="24"/>
          <w:szCs w:val="24"/>
        </w:rPr>
        <w:t xml:space="preserve"> </w:t>
      </w:r>
      <w:r w:rsidRPr="00CC3FEA">
        <w:rPr>
          <w:rFonts w:cstheme="minorHAnsi"/>
          <w:sz w:val="24"/>
          <w:szCs w:val="24"/>
        </w:rPr>
        <w:t>considerando las políticas de ingresos y gastos públicos y los incentivos tributarios</w:t>
      </w:r>
      <w:r>
        <w:rPr>
          <w:rFonts w:cstheme="minorHAnsi"/>
          <w:sz w:val="24"/>
          <w:szCs w:val="24"/>
        </w:rPr>
        <w:t xml:space="preserve">, se deben priorizar las siguientes acciones: </w:t>
      </w:r>
    </w:p>
    <w:p w14:paraId="18314096" w14:textId="77777777" w:rsidR="000C171B" w:rsidRDefault="000C171B" w:rsidP="000C171B">
      <w:pPr>
        <w:spacing w:after="0" w:line="240" w:lineRule="auto"/>
        <w:jc w:val="both"/>
        <w:rPr>
          <w:rFonts w:cstheme="minorHAnsi"/>
          <w:sz w:val="24"/>
          <w:szCs w:val="24"/>
        </w:rPr>
      </w:pPr>
      <w:r w:rsidRPr="008C4320">
        <w:rPr>
          <w:rFonts w:cstheme="minorHAnsi"/>
          <w:sz w:val="24"/>
          <w:szCs w:val="24"/>
        </w:rPr>
        <w:t>(i) incentivos a la participación laboral de la mujer y valoración del trabajo de cuidado; (</w:t>
      </w:r>
      <w:proofErr w:type="spellStart"/>
      <w:r w:rsidRPr="008C4320">
        <w:rPr>
          <w:rFonts w:cstheme="minorHAnsi"/>
          <w:sz w:val="24"/>
          <w:szCs w:val="24"/>
        </w:rPr>
        <w:t>ii</w:t>
      </w:r>
      <w:proofErr w:type="spellEnd"/>
      <w:r w:rsidRPr="008C4320">
        <w:rPr>
          <w:rFonts w:cstheme="minorHAnsi"/>
          <w:sz w:val="24"/>
          <w:szCs w:val="24"/>
        </w:rPr>
        <w:t xml:space="preserve">) incentivos </w:t>
      </w:r>
      <w:r>
        <w:rPr>
          <w:rFonts w:cstheme="minorHAnsi"/>
          <w:sz w:val="24"/>
          <w:szCs w:val="24"/>
        </w:rPr>
        <w:t xml:space="preserve">para </w:t>
      </w:r>
      <w:r w:rsidRPr="008C4320">
        <w:rPr>
          <w:rFonts w:cstheme="minorHAnsi"/>
          <w:sz w:val="24"/>
          <w:szCs w:val="24"/>
        </w:rPr>
        <w:t>reduc</w:t>
      </w:r>
      <w:r>
        <w:rPr>
          <w:rFonts w:cstheme="minorHAnsi"/>
          <w:sz w:val="24"/>
          <w:szCs w:val="24"/>
        </w:rPr>
        <w:t xml:space="preserve">ir </w:t>
      </w:r>
      <w:r w:rsidRPr="008C4320">
        <w:rPr>
          <w:rFonts w:cstheme="minorHAnsi"/>
          <w:sz w:val="24"/>
          <w:szCs w:val="24"/>
        </w:rPr>
        <w:t>el costo de la inversión para la generación de energía renovable o promueven su utilización; (</w:t>
      </w:r>
      <w:proofErr w:type="spellStart"/>
      <w:r w:rsidRPr="008C4320">
        <w:rPr>
          <w:rFonts w:cstheme="minorHAnsi"/>
          <w:sz w:val="24"/>
          <w:szCs w:val="24"/>
        </w:rPr>
        <w:t>iii</w:t>
      </w:r>
      <w:proofErr w:type="spellEnd"/>
      <w:r w:rsidRPr="008C4320">
        <w:rPr>
          <w:rFonts w:cstheme="minorHAnsi"/>
          <w:sz w:val="24"/>
          <w:szCs w:val="24"/>
        </w:rPr>
        <w:t>) incentivos al empleo mediante créditos por aportes a la seguridad social o deducciones adicionales por contratar a ciertos trabajadores como personas mayores, personas con discapacidad, jóvenes o trabajadores de ciertas zonas o sectores (</w:t>
      </w:r>
      <w:proofErr w:type="spellStart"/>
      <w:r w:rsidRPr="008C4320">
        <w:rPr>
          <w:rFonts w:cstheme="minorHAnsi"/>
          <w:sz w:val="24"/>
          <w:szCs w:val="24"/>
        </w:rPr>
        <w:t>iv</w:t>
      </w:r>
      <w:proofErr w:type="spellEnd"/>
      <w:r w:rsidRPr="008C4320">
        <w:rPr>
          <w:rFonts w:cstheme="minorHAnsi"/>
          <w:sz w:val="24"/>
          <w:szCs w:val="24"/>
        </w:rPr>
        <w:t xml:space="preserve">) incentivos para las micro, pequeñas y medianas empresas créditos o deducciones en el </w:t>
      </w:r>
      <w:proofErr w:type="spellStart"/>
      <w:r w:rsidRPr="008C4320">
        <w:rPr>
          <w:rFonts w:cstheme="minorHAnsi"/>
          <w:sz w:val="24"/>
          <w:szCs w:val="24"/>
        </w:rPr>
        <w:t>isr</w:t>
      </w:r>
      <w:proofErr w:type="spellEnd"/>
      <w:r w:rsidRPr="008C4320">
        <w:rPr>
          <w:rFonts w:cstheme="minorHAnsi"/>
          <w:sz w:val="24"/>
          <w:szCs w:val="24"/>
        </w:rPr>
        <w:t xml:space="preserve"> por gastos en investigación y desarrollo o innovación tecnológica; (v) incentivos tributarios a la inversión en proyectos tecnológicos como biotecnologías, desarrollo de software o tecnologías de la información y las comunicaciones; (vi) revisión y racionalización de los gastos tributarios en el impuesto sobre la renta personal y en los impuestos sobre el patrimonio incentivos para vehículos eléctricos incentivos para instalaciones para personas con discapacidad; (</w:t>
      </w:r>
      <w:proofErr w:type="spellStart"/>
      <w:r w:rsidRPr="008C4320">
        <w:rPr>
          <w:rFonts w:cstheme="minorHAnsi"/>
          <w:sz w:val="24"/>
          <w:szCs w:val="24"/>
        </w:rPr>
        <w:t>vii</w:t>
      </w:r>
      <w:proofErr w:type="spellEnd"/>
      <w:r w:rsidRPr="008C4320">
        <w:rPr>
          <w:rFonts w:cstheme="minorHAnsi"/>
          <w:sz w:val="24"/>
          <w:szCs w:val="24"/>
        </w:rPr>
        <w:t>) deducciones o créditos por inversiones para la producción limpia incentivos a plantaciones forestales eliminación gradual de los incentivos tributarios dirigidos a los combustibles fósiles;  (</w:t>
      </w:r>
      <w:proofErr w:type="spellStart"/>
      <w:r w:rsidRPr="008C4320">
        <w:rPr>
          <w:rFonts w:cstheme="minorHAnsi"/>
          <w:sz w:val="24"/>
          <w:szCs w:val="24"/>
        </w:rPr>
        <w:t>viii</w:t>
      </w:r>
      <w:proofErr w:type="spellEnd"/>
      <w:r w:rsidRPr="008C4320">
        <w:rPr>
          <w:rFonts w:cstheme="minorHAnsi"/>
          <w:sz w:val="24"/>
          <w:szCs w:val="24"/>
        </w:rPr>
        <w:t>) incentivos para opciones con bajas emisiones de carbono, como vehículos eléctricos, iluminación led o paneles solares; (</w:t>
      </w:r>
      <w:proofErr w:type="spellStart"/>
      <w:r w:rsidRPr="008C4320">
        <w:rPr>
          <w:rFonts w:cstheme="minorHAnsi"/>
          <w:sz w:val="24"/>
          <w:szCs w:val="24"/>
        </w:rPr>
        <w:t>ix</w:t>
      </w:r>
      <w:proofErr w:type="spellEnd"/>
      <w:r w:rsidRPr="008C4320">
        <w:rPr>
          <w:rFonts w:cstheme="minorHAnsi"/>
          <w:sz w:val="24"/>
          <w:szCs w:val="24"/>
        </w:rPr>
        <w:t>) incentivos fiscales para la adopción de tecnologías limpias; (x) mejorar la gobernanza y la rendición de cuentas de los incentivos tributarios; (xi) movilización de recursos internos a través de la eliminación de incentivos tributarios que no sean eficaces en función del costo (evitar el uso de exoneraciones temporales de impuestos y otras exenciones; (</w:t>
      </w:r>
      <w:proofErr w:type="spellStart"/>
      <w:r w:rsidRPr="008C4320">
        <w:rPr>
          <w:rFonts w:cstheme="minorHAnsi"/>
          <w:sz w:val="24"/>
          <w:szCs w:val="24"/>
        </w:rPr>
        <w:t>xii</w:t>
      </w:r>
      <w:proofErr w:type="spellEnd"/>
      <w:r w:rsidRPr="008C4320">
        <w:rPr>
          <w:rFonts w:cstheme="minorHAnsi"/>
          <w:sz w:val="24"/>
          <w:szCs w:val="24"/>
        </w:rPr>
        <w:t>) coordinación regional para mitigar la competencia fiscal internacional; (</w:t>
      </w:r>
      <w:proofErr w:type="spellStart"/>
      <w:r w:rsidRPr="008C4320">
        <w:rPr>
          <w:rFonts w:cstheme="minorHAnsi"/>
          <w:sz w:val="24"/>
          <w:szCs w:val="24"/>
        </w:rPr>
        <w:t>xiii</w:t>
      </w:r>
      <w:proofErr w:type="spellEnd"/>
      <w:r w:rsidRPr="008C4320">
        <w:rPr>
          <w:rFonts w:cstheme="minorHAnsi"/>
          <w:sz w:val="24"/>
          <w:szCs w:val="24"/>
        </w:rPr>
        <w:t>) establecimiento de normas comunes entre los países para la estimación y presentación de informes de gastos tributarios y su evaluación</w:t>
      </w:r>
      <w:r>
        <w:rPr>
          <w:rFonts w:cstheme="minorHAnsi"/>
          <w:sz w:val="24"/>
          <w:szCs w:val="24"/>
        </w:rPr>
        <w:t xml:space="preserve"> (CEPAL, 2019).</w:t>
      </w:r>
    </w:p>
    <w:p w14:paraId="34878ABE" w14:textId="77777777" w:rsidR="000C171B" w:rsidRDefault="000C171B" w:rsidP="000C171B">
      <w:pPr>
        <w:spacing w:after="0" w:line="240" w:lineRule="auto"/>
        <w:jc w:val="both"/>
        <w:rPr>
          <w:rFonts w:cstheme="minorHAnsi"/>
          <w:sz w:val="24"/>
          <w:szCs w:val="24"/>
        </w:rPr>
      </w:pPr>
    </w:p>
    <w:p w14:paraId="4EE2631B" w14:textId="77777777" w:rsidR="000C171B" w:rsidRPr="00BA7353" w:rsidRDefault="000C171B" w:rsidP="000C171B">
      <w:pPr>
        <w:spacing w:after="0" w:line="240" w:lineRule="auto"/>
        <w:jc w:val="both"/>
        <w:rPr>
          <w:rFonts w:cstheme="minorHAnsi"/>
          <w:b/>
          <w:bCs/>
          <w:color w:val="4472C4" w:themeColor="accent1"/>
          <w:sz w:val="24"/>
          <w:szCs w:val="24"/>
        </w:rPr>
      </w:pPr>
      <w:r w:rsidRPr="00BA7353">
        <w:rPr>
          <w:rFonts w:cstheme="minorHAnsi"/>
          <w:b/>
          <w:bCs/>
          <w:color w:val="4472C4" w:themeColor="accent1"/>
          <w:sz w:val="24"/>
          <w:szCs w:val="24"/>
        </w:rPr>
        <w:t xml:space="preserve">7.2.1. Inversión local. </w:t>
      </w:r>
    </w:p>
    <w:p w14:paraId="5E00D29B" w14:textId="77777777" w:rsidR="000C171B" w:rsidRPr="00C60BCE" w:rsidRDefault="000C171B" w:rsidP="000C171B">
      <w:pPr>
        <w:spacing w:after="0" w:line="240" w:lineRule="auto"/>
        <w:jc w:val="both"/>
        <w:rPr>
          <w:rFonts w:cstheme="minorHAnsi"/>
          <w:color w:val="000000" w:themeColor="text1"/>
          <w:sz w:val="24"/>
          <w:szCs w:val="24"/>
        </w:rPr>
      </w:pPr>
    </w:p>
    <w:p w14:paraId="609C6F4E" w14:textId="77777777" w:rsidR="000C171B" w:rsidRPr="00C60BCE" w:rsidRDefault="000C171B" w:rsidP="000C171B">
      <w:pPr>
        <w:spacing w:after="0" w:line="240" w:lineRule="auto"/>
        <w:jc w:val="both"/>
        <w:rPr>
          <w:rFonts w:cstheme="minorHAnsi"/>
          <w:color w:val="000000" w:themeColor="text1"/>
          <w:sz w:val="24"/>
          <w:szCs w:val="24"/>
        </w:rPr>
      </w:pPr>
      <w:r w:rsidRPr="00C60BCE">
        <w:rPr>
          <w:rFonts w:cstheme="minorHAnsi"/>
          <w:color w:val="000000" w:themeColor="text1"/>
          <w:sz w:val="24"/>
          <w:szCs w:val="24"/>
        </w:rPr>
        <w:t>En las condiciones financieras actuales, el proceso de descentralización se convierte en una oportunidad para el desarrollo. Para el logro del desarrollo local, el proceso de descentralización contempla dos tipos de transferencia. Por un lado, los fondos vinculados con el Programa de Inversión de Obras Públicas y Servicios Municipales que son los remanentes del programa PRONADEL.  Por el otro lado, el Plan Anual de Obras e Inversiones asociados al Fondo del Impuesto de Inmuebles, a través del cual cada municipio recibe como mínimo B/. 500,000 anuales que son transferidos en cuotas trimestrales, según su uso, para funcionamiento y/o inversión (SND</w:t>
      </w:r>
      <w:r>
        <w:rPr>
          <w:rFonts w:cstheme="minorHAnsi"/>
          <w:color w:val="000000" w:themeColor="text1"/>
          <w:sz w:val="24"/>
          <w:szCs w:val="24"/>
        </w:rPr>
        <w:t>,</w:t>
      </w:r>
      <w:r w:rsidRPr="00C60BCE">
        <w:rPr>
          <w:rFonts w:cstheme="minorHAnsi"/>
          <w:color w:val="000000" w:themeColor="text1"/>
          <w:sz w:val="24"/>
          <w:szCs w:val="24"/>
        </w:rPr>
        <w:t xml:space="preserve"> 2018).</w:t>
      </w:r>
    </w:p>
    <w:p w14:paraId="6C66EBDC" w14:textId="77777777" w:rsidR="000C171B" w:rsidRPr="00C60BCE" w:rsidRDefault="000C171B" w:rsidP="000C171B">
      <w:pPr>
        <w:spacing w:after="0" w:line="240" w:lineRule="auto"/>
        <w:jc w:val="both"/>
        <w:rPr>
          <w:rFonts w:cstheme="minorHAnsi"/>
          <w:color w:val="000000" w:themeColor="text1"/>
          <w:sz w:val="24"/>
          <w:szCs w:val="24"/>
        </w:rPr>
      </w:pPr>
    </w:p>
    <w:p w14:paraId="43733FAC" w14:textId="77777777" w:rsidR="000C171B" w:rsidRPr="00C60BCE" w:rsidRDefault="000C171B" w:rsidP="000C171B">
      <w:pPr>
        <w:spacing w:after="0" w:line="240" w:lineRule="auto"/>
        <w:jc w:val="both"/>
        <w:rPr>
          <w:rFonts w:cstheme="minorHAnsi"/>
          <w:color w:val="000000" w:themeColor="text1"/>
          <w:sz w:val="24"/>
          <w:szCs w:val="24"/>
        </w:rPr>
      </w:pPr>
      <w:r w:rsidRPr="00C60BCE">
        <w:rPr>
          <w:rFonts w:cstheme="minorHAnsi"/>
          <w:color w:val="000000" w:themeColor="text1"/>
          <w:sz w:val="24"/>
          <w:szCs w:val="24"/>
        </w:rPr>
        <w:t xml:space="preserve">La Ley 66 señala claramente que el MEF recauda el impuesto inmueble y posteriormente lo transfiere a la SND que lo asigna según partidas trimestrales según la fórmula de solidaridad que considera la relación recaudación en los territorios bajo jurisdicción municipal y la proporción de población por cada municipio. La fórmula solidaria señala excepciones en los </w:t>
      </w:r>
      <w:r w:rsidRPr="00C60BCE">
        <w:rPr>
          <w:rFonts w:cstheme="minorHAnsi"/>
          <w:color w:val="000000" w:themeColor="text1"/>
          <w:sz w:val="24"/>
          <w:szCs w:val="24"/>
        </w:rPr>
        <w:lastRenderedPageBreak/>
        <w:t xml:space="preserve">casos del Corregimiento de Puerto Obaldía y las Comarcas indígenas de Kuna Yala, Wargandí y Madugandí. </w:t>
      </w:r>
    </w:p>
    <w:p w14:paraId="375E80ED" w14:textId="77777777" w:rsidR="000C171B" w:rsidRPr="00C60BCE" w:rsidRDefault="000C171B" w:rsidP="000C171B">
      <w:pPr>
        <w:spacing w:after="0" w:line="240" w:lineRule="auto"/>
        <w:jc w:val="both"/>
        <w:rPr>
          <w:rFonts w:cstheme="minorHAnsi"/>
          <w:color w:val="000000" w:themeColor="text1"/>
          <w:sz w:val="24"/>
          <w:szCs w:val="24"/>
        </w:rPr>
      </w:pPr>
    </w:p>
    <w:p w14:paraId="3F84DCF7" w14:textId="77777777" w:rsidR="000C171B" w:rsidRPr="00C60BCE" w:rsidRDefault="000C171B" w:rsidP="000C171B">
      <w:pPr>
        <w:spacing w:after="0" w:line="240" w:lineRule="auto"/>
        <w:jc w:val="both"/>
        <w:rPr>
          <w:rFonts w:cstheme="minorHAnsi"/>
          <w:color w:val="000000" w:themeColor="text1"/>
          <w:sz w:val="24"/>
          <w:szCs w:val="24"/>
        </w:rPr>
      </w:pPr>
      <w:r w:rsidRPr="00C60BCE">
        <w:rPr>
          <w:rFonts w:cstheme="minorHAnsi"/>
          <w:color w:val="000000" w:themeColor="text1"/>
          <w:sz w:val="24"/>
          <w:szCs w:val="24"/>
        </w:rPr>
        <w:t xml:space="preserve">Los fondos asignados por la SND según la fórmula permiten gastos de funcionamiento para la administración y el personal técnico requerido en el proceso de consolidación de la descentralización. En el caso de las municipalidades urbanas la Ley 66 admite hasta el 10%, mientras que en caso de las municipalidades semiurbanas y rurales hasta un 25%. </w:t>
      </w:r>
    </w:p>
    <w:p w14:paraId="671DB38A" w14:textId="77777777" w:rsidR="000C171B" w:rsidRPr="00C60BCE" w:rsidRDefault="000C171B" w:rsidP="000C171B">
      <w:pPr>
        <w:spacing w:after="0" w:line="240" w:lineRule="auto"/>
        <w:jc w:val="both"/>
        <w:rPr>
          <w:rFonts w:cstheme="minorHAnsi"/>
          <w:color w:val="000000" w:themeColor="text1"/>
          <w:sz w:val="24"/>
          <w:szCs w:val="24"/>
        </w:rPr>
      </w:pPr>
    </w:p>
    <w:p w14:paraId="797D9DBB" w14:textId="77777777" w:rsidR="000C171B" w:rsidRPr="00C60BCE" w:rsidRDefault="000C171B" w:rsidP="000C171B">
      <w:pPr>
        <w:spacing w:after="0" w:line="240" w:lineRule="auto"/>
        <w:jc w:val="both"/>
        <w:rPr>
          <w:rFonts w:cstheme="minorHAnsi"/>
          <w:color w:val="000000" w:themeColor="text1"/>
          <w:sz w:val="24"/>
          <w:szCs w:val="24"/>
        </w:rPr>
      </w:pPr>
      <w:r w:rsidRPr="00C60BCE">
        <w:rPr>
          <w:rFonts w:cstheme="minorHAnsi"/>
          <w:color w:val="000000" w:themeColor="text1"/>
          <w:sz w:val="24"/>
          <w:szCs w:val="24"/>
        </w:rPr>
        <w:t xml:space="preserve">Las inversiones que se proyectan con los fondos asignados deben realizarse según el Plan Estratégico Distrital que debe ser aprobado por el Consejo Municipal correspondiente. El Plan articula las necesidades prioritarias considerando una distribución homogénea de obras e inversiones entre los corregimientos. De igual maneras el Plan define por un lado las obras; por el otro, los proyectos.  En este nivel se presentan las principales acciones para reorientar participativamente las inversiones, pero requiere de un sistema de información que permita en lo local y familiar, conocer las principales brechas que deben atenderse de manera sistemática. </w:t>
      </w:r>
    </w:p>
    <w:p w14:paraId="6318FEA6" w14:textId="77777777" w:rsidR="000C171B" w:rsidRPr="00C60BCE" w:rsidRDefault="000C171B" w:rsidP="000C171B">
      <w:pPr>
        <w:spacing w:after="0" w:line="240" w:lineRule="auto"/>
        <w:jc w:val="both"/>
        <w:rPr>
          <w:rFonts w:cstheme="minorHAnsi"/>
          <w:color w:val="000000" w:themeColor="text1"/>
          <w:sz w:val="24"/>
          <w:szCs w:val="24"/>
        </w:rPr>
      </w:pPr>
    </w:p>
    <w:p w14:paraId="50EE1FEA" w14:textId="77777777" w:rsidR="000C171B" w:rsidRPr="00C60BCE" w:rsidRDefault="000C171B" w:rsidP="000C171B">
      <w:pPr>
        <w:spacing w:after="0" w:line="240" w:lineRule="auto"/>
        <w:jc w:val="both"/>
        <w:rPr>
          <w:rFonts w:cstheme="minorHAnsi"/>
          <w:color w:val="000000" w:themeColor="text1"/>
          <w:sz w:val="24"/>
          <w:szCs w:val="24"/>
        </w:rPr>
      </w:pPr>
      <w:r w:rsidRPr="00C60BCE">
        <w:rPr>
          <w:rFonts w:cstheme="minorHAnsi"/>
          <w:color w:val="000000" w:themeColor="text1"/>
          <w:sz w:val="24"/>
          <w:szCs w:val="24"/>
        </w:rPr>
        <w:t>Las obras y proyectos según la Ley 66 deben enmarcarse en las áreas y los asuntos siguientes: educación y salud, deportes y recreación, servicio público domiciliario, infraestructura para la seguridad ciudadana, servicios sociales, turismo y cultura, desarrollo económico y social. Todos ellos, parte de las metas relevantes asociadas con la Agenda 2030.</w:t>
      </w:r>
    </w:p>
    <w:p w14:paraId="5A4B2647" w14:textId="77777777" w:rsidR="000C171B" w:rsidRPr="00C60BCE" w:rsidRDefault="000C171B" w:rsidP="000C171B">
      <w:pPr>
        <w:spacing w:after="0" w:line="240" w:lineRule="auto"/>
        <w:jc w:val="both"/>
        <w:rPr>
          <w:rFonts w:cstheme="minorHAnsi"/>
          <w:color w:val="000000" w:themeColor="text1"/>
          <w:sz w:val="24"/>
          <w:szCs w:val="24"/>
        </w:rPr>
      </w:pPr>
    </w:p>
    <w:p w14:paraId="10085C92" w14:textId="77777777" w:rsidR="000C171B" w:rsidRPr="00C60BCE" w:rsidRDefault="000C171B" w:rsidP="000C171B">
      <w:pPr>
        <w:spacing w:after="0" w:line="240" w:lineRule="auto"/>
        <w:jc w:val="both"/>
        <w:rPr>
          <w:rFonts w:cstheme="minorHAnsi"/>
          <w:color w:val="000000" w:themeColor="text1"/>
          <w:sz w:val="24"/>
          <w:szCs w:val="24"/>
        </w:rPr>
      </w:pPr>
      <w:r w:rsidRPr="00C60BCE">
        <w:rPr>
          <w:rFonts w:cstheme="minorHAnsi"/>
          <w:color w:val="000000" w:themeColor="text1"/>
          <w:sz w:val="24"/>
          <w:szCs w:val="24"/>
        </w:rPr>
        <w:t xml:space="preserve">En el caso del Programa de Inversión de Obras públicas y Servicios Municipales Se transfirieron B/.159,5 millones, durante los años 2016 y 2017. Cada año se realizó una transferencia de B/.79.7 millones. Por su parte, en el año 2016, la asignación mediante el </w:t>
      </w:r>
      <w:r w:rsidRPr="00C60BCE">
        <w:rPr>
          <w:rStyle w:val="Emphasis"/>
          <w:rFonts w:cstheme="minorHAnsi"/>
          <w:bCs/>
          <w:color w:val="000000" w:themeColor="text1"/>
          <w:sz w:val="24"/>
          <w:szCs w:val="24"/>
          <w:shd w:val="clear" w:color="auto" w:fill="FFFFFF"/>
        </w:rPr>
        <w:t>Fondo</w:t>
      </w:r>
      <w:r w:rsidRPr="00C60BCE">
        <w:rPr>
          <w:rFonts w:cstheme="minorHAnsi"/>
          <w:color w:val="000000" w:themeColor="text1"/>
          <w:sz w:val="24"/>
          <w:szCs w:val="24"/>
          <w:shd w:val="clear" w:color="auto" w:fill="FFFFFF"/>
        </w:rPr>
        <w:t> de </w:t>
      </w:r>
      <w:r w:rsidRPr="00C60BCE">
        <w:rPr>
          <w:rStyle w:val="Emphasis"/>
          <w:rFonts w:cstheme="minorHAnsi"/>
          <w:bCs/>
          <w:color w:val="000000" w:themeColor="text1"/>
          <w:sz w:val="24"/>
          <w:szCs w:val="24"/>
          <w:shd w:val="clear" w:color="auto" w:fill="FFFFFF"/>
        </w:rPr>
        <w:t>Impuesto</w:t>
      </w:r>
      <w:r w:rsidRPr="00C60BCE">
        <w:rPr>
          <w:rFonts w:cstheme="minorHAnsi"/>
          <w:color w:val="000000" w:themeColor="text1"/>
          <w:sz w:val="24"/>
          <w:szCs w:val="24"/>
          <w:shd w:val="clear" w:color="auto" w:fill="FFFFFF"/>
        </w:rPr>
        <w:t> de Bienes </w:t>
      </w:r>
      <w:r w:rsidRPr="00C60BCE">
        <w:rPr>
          <w:rStyle w:val="Emphasis"/>
          <w:rFonts w:cstheme="minorHAnsi"/>
          <w:bCs/>
          <w:color w:val="000000" w:themeColor="text1"/>
          <w:sz w:val="24"/>
          <w:szCs w:val="24"/>
          <w:shd w:val="clear" w:color="auto" w:fill="FFFFFF"/>
        </w:rPr>
        <w:t>Inmuebles</w:t>
      </w:r>
      <w:r w:rsidRPr="00C60BCE">
        <w:rPr>
          <w:rFonts w:cstheme="minorHAnsi"/>
          <w:color w:val="000000" w:themeColor="text1"/>
          <w:sz w:val="24"/>
          <w:szCs w:val="24"/>
          <w:shd w:val="clear" w:color="auto" w:fill="FFFFFF"/>
        </w:rPr>
        <w:t>-IBI</w:t>
      </w:r>
      <w:r w:rsidRPr="00C60BCE">
        <w:rPr>
          <w:rFonts w:cstheme="minorHAnsi"/>
          <w:color w:val="000000" w:themeColor="text1"/>
          <w:sz w:val="24"/>
          <w:szCs w:val="24"/>
        </w:rPr>
        <w:t xml:space="preserve"> fue de B/. 151,1 millones, mientras que para el 2017 fue de B/. 168,2 millones de los cuales hasta el momento han sido transferidos B/. 120 millones (SND</w:t>
      </w:r>
      <w:r>
        <w:rPr>
          <w:rFonts w:cstheme="minorHAnsi"/>
          <w:color w:val="000000" w:themeColor="text1"/>
          <w:sz w:val="24"/>
          <w:szCs w:val="24"/>
        </w:rPr>
        <w:t>,</w:t>
      </w:r>
      <w:r w:rsidRPr="00C60BCE">
        <w:rPr>
          <w:rFonts w:cstheme="minorHAnsi"/>
          <w:color w:val="000000" w:themeColor="text1"/>
          <w:sz w:val="24"/>
          <w:szCs w:val="24"/>
        </w:rPr>
        <w:t xml:space="preserve"> 2018). </w:t>
      </w:r>
    </w:p>
    <w:p w14:paraId="2BD3FA4C" w14:textId="77777777" w:rsidR="000C171B" w:rsidRPr="00C60BCE" w:rsidRDefault="000C171B" w:rsidP="000C171B">
      <w:pPr>
        <w:spacing w:after="0" w:line="240" w:lineRule="auto"/>
        <w:jc w:val="both"/>
        <w:rPr>
          <w:rFonts w:cstheme="minorHAnsi"/>
          <w:color w:val="000000" w:themeColor="text1"/>
          <w:sz w:val="24"/>
          <w:szCs w:val="24"/>
        </w:rPr>
      </w:pPr>
    </w:p>
    <w:p w14:paraId="7E36045B" w14:textId="77777777" w:rsidR="000C171B" w:rsidRPr="00C60BCE" w:rsidRDefault="000C171B" w:rsidP="000C171B">
      <w:pPr>
        <w:spacing w:after="0" w:line="240" w:lineRule="auto"/>
        <w:jc w:val="both"/>
        <w:rPr>
          <w:rFonts w:cstheme="minorHAnsi"/>
          <w:color w:val="000000" w:themeColor="text1"/>
          <w:sz w:val="24"/>
          <w:szCs w:val="24"/>
        </w:rPr>
      </w:pPr>
      <w:r w:rsidRPr="00C60BCE">
        <w:rPr>
          <w:rFonts w:cstheme="minorHAnsi"/>
          <w:color w:val="000000" w:themeColor="text1"/>
          <w:sz w:val="24"/>
          <w:szCs w:val="24"/>
        </w:rPr>
        <w:t xml:space="preserve">Asimismo, entre las vigencias 2016 y 2017 se han aprobado en el caso del </w:t>
      </w:r>
      <w:r w:rsidRPr="00C60BCE">
        <w:rPr>
          <w:rStyle w:val="Emphasis"/>
          <w:rFonts w:cstheme="minorHAnsi"/>
          <w:bCs/>
          <w:color w:val="000000" w:themeColor="text1"/>
          <w:sz w:val="24"/>
          <w:szCs w:val="24"/>
          <w:shd w:val="clear" w:color="auto" w:fill="FFFFFF"/>
        </w:rPr>
        <w:t>Fondo</w:t>
      </w:r>
      <w:r w:rsidRPr="00C60BCE">
        <w:rPr>
          <w:rFonts w:cstheme="minorHAnsi"/>
          <w:color w:val="000000" w:themeColor="text1"/>
          <w:sz w:val="24"/>
          <w:szCs w:val="24"/>
          <w:shd w:val="clear" w:color="auto" w:fill="FFFFFF"/>
        </w:rPr>
        <w:t> de </w:t>
      </w:r>
      <w:r w:rsidRPr="00C60BCE">
        <w:rPr>
          <w:rStyle w:val="Emphasis"/>
          <w:rFonts w:cstheme="minorHAnsi"/>
          <w:bCs/>
          <w:color w:val="000000" w:themeColor="text1"/>
          <w:sz w:val="24"/>
          <w:szCs w:val="24"/>
          <w:shd w:val="clear" w:color="auto" w:fill="FFFFFF"/>
        </w:rPr>
        <w:t>Impuesto</w:t>
      </w:r>
      <w:r w:rsidRPr="00C60BCE">
        <w:rPr>
          <w:rFonts w:cstheme="minorHAnsi"/>
          <w:color w:val="000000" w:themeColor="text1"/>
          <w:sz w:val="24"/>
          <w:szCs w:val="24"/>
          <w:shd w:val="clear" w:color="auto" w:fill="FFFFFF"/>
        </w:rPr>
        <w:t> de Bienes </w:t>
      </w:r>
      <w:r w:rsidRPr="00C60BCE">
        <w:rPr>
          <w:rStyle w:val="Emphasis"/>
          <w:rFonts w:cstheme="minorHAnsi"/>
          <w:bCs/>
          <w:color w:val="000000" w:themeColor="text1"/>
          <w:sz w:val="24"/>
          <w:szCs w:val="24"/>
          <w:shd w:val="clear" w:color="auto" w:fill="FFFFFF"/>
        </w:rPr>
        <w:t>Inmuebles</w:t>
      </w:r>
      <w:r w:rsidRPr="00C60BCE">
        <w:rPr>
          <w:rFonts w:cstheme="minorHAnsi"/>
          <w:color w:val="000000" w:themeColor="text1"/>
          <w:sz w:val="24"/>
          <w:szCs w:val="24"/>
          <w:shd w:val="clear" w:color="auto" w:fill="FFFFFF"/>
        </w:rPr>
        <w:t>-IBI</w:t>
      </w:r>
      <w:r w:rsidRPr="00C60BCE">
        <w:rPr>
          <w:rFonts w:cstheme="minorHAnsi"/>
          <w:color w:val="000000" w:themeColor="text1"/>
          <w:sz w:val="24"/>
          <w:szCs w:val="24"/>
        </w:rPr>
        <w:t xml:space="preserve"> con participación ciudadana un total de 2,682 proyectos por un monto de B/.288,5 millones. De ese total, el 18. 94% (508) de los proyectos han sido físicamente terminados (B/. 22,2 millones). Actualmente, el 18.68% (501) de los proyectos se encuentran en ejecución a nivel nacional (B/.144,7 millones). Con el total de los proyectos físicamente terminados y en ejecución, se ha pagado y/o comprometido el 46.86% (135,2millones) de los fondos. El resto, el 35.07% (B/. 101,2 millones) de los fondos serán comprometidos una vez los 1,331 proyectos en evaluación y/o licitación sean asignados (SND</w:t>
      </w:r>
      <w:r>
        <w:rPr>
          <w:rFonts w:cstheme="minorHAnsi"/>
          <w:color w:val="000000" w:themeColor="text1"/>
          <w:sz w:val="24"/>
          <w:szCs w:val="24"/>
        </w:rPr>
        <w:t>,</w:t>
      </w:r>
      <w:r w:rsidRPr="00C60BCE">
        <w:rPr>
          <w:rFonts w:cstheme="minorHAnsi"/>
          <w:color w:val="000000" w:themeColor="text1"/>
          <w:sz w:val="24"/>
          <w:szCs w:val="24"/>
        </w:rPr>
        <w:t xml:space="preserve"> 2018).</w:t>
      </w:r>
    </w:p>
    <w:p w14:paraId="79521396" w14:textId="77777777" w:rsidR="000C171B" w:rsidRPr="00BA7353" w:rsidRDefault="000C171B" w:rsidP="000C171B">
      <w:pPr>
        <w:spacing w:after="0" w:line="240" w:lineRule="auto"/>
        <w:jc w:val="both"/>
        <w:rPr>
          <w:rFonts w:cstheme="minorHAnsi"/>
          <w:b/>
          <w:bCs/>
          <w:color w:val="4472C4" w:themeColor="accent1"/>
          <w:sz w:val="24"/>
          <w:szCs w:val="24"/>
        </w:rPr>
      </w:pPr>
    </w:p>
    <w:p w14:paraId="5CC65D7F" w14:textId="77777777" w:rsidR="000C171B" w:rsidRPr="00BA7353" w:rsidRDefault="000C171B" w:rsidP="000C171B">
      <w:pPr>
        <w:spacing w:after="0" w:line="240" w:lineRule="auto"/>
        <w:jc w:val="both"/>
        <w:rPr>
          <w:rFonts w:cstheme="minorHAnsi"/>
          <w:b/>
          <w:bCs/>
          <w:color w:val="4472C4" w:themeColor="accent1"/>
          <w:sz w:val="24"/>
          <w:szCs w:val="24"/>
        </w:rPr>
      </w:pPr>
      <w:r w:rsidRPr="00BA7353">
        <w:rPr>
          <w:rFonts w:cstheme="minorHAnsi"/>
          <w:b/>
          <w:bCs/>
          <w:color w:val="4472C4" w:themeColor="accent1"/>
          <w:sz w:val="24"/>
          <w:szCs w:val="24"/>
        </w:rPr>
        <w:t>7.2.2. Intervención multisectorial.</w:t>
      </w:r>
    </w:p>
    <w:p w14:paraId="40FDC2A7" w14:textId="77777777" w:rsidR="000C171B" w:rsidRPr="00C60BCE" w:rsidRDefault="000C171B" w:rsidP="000C171B">
      <w:pPr>
        <w:spacing w:after="0" w:line="240" w:lineRule="auto"/>
        <w:rPr>
          <w:rFonts w:cstheme="minorHAnsi"/>
          <w:sz w:val="24"/>
          <w:szCs w:val="24"/>
        </w:rPr>
      </w:pPr>
    </w:p>
    <w:p w14:paraId="622161A0" w14:textId="77777777" w:rsidR="000C171B" w:rsidRPr="00C60BCE" w:rsidRDefault="000C171B" w:rsidP="000C171B">
      <w:pPr>
        <w:spacing w:after="0" w:line="240" w:lineRule="auto"/>
        <w:jc w:val="both"/>
        <w:rPr>
          <w:rFonts w:cstheme="minorHAnsi"/>
          <w:sz w:val="24"/>
          <w:szCs w:val="24"/>
        </w:rPr>
      </w:pPr>
      <w:r w:rsidRPr="00C60BCE">
        <w:rPr>
          <w:rFonts w:cstheme="minorHAnsi"/>
          <w:sz w:val="24"/>
          <w:szCs w:val="24"/>
        </w:rPr>
        <w:t>El Gobierno Nacional desarrolla una estrategia de intervención multisectorial territorial a través de la articulación armónica e integrada de la oferta de servicios públicos para llevarlos de manera prioritaria a quienes más lo necesitan. De igual manera integrará las inversiones en infraestructura local relevante para potenciar el desarrollo regional (GS</w:t>
      </w:r>
      <w:r>
        <w:rPr>
          <w:rFonts w:cstheme="minorHAnsi"/>
          <w:sz w:val="24"/>
          <w:szCs w:val="24"/>
        </w:rPr>
        <w:t>,</w:t>
      </w:r>
      <w:r w:rsidRPr="00C60BCE">
        <w:rPr>
          <w:rFonts w:cstheme="minorHAnsi"/>
          <w:sz w:val="24"/>
          <w:szCs w:val="24"/>
        </w:rPr>
        <w:t xml:space="preserve"> 2019).</w:t>
      </w:r>
    </w:p>
    <w:p w14:paraId="35AB129D" w14:textId="77777777" w:rsidR="000C171B" w:rsidRPr="00C60BCE" w:rsidRDefault="000C171B" w:rsidP="000C171B">
      <w:pPr>
        <w:spacing w:after="0" w:line="240" w:lineRule="auto"/>
        <w:jc w:val="both"/>
        <w:rPr>
          <w:rFonts w:cstheme="minorHAnsi"/>
          <w:sz w:val="24"/>
          <w:szCs w:val="24"/>
        </w:rPr>
      </w:pPr>
    </w:p>
    <w:p w14:paraId="7EF5E28E" w14:textId="77777777" w:rsidR="000C171B" w:rsidRPr="00C60BCE" w:rsidRDefault="000C171B" w:rsidP="000C171B">
      <w:pPr>
        <w:spacing w:after="0" w:line="240" w:lineRule="auto"/>
        <w:jc w:val="both"/>
        <w:rPr>
          <w:rFonts w:cstheme="minorHAnsi"/>
          <w:sz w:val="24"/>
          <w:szCs w:val="24"/>
        </w:rPr>
      </w:pPr>
      <w:r w:rsidRPr="00C60BCE">
        <w:rPr>
          <w:rFonts w:cstheme="minorHAnsi"/>
          <w:sz w:val="24"/>
          <w:szCs w:val="24"/>
        </w:rPr>
        <w:lastRenderedPageBreak/>
        <w:t xml:space="preserve">Colmena sistematiza la política universal, sensible a las </w:t>
      </w:r>
      <w:r>
        <w:rPr>
          <w:rFonts w:cstheme="minorHAnsi"/>
          <w:sz w:val="24"/>
          <w:szCs w:val="24"/>
        </w:rPr>
        <w:t>brechas</w:t>
      </w:r>
      <w:r w:rsidRPr="00C60BCE">
        <w:rPr>
          <w:rFonts w:cstheme="minorHAnsi"/>
          <w:sz w:val="24"/>
          <w:szCs w:val="24"/>
        </w:rPr>
        <w:t>, con el propósito de llevar adelante intervenciones coherentes y pertinentes en los distintos territorios, destinadas a superar el hambre, la pobreza, y las desigualdades territoriales garantizando los derechos económicos y sociales de los ciudadanos. Diseñado bajo un enfoque de derechos, Colmena, opera en dos niveles muy vinculados a la inversión en desarrollo humano con lógica de ciclo de vida, integrando un conjunto de programas orientados a confrontar las causas de la pobreza multidimensional, llevando distintas intervenciones destinadas a superar privaciones, el acceso a los servicios sociales y, así, proveer a cada ciudadano de un piso básico que le permita, al menos, vivir dignamente (GS</w:t>
      </w:r>
      <w:r>
        <w:rPr>
          <w:rFonts w:cstheme="minorHAnsi"/>
          <w:sz w:val="24"/>
          <w:szCs w:val="24"/>
        </w:rPr>
        <w:t>,</w:t>
      </w:r>
      <w:r w:rsidRPr="00C60BCE">
        <w:rPr>
          <w:rFonts w:cstheme="minorHAnsi"/>
          <w:sz w:val="24"/>
          <w:szCs w:val="24"/>
        </w:rPr>
        <w:t xml:space="preserve"> 2019). </w:t>
      </w:r>
    </w:p>
    <w:p w14:paraId="3A015367" w14:textId="77777777" w:rsidR="000C171B" w:rsidRPr="00C60BCE" w:rsidRDefault="000C171B" w:rsidP="000C171B">
      <w:pPr>
        <w:spacing w:after="0" w:line="240" w:lineRule="auto"/>
        <w:jc w:val="both"/>
        <w:rPr>
          <w:rFonts w:cstheme="minorHAnsi"/>
          <w:sz w:val="24"/>
          <w:szCs w:val="24"/>
        </w:rPr>
      </w:pPr>
    </w:p>
    <w:p w14:paraId="5FE96CF5" w14:textId="77777777" w:rsidR="000C171B" w:rsidRDefault="000C171B" w:rsidP="000C171B">
      <w:pPr>
        <w:spacing w:after="0" w:line="240" w:lineRule="auto"/>
        <w:jc w:val="both"/>
        <w:rPr>
          <w:rFonts w:cstheme="minorHAnsi"/>
          <w:sz w:val="24"/>
          <w:szCs w:val="24"/>
        </w:rPr>
      </w:pPr>
      <w:r w:rsidRPr="00C60BCE">
        <w:rPr>
          <w:rFonts w:cstheme="minorHAnsi"/>
          <w:sz w:val="24"/>
          <w:szCs w:val="24"/>
        </w:rPr>
        <w:t xml:space="preserve">La intervención multisectorial busca corregir las disparidades entre las provincias y las comarcas, en tanto el monto de inversión per cápita es mucho mayor en las provincias que en las comarcas. </w:t>
      </w:r>
    </w:p>
    <w:p w14:paraId="1905EB57" w14:textId="77777777" w:rsidR="000C171B" w:rsidRPr="00C60BCE" w:rsidRDefault="000C171B" w:rsidP="000C171B">
      <w:pPr>
        <w:spacing w:after="0" w:line="240" w:lineRule="auto"/>
        <w:jc w:val="both"/>
        <w:rPr>
          <w:rFonts w:cstheme="minorHAnsi"/>
          <w:sz w:val="24"/>
          <w:szCs w:val="24"/>
        </w:rPr>
      </w:pPr>
    </w:p>
    <w:p w14:paraId="13223782" w14:textId="77777777" w:rsidR="000C171B" w:rsidRPr="00C60BCE" w:rsidRDefault="000C171B" w:rsidP="000C171B">
      <w:pPr>
        <w:spacing w:after="0" w:line="240" w:lineRule="auto"/>
        <w:jc w:val="both"/>
        <w:rPr>
          <w:rFonts w:cstheme="minorHAnsi"/>
          <w:sz w:val="24"/>
          <w:szCs w:val="24"/>
        </w:rPr>
      </w:pPr>
      <w:r w:rsidRPr="00C60BCE">
        <w:rPr>
          <w:rFonts w:cstheme="minorHAnsi"/>
          <w:sz w:val="24"/>
          <w:szCs w:val="24"/>
        </w:rPr>
        <w:t>La estrategia Colmena tiene un enfoque de “doble inclusión” consistente en combinar mecanismos de protección social con intervenciones de inclusión económica tanto en el sector agrícola como en el no agrícola, considerando el capital natural (ambiental), capital físico, capital humano, capital social, capital financiero (FAO</w:t>
      </w:r>
      <w:r>
        <w:rPr>
          <w:rFonts w:cstheme="minorHAnsi"/>
          <w:sz w:val="24"/>
          <w:szCs w:val="24"/>
        </w:rPr>
        <w:t>,</w:t>
      </w:r>
      <w:r w:rsidRPr="00C60BCE">
        <w:rPr>
          <w:rFonts w:cstheme="minorHAnsi"/>
          <w:sz w:val="24"/>
          <w:szCs w:val="24"/>
        </w:rPr>
        <w:t xml:space="preserve"> 2019).</w:t>
      </w:r>
    </w:p>
    <w:p w14:paraId="22B833F8" w14:textId="77777777" w:rsidR="000C171B" w:rsidRPr="00C60BCE" w:rsidRDefault="000C171B" w:rsidP="000C171B">
      <w:pPr>
        <w:spacing w:after="0" w:line="240" w:lineRule="auto"/>
        <w:jc w:val="both"/>
        <w:rPr>
          <w:rFonts w:cstheme="minorHAnsi"/>
          <w:sz w:val="24"/>
          <w:szCs w:val="24"/>
        </w:rPr>
      </w:pPr>
    </w:p>
    <w:p w14:paraId="0FAE7E59" w14:textId="77777777" w:rsidR="000C171B" w:rsidRPr="00C60BCE" w:rsidRDefault="000C171B" w:rsidP="000C171B">
      <w:pPr>
        <w:spacing w:after="0" w:line="240" w:lineRule="auto"/>
        <w:jc w:val="both"/>
        <w:rPr>
          <w:rFonts w:cstheme="minorHAnsi"/>
          <w:sz w:val="24"/>
          <w:szCs w:val="24"/>
        </w:rPr>
      </w:pPr>
      <w:r w:rsidRPr="00C60BCE">
        <w:rPr>
          <w:rFonts w:cstheme="minorHAnsi"/>
          <w:sz w:val="24"/>
          <w:szCs w:val="24"/>
        </w:rPr>
        <w:t>Corregir las disparidades implica redistribuir. Actualmente las provincias reciben más inversión en todos los sectores principales, mientras que en educación y cultura es menos de una vez y media, en el sector agropecuario es once veces mayor, lo cual es importante ya que en las comarcas prima la agricultura de subsistencia y este tipo de inversiones garantiza la continuidad y mejora de los cultivos. En materia de salud, el desequilibrio que existe entre las provincias y las comarcas es de 165 dólares; en Trabajo y bienestar social, la diferencia es menor, lo que puede obedecer a los programas de transferencias monetarias que se han implementado en los últimos años. En cuanto a transporte, es el sector con el mayor desequilibrio, lo que se explica por las grandes obras de infraestructura que se han desarrollado en la Ciudad de Panamá. Por cada dólar per cápita recibido en las provincias, los habitantes de las comarcas recibieron aproximadamente 4 centavos. En vivienda, el monto per cápita en las provincias es un 69% superior que en las comarcas (BID</w:t>
      </w:r>
      <w:r>
        <w:rPr>
          <w:rFonts w:cstheme="minorHAnsi"/>
          <w:sz w:val="24"/>
          <w:szCs w:val="24"/>
        </w:rPr>
        <w:t>,</w:t>
      </w:r>
      <w:r w:rsidRPr="00C60BCE">
        <w:rPr>
          <w:rFonts w:cstheme="minorHAnsi"/>
          <w:sz w:val="24"/>
          <w:szCs w:val="24"/>
        </w:rPr>
        <w:t xml:space="preserve"> 2019).  </w:t>
      </w:r>
    </w:p>
    <w:p w14:paraId="3431DA39" w14:textId="77777777" w:rsidR="000C171B" w:rsidRPr="00C60BCE" w:rsidRDefault="000C171B" w:rsidP="000C171B">
      <w:pPr>
        <w:spacing w:after="0" w:line="240" w:lineRule="auto"/>
        <w:jc w:val="both"/>
        <w:rPr>
          <w:rFonts w:cstheme="minorHAnsi"/>
          <w:sz w:val="24"/>
          <w:szCs w:val="24"/>
        </w:rPr>
      </w:pPr>
    </w:p>
    <w:p w14:paraId="778D97E4" w14:textId="77777777" w:rsidR="000C171B" w:rsidRPr="00C60BCE" w:rsidRDefault="000C171B" w:rsidP="000C171B">
      <w:pPr>
        <w:spacing w:after="0" w:line="240" w:lineRule="auto"/>
        <w:jc w:val="both"/>
        <w:rPr>
          <w:rFonts w:cstheme="minorHAnsi"/>
          <w:sz w:val="24"/>
          <w:szCs w:val="24"/>
        </w:rPr>
      </w:pPr>
      <w:r w:rsidRPr="00C60BCE">
        <w:rPr>
          <w:rFonts w:cstheme="minorHAnsi"/>
          <w:sz w:val="24"/>
          <w:szCs w:val="24"/>
        </w:rPr>
        <w:t xml:space="preserve">El proceso de adecuación de las inversiones según un mecanismo de presupuesto participativo abre paso a nuevas formas de financiamiento de la Agenda 2030. Más centrada en lo local, con programas o proyectos con apoyo </w:t>
      </w:r>
      <w:proofErr w:type="spellStart"/>
      <w:r w:rsidRPr="00C60BCE">
        <w:rPr>
          <w:rFonts w:cstheme="minorHAnsi"/>
          <w:sz w:val="24"/>
          <w:szCs w:val="24"/>
        </w:rPr>
        <w:t>interagencial</w:t>
      </w:r>
      <w:proofErr w:type="spellEnd"/>
      <w:r w:rsidRPr="00C60BCE">
        <w:rPr>
          <w:rFonts w:cstheme="minorHAnsi"/>
          <w:sz w:val="24"/>
          <w:szCs w:val="24"/>
        </w:rPr>
        <w:t xml:space="preserve"> o binacional, la inversión pública puede tener un impacto más directo. </w:t>
      </w:r>
    </w:p>
    <w:p w14:paraId="0E090835" w14:textId="77777777" w:rsidR="000C171B" w:rsidRPr="00C60BCE" w:rsidRDefault="000C171B" w:rsidP="000C171B">
      <w:pPr>
        <w:spacing w:after="0" w:line="240" w:lineRule="auto"/>
        <w:jc w:val="both"/>
        <w:rPr>
          <w:rFonts w:cstheme="minorHAnsi"/>
          <w:b/>
          <w:bCs/>
          <w:sz w:val="24"/>
          <w:szCs w:val="24"/>
        </w:rPr>
      </w:pPr>
    </w:p>
    <w:p w14:paraId="0B8C8ED5" w14:textId="77777777" w:rsidR="000C171B" w:rsidRPr="00BA7353" w:rsidRDefault="000C171B" w:rsidP="000C171B">
      <w:pPr>
        <w:spacing w:after="0" w:line="240" w:lineRule="auto"/>
        <w:jc w:val="both"/>
        <w:rPr>
          <w:rFonts w:cstheme="minorHAnsi"/>
          <w:b/>
          <w:color w:val="4472C4" w:themeColor="accent1"/>
          <w:sz w:val="24"/>
          <w:szCs w:val="24"/>
        </w:rPr>
      </w:pPr>
      <w:r w:rsidRPr="00BA7353">
        <w:rPr>
          <w:rFonts w:cstheme="minorHAnsi"/>
          <w:b/>
          <w:color w:val="4472C4" w:themeColor="accent1"/>
          <w:sz w:val="24"/>
          <w:szCs w:val="24"/>
        </w:rPr>
        <w:t>7.2.3. Fuentes financieras alternativas.</w:t>
      </w:r>
    </w:p>
    <w:p w14:paraId="2A502FFC" w14:textId="77777777" w:rsidR="000C171B" w:rsidRPr="00C60BCE" w:rsidRDefault="000C171B" w:rsidP="000C171B">
      <w:pPr>
        <w:spacing w:after="0" w:line="240" w:lineRule="auto"/>
        <w:jc w:val="both"/>
        <w:rPr>
          <w:rFonts w:cstheme="minorHAnsi"/>
          <w:sz w:val="24"/>
          <w:szCs w:val="24"/>
        </w:rPr>
      </w:pPr>
    </w:p>
    <w:p w14:paraId="614DAFA3" w14:textId="77777777" w:rsidR="000C171B" w:rsidRPr="00C60BCE" w:rsidRDefault="000C171B" w:rsidP="000C171B">
      <w:pPr>
        <w:spacing w:after="0" w:line="240" w:lineRule="auto"/>
        <w:jc w:val="both"/>
        <w:rPr>
          <w:sz w:val="24"/>
          <w:szCs w:val="24"/>
        </w:rPr>
      </w:pPr>
      <w:r w:rsidRPr="00C60BCE">
        <w:rPr>
          <w:sz w:val="24"/>
          <w:szCs w:val="24"/>
        </w:rPr>
        <w:t xml:space="preserve">En un país de renta alta como Panamá, la movilización internacional de recursos para el desarrollo debe considerar las fuentes de financiación alternativas, más allá de la Ayuda Oficial al Desarrollo. En este sentido, el acceso tanto a fondos ligados al cambio climático (como el Green </w:t>
      </w:r>
      <w:proofErr w:type="spellStart"/>
      <w:r w:rsidRPr="00C60BCE">
        <w:rPr>
          <w:sz w:val="24"/>
          <w:szCs w:val="24"/>
        </w:rPr>
        <w:t>Climate</w:t>
      </w:r>
      <w:proofErr w:type="spellEnd"/>
      <w:r w:rsidRPr="00C60BCE">
        <w:rPr>
          <w:sz w:val="24"/>
          <w:szCs w:val="24"/>
        </w:rPr>
        <w:t xml:space="preserve"> </w:t>
      </w:r>
      <w:proofErr w:type="spellStart"/>
      <w:r w:rsidRPr="00C60BCE">
        <w:rPr>
          <w:sz w:val="24"/>
          <w:szCs w:val="24"/>
        </w:rPr>
        <w:t>Fund</w:t>
      </w:r>
      <w:proofErr w:type="spellEnd"/>
      <w:r w:rsidRPr="00C60BCE">
        <w:rPr>
          <w:sz w:val="24"/>
          <w:szCs w:val="24"/>
        </w:rPr>
        <w:t xml:space="preserve">, Global </w:t>
      </w:r>
      <w:proofErr w:type="spellStart"/>
      <w:r w:rsidRPr="00C60BCE">
        <w:rPr>
          <w:sz w:val="24"/>
          <w:szCs w:val="24"/>
        </w:rPr>
        <w:t>Environemtal</w:t>
      </w:r>
      <w:proofErr w:type="spellEnd"/>
      <w:r w:rsidRPr="00C60BCE">
        <w:rPr>
          <w:sz w:val="24"/>
          <w:szCs w:val="24"/>
        </w:rPr>
        <w:t xml:space="preserve"> </w:t>
      </w:r>
      <w:proofErr w:type="spellStart"/>
      <w:r w:rsidRPr="00C60BCE">
        <w:rPr>
          <w:sz w:val="24"/>
          <w:szCs w:val="24"/>
        </w:rPr>
        <w:t>Facility</w:t>
      </w:r>
      <w:proofErr w:type="spellEnd"/>
      <w:r w:rsidRPr="00C60BCE">
        <w:rPr>
          <w:sz w:val="24"/>
          <w:szCs w:val="24"/>
        </w:rPr>
        <w:t xml:space="preserve">, etc.), como a fondos de inversión de impacto </w:t>
      </w:r>
      <w:r w:rsidRPr="00C60BCE">
        <w:rPr>
          <w:sz w:val="24"/>
          <w:szCs w:val="24"/>
        </w:rPr>
        <w:lastRenderedPageBreak/>
        <w:t>(como el Agri-</w:t>
      </w:r>
      <w:proofErr w:type="spellStart"/>
      <w:r w:rsidRPr="00C60BCE">
        <w:rPr>
          <w:sz w:val="24"/>
          <w:szCs w:val="24"/>
        </w:rPr>
        <w:t>business</w:t>
      </w:r>
      <w:proofErr w:type="spellEnd"/>
      <w:r w:rsidRPr="00C60BCE">
        <w:rPr>
          <w:sz w:val="24"/>
          <w:szCs w:val="24"/>
        </w:rPr>
        <w:t xml:space="preserve"> Capital </w:t>
      </w:r>
      <w:proofErr w:type="spellStart"/>
      <w:r w:rsidRPr="00C60BCE">
        <w:rPr>
          <w:sz w:val="24"/>
          <w:szCs w:val="24"/>
        </w:rPr>
        <w:t>Fund</w:t>
      </w:r>
      <w:proofErr w:type="spellEnd"/>
      <w:r w:rsidRPr="00C60BCE">
        <w:rPr>
          <w:sz w:val="24"/>
          <w:szCs w:val="24"/>
        </w:rPr>
        <w:t xml:space="preserve">, ABC </w:t>
      </w:r>
      <w:proofErr w:type="spellStart"/>
      <w:r w:rsidRPr="00C60BCE">
        <w:rPr>
          <w:sz w:val="24"/>
          <w:szCs w:val="24"/>
        </w:rPr>
        <w:t>Fund</w:t>
      </w:r>
      <w:proofErr w:type="spellEnd"/>
      <w:r w:rsidRPr="00C60BCE">
        <w:rPr>
          <w:sz w:val="24"/>
          <w:szCs w:val="24"/>
        </w:rPr>
        <w:t xml:space="preserve">) u otros fondos que apalanquen recursos del sector privado, constituyen una oportunidad con potencial a explorar. </w:t>
      </w:r>
    </w:p>
    <w:p w14:paraId="7C57D8ED" w14:textId="77777777" w:rsidR="000C171B" w:rsidRPr="00C60BCE" w:rsidRDefault="000C171B" w:rsidP="000C171B">
      <w:pPr>
        <w:spacing w:after="0" w:line="240" w:lineRule="auto"/>
        <w:jc w:val="both"/>
        <w:rPr>
          <w:rFonts w:cstheme="minorHAnsi"/>
          <w:sz w:val="24"/>
          <w:szCs w:val="24"/>
        </w:rPr>
      </w:pPr>
    </w:p>
    <w:p w14:paraId="5129FEB2" w14:textId="77777777" w:rsidR="000C171B" w:rsidRPr="00C60BCE" w:rsidRDefault="000C171B" w:rsidP="000C171B">
      <w:pPr>
        <w:spacing w:after="0" w:line="240" w:lineRule="auto"/>
        <w:jc w:val="both"/>
        <w:rPr>
          <w:rFonts w:cstheme="minorHAnsi"/>
          <w:sz w:val="24"/>
          <w:szCs w:val="24"/>
        </w:rPr>
      </w:pPr>
      <w:r w:rsidRPr="00C60BCE">
        <w:rPr>
          <w:rFonts w:cstheme="minorHAnsi"/>
          <w:sz w:val="24"/>
          <w:szCs w:val="24"/>
        </w:rPr>
        <w:t>Panamá tiene posibilidad de acceder a fondos verticales como el Fondo de Medio Ambiente Mundial (GEF siglas en inglés) en esta última reposición de recursos -7-, ha asignado 12 millones de dólares para atender  los desafíos del desarrollo en biodiversidad en el agro, químicos, áreas protegidas, vida silvestre, bioeconomía, acceso a recursos genéticos, cambio climático, entre otros</w:t>
      </w:r>
      <w:r w:rsidRPr="00C60BCE">
        <w:rPr>
          <w:rStyle w:val="FootnoteReference"/>
          <w:rFonts w:cstheme="minorHAnsi"/>
          <w:sz w:val="24"/>
          <w:szCs w:val="24"/>
        </w:rPr>
        <w:footnoteReference w:id="58"/>
      </w:r>
      <w:r w:rsidRPr="00C60BCE">
        <w:rPr>
          <w:rFonts w:cstheme="minorHAnsi"/>
          <w:sz w:val="24"/>
          <w:szCs w:val="24"/>
        </w:rPr>
        <w:t xml:space="preserve">. Asimismo, existen, también, el Fondo Verde del Clima (Green </w:t>
      </w:r>
      <w:proofErr w:type="spellStart"/>
      <w:r w:rsidRPr="00C60BCE">
        <w:rPr>
          <w:rFonts w:cstheme="minorHAnsi"/>
          <w:sz w:val="24"/>
          <w:szCs w:val="24"/>
        </w:rPr>
        <w:t>Climate</w:t>
      </w:r>
      <w:proofErr w:type="spellEnd"/>
      <w:r w:rsidRPr="00C60BCE">
        <w:rPr>
          <w:rFonts w:cstheme="minorHAnsi"/>
          <w:sz w:val="24"/>
          <w:szCs w:val="24"/>
        </w:rPr>
        <w:t xml:space="preserve"> </w:t>
      </w:r>
      <w:proofErr w:type="spellStart"/>
      <w:r w:rsidRPr="00C60BCE">
        <w:rPr>
          <w:rFonts w:cstheme="minorHAnsi"/>
          <w:sz w:val="24"/>
          <w:szCs w:val="24"/>
        </w:rPr>
        <w:t>Fund</w:t>
      </w:r>
      <w:proofErr w:type="spellEnd"/>
      <w:r w:rsidRPr="00C60BCE">
        <w:rPr>
          <w:rFonts w:cstheme="minorHAnsi"/>
          <w:sz w:val="24"/>
          <w:szCs w:val="24"/>
        </w:rPr>
        <w:t>)</w:t>
      </w:r>
      <w:r w:rsidRPr="00C60BCE">
        <w:rPr>
          <w:rStyle w:val="FootnoteReference"/>
          <w:rFonts w:cstheme="minorHAnsi"/>
          <w:sz w:val="24"/>
          <w:szCs w:val="24"/>
        </w:rPr>
        <w:footnoteReference w:id="59"/>
      </w:r>
      <w:r w:rsidRPr="00C60BCE">
        <w:rPr>
          <w:rFonts w:cstheme="minorHAnsi"/>
          <w:sz w:val="24"/>
          <w:szCs w:val="24"/>
        </w:rPr>
        <w:t xml:space="preserve"> y el Fondo de Adaptación Cambio Climático </w:t>
      </w:r>
      <w:r w:rsidRPr="00C60BCE">
        <w:rPr>
          <w:rStyle w:val="FootnoteReference"/>
          <w:rFonts w:cstheme="minorHAnsi"/>
          <w:sz w:val="24"/>
          <w:szCs w:val="24"/>
        </w:rPr>
        <w:footnoteReference w:id="60"/>
      </w:r>
      <w:r w:rsidRPr="00C60BCE">
        <w:rPr>
          <w:rFonts w:cstheme="minorHAnsi"/>
          <w:sz w:val="24"/>
          <w:szCs w:val="24"/>
        </w:rPr>
        <w:t xml:space="preserve">. Ambos son fondos abiertos permanentemente y una alternativa para dinamizar aquellos sectores donde de la Agenda 2030 en el país, mantiene brechas importantes. </w:t>
      </w:r>
    </w:p>
    <w:p w14:paraId="531CE395" w14:textId="77777777" w:rsidR="000C171B" w:rsidRDefault="000C171B" w:rsidP="000C171B">
      <w:pPr>
        <w:spacing w:after="0" w:line="240" w:lineRule="auto"/>
        <w:jc w:val="both"/>
        <w:rPr>
          <w:rFonts w:eastAsiaTheme="minorEastAsia"/>
          <w:sz w:val="24"/>
          <w:szCs w:val="24"/>
        </w:rPr>
      </w:pPr>
    </w:p>
    <w:p w14:paraId="16539AB5" w14:textId="77777777" w:rsidR="000C171B" w:rsidRDefault="000C171B" w:rsidP="000C171B">
      <w:pPr>
        <w:spacing w:after="0" w:line="240" w:lineRule="auto"/>
        <w:jc w:val="both"/>
        <w:rPr>
          <w:rFonts w:eastAsiaTheme="minorEastAsia"/>
          <w:sz w:val="24"/>
          <w:szCs w:val="24"/>
        </w:rPr>
      </w:pPr>
    </w:p>
    <w:p w14:paraId="734248A9" w14:textId="77777777" w:rsidR="000C171B" w:rsidRPr="00BA7353" w:rsidRDefault="000C171B" w:rsidP="000C171B">
      <w:pPr>
        <w:spacing w:after="0" w:line="240" w:lineRule="auto"/>
        <w:rPr>
          <w:rFonts w:cstheme="minorHAnsi"/>
          <w:b/>
          <w:bCs/>
          <w:color w:val="4472C4" w:themeColor="accent1"/>
          <w:sz w:val="24"/>
          <w:szCs w:val="24"/>
        </w:rPr>
      </w:pPr>
      <w:r w:rsidRPr="00BA7353">
        <w:rPr>
          <w:rFonts w:cstheme="minorHAnsi"/>
          <w:b/>
          <w:bCs/>
          <w:color w:val="4472C4" w:themeColor="accent1"/>
          <w:sz w:val="24"/>
          <w:szCs w:val="24"/>
        </w:rPr>
        <w:t>8. ANÁLISIS DE RIESGOS.</w:t>
      </w:r>
    </w:p>
    <w:p w14:paraId="50EA839D" w14:textId="77777777" w:rsidR="000C171B" w:rsidRPr="00BA7353" w:rsidRDefault="000C171B" w:rsidP="000C171B">
      <w:pPr>
        <w:spacing w:after="0" w:line="240" w:lineRule="auto"/>
        <w:rPr>
          <w:rFonts w:cstheme="minorHAnsi"/>
          <w:b/>
          <w:bCs/>
          <w:color w:val="4472C4" w:themeColor="accent1"/>
          <w:sz w:val="24"/>
          <w:szCs w:val="24"/>
        </w:rPr>
      </w:pPr>
    </w:p>
    <w:p w14:paraId="4FC80091" w14:textId="77777777" w:rsidR="000C171B" w:rsidRPr="00BA7353" w:rsidRDefault="000C171B" w:rsidP="000C171B">
      <w:pPr>
        <w:spacing w:after="0" w:line="240" w:lineRule="auto"/>
        <w:rPr>
          <w:rFonts w:cstheme="minorHAnsi"/>
          <w:b/>
          <w:bCs/>
          <w:color w:val="4472C4" w:themeColor="accent1"/>
          <w:sz w:val="24"/>
          <w:szCs w:val="24"/>
        </w:rPr>
      </w:pPr>
      <w:r w:rsidRPr="00BA7353">
        <w:rPr>
          <w:rFonts w:cstheme="minorHAnsi"/>
          <w:b/>
          <w:bCs/>
          <w:color w:val="4472C4" w:themeColor="accent1"/>
          <w:sz w:val="24"/>
          <w:szCs w:val="24"/>
        </w:rPr>
        <w:t xml:space="preserve">8.1. Análisis de los diversos riesgos y amenazas multidimensionales que podrían afectar la trayectoria de desarrollo del país en el espectro político, de desarrollo, humanitario y de derechos humanos. </w:t>
      </w:r>
    </w:p>
    <w:p w14:paraId="46CA8F0C" w14:textId="77777777" w:rsidR="000C171B" w:rsidRDefault="000C171B" w:rsidP="000C171B">
      <w:pPr>
        <w:spacing w:after="0" w:line="240" w:lineRule="auto"/>
        <w:rPr>
          <w:rFonts w:cstheme="minorHAnsi"/>
          <w:sz w:val="24"/>
          <w:szCs w:val="24"/>
        </w:rPr>
      </w:pPr>
    </w:p>
    <w:p w14:paraId="63DE8710" w14:textId="77777777" w:rsidR="000C171B" w:rsidRDefault="000C171B" w:rsidP="000C171B">
      <w:pPr>
        <w:spacing w:after="0" w:line="240" w:lineRule="auto"/>
        <w:jc w:val="both"/>
        <w:rPr>
          <w:rFonts w:cstheme="minorHAnsi"/>
          <w:sz w:val="24"/>
          <w:szCs w:val="24"/>
        </w:rPr>
      </w:pPr>
      <w:r w:rsidRPr="00C952BA">
        <w:rPr>
          <w:rFonts w:cstheme="minorHAnsi"/>
          <w:sz w:val="24"/>
          <w:szCs w:val="24"/>
        </w:rPr>
        <w:t xml:space="preserve">Existen </w:t>
      </w:r>
      <w:r>
        <w:rPr>
          <w:rFonts w:cstheme="minorHAnsi"/>
          <w:sz w:val="24"/>
          <w:szCs w:val="24"/>
        </w:rPr>
        <w:t xml:space="preserve">escenarios que fomentan </w:t>
      </w:r>
      <w:r w:rsidRPr="00C952BA">
        <w:rPr>
          <w:rFonts w:cstheme="minorHAnsi"/>
          <w:sz w:val="24"/>
          <w:szCs w:val="24"/>
        </w:rPr>
        <w:t>riesgos y amenazas que pueden afectar el desarrollo del país</w:t>
      </w:r>
      <w:r>
        <w:rPr>
          <w:rFonts w:cstheme="minorHAnsi"/>
          <w:sz w:val="24"/>
          <w:szCs w:val="24"/>
        </w:rPr>
        <w:t xml:space="preserve"> en tanto tiene una economía abierta y sensible a los cambios externos. En el contexto externo, según SOKOL (2019) sobresalen tensiones intervinientes que pueden conformar escenarios donde la exposición a shocks externos, la estabilidad financiera y la legislación tributaria estadounidense pueden cambiar el rumbo del país. Con los siguientes impactos en el desarrollo del país:  </w:t>
      </w:r>
    </w:p>
    <w:p w14:paraId="6AF06A7E" w14:textId="77777777" w:rsidR="000C171B" w:rsidRDefault="000C171B" w:rsidP="000C171B">
      <w:pPr>
        <w:spacing w:after="0" w:line="240" w:lineRule="auto"/>
        <w:jc w:val="both"/>
        <w:rPr>
          <w:rFonts w:cstheme="minorHAnsi"/>
          <w:sz w:val="24"/>
          <w:szCs w:val="24"/>
        </w:rPr>
      </w:pPr>
    </w:p>
    <w:p w14:paraId="24326361" w14:textId="77777777" w:rsidR="000C171B" w:rsidRPr="003F0B5D" w:rsidRDefault="000C171B" w:rsidP="000C171B">
      <w:pPr>
        <w:spacing w:after="0" w:line="240" w:lineRule="auto"/>
        <w:jc w:val="both"/>
        <w:rPr>
          <w:rFonts w:cstheme="minorHAnsi"/>
          <w:sz w:val="24"/>
          <w:szCs w:val="24"/>
        </w:rPr>
      </w:pPr>
      <w:r w:rsidRPr="003F0B5D">
        <w:rPr>
          <w:rFonts w:cstheme="minorHAnsi"/>
          <w:sz w:val="24"/>
          <w:szCs w:val="24"/>
        </w:rPr>
        <w:t>(i) Exposición a shocks externos.  Las tensiones comerciales entre los Estados Unidos y China aumentan gradualmente la incertidumbre. De agravarse éstas, la carga que atraviesa el istmo podría desviarse a otras rutas e impactar, tanto en los ingresos de la Autoridad del Canal de Panamá (ACP), como en las actividades de logística con implicaciones en el resto de la economía</w:t>
      </w:r>
      <w:r>
        <w:rPr>
          <w:rFonts w:cstheme="minorHAnsi"/>
          <w:sz w:val="24"/>
          <w:szCs w:val="24"/>
        </w:rPr>
        <w:t>.</w:t>
      </w:r>
    </w:p>
    <w:p w14:paraId="3C1B409A" w14:textId="77777777" w:rsidR="000C171B" w:rsidRPr="003F0B5D" w:rsidRDefault="000C171B" w:rsidP="000C171B">
      <w:pPr>
        <w:spacing w:after="0" w:line="240" w:lineRule="auto"/>
        <w:jc w:val="both"/>
        <w:rPr>
          <w:rFonts w:cstheme="minorHAnsi"/>
          <w:sz w:val="24"/>
          <w:szCs w:val="24"/>
        </w:rPr>
      </w:pPr>
    </w:p>
    <w:p w14:paraId="7C8A2EE8" w14:textId="77777777" w:rsidR="000C171B" w:rsidRPr="003F0B5D" w:rsidRDefault="000C171B" w:rsidP="000C171B">
      <w:pPr>
        <w:spacing w:after="0" w:line="240" w:lineRule="auto"/>
        <w:jc w:val="both"/>
        <w:rPr>
          <w:rFonts w:cstheme="minorHAnsi"/>
          <w:sz w:val="24"/>
          <w:szCs w:val="24"/>
        </w:rPr>
      </w:pPr>
      <w:r w:rsidRPr="003F0B5D">
        <w:rPr>
          <w:rFonts w:cstheme="minorHAnsi"/>
          <w:sz w:val="24"/>
          <w:szCs w:val="24"/>
        </w:rPr>
        <w:t>(</w:t>
      </w:r>
      <w:proofErr w:type="spellStart"/>
      <w:r w:rsidRPr="003F0B5D">
        <w:rPr>
          <w:rFonts w:cstheme="minorHAnsi"/>
          <w:sz w:val="24"/>
          <w:szCs w:val="24"/>
        </w:rPr>
        <w:t>ii</w:t>
      </w:r>
      <w:proofErr w:type="spellEnd"/>
      <w:r w:rsidRPr="003F0B5D">
        <w:rPr>
          <w:rFonts w:cstheme="minorHAnsi"/>
          <w:sz w:val="24"/>
          <w:szCs w:val="24"/>
        </w:rPr>
        <w:t>) Estabilidad financiera internacional. La volatilidad en los mercados bursátiles y las tensiones geopolíticas por los conflictos comerciales y las listas grises, especialmente en políticas de comercio exterior, están generando tensiones en las principales economías globales.</w:t>
      </w:r>
    </w:p>
    <w:p w14:paraId="5C3667C0" w14:textId="77777777" w:rsidR="000C171B" w:rsidRPr="003F0B5D" w:rsidRDefault="000C171B" w:rsidP="000C171B">
      <w:pPr>
        <w:spacing w:after="0" w:line="240" w:lineRule="auto"/>
        <w:jc w:val="both"/>
        <w:rPr>
          <w:rFonts w:cstheme="minorHAnsi"/>
          <w:sz w:val="24"/>
          <w:szCs w:val="24"/>
        </w:rPr>
      </w:pPr>
    </w:p>
    <w:p w14:paraId="2E371920" w14:textId="77777777" w:rsidR="000C171B" w:rsidRPr="003F0B5D" w:rsidRDefault="000C171B" w:rsidP="000C171B">
      <w:pPr>
        <w:spacing w:after="0" w:line="240" w:lineRule="auto"/>
        <w:jc w:val="both"/>
        <w:rPr>
          <w:rFonts w:cstheme="minorHAnsi"/>
          <w:sz w:val="24"/>
          <w:szCs w:val="24"/>
        </w:rPr>
      </w:pPr>
      <w:r w:rsidRPr="003F0B5D">
        <w:rPr>
          <w:rFonts w:cstheme="minorHAnsi"/>
          <w:sz w:val="24"/>
          <w:szCs w:val="24"/>
        </w:rPr>
        <w:t>(</w:t>
      </w:r>
      <w:proofErr w:type="spellStart"/>
      <w:r>
        <w:rPr>
          <w:rFonts w:cstheme="minorHAnsi"/>
          <w:sz w:val="24"/>
          <w:szCs w:val="24"/>
        </w:rPr>
        <w:t>iii</w:t>
      </w:r>
      <w:proofErr w:type="spellEnd"/>
      <w:r w:rsidRPr="003F0B5D">
        <w:rPr>
          <w:rFonts w:cstheme="minorHAnsi"/>
          <w:sz w:val="24"/>
          <w:szCs w:val="24"/>
        </w:rPr>
        <w:t xml:space="preserve">) Reducción de gravámenes </w:t>
      </w:r>
      <w:r>
        <w:rPr>
          <w:rFonts w:cstheme="minorHAnsi"/>
          <w:sz w:val="24"/>
          <w:szCs w:val="24"/>
        </w:rPr>
        <w:t>t</w:t>
      </w:r>
      <w:r w:rsidRPr="003F0B5D">
        <w:rPr>
          <w:rFonts w:cstheme="minorHAnsi"/>
          <w:sz w:val="24"/>
          <w:szCs w:val="24"/>
        </w:rPr>
        <w:t>ributari</w:t>
      </w:r>
      <w:r>
        <w:rPr>
          <w:rFonts w:cstheme="minorHAnsi"/>
          <w:sz w:val="24"/>
          <w:szCs w:val="24"/>
        </w:rPr>
        <w:t>os</w:t>
      </w:r>
      <w:r w:rsidRPr="003F0B5D">
        <w:rPr>
          <w:rFonts w:cstheme="minorHAnsi"/>
          <w:sz w:val="24"/>
          <w:szCs w:val="24"/>
        </w:rPr>
        <w:t>. La reversión de flujos de capital y repatriación de ganancias de empresas norteamericanas en el exterior condicionará la competencia para atraerlos y mantener la inversión con marcos institucionales apegados a la seguridad jurídica.</w:t>
      </w:r>
    </w:p>
    <w:p w14:paraId="12CBBB71" w14:textId="77777777" w:rsidR="000C171B" w:rsidRDefault="000C171B" w:rsidP="000C171B">
      <w:pPr>
        <w:spacing w:after="0" w:line="240" w:lineRule="auto"/>
        <w:jc w:val="both"/>
        <w:rPr>
          <w:rFonts w:cstheme="minorHAnsi"/>
          <w:sz w:val="24"/>
          <w:szCs w:val="24"/>
        </w:rPr>
      </w:pPr>
    </w:p>
    <w:p w14:paraId="2CE29739" w14:textId="77777777" w:rsidR="000C171B" w:rsidRDefault="000C171B" w:rsidP="000C171B">
      <w:pPr>
        <w:spacing w:after="0" w:line="240" w:lineRule="auto"/>
        <w:jc w:val="both"/>
        <w:rPr>
          <w:rFonts w:cstheme="minorHAnsi"/>
          <w:sz w:val="24"/>
          <w:szCs w:val="24"/>
        </w:rPr>
      </w:pPr>
      <w:r>
        <w:rPr>
          <w:rFonts w:cstheme="minorHAnsi"/>
          <w:sz w:val="24"/>
          <w:szCs w:val="24"/>
        </w:rPr>
        <w:lastRenderedPageBreak/>
        <w:t xml:space="preserve">En el contexto interno, según SOKOL (2019), también sobresalen tensiones intervinientes que pueden conformar escenarios donde la estructura de mercado laboral, la expansión del gasto vía el endeudamiento y el incremento de capital humano pueden cambiar el rumbo del país. Con los siguientes impactos en el desarrollo del país:  </w:t>
      </w:r>
    </w:p>
    <w:p w14:paraId="0BD02FE4" w14:textId="77777777" w:rsidR="000C171B" w:rsidRDefault="000C171B" w:rsidP="000C171B">
      <w:pPr>
        <w:spacing w:after="0" w:line="240" w:lineRule="auto"/>
        <w:jc w:val="both"/>
        <w:rPr>
          <w:rFonts w:cstheme="minorHAnsi"/>
          <w:sz w:val="24"/>
          <w:szCs w:val="24"/>
        </w:rPr>
      </w:pPr>
    </w:p>
    <w:p w14:paraId="4CC9EA8F" w14:textId="77777777" w:rsidR="000C171B" w:rsidRDefault="000C171B" w:rsidP="000C171B">
      <w:pPr>
        <w:spacing w:after="0" w:line="240" w:lineRule="auto"/>
        <w:jc w:val="both"/>
        <w:rPr>
          <w:rFonts w:cstheme="minorHAnsi"/>
          <w:sz w:val="24"/>
          <w:szCs w:val="24"/>
        </w:rPr>
      </w:pPr>
      <w:r w:rsidRPr="003F0B5D">
        <w:rPr>
          <w:rFonts w:cstheme="minorHAnsi"/>
          <w:sz w:val="24"/>
          <w:szCs w:val="24"/>
        </w:rPr>
        <w:t>(i) Estructura del mercado laboral. El insumo trabajo estuvo desacelerándose en medio del auge y caída del crecimiento de la economía. Como resultado de los cambios estructurales en los sectores motores de la economía al enfatizar actividades más intensivas en el uso del capital físico, mayores requerimientos de mano de obra especializada, así como rigideces en el mercado laboral.</w:t>
      </w:r>
    </w:p>
    <w:p w14:paraId="79385AA5" w14:textId="77777777" w:rsidR="000C171B" w:rsidRPr="003F0B5D" w:rsidRDefault="000C171B" w:rsidP="000C171B">
      <w:pPr>
        <w:spacing w:after="0" w:line="240" w:lineRule="auto"/>
        <w:jc w:val="both"/>
        <w:rPr>
          <w:rFonts w:cstheme="minorHAnsi"/>
          <w:sz w:val="24"/>
          <w:szCs w:val="24"/>
        </w:rPr>
      </w:pPr>
    </w:p>
    <w:p w14:paraId="01FA5EF6" w14:textId="77777777" w:rsidR="000C171B" w:rsidRPr="003F0B5D" w:rsidRDefault="000C171B" w:rsidP="000C171B">
      <w:pPr>
        <w:spacing w:after="0" w:line="240" w:lineRule="auto"/>
        <w:jc w:val="both"/>
        <w:rPr>
          <w:rFonts w:cstheme="minorHAnsi"/>
          <w:sz w:val="24"/>
          <w:szCs w:val="24"/>
        </w:rPr>
      </w:pPr>
      <w:r w:rsidRPr="003F0B5D">
        <w:rPr>
          <w:rFonts w:cstheme="minorHAnsi"/>
          <w:sz w:val="24"/>
          <w:szCs w:val="24"/>
        </w:rPr>
        <w:t>(v) Expansión del gasto público en megaproyectos, planilla y subsidios. La inversión en infraestructura sin un</w:t>
      </w:r>
      <w:r>
        <w:rPr>
          <w:rFonts w:cstheme="minorHAnsi"/>
          <w:sz w:val="24"/>
          <w:szCs w:val="24"/>
        </w:rPr>
        <w:t>a</w:t>
      </w:r>
      <w:r w:rsidRPr="003F0B5D">
        <w:rPr>
          <w:rFonts w:cstheme="minorHAnsi"/>
          <w:sz w:val="24"/>
          <w:szCs w:val="24"/>
        </w:rPr>
        <w:t xml:space="preserve"> estrategia de reactivación de la economía puede aumentar la deuda pública a niveles que podrían requerir nuevos impuestos que incidirían en el crecimiento y desempleo, aparte de su impacto en las calificaciones de crédito relacionadas al grado de inversión al país.</w:t>
      </w:r>
    </w:p>
    <w:p w14:paraId="7D19AFF2" w14:textId="77777777" w:rsidR="000C171B" w:rsidRPr="003F0B5D" w:rsidRDefault="000C171B" w:rsidP="000C171B">
      <w:pPr>
        <w:spacing w:after="0" w:line="240" w:lineRule="auto"/>
        <w:jc w:val="both"/>
        <w:rPr>
          <w:rFonts w:cstheme="minorHAnsi"/>
          <w:sz w:val="24"/>
          <w:szCs w:val="24"/>
        </w:rPr>
      </w:pPr>
    </w:p>
    <w:p w14:paraId="5D7FDA0A" w14:textId="77777777" w:rsidR="000C171B" w:rsidRDefault="000C171B" w:rsidP="000C171B">
      <w:pPr>
        <w:spacing w:after="0" w:line="240" w:lineRule="auto"/>
        <w:jc w:val="both"/>
        <w:rPr>
          <w:rFonts w:cstheme="minorHAnsi"/>
          <w:sz w:val="24"/>
          <w:szCs w:val="24"/>
        </w:rPr>
      </w:pPr>
      <w:r w:rsidRPr="003F0B5D">
        <w:rPr>
          <w:rFonts w:cstheme="minorHAnsi"/>
          <w:sz w:val="24"/>
          <w:szCs w:val="24"/>
        </w:rPr>
        <w:t>(vi) Incremento del capital humano.  El país no invierte en capital humano. Por ello las actividades de poca productividad, bajas remuneraciones y desigualdades de ingresos aumentan en la medida que el PIB interno varía. Para incrementar la acumulación de capital humano, las inversiones en salud, educación y desarrollo tecnológico son estratégicas.</w:t>
      </w:r>
    </w:p>
    <w:p w14:paraId="0CDC9D9C" w14:textId="77777777" w:rsidR="000C171B" w:rsidRDefault="000C171B" w:rsidP="000C171B">
      <w:pPr>
        <w:spacing w:after="0" w:line="240" w:lineRule="auto"/>
        <w:jc w:val="both"/>
        <w:rPr>
          <w:rFonts w:cstheme="minorHAnsi"/>
          <w:sz w:val="24"/>
          <w:szCs w:val="24"/>
        </w:rPr>
      </w:pPr>
    </w:p>
    <w:p w14:paraId="06971356" w14:textId="77777777" w:rsidR="000C171B" w:rsidRPr="001E6746" w:rsidRDefault="000C171B" w:rsidP="000C171B">
      <w:pPr>
        <w:spacing w:after="0" w:line="240" w:lineRule="auto"/>
        <w:jc w:val="both"/>
        <w:rPr>
          <w:rFonts w:cstheme="minorHAnsi"/>
          <w:sz w:val="24"/>
          <w:szCs w:val="24"/>
        </w:rPr>
      </w:pPr>
      <w:r>
        <w:rPr>
          <w:rFonts w:cstheme="minorHAnsi"/>
          <w:sz w:val="24"/>
          <w:szCs w:val="24"/>
        </w:rPr>
        <w:t xml:space="preserve">Sin embargo, existe también una acumulación de riesgos internos que pueden afectar en el corto plazo, el desarrollo sostenible. Entre los mismos sobresalen </w:t>
      </w:r>
      <w:r w:rsidRPr="00C952BA">
        <w:rPr>
          <w:rFonts w:cstheme="minorHAnsi"/>
          <w:sz w:val="24"/>
          <w:szCs w:val="24"/>
        </w:rPr>
        <w:t>la reforma del estado</w:t>
      </w:r>
      <w:r>
        <w:rPr>
          <w:rFonts w:cstheme="minorHAnsi"/>
          <w:sz w:val="24"/>
          <w:szCs w:val="24"/>
        </w:rPr>
        <w:t>, los</w:t>
      </w:r>
      <w:r w:rsidRPr="00C952BA">
        <w:rPr>
          <w:rFonts w:cstheme="minorHAnsi"/>
          <w:sz w:val="24"/>
          <w:szCs w:val="24"/>
        </w:rPr>
        <w:t xml:space="preserve"> flujos financieros ilícitos</w:t>
      </w:r>
      <w:r>
        <w:rPr>
          <w:rFonts w:cstheme="minorHAnsi"/>
          <w:sz w:val="24"/>
          <w:szCs w:val="24"/>
        </w:rPr>
        <w:t>, la i</w:t>
      </w:r>
      <w:r w:rsidRPr="001E6746">
        <w:rPr>
          <w:rFonts w:cstheme="minorHAnsi"/>
          <w:sz w:val="24"/>
          <w:szCs w:val="24"/>
        </w:rPr>
        <w:t>nstitucionalidad</w:t>
      </w:r>
      <w:r>
        <w:rPr>
          <w:rFonts w:cstheme="minorHAnsi"/>
          <w:sz w:val="24"/>
          <w:szCs w:val="24"/>
        </w:rPr>
        <w:t xml:space="preserve"> y la </w:t>
      </w:r>
      <w:r w:rsidRPr="001E6746">
        <w:rPr>
          <w:rFonts w:cstheme="minorHAnsi"/>
          <w:sz w:val="24"/>
          <w:szCs w:val="24"/>
        </w:rPr>
        <w:t xml:space="preserve">exigibilidad de derechos. </w:t>
      </w:r>
    </w:p>
    <w:p w14:paraId="6CCD7D6A" w14:textId="77777777" w:rsidR="000C171B" w:rsidRDefault="000C171B" w:rsidP="000C171B">
      <w:pPr>
        <w:spacing w:after="0" w:line="240" w:lineRule="auto"/>
        <w:rPr>
          <w:rFonts w:cstheme="minorHAnsi"/>
          <w:sz w:val="24"/>
          <w:szCs w:val="24"/>
        </w:rPr>
      </w:pPr>
    </w:p>
    <w:p w14:paraId="22514E09" w14:textId="77777777" w:rsidR="000C171B" w:rsidRPr="00F55C36" w:rsidRDefault="000C171B" w:rsidP="000C171B">
      <w:pPr>
        <w:spacing w:after="0" w:line="240" w:lineRule="auto"/>
        <w:rPr>
          <w:rFonts w:cstheme="minorHAnsi"/>
          <w:b/>
          <w:bCs/>
          <w:color w:val="4472C4" w:themeColor="accent1"/>
          <w:sz w:val="24"/>
          <w:szCs w:val="24"/>
        </w:rPr>
      </w:pPr>
      <w:r>
        <w:rPr>
          <w:rFonts w:cstheme="minorHAnsi"/>
          <w:b/>
          <w:bCs/>
          <w:color w:val="4472C4" w:themeColor="accent1"/>
          <w:sz w:val="24"/>
          <w:szCs w:val="24"/>
        </w:rPr>
        <w:t xml:space="preserve">8.1.1. </w:t>
      </w:r>
      <w:r w:rsidRPr="00BA7353">
        <w:rPr>
          <w:rFonts w:cstheme="minorHAnsi"/>
          <w:b/>
          <w:bCs/>
          <w:color w:val="4472C4" w:themeColor="accent1"/>
          <w:sz w:val="24"/>
          <w:szCs w:val="24"/>
        </w:rPr>
        <w:t xml:space="preserve">Riesgos multidimensionales en lo político: la reforma del estado.  </w:t>
      </w:r>
    </w:p>
    <w:p w14:paraId="242B72EF" w14:textId="77777777" w:rsidR="000C171B" w:rsidRPr="00F55C36" w:rsidRDefault="000C171B" w:rsidP="000C171B">
      <w:pPr>
        <w:spacing w:after="0" w:line="240" w:lineRule="auto"/>
        <w:rPr>
          <w:rFonts w:cstheme="minorHAnsi"/>
          <w:b/>
          <w:bCs/>
          <w:color w:val="4472C4" w:themeColor="accent1"/>
          <w:sz w:val="24"/>
          <w:szCs w:val="24"/>
        </w:rPr>
      </w:pPr>
    </w:p>
    <w:p w14:paraId="31E4EF20" w14:textId="77777777" w:rsidR="000C171B" w:rsidRPr="00F55C36" w:rsidRDefault="000C171B" w:rsidP="000C171B">
      <w:pPr>
        <w:spacing w:after="0" w:line="240" w:lineRule="auto"/>
        <w:jc w:val="both"/>
        <w:rPr>
          <w:rFonts w:cstheme="minorHAnsi"/>
          <w:color w:val="000000" w:themeColor="text1"/>
          <w:sz w:val="24"/>
          <w:szCs w:val="24"/>
        </w:rPr>
      </w:pPr>
      <w:r w:rsidRPr="00F55C36">
        <w:rPr>
          <w:rFonts w:cstheme="minorHAnsi"/>
          <w:color w:val="000000" w:themeColor="text1"/>
          <w:sz w:val="24"/>
          <w:szCs w:val="24"/>
        </w:rPr>
        <w:t xml:space="preserve">En Panamá se han incrementado las denuncias y los casos de corrupción. Las mismas son parte de una crisis institucional más amplia.  La corrupción expresa el desinterés por el bienestar ciudadano y el cumplimiento de los derechos de las personas. </w:t>
      </w:r>
    </w:p>
    <w:p w14:paraId="36B67039" w14:textId="77777777" w:rsidR="000C171B" w:rsidRPr="00F55C36" w:rsidRDefault="000C171B" w:rsidP="000C171B">
      <w:pPr>
        <w:spacing w:after="0" w:line="240" w:lineRule="auto"/>
        <w:jc w:val="both"/>
        <w:rPr>
          <w:rFonts w:cstheme="minorHAnsi"/>
          <w:color w:val="000000" w:themeColor="text1"/>
          <w:sz w:val="24"/>
          <w:szCs w:val="24"/>
        </w:rPr>
      </w:pPr>
    </w:p>
    <w:p w14:paraId="0FFC0D22" w14:textId="77777777" w:rsidR="000C171B" w:rsidRPr="00F55C36" w:rsidRDefault="000C171B" w:rsidP="000C171B">
      <w:pPr>
        <w:spacing w:after="0" w:line="240" w:lineRule="auto"/>
        <w:jc w:val="both"/>
        <w:rPr>
          <w:rFonts w:cstheme="minorHAnsi"/>
          <w:color w:val="000000" w:themeColor="text1"/>
          <w:sz w:val="24"/>
          <w:szCs w:val="24"/>
        </w:rPr>
      </w:pPr>
      <w:r w:rsidRPr="00F55C36">
        <w:rPr>
          <w:rFonts w:cstheme="minorHAnsi"/>
          <w:color w:val="000000" w:themeColor="text1"/>
          <w:sz w:val="24"/>
          <w:szCs w:val="24"/>
        </w:rPr>
        <w:t xml:space="preserve">Según el Índice de las Percepciones de la Corrupción (IPC, 2018), la corrupción erosiona la democracia y genera un desgaste, que amenaza las mismas instituciones que el gobierno debe proteger (DLC, 2019). Como resultado de la corrupción y la ausencia de institucionalidad, la sociedad panameña experimenta de manera cíclica profundas crisis institucionales, políticas y económicas. Estas crisis generalmente se reflejan en la necesidad de ajustar y adecuar las formas como el Estado se relaciona con la sociedad y de paso, la forma como organiza la vida misma en sociedad. Cada una de las reformas constitucionales se corresponden con las crisis en las formas de gobierno y la transición entre los modelos y estilos de desarrollo. </w:t>
      </w:r>
    </w:p>
    <w:p w14:paraId="53907D55" w14:textId="77777777" w:rsidR="000C171B" w:rsidRPr="00F55C36" w:rsidRDefault="000C171B" w:rsidP="000C171B">
      <w:pPr>
        <w:spacing w:after="0" w:line="240" w:lineRule="auto"/>
        <w:jc w:val="both"/>
        <w:rPr>
          <w:rFonts w:cstheme="minorHAnsi"/>
          <w:color w:val="000000" w:themeColor="text1"/>
          <w:sz w:val="24"/>
          <w:szCs w:val="24"/>
        </w:rPr>
      </w:pPr>
    </w:p>
    <w:p w14:paraId="6925179E" w14:textId="77777777" w:rsidR="000C171B" w:rsidRPr="00F55C36" w:rsidRDefault="000C171B" w:rsidP="000C171B">
      <w:pPr>
        <w:spacing w:after="0" w:line="240" w:lineRule="auto"/>
        <w:jc w:val="both"/>
        <w:rPr>
          <w:rFonts w:cstheme="minorHAnsi"/>
          <w:color w:val="000000" w:themeColor="text1"/>
          <w:sz w:val="24"/>
          <w:szCs w:val="24"/>
        </w:rPr>
      </w:pPr>
      <w:r w:rsidRPr="00F55C36">
        <w:rPr>
          <w:rFonts w:cstheme="minorHAnsi"/>
          <w:color w:val="000000" w:themeColor="text1"/>
          <w:sz w:val="24"/>
          <w:szCs w:val="24"/>
        </w:rPr>
        <w:t xml:space="preserve">En ese contexto, entre las acciones para fortalecer la democracia, se encuentran: prevención de conflictos de interés y leyes anticorrupción, transparencia y rendición de cuentas, </w:t>
      </w:r>
      <w:r w:rsidRPr="00F55C36">
        <w:rPr>
          <w:rFonts w:cstheme="minorHAnsi"/>
          <w:color w:val="000000" w:themeColor="text1"/>
          <w:sz w:val="24"/>
          <w:szCs w:val="24"/>
        </w:rPr>
        <w:lastRenderedPageBreak/>
        <w:t>contrataciones públicas, compromiso con la justicia, acceso a la información, gobiernos y datos abiertos, y de ese modo (DLC, 2019). En tanto mecanismos ciudadanos de control de la gestión pública y privada que permiten el combate sistemático de la corrupción en el país a través de la modernización del estado.</w:t>
      </w:r>
    </w:p>
    <w:p w14:paraId="4F07FE43" w14:textId="77777777" w:rsidR="000C171B" w:rsidRPr="00F55C36" w:rsidRDefault="000C171B" w:rsidP="000C171B">
      <w:pPr>
        <w:spacing w:after="0" w:line="240" w:lineRule="auto"/>
        <w:jc w:val="both"/>
        <w:rPr>
          <w:rFonts w:cstheme="minorHAnsi"/>
          <w:color w:val="000000" w:themeColor="text1"/>
          <w:sz w:val="24"/>
          <w:szCs w:val="24"/>
        </w:rPr>
      </w:pPr>
    </w:p>
    <w:p w14:paraId="00B21F78" w14:textId="77777777" w:rsidR="000C171B" w:rsidRPr="00F55C36" w:rsidRDefault="000C171B" w:rsidP="000C171B">
      <w:pPr>
        <w:spacing w:after="0" w:line="240" w:lineRule="auto"/>
        <w:jc w:val="both"/>
        <w:rPr>
          <w:rFonts w:cstheme="minorHAnsi"/>
          <w:color w:val="000000" w:themeColor="text1"/>
          <w:sz w:val="24"/>
          <w:szCs w:val="24"/>
        </w:rPr>
      </w:pPr>
      <w:r w:rsidRPr="00F55C36">
        <w:rPr>
          <w:rFonts w:cstheme="minorHAnsi"/>
          <w:color w:val="000000" w:themeColor="text1"/>
          <w:sz w:val="24"/>
          <w:szCs w:val="24"/>
        </w:rPr>
        <w:t>Sin embargo, la reforma del estado en Panamá y con ello la reforma constitucional, más allá de la modernización, tiene cuatro aristas: (i) cambios en la organización del sistema político que incluye a los partidos políticos y la forma de gobierno; (</w:t>
      </w:r>
      <w:proofErr w:type="spellStart"/>
      <w:r w:rsidRPr="00F55C36">
        <w:rPr>
          <w:rFonts w:cstheme="minorHAnsi"/>
          <w:color w:val="000000" w:themeColor="text1"/>
          <w:sz w:val="24"/>
          <w:szCs w:val="24"/>
        </w:rPr>
        <w:t>ii</w:t>
      </w:r>
      <w:proofErr w:type="spellEnd"/>
      <w:r w:rsidRPr="00F55C36">
        <w:rPr>
          <w:rFonts w:cstheme="minorHAnsi"/>
          <w:color w:val="000000" w:themeColor="text1"/>
          <w:sz w:val="24"/>
          <w:szCs w:val="24"/>
        </w:rPr>
        <w:t>) cambios en los ejes centrales y conceptos básicos desde los cuales se despliegan las políticas gubernamentales; (</w:t>
      </w:r>
      <w:proofErr w:type="spellStart"/>
      <w:r w:rsidRPr="00F55C36">
        <w:rPr>
          <w:rFonts w:cstheme="minorHAnsi"/>
          <w:color w:val="000000" w:themeColor="text1"/>
          <w:sz w:val="24"/>
          <w:szCs w:val="24"/>
        </w:rPr>
        <w:t>iii</w:t>
      </w:r>
      <w:proofErr w:type="spellEnd"/>
      <w:r w:rsidRPr="00F55C36">
        <w:rPr>
          <w:rFonts w:cstheme="minorHAnsi"/>
          <w:color w:val="000000" w:themeColor="text1"/>
          <w:sz w:val="24"/>
          <w:szCs w:val="24"/>
        </w:rPr>
        <w:t>) transformación de las instituciones que garantizan la continuidad del estado; (</w:t>
      </w:r>
      <w:proofErr w:type="spellStart"/>
      <w:r w:rsidRPr="00F55C36">
        <w:rPr>
          <w:rFonts w:cstheme="minorHAnsi"/>
          <w:color w:val="000000" w:themeColor="text1"/>
          <w:sz w:val="24"/>
          <w:szCs w:val="24"/>
        </w:rPr>
        <w:t>iv</w:t>
      </w:r>
      <w:proofErr w:type="spellEnd"/>
      <w:r w:rsidRPr="00F55C36">
        <w:rPr>
          <w:rFonts w:cstheme="minorHAnsi"/>
          <w:color w:val="000000" w:themeColor="text1"/>
          <w:sz w:val="24"/>
          <w:szCs w:val="24"/>
        </w:rPr>
        <w:t xml:space="preserve">) financiamiento del bienestar de la población. </w:t>
      </w:r>
    </w:p>
    <w:p w14:paraId="4C6DEAE0" w14:textId="77777777" w:rsidR="000C171B" w:rsidRPr="00F55C36" w:rsidRDefault="000C171B" w:rsidP="000C171B">
      <w:pPr>
        <w:spacing w:after="0" w:line="240" w:lineRule="auto"/>
        <w:jc w:val="both"/>
        <w:rPr>
          <w:rFonts w:cstheme="minorHAnsi"/>
          <w:color w:val="000000" w:themeColor="text1"/>
          <w:sz w:val="24"/>
          <w:szCs w:val="24"/>
        </w:rPr>
      </w:pPr>
    </w:p>
    <w:p w14:paraId="2FD87AA1" w14:textId="77777777" w:rsidR="000C171B" w:rsidRPr="00F55C36" w:rsidRDefault="000C171B" w:rsidP="000C171B">
      <w:pPr>
        <w:spacing w:after="0" w:line="240" w:lineRule="auto"/>
        <w:jc w:val="both"/>
        <w:rPr>
          <w:rFonts w:cstheme="minorHAnsi"/>
          <w:color w:val="000000" w:themeColor="text1"/>
          <w:sz w:val="24"/>
          <w:szCs w:val="24"/>
        </w:rPr>
      </w:pPr>
      <w:r w:rsidRPr="00F55C36">
        <w:rPr>
          <w:rFonts w:cstheme="minorHAnsi"/>
          <w:color w:val="000000" w:themeColor="text1"/>
          <w:sz w:val="24"/>
          <w:szCs w:val="24"/>
        </w:rPr>
        <w:t>Pero, en el caso de Panamá, la reforma del estado tiene distintas salidas, dependiendo de la forma como se relacionan quienes la impulsan y como se articulan los derechos de las personas y ciudadanía: (i) democrática que amplía la participación ciudadana en el control y acción del estado; (</w:t>
      </w:r>
      <w:proofErr w:type="spellStart"/>
      <w:r w:rsidRPr="00F55C36">
        <w:rPr>
          <w:rFonts w:cstheme="minorHAnsi"/>
          <w:color w:val="000000" w:themeColor="text1"/>
          <w:sz w:val="24"/>
          <w:szCs w:val="24"/>
        </w:rPr>
        <w:t>ii</w:t>
      </w:r>
      <w:proofErr w:type="spellEnd"/>
      <w:r w:rsidRPr="00F55C36">
        <w:rPr>
          <w:rFonts w:cstheme="minorHAnsi"/>
          <w:color w:val="000000" w:themeColor="text1"/>
          <w:sz w:val="24"/>
          <w:szCs w:val="24"/>
        </w:rPr>
        <w:t>) liberal conservadora que reduce los espacios de participación y acción de la ciudadanía; (</w:t>
      </w:r>
      <w:proofErr w:type="spellStart"/>
      <w:r w:rsidRPr="00F55C36">
        <w:rPr>
          <w:rFonts w:cstheme="minorHAnsi"/>
          <w:color w:val="000000" w:themeColor="text1"/>
          <w:sz w:val="24"/>
          <w:szCs w:val="24"/>
        </w:rPr>
        <w:t>iii</w:t>
      </w:r>
      <w:proofErr w:type="spellEnd"/>
      <w:r w:rsidRPr="00F55C36">
        <w:rPr>
          <w:rFonts w:cstheme="minorHAnsi"/>
          <w:color w:val="000000" w:themeColor="text1"/>
          <w:sz w:val="24"/>
          <w:szCs w:val="24"/>
        </w:rPr>
        <w:t>) autoritaria que rompe el orden político ante la incapacidad del mismo de auto reformarse; (</w:t>
      </w:r>
      <w:proofErr w:type="spellStart"/>
      <w:r w:rsidRPr="00F55C36">
        <w:rPr>
          <w:rFonts w:cstheme="minorHAnsi"/>
          <w:color w:val="000000" w:themeColor="text1"/>
          <w:sz w:val="24"/>
          <w:szCs w:val="24"/>
        </w:rPr>
        <w:t>iv</w:t>
      </w:r>
      <w:proofErr w:type="spellEnd"/>
      <w:r w:rsidRPr="00F55C36">
        <w:rPr>
          <w:rFonts w:cstheme="minorHAnsi"/>
          <w:color w:val="000000" w:themeColor="text1"/>
          <w:sz w:val="24"/>
          <w:szCs w:val="24"/>
        </w:rPr>
        <w:t xml:space="preserve">)  populista que recompone el sistema político, pero no cambia el orden social. </w:t>
      </w:r>
    </w:p>
    <w:p w14:paraId="1EE53CF8" w14:textId="77777777" w:rsidR="000C171B" w:rsidRPr="00F55C36" w:rsidRDefault="000C171B" w:rsidP="000C171B">
      <w:pPr>
        <w:spacing w:after="0" w:line="240" w:lineRule="auto"/>
        <w:jc w:val="both"/>
        <w:rPr>
          <w:rFonts w:cstheme="minorHAnsi"/>
          <w:color w:val="000000" w:themeColor="text1"/>
          <w:sz w:val="24"/>
          <w:szCs w:val="24"/>
        </w:rPr>
      </w:pPr>
    </w:p>
    <w:p w14:paraId="5B60BEB3" w14:textId="4B388FD1" w:rsidR="000C171B" w:rsidRPr="00F55C36" w:rsidRDefault="000C171B" w:rsidP="000C171B">
      <w:pPr>
        <w:spacing w:after="0" w:line="240" w:lineRule="auto"/>
        <w:jc w:val="both"/>
        <w:rPr>
          <w:rFonts w:cstheme="minorHAnsi"/>
          <w:color w:val="000000" w:themeColor="text1"/>
          <w:sz w:val="24"/>
          <w:szCs w:val="24"/>
        </w:rPr>
      </w:pPr>
      <w:r w:rsidRPr="00F55C36">
        <w:rPr>
          <w:rFonts w:cstheme="minorHAnsi"/>
          <w:color w:val="000000" w:themeColor="text1"/>
          <w:sz w:val="24"/>
          <w:szCs w:val="24"/>
        </w:rPr>
        <w:t xml:space="preserve">No cabe duda de que el problema de la reforma del estado es amplio, diverso y significativo. Pero ¿qué tipo de Estado será el emergente? Todo dependerá de la forma como se supere la corrupción y el clientelismo, hegemónicos hoy en la cultura política panameña, y se transite hacia otra centrada en los derechos y la transparencia. Allí reside lo importante del debate sobre la reforma constitucional. </w:t>
      </w:r>
    </w:p>
    <w:p w14:paraId="2980B33E" w14:textId="77777777" w:rsidR="000C171B" w:rsidRPr="00F55C36" w:rsidRDefault="000C171B" w:rsidP="000C171B">
      <w:pPr>
        <w:spacing w:after="0" w:line="240" w:lineRule="auto"/>
        <w:jc w:val="both"/>
        <w:rPr>
          <w:rFonts w:cstheme="minorHAnsi"/>
          <w:color w:val="000000" w:themeColor="text1"/>
          <w:sz w:val="24"/>
          <w:szCs w:val="24"/>
        </w:rPr>
      </w:pPr>
    </w:p>
    <w:p w14:paraId="49691FAC" w14:textId="77777777" w:rsidR="000C171B" w:rsidRPr="00F55C36" w:rsidRDefault="000C171B" w:rsidP="000C171B">
      <w:pPr>
        <w:spacing w:after="0" w:line="240" w:lineRule="auto"/>
        <w:jc w:val="both"/>
        <w:rPr>
          <w:rFonts w:cstheme="minorHAnsi"/>
          <w:color w:val="000000" w:themeColor="text1"/>
          <w:sz w:val="24"/>
          <w:szCs w:val="24"/>
        </w:rPr>
      </w:pPr>
      <w:r w:rsidRPr="00F55C36">
        <w:rPr>
          <w:rFonts w:cstheme="minorHAnsi"/>
          <w:color w:val="000000" w:themeColor="text1"/>
          <w:sz w:val="24"/>
          <w:szCs w:val="24"/>
        </w:rPr>
        <w:t>El escenario en el cual se desarrollan los acontecimientos lo integran, por un lado, las convenciones, declaraciones, acuerdos, pactos y demás normativas internacionales que cada vez más, producto de las acciones que en diversas direcciones han emprendido tanto las víctimas como las personas interesadas en el fortalecimiento de la justicia y las instituciones gubernamentales y no gubernamentales. Por el otro, la creciente necesidad de los asociados de contar con una democracia integral en combinación con las suficientes y necesarias normas para garantizar el derecho a una vida digna.</w:t>
      </w:r>
    </w:p>
    <w:p w14:paraId="60F0F4A1" w14:textId="77777777" w:rsidR="000C171B" w:rsidRPr="00F55C36" w:rsidRDefault="000C171B" w:rsidP="000C171B">
      <w:pPr>
        <w:spacing w:after="0" w:line="240" w:lineRule="auto"/>
        <w:rPr>
          <w:rFonts w:cstheme="minorHAnsi"/>
          <w:b/>
          <w:bCs/>
          <w:color w:val="4472C4" w:themeColor="accent1"/>
          <w:sz w:val="24"/>
          <w:szCs w:val="24"/>
        </w:rPr>
      </w:pPr>
    </w:p>
    <w:p w14:paraId="16E5BAF4" w14:textId="77777777" w:rsidR="000C171B" w:rsidRPr="00F55C36" w:rsidRDefault="000C171B" w:rsidP="000C171B">
      <w:pPr>
        <w:spacing w:after="0" w:line="240" w:lineRule="auto"/>
        <w:rPr>
          <w:rFonts w:cstheme="minorHAnsi"/>
          <w:b/>
          <w:bCs/>
          <w:color w:val="4472C4" w:themeColor="accent1"/>
          <w:sz w:val="24"/>
          <w:szCs w:val="24"/>
        </w:rPr>
      </w:pPr>
      <w:r>
        <w:rPr>
          <w:rFonts w:cstheme="minorHAnsi"/>
          <w:b/>
          <w:bCs/>
          <w:color w:val="4472C4" w:themeColor="accent1"/>
          <w:sz w:val="24"/>
          <w:szCs w:val="24"/>
        </w:rPr>
        <w:t xml:space="preserve">8.1.2. </w:t>
      </w:r>
      <w:r w:rsidRPr="00BA7353">
        <w:rPr>
          <w:rFonts w:cstheme="minorHAnsi"/>
          <w:b/>
          <w:bCs/>
          <w:color w:val="4472C4" w:themeColor="accent1"/>
          <w:sz w:val="24"/>
          <w:szCs w:val="24"/>
        </w:rPr>
        <w:t xml:space="preserve">Riesgos multidimensionales en el desarrollo: flujos financieros ilícitos. </w:t>
      </w:r>
    </w:p>
    <w:p w14:paraId="0641DCCA" w14:textId="77777777" w:rsidR="000C171B" w:rsidRPr="00F55C36" w:rsidRDefault="000C171B" w:rsidP="000C171B">
      <w:pPr>
        <w:spacing w:after="0" w:line="240" w:lineRule="auto"/>
        <w:jc w:val="both"/>
        <w:rPr>
          <w:rFonts w:cstheme="minorHAnsi"/>
          <w:sz w:val="24"/>
          <w:szCs w:val="24"/>
        </w:rPr>
      </w:pPr>
    </w:p>
    <w:p w14:paraId="27BFE310" w14:textId="77777777" w:rsidR="000C171B" w:rsidRPr="00F55C36" w:rsidRDefault="000C171B" w:rsidP="000C171B">
      <w:pPr>
        <w:spacing w:after="0" w:line="240" w:lineRule="auto"/>
        <w:jc w:val="both"/>
        <w:rPr>
          <w:rFonts w:cstheme="minorHAnsi"/>
          <w:sz w:val="24"/>
          <w:szCs w:val="24"/>
        </w:rPr>
      </w:pPr>
      <w:r w:rsidRPr="00F55C36">
        <w:rPr>
          <w:rFonts w:cstheme="minorHAnsi"/>
          <w:sz w:val="24"/>
          <w:szCs w:val="24"/>
        </w:rPr>
        <w:t xml:space="preserve">Los flujos financieros, tanto los ilícitos, como los vinculados con los incentivos tributarios, son un reto para Panamá. En ambos casos las regulaciones del país, como producto de presiones externas, están en proceso de adecuación y ajuste. Las listas grises son parte de ese proceso de presión generada por países donde existe la doble tributación y se consideran afectados por los incentivos fiscales para la atracción de capitales e inversión.  </w:t>
      </w:r>
    </w:p>
    <w:p w14:paraId="0776A0B4" w14:textId="77777777" w:rsidR="000C171B" w:rsidRPr="00F55C36" w:rsidRDefault="000C171B" w:rsidP="000C171B">
      <w:pPr>
        <w:spacing w:after="0" w:line="240" w:lineRule="auto"/>
        <w:jc w:val="both"/>
        <w:rPr>
          <w:rFonts w:cstheme="minorHAnsi"/>
          <w:sz w:val="24"/>
          <w:szCs w:val="24"/>
        </w:rPr>
      </w:pPr>
    </w:p>
    <w:p w14:paraId="6CFFBC3B" w14:textId="77777777" w:rsidR="000C171B" w:rsidRPr="00F55C36" w:rsidRDefault="000C171B" w:rsidP="000C171B">
      <w:pPr>
        <w:spacing w:after="0" w:line="240" w:lineRule="auto"/>
        <w:jc w:val="both"/>
        <w:rPr>
          <w:rFonts w:cstheme="minorHAnsi"/>
          <w:sz w:val="24"/>
          <w:szCs w:val="24"/>
        </w:rPr>
      </w:pPr>
      <w:r w:rsidRPr="00F55C36">
        <w:rPr>
          <w:rFonts w:cstheme="minorHAnsi"/>
          <w:sz w:val="24"/>
          <w:szCs w:val="24"/>
        </w:rPr>
        <w:t xml:space="preserve">Según la Meta 16.4 de la Agenda 2030, “reducir de manera significativa las corrientes financieras y de armas ilícitas, fortalecer la recuperación y devolución de bienes robados y </w:t>
      </w:r>
      <w:r w:rsidRPr="00F55C36">
        <w:rPr>
          <w:rFonts w:cstheme="minorHAnsi"/>
          <w:sz w:val="24"/>
          <w:szCs w:val="24"/>
        </w:rPr>
        <w:lastRenderedPageBreak/>
        <w:t xml:space="preserve">luchar contra todas las formas de delincuencia organizada”, en cuanto a la reducción substancial de flujos financieros ilícitos contribuye al incremento de los ingresos fiscales y reduce la acumulación de deuda y empréstitos externos (A/HRC/31/61, 2016). Estos flujos financieros tienen implicaciones múltiples, amplias y negativas en los derechos humanos, porque substraen los recursos públicos necesarios para la inversión en programas y políticas sociales, la administración de justicia, en escuelas, hospitales, viviendas y salud. Asimismo, los flujos financieros ilícitos afectan la relación crecimiento e inversión provocando crisis financieras que afectan a los más vulnerables. La reducción de los flujos financieros ilícitos significaría una contribución muy sustancial a la reducción de la desigualdad nacional y global de riquezas e ingresos (A/HRC/37/54/Add.2, 2017).  En el caso de Panamá, los flujos tienen relación con la evasión, corrupción y lavado de dinero.  </w:t>
      </w:r>
    </w:p>
    <w:p w14:paraId="29E50F08" w14:textId="77777777" w:rsidR="000C171B" w:rsidRPr="00F55C36" w:rsidRDefault="000C171B" w:rsidP="000C171B">
      <w:pPr>
        <w:spacing w:after="0" w:line="240" w:lineRule="auto"/>
        <w:jc w:val="both"/>
        <w:rPr>
          <w:rFonts w:cstheme="minorHAnsi"/>
          <w:sz w:val="24"/>
          <w:szCs w:val="24"/>
        </w:rPr>
      </w:pPr>
    </w:p>
    <w:p w14:paraId="537E7973" w14:textId="77777777" w:rsidR="000C171B" w:rsidRPr="00F55C36" w:rsidRDefault="000C171B" w:rsidP="000C171B">
      <w:pPr>
        <w:spacing w:after="0" w:line="240" w:lineRule="auto"/>
        <w:jc w:val="both"/>
        <w:rPr>
          <w:rFonts w:cstheme="minorHAnsi"/>
          <w:sz w:val="24"/>
          <w:szCs w:val="24"/>
        </w:rPr>
      </w:pPr>
      <w:r w:rsidRPr="00F55C36">
        <w:rPr>
          <w:rFonts w:cstheme="minorHAnsi"/>
          <w:sz w:val="24"/>
          <w:szCs w:val="24"/>
        </w:rPr>
        <w:t xml:space="preserve">El Centro Bancario Internacional, admite diversas operaciones de intermediación financiera que son parte de la conectividad financiera regional y global por la cual transitan diversos los flujos financieros. Esta plataforma facilita la inteligencia de mercado y alianzas estratégicas empresariales para lograr, por un lado, acceso a inversionistas, tecnología de producción y canales de distribución; por el otro, un ambiente favorable para conducir negocios (SOKOL, 2019). </w:t>
      </w:r>
    </w:p>
    <w:p w14:paraId="36061EEC" w14:textId="77777777" w:rsidR="000C171B" w:rsidRPr="00F55C36" w:rsidRDefault="000C171B" w:rsidP="000C171B">
      <w:pPr>
        <w:spacing w:after="0" w:line="240" w:lineRule="auto"/>
        <w:jc w:val="both"/>
        <w:rPr>
          <w:rFonts w:cstheme="minorHAnsi"/>
          <w:sz w:val="24"/>
          <w:szCs w:val="24"/>
        </w:rPr>
      </w:pPr>
    </w:p>
    <w:p w14:paraId="23DD1E06" w14:textId="53F2310C" w:rsidR="000C171B" w:rsidRPr="00F55C36" w:rsidRDefault="000C171B" w:rsidP="000C171B">
      <w:pPr>
        <w:spacing w:after="0" w:line="240" w:lineRule="auto"/>
        <w:jc w:val="both"/>
        <w:rPr>
          <w:rFonts w:cstheme="minorHAnsi"/>
          <w:sz w:val="24"/>
          <w:szCs w:val="24"/>
        </w:rPr>
      </w:pPr>
      <w:r w:rsidRPr="00F55C36">
        <w:rPr>
          <w:rFonts w:cstheme="minorHAnsi"/>
          <w:sz w:val="24"/>
          <w:szCs w:val="24"/>
        </w:rPr>
        <w:t>En el año 2016, el periódico alemán S-</w:t>
      </w:r>
      <w:proofErr w:type="spellStart"/>
      <w:r w:rsidRPr="00F55C36">
        <w:rPr>
          <w:rFonts w:cstheme="minorHAnsi"/>
          <w:sz w:val="24"/>
          <w:szCs w:val="24"/>
        </w:rPr>
        <w:t>deutsche</w:t>
      </w:r>
      <w:proofErr w:type="spellEnd"/>
      <w:r w:rsidRPr="00F55C36">
        <w:rPr>
          <w:rFonts w:cstheme="minorHAnsi"/>
          <w:sz w:val="24"/>
          <w:szCs w:val="24"/>
        </w:rPr>
        <w:t xml:space="preserve"> </w:t>
      </w:r>
      <w:proofErr w:type="spellStart"/>
      <w:r w:rsidRPr="00F55C36">
        <w:rPr>
          <w:rFonts w:cstheme="minorHAnsi"/>
          <w:sz w:val="24"/>
          <w:szCs w:val="24"/>
        </w:rPr>
        <w:t>Zeitung</w:t>
      </w:r>
      <w:proofErr w:type="spellEnd"/>
      <w:r w:rsidRPr="00F55C36">
        <w:rPr>
          <w:rFonts w:cstheme="minorHAnsi"/>
          <w:sz w:val="24"/>
          <w:szCs w:val="24"/>
        </w:rPr>
        <w:t xml:space="preserve">, el Consorcio Internacional de Periodistas de Investigación (ICIJ) puso a disposición de diversos medios de comunicación, 12 millones de documentos de la firma forense Mossack Fonseca que en cuarenta años había creado 120, 000 empresas offshore con fines de facilitar transacciones financieras a ciudadanos de diversos países. Las filtraciones de la firma antes mencionada muestran cómo las empresas de propiedad secreta son un vehículo para los movimientos secretos de dinero y otras actividades al margen de las legislaciones, los recaudadores de impuestos y los reguladores (PÉREZ, 2017).  Según las mismas, los servicios legales de la firma Mossack Fonseca proveían legítimamente compañías offshore como parte de un paquete de servicios financieros globales fundamentados en los incentivos tributarios por las bajas penalizaciones tributarias, además de las facilidades comparativas para la inversión.  </w:t>
      </w:r>
    </w:p>
    <w:p w14:paraId="74D5A14C" w14:textId="77777777" w:rsidR="000C171B" w:rsidRPr="00F55C36" w:rsidRDefault="000C171B" w:rsidP="000C171B">
      <w:pPr>
        <w:spacing w:after="0" w:line="240" w:lineRule="auto"/>
        <w:jc w:val="both"/>
        <w:rPr>
          <w:rFonts w:cstheme="minorHAnsi"/>
          <w:sz w:val="24"/>
          <w:szCs w:val="24"/>
        </w:rPr>
      </w:pPr>
    </w:p>
    <w:p w14:paraId="4299C7A3" w14:textId="77777777" w:rsidR="000C171B" w:rsidRPr="00F55C36" w:rsidRDefault="000C171B" w:rsidP="000C171B">
      <w:pPr>
        <w:spacing w:after="0" w:line="240" w:lineRule="auto"/>
        <w:jc w:val="both"/>
        <w:rPr>
          <w:rFonts w:cstheme="minorHAnsi"/>
          <w:sz w:val="24"/>
          <w:szCs w:val="24"/>
        </w:rPr>
      </w:pPr>
      <w:r w:rsidRPr="00F55C36">
        <w:rPr>
          <w:rFonts w:cstheme="minorHAnsi"/>
          <w:sz w:val="24"/>
          <w:szCs w:val="24"/>
        </w:rPr>
        <w:t xml:space="preserve">Durante ese mismo periodo se registraron otras fugas de información en Suiza, Luxemburgo y Bahamas, pero fueron las filtraciones de la firma panameña las que ocuparon la atención internacional por la escala y el volumen de fraude fiscal y lavado de dinero por parte de corporaciones comerciales, personas políticamente expuestas e individuos adinerados de todas partes del mundo (A/HRC/37/54/Add.2,2017). Desde distintas perspectivas los incentivos facilitan la evasión impositiva y elusión fiscal, no sólo en Panamá, sino también Delaware, Nevada, Wyoming, Dakota del Sur, Singapur, Nueva Zelandia, Irlanda, la Isla del Hombre y Seychelles. </w:t>
      </w:r>
    </w:p>
    <w:p w14:paraId="208C88C4" w14:textId="77777777" w:rsidR="000C171B" w:rsidRPr="00F55C36" w:rsidRDefault="000C171B" w:rsidP="000C171B">
      <w:pPr>
        <w:spacing w:after="0" w:line="240" w:lineRule="auto"/>
        <w:jc w:val="both"/>
        <w:rPr>
          <w:rFonts w:cstheme="minorHAnsi"/>
          <w:sz w:val="24"/>
          <w:szCs w:val="24"/>
        </w:rPr>
      </w:pPr>
    </w:p>
    <w:p w14:paraId="4A6784CB" w14:textId="77777777" w:rsidR="000C171B" w:rsidRPr="00F55C36" w:rsidRDefault="000C171B" w:rsidP="000C171B">
      <w:pPr>
        <w:spacing w:after="0" w:line="240" w:lineRule="auto"/>
        <w:jc w:val="both"/>
        <w:rPr>
          <w:rFonts w:cstheme="minorHAnsi"/>
          <w:sz w:val="24"/>
          <w:szCs w:val="24"/>
        </w:rPr>
      </w:pPr>
      <w:r w:rsidRPr="00F55C36">
        <w:rPr>
          <w:rFonts w:cstheme="minorHAnsi"/>
          <w:sz w:val="24"/>
          <w:szCs w:val="24"/>
        </w:rPr>
        <w:t xml:space="preserve">Según las filtraciones de la firma antes mencionada, a través de un complejo mecanismo de ingeniería económica se establecieron más de 200,000 compañías offshore, utilizadas por políticos, organizaciones del crimen organizado y evasores de impuestos para el financiamiento </w:t>
      </w:r>
      <w:r w:rsidRPr="00F55C36">
        <w:rPr>
          <w:rFonts w:cstheme="minorHAnsi"/>
          <w:sz w:val="24"/>
          <w:szCs w:val="24"/>
        </w:rPr>
        <w:lastRenderedPageBreak/>
        <w:t>ilícito, corrupción, narcotráfico, terrorismo, evasión fiscal. El entorno de bajos impuestos y la economía abierta de Panamá, combinados con su sofisticado sistema bancario, proporciona la plataforma perfecta o para evitar impuestos o para la limpieza de ganancias ilícitas (PÉREZ</w:t>
      </w:r>
      <w:r>
        <w:rPr>
          <w:rFonts w:cstheme="minorHAnsi"/>
          <w:sz w:val="24"/>
          <w:szCs w:val="24"/>
        </w:rPr>
        <w:t>,</w:t>
      </w:r>
      <w:r w:rsidRPr="00F55C36">
        <w:rPr>
          <w:rFonts w:cstheme="minorHAnsi"/>
          <w:sz w:val="24"/>
          <w:szCs w:val="24"/>
        </w:rPr>
        <w:t xml:space="preserve"> 2017).</w:t>
      </w:r>
    </w:p>
    <w:p w14:paraId="005E456E" w14:textId="77777777" w:rsidR="000C171B" w:rsidRPr="00F55C36" w:rsidRDefault="000C171B" w:rsidP="000C171B">
      <w:pPr>
        <w:spacing w:after="0" w:line="240" w:lineRule="auto"/>
        <w:jc w:val="both"/>
        <w:rPr>
          <w:rFonts w:cstheme="minorHAnsi"/>
          <w:sz w:val="24"/>
          <w:szCs w:val="24"/>
        </w:rPr>
      </w:pPr>
    </w:p>
    <w:p w14:paraId="3B9A2CBB" w14:textId="77777777" w:rsidR="000C171B" w:rsidRPr="00F55C36" w:rsidRDefault="000C171B" w:rsidP="000C171B">
      <w:pPr>
        <w:spacing w:after="0" w:line="240" w:lineRule="auto"/>
        <w:jc w:val="both"/>
        <w:rPr>
          <w:rFonts w:cstheme="minorHAnsi"/>
          <w:sz w:val="24"/>
          <w:szCs w:val="24"/>
        </w:rPr>
      </w:pPr>
      <w:r w:rsidRPr="00F55C36">
        <w:rPr>
          <w:rFonts w:cstheme="minorHAnsi"/>
          <w:sz w:val="24"/>
          <w:szCs w:val="24"/>
        </w:rPr>
        <w:t xml:space="preserve">Para analizar las medidas a tomar como consecuencia de las filtraciones, el Gobierno Nacional estableció un Comité de Expertos Independientes con el propósito de analizar la plataforma del servicio, “asistir a Panamá en sus políticas contra la evasión fiscal internacional y fortalecer a Panamá como centro financiero global con las mejores prácticas de transparencia”. Para eso se proponía “revisar marco el legal actual, incluyendo políticas, leyes y tratados internacionales; evaluar la efectividad de recientes reformas; e identificar vulnerabilidades de la plataforma de servicios internacionales de Panamá, entre otros”. Para luego formular recomendaciones con el fin de lograr los objetivos de transparencia exigidos por la comunidad internacional. </w:t>
      </w:r>
    </w:p>
    <w:p w14:paraId="24B2DC60" w14:textId="77777777" w:rsidR="000C171B" w:rsidRPr="00F55C36" w:rsidRDefault="000C171B" w:rsidP="000C171B">
      <w:pPr>
        <w:spacing w:after="0" w:line="240" w:lineRule="auto"/>
        <w:jc w:val="both"/>
        <w:rPr>
          <w:rFonts w:cstheme="minorHAnsi"/>
          <w:sz w:val="24"/>
          <w:szCs w:val="24"/>
        </w:rPr>
      </w:pPr>
    </w:p>
    <w:p w14:paraId="7CBD19F3" w14:textId="77777777" w:rsidR="000C171B" w:rsidRPr="00F55C36" w:rsidRDefault="000C171B" w:rsidP="000C171B">
      <w:pPr>
        <w:spacing w:after="0" w:line="240" w:lineRule="auto"/>
        <w:jc w:val="both"/>
        <w:rPr>
          <w:rFonts w:cstheme="minorHAnsi"/>
          <w:sz w:val="24"/>
          <w:szCs w:val="24"/>
        </w:rPr>
      </w:pPr>
      <w:r w:rsidRPr="00F55C36">
        <w:rPr>
          <w:rFonts w:cstheme="minorHAnsi"/>
          <w:sz w:val="24"/>
          <w:szCs w:val="24"/>
        </w:rPr>
        <w:t xml:space="preserve">Como resultado de ello, en los últimos 5 años, Panamá ha firmado una serie de tratados en materia de impuestos e intercambio de información que han aumentado la transparencia del sistema. Sin embargo, los gobiernos extranjeros y los organismos internacionales tienen que obtener una orden judicial para solicitar los datos bancarios cubiertos por el secreto bancario. En 2015, se reguló el traspaso de las acciones al portador para minimizar el anonimato y aumentar la transparencia. Las nuevas regulaciones fueron el resultado de las presiones internacionales establecidas por el Foro Mundial sobre Transparencia e Intercambio de Información de la OCDE y las recomendaciones del Grupo de Acción Financiera (GAFI) (PÉREZ, 2017). </w:t>
      </w:r>
    </w:p>
    <w:p w14:paraId="7D997FA0" w14:textId="77777777" w:rsidR="000C171B" w:rsidRPr="00F55C36" w:rsidRDefault="000C171B" w:rsidP="000C171B">
      <w:pPr>
        <w:spacing w:after="0" w:line="240" w:lineRule="auto"/>
        <w:jc w:val="both"/>
        <w:rPr>
          <w:rFonts w:cstheme="minorHAnsi"/>
          <w:sz w:val="24"/>
          <w:szCs w:val="24"/>
        </w:rPr>
      </w:pPr>
    </w:p>
    <w:p w14:paraId="04C2232D" w14:textId="77777777" w:rsidR="000C171B" w:rsidRPr="00F55C36" w:rsidRDefault="000C171B" w:rsidP="000C171B">
      <w:pPr>
        <w:spacing w:after="0" w:line="240" w:lineRule="auto"/>
        <w:jc w:val="both"/>
        <w:rPr>
          <w:rFonts w:cstheme="minorHAnsi"/>
          <w:sz w:val="24"/>
          <w:szCs w:val="24"/>
        </w:rPr>
      </w:pPr>
      <w:r w:rsidRPr="00F55C36">
        <w:rPr>
          <w:rFonts w:cstheme="minorHAnsi"/>
          <w:sz w:val="24"/>
          <w:szCs w:val="24"/>
        </w:rPr>
        <w:t>Ente los años 2015 y 2019, Panamá adecúa múltiples actividades económicas:  (i) impuestos sobre remesas a extranjeros: se declaran como gravables los ingresos de fuente panameña recibidos por una persona no residente en la república de panamá; (</w:t>
      </w:r>
      <w:proofErr w:type="spellStart"/>
      <w:r w:rsidRPr="00F55C36">
        <w:rPr>
          <w:rFonts w:cstheme="minorHAnsi"/>
          <w:sz w:val="24"/>
          <w:szCs w:val="24"/>
        </w:rPr>
        <w:t>ii</w:t>
      </w:r>
      <w:proofErr w:type="spellEnd"/>
      <w:r w:rsidRPr="00F55C36">
        <w:rPr>
          <w:rFonts w:cstheme="minorHAnsi"/>
          <w:sz w:val="24"/>
          <w:szCs w:val="24"/>
        </w:rPr>
        <w:t>) impuestos a sociedades de inversión inmobiliaria: se aumenta el impuesto sobre dividendos al 10% en los casos que corresponden a las sociedades de inversión inmobiliarias registradas y que negocien en bolsa; (</w:t>
      </w:r>
      <w:proofErr w:type="spellStart"/>
      <w:r w:rsidRPr="00F55C36">
        <w:rPr>
          <w:rFonts w:cstheme="minorHAnsi"/>
          <w:sz w:val="24"/>
          <w:szCs w:val="24"/>
        </w:rPr>
        <w:t>iii</w:t>
      </w:r>
      <w:proofErr w:type="spellEnd"/>
      <w:r w:rsidRPr="00F55C36">
        <w:rPr>
          <w:rFonts w:cstheme="minorHAnsi"/>
          <w:sz w:val="24"/>
          <w:szCs w:val="24"/>
        </w:rPr>
        <w:t>) impuestos selectivos al consumo: por un lado, se gravan con impuesto selectivo al consumo de productos de juegos de azar, apuestas a través de internet o cualquier modalidad, por el otro,  se grava a los motores fuera de borda de más de 150cc de cilindrada, yates, botes de vela, barcos y embarcaciones de recreo o deporte, motos acuáticas, naves, aeronaves y helicópteros no considerados de uso no comercial; (</w:t>
      </w:r>
      <w:proofErr w:type="spellStart"/>
      <w:r w:rsidRPr="00F55C36">
        <w:rPr>
          <w:rFonts w:cstheme="minorHAnsi"/>
          <w:sz w:val="24"/>
          <w:szCs w:val="24"/>
        </w:rPr>
        <w:t>iv</w:t>
      </w:r>
      <w:proofErr w:type="spellEnd"/>
      <w:r w:rsidRPr="00F55C36">
        <w:rPr>
          <w:rFonts w:cstheme="minorHAnsi"/>
          <w:sz w:val="24"/>
          <w:szCs w:val="24"/>
        </w:rPr>
        <w:t>) aplicación de tratados de doble tributación.</w:t>
      </w:r>
    </w:p>
    <w:p w14:paraId="26CC272D" w14:textId="77777777" w:rsidR="000C171B" w:rsidRPr="00F55C36" w:rsidRDefault="000C171B" w:rsidP="000C171B">
      <w:pPr>
        <w:spacing w:after="0" w:line="240" w:lineRule="auto"/>
        <w:jc w:val="both"/>
        <w:rPr>
          <w:rFonts w:cstheme="minorHAnsi"/>
          <w:sz w:val="24"/>
          <w:szCs w:val="24"/>
        </w:rPr>
      </w:pPr>
    </w:p>
    <w:p w14:paraId="0107BB2C" w14:textId="77777777" w:rsidR="000C171B" w:rsidRPr="00F55C36" w:rsidRDefault="000C171B" w:rsidP="000C171B">
      <w:pPr>
        <w:spacing w:after="0" w:line="240" w:lineRule="auto"/>
        <w:jc w:val="both"/>
        <w:rPr>
          <w:rFonts w:cstheme="minorHAnsi"/>
          <w:sz w:val="24"/>
          <w:szCs w:val="24"/>
        </w:rPr>
      </w:pPr>
      <w:r w:rsidRPr="00F55C36">
        <w:rPr>
          <w:rFonts w:cstheme="minorHAnsi"/>
          <w:sz w:val="24"/>
          <w:szCs w:val="24"/>
        </w:rPr>
        <w:t>De igual manera el país realizó ajustes al sistema fiscal, para incentivar las actividades relevantes del sector marítimo. Por lo cual no causarán Impuesto sobre la Renta (ISR), ni las rentas provenientes del financiamiento para la construcción y compra de naves que formen parte de la marina mercante nacional, ni aquellas generadas con el fin de crear astilleros de construcción de barcos comerciales, yates, buques militares y otros tipos de barcos para transporte de mercancía o pasajeros y/o empresas dedicadas a proyectos marítimos financiables.</w:t>
      </w:r>
    </w:p>
    <w:p w14:paraId="20A447F3" w14:textId="77777777" w:rsidR="000C171B" w:rsidRPr="00F55C36" w:rsidRDefault="000C171B" w:rsidP="000C171B">
      <w:pPr>
        <w:spacing w:after="0" w:line="240" w:lineRule="auto"/>
        <w:jc w:val="both"/>
        <w:rPr>
          <w:rFonts w:cstheme="minorHAnsi"/>
          <w:sz w:val="24"/>
          <w:szCs w:val="24"/>
        </w:rPr>
      </w:pPr>
    </w:p>
    <w:p w14:paraId="5968FB43" w14:textId="77777777" w:rsidR="000C171B" w:rsidRPr="00F55C36" w:rsidRDefault="000C171B" w:rsidP="000C171B">
      <w:pPr>
        <w:spacing w:after="0" w:line="240" w:lineRule="auto"/>
        <w:jc w:val="both"/>
        <w:rPr>
          <w:rFonts w:cstheme="minorHAnsi"/>
          <w:sz w:val="24"/>
          <w:szCs w:val="24"/>
        </w:rPr>
      </w:pPr>
      <w:r w:rsidRPr="00F55C36">
        <w:rPr>
          <w:rFonts w:cstheme="minorHAnsi"/>
          <w:sz w:val="24"/>
          <w:szCs w:val="24"/>
        </w:rPr>
        <w:lastRenderedPageBreak/>
        <w:t xml:space="preserve">El impacto de las filtraciones se observa en los indicadores de solidez financiera. La relación Activos líquidos / Depósitos ha disminuido durante los últimos siete años. En especial el año 2017 (19.0%) con relación al año 2010 (25.3%). de igual manera, para el año 2017, ha disminuido la relación activo líquido/total de activos (13.7%), con relación al año 2010 (19.4%). no obstante, se mantienen los niveles de liquidez por encima de los identificados por las regulaciones existentes. el resto de los indicadores, sin embargo, muestra pocas variaciones a lo largo de los últimos siete años. </w:t>
      </w:r>
    </w:p>
    <w:p w14:paraId="2B7C1158" w14:textId="77777777" w:rsidR="000C171B" w:rsidRPr="00F55C36" w:rsidRDefault="000C171B" w:rsidP="000C171B">
      <w:pPr>
        <w:spacing w:after="0" w:line="240" w:lineRule="auto"/>
        <w:jc w:val="both"/>
        <w:rPr>
          <w:rFonts w:cstheme="minorHAnsi"/>
          <w:sz w:val="24"/>
          <w:szCs w:val="24"/>
        </w:rPr>
      </w:pPr>
    </w:p>
    <w:p w14:paraId="51B23097" w14:textId="77777777" w:rsidR="000C171B" w:rsidRDefault="000C171B" w:rsidP="000C171B">
      <w:pPr>
        <w:spacing w:after="0" w:line="240" w:lineRule="auto"/>
        <w:jc w:val="both"/>
        <w:rPr>
          <w:rFonts w:cstheme="minorHAnsi"/>
          <w:sz w:val="24"/>
          <w:szCs w:val="24"/>
        </w:rPr>
      </w:pPr>
      <w:r w:rsidRPr="00F55C36">
        <w:rPr>
          <w:rFonts w:cstheme="minorHAnsi"/>
          <w:sz w:val="24"/>
          <w:szCs w:val="24"/>
        </w:rPr>
        <w:t>Sin embargo, desde la perspectiva,  del logro de la Meta 16.4 de la Agenda 2030,  sobre reducir de manera significativa las corrientes financieras, se deben tomar tres medidas, requieren voluntad política: (i) la eliminación de compañías ficticias y cuentas anónimas, con la imposición de un requisito legal de declarar públicamente toda la información del beneficiario final de todas las entidades comerciales, incluyendo sociedades, fideicomisos, fundaciones y entidades benéficas; (</w:t>
      </w:r>
      <w:proofErr w:type="spellStart"/>
      <w:r w:rsidRPr="00F55C36">
        <w:rPr>
          <w:rFonts w:cstheme="minorHAnsi"/>
          <w:sz w:val="24"/>
          <w:szCs w:val="24"/>
        </w:rPr>
        <w:t>ii</w:t>
      </w:r>
      <w:proofErr w:type="spellEnd"/>
      <w:r w:rsidRPr="00F55C36">
        <w:rPr>
          <w:rFonts w:cstheme="minorHAnsi"/>
          <w:sz w:val="24"/>
          <w:szCs w:val="24"/>
        </w:rPr>
        <w:t>) el intercambio automático de información fiscal a nivel mundial; y (</w:t>
      </w:r>
      <w:proofErr w:type="spellStart"/>
      <w:r w:rsidRPr="00F55C36">
        <w:rPr>
          <w:rFonts w:cstheme="minorHAnsi"/>
          <w:sz w:val="24"/>
          <w:szCs w:val="24"/>
        </w:rPr>
        <w:t>iii</w:t>
      </w:r>
      <w:proofErr w:type="spellEnd"/>
      <w:r w:rsidRPr="00F55C36">
        <w:rPr>
          <w:rFonts w:cstheme="minorHAnsi"/>
          <w:sz w:val="24"/>
          <w:szCs w:val="24"/>
        </w:rPr>
        <w:t>) el establecimiento a través de un mandato legal de informes públicos país-por-país por parte de las corporaciones transnacionales, el cual exhiba sus activos, ingresos, utilidades, impuestos pagados y número de empleados, como también su balance de situación en cada una de las jurisdicciones donde operan, en vez de presentar un balance global consolidado.  (A/HRC/37/54/Add.2, 2017).</w:t>
      </w:r>
    </w:p>
    <w:p w14:paraId="3BFEDF9B" w14:textId="77777777" w:rsidR="000C171B" w:rsidRPr="00F55C36" w:rsidRDefault="000C171B" w:rsidP="000C171B">
      <w:pPr>
        <w:spacing w:after="0" w:line="240" w:lineRule="auto"/>
        <w:jc w:val="both"/>
        <w:rPr>
          <w:rFonts w:cstheme="minorHAnsi"/>
          <w:sz w:val="24"/>
          <w:szCs w:val="24"/>
        </w:rPr>
      </w:pPr>
    </w:p>
    <w:p w14:paraId="3BD5137A" w14:textId="77777777" w:rsidR="000C171B" w:rsidRPr="00F55C36" w:rsidRDefault="000C171B" w:rsidP="000C171B">
      <w:pPr>
        <w:spacing w:after="0" w:line="240" w:lineRule="auto"/>
        <w:rPr>
          <w:rFonts w:cstheme="minorHAnsi"/>
          <w:b/>
          <w:bCs/>
          <w:color w:val="4472C4" w:themeColor="accent1"/>
          <w:sz w:val="24"/>
          <w:szCs w:val="24"/>
        </w:rPr>
      </w:pPr>
      <w:r>
        <w:rPr>
          <w:rFonts w:cstheme="minorHAnsi"/>
          <w:b/>
          <w:bCs/>
          <w:color w:val="4472C4" w:themeColor="accent1"/>
          <w:sz w:val="24"/>
          <w:szCs w:val="24"/>
        </w:rPr>
        <w:t xml:space="preserve">8.1.2. </w:t>
      </w:r>
      <w:r w:rsidRPr="00BA7353">
        <w:rPr>
          <w:rFonts w:cstheme="minorHAnsi"/>
          <w:b/>
          <w:bCs/>
          <w:color w:val="4472C4" w:themeColor="accent1"/>
          <w:sz w:val="24"/>
          <w:szCs w:val="24"/>
        </w:rPr>
        <w:t xml:space="preserve">Riesgos y amenazas multidimensionales en derechos humanos: institucionalidad. </w:t>
      </w:r>
    </w:p>
    <w:p w14:paraId="785904CF" w14:textId="77777777" w:rsidR="000C171B" w:rsidRPr="00F55C36" w:rsidRDefault="000C171B" w:rsidP="000C171B">
      <w:pPr>
        <w:spacing w:after="0" w:line="240" w:lineRule="auto"/>
        <w:jc w:val="both"/>
        <w:rPr>
          <w:rFonts w:cstheme="minorHAnsi"/>
          <w:sz w:val="24"/>
          <w:szCs w:val="24"/>
        </w:rPr>
      </w:pPr>
    </w:p>
    <w:p w14:paraId="0A1A8312" w14:textId="77777777" w:rsidR="000C171B" w:rsidRPr="00F55C36" w:rsidRDefault="000C171B" w:rsidP="000C171B">
      <w:pPr>
        <w:spacing w:after="0" w:line="240" w:lineRule="auto"/>
        <w:jc w:val="both"/>
        <w:rPr>
          <w:rFonts w:cstheme="minorHAnsi"/>
          <w:sz w:val="24"/>
          <w:szCs w:val="24"/>
        </w:rPr>
      </w:pPr>
      <w:r w:rsidRPr="00F55C36">
        <w:rPr>
          <w:rFonts w:cstheme="minorHAnsi"/>
          <w:sz w:val="24"/>
          <w:szCs w:val="24"/>
        </w:rPr>
        <w:t>El país enfrenta el desafío de la transición hacia un modelo desarrollo más inclusivo y sostenible, para poner fin a la pobreza en todas sus dimensiones y reducir las desigualdades, como lo indica la Agenda 2030, que hace un llamado a sumar a todos los grupos al desarrollo y a “no dejar a nadie atrás”, enfocándose en las poblaciones menos favorecidas (PNUD, 2019).</w:t>
      </w:r>
    </w:p>
    <w:p w14:paraId="36230568" w14:textId="77777777" w:rsidR="000C171B" w:rsidRPr="00F55C36" w:rsidRDefault="000C171B" w:rsidP="000C171B">
      <w:pPr>
        <w:spacing w:after="0" w:line="240" w:lineRule="auto"/>
        <w:jc w:val="both"/>
        <w:rPr>
          <w:rFonts w:cstheme="minorHAnsi"/>
          <w:sz w:val="24"/>
          <w:szCs w:val="24"/>
        </w:rPr>
      </w:pPr>
    </w:p>
    <w:p w14:paraId="789345A3" w14:textId="77777777" w:rsidR="000C171B" w:rsidRPr="00F55C36" w:rsidRDefault="000C171B" w:rsidP="000C171B">
      <w:pPr>
        <w:spacing w:after="0" w:line="240" w:lineRule="auto"/>
        <w:jc w:val="both"/>
        <w:rPr>
          <w:rFonts w:cstheme="minorHAnsi"/>
          <w:sz w:val="24"/>
          <w:szCs w:val="24"/>
        </w:rPr>
      </w:pPr>
      <w:r w:rsidRPr="00F55C36">
        <w:rPr>
          <w:rFonts w:cstheme="minorHAnsi"/>
          <w:sz w:val="24"/>
          <w:szCs w:val="24"/>
        </w:rPr>
        <w:t>Por ello en el marco de la nueva agenda global asumida por Panamá en el PEN2030 , se requiere instituciones eficaces en el logro de las metas de desarrollo nacional, eficientes en el uso de recursos, inclusivas para facilitar la incorporación de los distintos sectores a la dinámica de desarrollo y que rindan cuentas a la ciudadanía con transparencia. En este aspecto es clave la gestión por resultados, para el diseño y seguimiento de las políticas con criterios claros de asignación de recursos. Además de incorporar la gestión del conocimiento para desarrollar soluciones adaptadas, eficientes en el uso de los recursos naturales y de alto impacto social (PNUD, 2019).</w:t>
      </w:r>
    </w:p>
    <w:p w14:paraId="44E37CC5" w14:textId="77777777" w:rsidR="000C171B" w:rsidRPr="00F55C36" w:rsidRDefault="000C171B" w:rsidP="000C171B">
      <w:pPr>
        <w:spacing w:after="0" w:line="240" w:lineRule="auto"/>
        <w:jc w:val="both"/>
        <w:rPr>
          <w:rFonts w:cstheme="minorHAnsi"/>
          <w:sz w:val="24"/>
          <w:szCs w:val="24"/>
        </w:rPr>
      </w:pPr>
    </w:p>
    <w:p w14:paraId="66366376" w14:textId="77777777" w:rsidR="000C171B" w:rsidRPr="00F55C36" w:rsidRDefault="000C171B" w:rsidP="000C171B">
      <w:pPr>
        <w:spacing w:after="0" w:line="240" w:lineRule="auto"/>
        <w:jc w:val="both"/>
        <w:rPr>
          <w:rFonts w:cstheme="minorHAnsi"/>
          <w:sz w:val="24"/>
          <w:szCs w:val="24"/>
        </w:rPr>
      </w:pPr>
      <w:r w:rsidRPr="00F55C36">
        <w:rPr>
          <w:rFonts w:cstheme="minorHAnsi"/>
          <w:sz w:val="24"/>
          <w:szCs w:val="24"/>
        </w:rPr>
        <w:t xml:space="preserve">Los nuevos retos de desarrollo hacen un llamado a la importancia del liderazgo más cercano a las personas. Un nuevo liderazgo que promueva y desarrolle relaciones efectivas con otras instituciones, pero también con actores fuera del estado, será esencial para una mayor sensibilidad y capacidad de respuesta a las necesidades de los ciudadanos, junto con la reconstrucción de la confianza, que va más allá de la legitimidad formal (PNUD, 2019). </w:t>
      </w:r>
    </w:p>
    <w:p w14:paraId="4F929429" w14:textId="77777777" w:rsidR="000C171B" w:rsidRPr="00F55C36" w:rsidRDefault="000C171B" w:rsidP="000C171B">
      <w:pPr>
        <w:spacing w:after="0" w:line="240" w:lineRule="auto"/>
        <w:jc w:val="both"/>
        <w:rPr>
          <w:rFonts w:cstheme="minorHAnsi"/>
          <w:sz w:val="24"/>
          <w:szCs w:val="24"/>
        </w:rPr>
      </w:pPr>
    </w:p>
    <w:p w14:paraId="454AD11F" w14:textId="77777777" w:rsidR="000C171B" w:rsidRPr="00F55C36" w:rsidRDefault="000C171B" w:rsidP="000C171B">
      <w:pPr>
        <w:spacing w:after="0" w:line="240" w:lineRule="auto"/>
        <w:jc w:val="both"/>
        <w:rPr>
          <w:rFonts w:cstheme="minorHAnsi"/>
          <w:sz w:val="24"/>
          <w:szCs w:val="24"/>
        </w:rPr>
      </w:pPr>
      <w:r w:rsidRPr="00F55C36">
        <w:rPr>
          <w:rFonts w:cstheme="minorHAnsi"/>
          <w:sz w:val="24"/>
          <w:szCs w:val="24"/>
        </w:rPr>
        <w:lastRenderedPageBreak/>
        <w:t>Para el alcance de la nueva agenda 2030 es necesario refundar la manera en que se comparte la responsabilidad y rendición de cuentas entre gobierno, sociedad civil y empresa privada. Un nuevo contrato entre gobierno y sus ciudadanos, donde el primero responde a las necesidades de la ciudadanía y es responsable de sus decisiones y acciones hacia ellos; mientras las y los ciudadanos participan en procesos democráticos, pagan impuestos y participan de la vida civil. El reto para una mayor participación ciudadana será determinar qué asuntos son los que deben ser consultados, en qué medida y bajo qué modalidades (PNUD, 2019).</w:t>
      </w:r>
    </w:p>
    <w:p w14:paraId="62455F23" w14:textId="77777777" w:rsidR="000C171B" w:rsidRPr="00F55C36" w:rsidRDefault="000C171B" w:rsidP="000C171B">
      <w:pPr>
        <w:spacing w:after="0" w:line="240" w:lineRule="auto"/>
        <w:jc w:val="both"/>
        <w:rPr>
          <w:rFonts w:cstheme="minorHAnsi"/>
          <w:sz w:val="24"/>
          <w:szCs w:val="24"/>
        </w:rPr>
      </w:pPr>
    </w:p>
    <w:p w14:paraId="1A5FA97E" w14:textId="77777777" w:rsidR="000C171B" w:rsidRPr="00F55C36" w:rsidRDefault="000C171B" w:rsidP="000C171B">
      <w:pPr>
        <w:spacing w:after="0" w:line="240" w:lineRule="auto"/>
        <w:jc w:val="both"/>
        <w:rPr>
          <w:rFonts w:cstheme="minorHAnsi"/>
          <w:sz w:val="24"/>
          <w:szCs w:val="24"/>
        </w:rPr>
      </w:pPr>
      <w:r w:rsidRPr="00F55C36">
        <w:rPr>
          <w:rFonts w:cstheme="minorHAnsi"/>
          <w:sz w:val="24"/>
          <w:szCs w:val="24"/>
        </w:rPr>
        <w:t xml:space="preserve">La participación en asuntos locales puede ser más fácil que en asuntos nacionales; Un gobierno con capacidad de respuesta debe poder reconciliar las prioridades nacionales con las locales. </w:t>
      </w:r>
    </w:p>
    <w:p w14:paraId="62F61034" w14:textId="77777777" w:rsidR="000C171B" w:rsidRPr="00F55C36" w:rsidRDefault="000C171B" w:rsidP="000C171B">
      <w:pPr>
        <w:spacing w:after="0" w:line="240" w:lineRule="auto"/>
        <w:jc w:val="both"/>
        <w:rPr>
          <w:rFonts w:cstheme="minorHAnsi"/>
          <w:sz w:val="24"/>
          <w:szCs w:val="24"/>
        </w:rPr>
      </w:pPr>
      <w:r w:rsidRPr="00F55C36">
        <w:rPr>
          <w:rFonts w:cstheme="minorHAnsi"/>
          <w:sz w:val="24"/>
          <w:szCs w:val="24"/>
        </w:rPr>
        <w:t>La armonía vertical es otro reto para la nueva gobernabilidad donde se propone que una autoridad central debe tener un rol subsidiario, es decir, solo debe ocuparse de aquellas tareas que no pueden ser realizadas de manera más eficiente por niveles locales más inmediatos (PNUD, 2019).</w:t>
      </w:r>
    </w:p>
    <w:p w14:paraId="14D87508" w14:textId="77777777" w:rsidR="000C171B" w:rsidRPr="00F55C36" w:rsidRDefault="000C171B" w:rsidP="000C171B">
      <w:pPr>
        <w:spacing w:after="0" w:line="240" w:lineRule="auto"/>
        <w:jc w:val="both"/>
        <w:rPr>
          <w:rFonts w:cstheme="minorHAnsi"/>
          <w:sz w:val="24"/>
          <w:szCs w:val="24"/>
        </w:rPr>
      </w:pPr>
    </w:p>
    <w:p w14:paraId="4F0E7B16" w14:textId="77777777" w:rsidR="000C171B" w:rsidRPr="00F55C36" w:rsidRDefault="000C171B" w:rsidP="000C171B">
      <w:pPr>
        <w:spacing w:after="0" w:line="240" w:lineRule="auto"/>
        <w:jc w:val="both"/>
        <w:rPr>
          <w:rFonts w:cstheme="minorHAnsi"/>
          <w:sz w:val="24"/>
          <w:szCs w:val="24"/>
        </w:rPr>
      </w:pPr>
      <w:r w:rsidRPr="00F55C36">
        <w:rPr>
          <w:rFonts w:cstheme="minorHAnsi"/>
          <w:sz w:val="24"/>
          <w:szCs w:val="24"/>
        </w:rPr>
        <w:t>Para enfrentar el complejo escenario de desarrollo sostenible, la capacidad de reacción del sector público deberá centrarse en satisfacer las expectativas de las personas con suficiente oferta, calidad y prontitud en los servicios públicos, capacidad que a su vez alimenta la confianza en los gobiernos, incentivando a la cooperación y al respeto de reglas y leyes (PNUD, 2019).</w:t>
      </w:r>
    </w:p>
    <w:p w14:paraId="7994EA42" w14:textId="77777777" w:rsidR="000C171B" w:rsidRPr="00F55C36" w:rsidRDefault="000C171B" w:rsidP="000C171B">
      <w:pPr>
        <w:spacing w:after="0" w:line="240" w:lineRule="auto"/>
        <w:jc w:val="both"/>
        <w:rPr>
          <w:rFonts w:cstheme="minorHAnsi"/>
          <w:sz w:val="24"/>
          <w:szCs w:val="24"/>
        </w:rPr>
      </w:pPr>
    </w:p>
    <w:p w14:paraId="60EBDC10" w14:textId="77777777" w:rsidR="000C171B" w:rsidRPr="00F55C36" w:rsidRDefault="000C171B" w:rsidP="000C171B">
      <w:pPr>
        <w:spacing w:after="0" w:line="240" w:lineRule="auto"/>
        <w:jc w:val="both"/>
        <w:rPr>
          <w:rFonts w:cstheme="minorHAnsi"/>
          <w:sz w:val="24"/>
          <w:szCs w:val="24"/>
        </w:rPr>
      </w:pPr>
      <w:r w:rsidRPr="00F55C36">
        <w:rPr>
          <w:rFonts w:cstheme="minorHAnsi"/>
          <w:sz w:val="24"/>
          <w:szCs w:val="24"/>
        </w:rPr>
        <w:t>Los servidores públicos tendrán que desarrollar habilidades para lograr involucrar a las comunidades para que articulen sus problemas y contribuyan a diseñar respuestas, sumando a los métodos tradicionales de interacción personal, otros que involucran a la tecnología. La capacidad para desarrollar relaciones efectivas con otras instituciones, pero también con actores fuera del estado será esencial para una mayor capacidad de respuesta. Adicionalmente, tendrán que ser capaces de comprender mejor la diversidad de las necesidades, aspiraciones y deseos de las personas (PNUD, 2019).</w:t>
      </w:r>
    </w:p>
    <w:p w14:paraId="536635D7" w14:textId="77777777" w:rsidR="000C171B" w:rsidRPr="00F55C36" w:rsidRDefault="000C171B" w:rsidP="000C171B">
      <w:pPr>
        <w:spacing w:after="0" w:line="240" w:lineRule="auto"/>
        <w:jc w:val="both"/>
        <w:rPr>
          <w:rFonts w:cstheme="minorHAnsi"/>
          <w:sz w:val="24"/>
          <w:szCs w:val="24"/>
        </w:rPr>
      </w:pPr>
    </w:p>
    <w:p w14:paraId="132C65C1" w14:textId="77777777" w:rsidR="000C171B" w:rsidRPr="00F55C36" w:rsidRDefault="000C171B" w:rsidP="000C171B">
      <w:pPr>
        <w:spacing w:after="0" w:line="240" w:lineRule="auto"/>
        <w:jc w:val="both"/>
        <w:rPr>
          <w:rFonts w:cstheme="minorHAnsi"/>
          <w:sz w:val="24"/>
          <w:szCs w:val="24"/>
        </w:rPr>
      </w:pPr>
      <w:r w:rsidRPr="00F55C36">
        <w:rPr>
          <w:rFonts w:cstheme="minorHAnsi"/>
          <w:sz w:val="24"/>
          <w:szCs w:val="24"/>
        </w:rPr>
        <w:t>Más allá de la tradicional rendición de cuentas jerárquica y vertical, hay dos nuevos tipos de rendición de cuentas que reflejan la realidad actual: la compartida y la social. En el pasado las reformas para mejorar la rendición de cuentas no tomaban en cuenta a las instituciones informales; establecer y cumplir reglas para la rendición de cuentas en instituciones formales no es suficiente cuando éstas conviven con modalidades informales que hay que alinear para promover la gobernabilidad responsable. La rendición de cuentas se complica cuando, como lo exigen los nuevos retos de desarrollo, las instituciones deben compartir la responsabilidad en la entrega de servicios y no como antes, cuando una sola institución era la única responsable, confirmando la necesidad de adaptarse a la nueva realidad (PNUD, 2019).</w:t>
      </w:r>
    </w:p>
    <w:p w14:paraId="29485F20" w14:textId="77777777" w:rsidR="000C171B" w:rsidRPr="00F55C36" w:rsidRDefault="000C171B" w:rsidP="000C171B">
      <w:pPr>
        <w:spacing w:after="0" w:line="240" w:lineRule="auto"/>
        <w:jc w:val="both"/>
        <w:rPr>
          <w:rFonts w:cstheme="minorHAnsi"/>
          <w:sz w:val="24"/>
          <w:szCs w:val="24"/>
        </w:rPr>
      </w:pPr>
    </w:p>
    <w:p w14:paraId="58762970" w14:textId="77777777" w:rsidR="000C171B" w:rsidRPr="00F55C36" w:rsidRDefault="000C171B" w:rsidP="000C171B">
      <w:pPr>
        <w:spacing w:after="0" w:line="240" w:lineRule="auto"/>
        <w:jc w:val="both"/>
        <w:rPr>
          <w:rFonts w:cstheme="minorHAnsi"/>
          <w:sz w:val="24"/>
          <w:szCs w:val="24"/>
        </w:rPr>
      </w:pPr>
      <w:r w:rsidRPr="00F55C36">
        <w:rPr>
          <w:rFonts w:cstheme="minorHAnsi"/>
          <w:sz w:val="24"/>
          <w:szCs w:val="24"/>
        </w:rPr>
        <w:t>La promoción de relaciones entre el estado y los ciudadanos es fundamental para crear plataformas de diálogos que le permitan a los ciudadanos y organizaciones de la sociedad civil exigir la rendición de cuenta a los gobiernos.  Sin embargo, solo puede haber un diálogo efectivo cuando el gobierno empodera a las personas para que éstas exijan resultados, a través de información y garantizando que la misma sea entendida (PNUD, 2019).</w:t>
      </w:r>
    </w:p>
    <w:p w14:paraId="48208D39" w14:textId="77777777" w:rsidR="000C171B" w:rsidRPr="00F55C36" w:rsidRDefault="000C171B" w:rsidP="000C171B">
      <w:pPr>
        <w:spacing w:after="0" w:line="240" w:lineRule="auto"/>
        <w:jc w:val="both"/>
        <w:rPr>
          <w:rFonts w:cstheme="minorHAnsi"/>
          <w:sz w:val="24"/>
          <w:szCs w:val="24"/>
        </w:rPr>
      </w:pPr>
    </w:p>
    <w:p w14:paraId="23D68DE3" w14:textId="77777777" w:rsidR="000C171B" w:rsidRPr="00F55C36" w:rsidRDefault="000C171B" w:rsidP="000C171B">
      <w:pPr>
        <w:spacing w:after="0" w:line="240" w:lineRule="auto"/>
        <w:jc w:val="both"/>
        <w:rPr>
          <w:rFonts w:cstheme="minorHAnsi"/>
          <w:sz w:val="24"/>
          <w:szCs w:val="24"/>
        </w:rPr>
      </w:pPr>
      <w:r w:rsidRPr="00F55C36">
        <w:rPr>
          <w:rFonts w:cstheme="minorHAnsi"/>
          <w:sz w:val="24"/>
          <w:szCs w:val="24"/>
        </w:rPr>
        <w:t>Un sector público basado en los principios de integridad, transparencia y rendición de cuentas es una de las condiciones de la confianza en la democracia, la cohesión nacional y la participación ciudadana. La confianza entra en juego cada vez que se anuncia una nueva política pública y es esencial para construir la legitimidad y sostenibilidad de los sistemas políticos. Se puede distinguir entre confianza política y confianza social y ambas son determinantes e inseparables para cumplir este rol (PNUD, 2019).</w:t>
      </w:r>
    </w:p>
    <w:p w14:paraId="790E108F" w14:textId="77777777" w:rsidR="000C171B" w:rsidRPr="00F55C36" w:rsidRDefault="000C171B" w:rsidP="000C171B">
      <w:pPr>
        <w:spacing w:after="0" w:line="240" w:lineRule="auto"/>
        <w:jc w:val="both"/>
        <w:rPr>
          <w:rFonts w:cstheme="minorHAnsi"/>
          <w:sz w:val="24"/>
          <w:szCs w:val="24"/>
        </w:rPr>
      </w:pPr>
    </w:p>
    <w:p w14:paraId="2B9E28A6" w14:textId="77777777" w:rsidR="000C171B" w:rsidRPr="00F55C36" w:rsidRDefault="000C171B" w:rsidP="000C171B">
      <w:pPr>
        <w:spacing w:after="0" w:line="240" w:lineRule="auto"/>
        <w:jc w:val="both"/>
        <w:rPr>
          <w:rFonts w:cstheme="minorHAnsi"/>
          <w:sz w:val="24"/>
          <w:szCs w:val="24"/>
        </w:rPr>
      </w:pPr>
      <w:r w:rsidRPr="00F55C36">
        <w:rPr>
          <w:rFonts w:cstheme="minorHAnsi"/>
          <w:sz w:val="24"/>
          <w:szCs w:val="24"/>
        </w:rPr>
        <w:t>Para el logro de los desafíos de desarrollo aquí planteados deben retomarse los procesos de planificación por resultado, vinculados a sistemas de información que nos permitan diseñar, dar seguimiento y evaluar las políticas. Esta información debiera ser clave para la asignación de recursos con criterios de equidad y para la planificación del presupuesto público. En el esquema del desarrollo sostenible e inclusivo, la institucionalidad del país es el reto más trascendental para el cumplimiento de la Agenda2030. Lo que implica tanto la formación continua, cómo la selección por mérito y la evaluación por competencias (PNUD, 2019).</w:t>
      </w:r>
    </w:p>
    <w:p w14:paraId="6D8A34F4" w14:textId="77777777" w:rsidR="000C171B" w:rsidRPr="00C952BA" w:rsidRDefault="000C171B" w:rsidP="000C171B">
      <w:pPr>
        <w:spacing w:after="0" w:line="240" w:lineRule="auto"/>
        <w:jc w:val="both"/>
        <w:rPr>
          <w:rFonts w:cstheme="minorHAnsi"/>
          <w:color w:val="4472C4" w:themeColor="accent1"/>
          <w:sz w:val="24"/>
          <w:szCs w:val="24"/>
        </w:rPr>
      </w:pPr>
    </w:p>
    <w:p w14:paraId="6A1E6DDF" w14:textId="77777777" w:rsidR="000C171B" w:rsidRDefault="000C171B" w:rsidP="000C171B">
      <w:pPr>
        <w:spacing w:after="0" w:line="240" w:lineRule="auto"/>
        <w:rPr>
          <w:rFonts w:cstheme="minorHAnsi"/>
          <w:sz w:val="24"/>
          <w:szCs w:val="24"/>
        </w:rPr>
      </w:pPr>
      <w:r>
        <w:rPr>
          <w:rFonts w:cstheme="minorHAnsi"/>
          <w:b/>
          <w:bCs/>
          <w:color w:val="4472C4" w:themeColor="accent1"/>
          <w:sz w:val="24"/>
          <w:szCs w:val="24"/>
        </w:rPr>
        <w:t xml:space="preserve">8.1.3. </w:t>
      </w:r>
      <w:r w:rsidRPr="00BA7353">
        <w:rPr>
          <w:rFonts w:cstheme="minorHAnsi"/>
          <w:b/>
          <w:bCs/>
          <w:color w:val="4472C4" w:themeColor="accent1"/>
          <w:sz w:val="24"/>
          <w:szCs w:val="24"/>
        </w:rPr>
        <w:t>Riesgos y amenazas multidimensionales en lo humanitario: exigibilidad de derechos</w:t>
      </w:r>
      <w:r w:rsidRPr="00BA7353">
        <w:rPr>
          <w:rFonts w:cstheme="minorHAnsi"/>
          <w:color w:val="4472C4" w:themeColor="accent1"/>
          <w:sz w:val="24"/>
          <w:szCs w:val="24"/>
        </w:rPr>
        <w:t xml:space="preserve">. </w:t>
      </w:r>
    </w:p>
    <w:p w14:paraId="2C6A0052" w14:textId="77777777" w:rsidR="000C171B" w:rsidRDefault="000C171B" w:rsidP="000C171B">
      <w:pPr>
        <w:spacing w:after="0" w:line="240" w:lineRule="auto"/>
        <w:rPr>
          <w:rFonts w:cstheme="minorHAnsi"/>
          <w:sz w:val="24"/>
          <w:szCs w:val="24"/>
        </w:rPr>
      </w:pPr>
    </w:p>
    <w:p w14:paraId="799B0A60" w14:textId="77777777" w:rsidR="000C171B" w:rsidRDefault="000C171B" w:rsidP="000C171B">
      <w:pPr>
        <w:spacing w:after="0" w:line="240" w:lineRule="auto"/>
        <w:jc w:val="both"/>
        <w:rPr>
          <w:rFonts w:cstheme="minorHAnsi"/>
          <w:sz w:val="24"/>
          <w:szCs w:val="24"/>
        </w:rPr>
      </w:pPr>
      <w:r w:rsidRPr="00C03ABB">
        <w:rPr>
          <w:rFonts w:cstheme="minorHAnsi"/>
          <w:sz w:val="24"/>
          <w:szCs w:val="24"/>
        </w:rPr>
        <w:t xml:space="preserve">En la sociedad democrática los derechos son respetados y exigibles. </w:t>
      </w:r>
      <w:r>
        <w:rPr>
          <w:rFonts w:cstheme="minorHAnsi"/>
          <w:sz w:val="24"/>
          <w:szCs w:val="24"/>
        </w:rPr>
        <w:t>En el caso de Panamá el respeto a los derechos y su exigibilidad de los mismos, están seriamente cuestionados. El retraso en los fallos, la discrecionalidad en la aplicación de las medidas, entre otros, generan una percepción de justicia tardía, ineficiente y claramente manipulable</w:t>
      </w:r>
    </w:p>
    <w:p w14:paraId="4BE9F4BE" w14:textId="77777777" w:rsidR="000C171B" w:rsidRDefault="000C171B" w:rsidP="000C171B">
      <w:pPr>
        <w:spacing w:after="0" w:line="240" w:lineRule="auto"/>
        <w:jc w:val="both"/>
        <w:rPr>
          <w:rFonts w:cstheme="minorHAnsi"/>
          <w:sz w:val="24"/>
          <w:szCs w:val="24"/>
        </w:rPr>
      </w:pPr>
    </w:p>
    <w:p w14:paraId="695EFE34" w14:textId="77777777" w:rsidR="000C171B" w:rsidRDefault="000C171B" w:rsidP="000C171B">
      <w:pPr>
        <w:spacing w:after="0" w:line="240" w:lineRule="auto"/>
        <w:jc w:val="both"/>
        <w:rPr>
          <w:rFonts w:cstheme="minorHAnsi"/>
          <w:sz w:val="24"/>
          <w:szCs w:val="24"/>
        </w:rPr>
      </w:pPr>
      <w:r w:rsidRPr="00C03ABB">
        <w:rPr>
          <w:rFonts w:cstheme="minorHAnsi"/>
          <w:sz w:val="24"/>
          <w:szCs w:val="24"/>
        </w:rPr>
        <w:t xml:space="preserve">Desde esta perspectiva, el acceso a la justicia se convierte en </w:t>
      </w:r>
      <w:r>
        <w:rPr>
          <w:rFonts w:cstheme="minorHAnsi"/>
          <w:sz w:val="24"/>
          <w:szCs w:val="24"/>
        </w:rPr>
        <w:t xml:space="preserve">reto para la realización de la Agenda 2030 en tanto es </w:t>
      </w:r>
      <w:r w:rsidRPr="00C03ABB">
        <w:rPr>
          <w:rFonts w:cstheme="minorHAnsi"/>
          <w:sz w:val="24"/>
          <w:szCs w:val="24"/>
        </w:rPr>
        <w:t xml:space="preserve">un derecho que mediante los mecanismos suficientes y eficientes se transforma en una garantía en una verdadera tutela judicial en el marco de una sociedad democrática. </w:t>
      </w:r>
      <w:r>
        <w:rPr>
          <w:rFonts w:cstheme="minorHAnsi"/>
          <w:sz w:val="24"/>
          <w:szCs w:val="24"/>
        </w:rPr>
        <w:t xml:space="preserve">Sin esa garantía para todas las personas, el estado de derecho no se realiza plenamente. Por deja se de ser el portador de un acuerdo en el cual todas las personas son iguales ante la ley. </w:t>
      </w:r>
    </w:p>
    <w:p w14:paraId="7C4B0148" w14:textId="77777777" w:rsidR="000C171B" w:rsidRDefault="000C171B" w:rsidP="000C171B">
      <w:pPr>
        <w:spacing w:after="0" w:line="240" w:lineRule="auto"/>
        <w:jc w:val="both"/>
        <w:rPr>
          <w:rFonts w:cstheme="minorHAnsi"/>
          <w:sz w:val="24"/>
          <w:szCs w:val="24"/>
        </w:rPr>
      </w:pPr>
    </w:p>
    <w:p w14:paraId="647D12AD" w14:textId="77777777" w:rsidR="000C171B" w:rsidRPr="00C03ABB" w:rsidRDefault="000C171B" w:rsidP="000C171B">
      <w:pPr>
        <w:spacing w:after="0" w:line="240" w:lineRule="auto"/>
        <w:jc w:val="both"/>
        <w:rPr>
          <w:rFonts w:cstheme="minorHAnsi"/>
          <w:sz w:val="24"/>
          <w:szCs w:val="24"/>
        </w:rPr>
      </w:pPr>
      <w:r w:rsidRPr="00C03ABB">
        <w:rPr>
          <w:rFonts w:cstheme="minorHAnsi"/>
          <w:sz w:val="24"/>
          <w:szCs w:val="24"/>
        </w:rPr>
        <w:t>Para que la justicia se corresponda con una sociedad democrática plena debe existir acceso a la jurisdicción</w:t>
      </w:r>
      <w:r>
        <w:rPr>
          <w:rFonts w:cstheme="minorHAnsi"/>
          <w:sz w:val="24"/>
          <w:szCs w:val="24"/>
        </w:rPr>
        <w:t>: (i)</w:t>
      </w:r>
      <w:r w:rsidRPr="00C03ABB">
        <w:rPr>
          <w:rFonts w:cstheme="minorHAnsi"/>
          <w:sz w:val="24"/>
          <w:szCs w:val="24"/>
        </w:rPr>
        <w:t xml:space="preserve"> oportunidad procesal </w:t>
      </w:r>
      <w:r>
        <w:rPr>
          <w:rFonts w:cstheme="minorHAnsi"/>
          <w:sz w:val="24"/>
          <w:szCs w:val="24"/>
        </w:rPr>
        <w:t xml:space="preserve">para </w:t>
      </w:r>
      <w:r w:rsidRPr="00C03ABB">
        <w:rPr>
          <w:rFonts w:cstheme="minorHAnsi"/>
          <w:sz w:val="24"/>
          <w:szCs w:val="24"/>
        </w:rPr>
        <w:t xml:space="preserve">reclamar justicia; </w:t>
      </w:r>
      <w:r>
        <w:rPr>
          <w:rFonts w:cstheme="minorHAnsi"/>
          <w:sz w:val="24"/>
          <w:szCs w:val="24"/>
        </w:rPr>
        <w:t>(</w:t>
      </w:r>
      <w:proofErr w:type="spellStart"/>
      <w:r>
        <w:rPr>
          <w:rFonts w:cstheme="minorHAnsi"/>
          <w:sz w:val="24"/>
          <w:szCs w:val="24"/>
        </w:rPr>
        <w:t>ii</w:t>
      </w:r>
      <w:proofErr w:type="spellEnd"/>
      <w:r>
        <w:rPr>
          <w:rFonts w:cstheme="minorHAnsi"/>
          <w:sz w:val="24"/>
          <w:szCs w:val="24"/>
        </w:rPr>
        <w:t xml:space="preserve">) </w:t>
      </w:r>
      <w:r w:rsidRPr="00C03ABB">
        <w:rPr>
          <w:rFonts w:cstheme="minorHAnsi"/>
          <w:sz w:val="24"/>
          <w:szCs w:val="24"/>
        </w:rPr>
        <w:t xml:space="preserve">derecho de </w:t>
      </w:r>
      <w:r>
        <w:rPr>
          <w:rFonts w:cstheme="minorHAnsi"/>
          <w:sz w:val="24"/>
          <w:szCs w:val="24"/>
        </w:rPr>
        <w:t>i</w:t>
      </w:r>
      <w:r w:rsidRPr="00C03ABB">
        <w:rPr>
          <w:rFonts w:cstheme="minorHAnsi"/>
          <w:sz w:val="24"/>
          <w:szCs w:val="24"/>
        </w:rPr>
        <w:t xml:space="preserve">gualdad ante la ley, que representa la base de la igualdad procesal de toda persona frente al sistema judicial; </w:t>
      </w:r>
      <w:r>
        <w:rPr>
          <w:rFonts w:cstheme="minorHAnsi"/>
          <w:sz w:val="24"/>
          <w:szCs w:val="24"/>
        </w:rPr>
        <w:t>(</w:t>
      </w:r>
      <w:proofErr w:type="spellStart"/>
      <w:r>
        <w:rPr>
          <w:rFonts w:cstheme="minorHAnsi"/>
          <w:sz w:val="24"/>
          <w:szCs w:val="24"/>
        </w:rPr>
        <w:t>iii</w:t>
      </w:r>
      <w:proofErr w:type="spellEnd"/>
      <w:r>
        <w:rPr>
          <w:rFonts w:cstheme="minorHAnsi"/>
          <w:sz w:val="24"/>
          <w:szCs w:val="24"/>
        </w:rPr>
        <w:t xml:space="preserve">) </w:t>
      </w:r>
      <w:r w:rsidRPr="00C03ABB">
        <w:rPr>
          <w:rFonts w:cstheme="minorHAnsi"/>
          <w:sz w:val="24"/>
          <w:szCs w:val="24"/>
        </w:rPr>
        <w:t xml:space="preserve">existencia de mecanismos y garantías que aseguren los derechos humanos sustantivos así como la existencia de controles judiciales de cada lesión los derechos de las personas. </w:t>
      </w:r>
    </w:p>
    <w:p w14:paraId="2D4269DD" w14:textId="77777777" w:rsidR="000C171B" w:rsidRPr="00C03ABB" w:rsidRDefault="000C171B" w:rsidP="000C171B">
      <w:pPr>
        <w:spacing w:after="0" w:line="240" w:lineRule="auto"/>
        <w:jc w:val="both"/>
        <w:rPr>
          <w:rFonts w:cstheme="minorHAnsi"/>
          <w:sz w:val="24"/>
          <w:szCs w:val="24"/>
        </w:rPr>
      </w:pPr>
    </w:p>
    <w:p w14:paraId="67E41627" w14:textId="77777777" w:rsidR="000C171B" w:rsidRDefault="000C171B" w:rsidP="000C171B">
      <w:pPr>
        <w:spacing w:after="0" w:line="240" w:lineRule="auto"/>
        <w:jc w:val="both"/>
        <w:rPr>
          <w:rFonts w:cstheme="minorHAnsi"/>
          <w:sz w:val="24"/>
          <w:szCs w:val="24"/>
        </w:rPr>
      </w:pPr>
      <w:r w:rsidRPr="00C03ABB">
        <w:rPr>
          <w:rFonts w:cstheme="minorHAnsi"/>
          <w:sz w:val="24"/>
          <w:szCs w:val="24"/>
        </w:rPr>
        <w:t>E</w:t>
      </w:r>
      <w:r>
        <w:rPr>
          <w:rFonts w:cstheme="minorHAnsi"/>
          <w:sz w:val="24"/>
          <w:szCs w:val="24"/>
        </w:rPr>
        <w:t xml:space="preserve">n el contexto en el país, los cuestionamiento a la igualdad ante la ley, limitan la consolidación de </w:t>
      </w:r>
      <w:r w:rsidRPr="00C03ABB">
        <w:rPr>
          <w:rFonts w:cstheme="minorHAnsi"/>
          <w:sz w:val="24"/>
          <w:szCs w:val="24"/>
        </w:rPr>
        <w:t>un sistema judicial que respond</w:t>
      </w:r>
      <w:r>
        <w:rPr>
          <w:rFonts w:cstheme="minorHAnsi"/>
          <w:sz w:val="24"/>
          <w:szCs w:val="24"/>
        </w:rPr>
        <w:t>a</w:t>
      </w:r>
      <w:r w:rsidRPr="00C03ABB">
        <w:rPr>
          <w:rFonts w:cstheme="minorHAnsi"/>
          <w:sz w:val="24"/>
          <w:szCs w:val="24"/>
        </w:rPr>
        <w:t xml:space="preserve"> al principio de justicia pronta y cumplida </w:t>
      </w:r>
      <w:r>
        <w:rPr>
          <w:rFonts w:cstheme="minorHAnsi"/>
          <w:sz w:val="24"/>
          <w:szCs w:val="24"/>
        </w:rPr>
        <w:t xml:space="preserve">que </w:t>
      </w:r>
      <w:r w:rsidRPr="00C03ABB">
        <w:rPr>
          <w:rFonts w:cstheme="minorHAnsi"/>
          <w:sz w:val="24"/>
          <w:szCs w:val="24"/>
        </w:rPr>
        <w:t>supone el cumplimiento de una administración de justicia igualitaria para todos y todas, y que se mant</w:t>
      </w:r>
      <w:r>
        <w:rPr>
          <w:rFonts w:cstheme="minorHAnsi"/>
          <w:sz w:val="24"/>
          <w:szCs w:val="24"/>
        </w:rPr>
        <w:t xml:space="preserve">iene </w:t>
      </w:r>
      <w:r w:rsidRPr="00C03ABB">
        <w:rPr>
          <w:rFonts w:cstheme="minorHAnsi"/>
          <w:sz w:val="24"/>
          <w:szCs w:val="24"/>
        </w:rPr>
        <w:t xml:space="preserve">libre e independiente de cualquier influencia de poder que trastoque el principio de legalidad, la trasparencia de la gestión judicial y la confianza ciudadana. </w:t>
      </w:r>
    </w:p>
    <w:p w14:paraId="3432D253" w14:textId="77777777" w:rsidR="000C171B" w:rsidRDefault="000C171B" w:rsidP="000C171B">
      <w:pPr>
        <w:spacing w:after="0" w:line="240" w:lineRule="auto"/>
        <w:jc w:val="both"/>
        <w:rPr>
          <w:rFonts w:cstheme="minorHAnsi"/>
          <w:sz w:val="24"/>
          <w:szCs w:val="24"/>
        </w:rPr>
      </w:pPr>
    </w:p>
    <w:p w14:paraId="1CBB932B" w14:textId="77777777" w:rsidR="000C171B" w:rsidRPr="00C03ABB" w:rsidRDefault="000C171B" w:rsidP="000C171B">
      <w:pPr>
        <w:spacing w:after="0" w:line="240" w:lineRule="auto"/>
        <w:jc w:val="both"/>
        <w:rPr>
          <w:rFonts w:cstheme="minorHAnsi"/>
          <w:sz w:val="24"/>
          <w:szCs w:val="24"/>
        </w:rPr>
      </w:pPr>
      <w:r w:rsidRPr="00C03ABB">
        <w:rPr>
          <w:rFonts w:cstheme="minorHAnsi"/>
          <w:sz w:val="24"/>
          <w:szCs w:val="24"/>
        </w:rPr>
        <w:lastRenderedPageBreak/>
        <w:t xml:space="preserve">Para alcanzar esos objetivos </w:t>
      </w:r>
      <w:r>
        <w:rPr>
          <w:rFonts w:cstheme="minorHAnsi"/>
          <w:sz w:val="24"/>
          <w:szCs w:val="24"/>
        </w:rPr>
        <w:t xml:space="preserve">y cumplir con los derechos de las personas, </w:t>
      </w:r>
      <w:r w:rsidRPr="00C03ABB">
        <w:rPr>
          <w:rFonts w:cstheme="minorHAnsi"/>
          <w:sz w:val="24"/>
          <w:szCs w:val="24"/>
        </w:rPr>
        <w:t>es necesario el fortalecimiento del sistema de justicia expedita, equitativa y transparente y la cobertura efectiva.</w:t>
      </w:r>
    </w:p>
    <w:p w14:paraId="6309AA5E" w14:textId="77777777" w:rsidR="000C171B" w:rsidRDefault="000C171B" w:rsidP="000C171B">
      <w:pPr>
        <w:spacing w:after="0" w:line="240" w:lineRule="auto"/>
        <w:jc w:val="both"/>
        <w:rPr>
          <w:rFonts w:cstheme="minorHAnsi"/>
          <w:sz w:val="24"/>
          <w:szCs w:val="24"/>
        </w:rPr>
      </w:pPr>
    </w:p>
    <w:p w14:paraId="13DA1202" w14:textId="77777777" w:rsidR="000C171B" w:rsidRPr="00BA7353" w:rsidRDefault="000C171B" w:rsidP="000C171B">
      <w:pPr>
        <w:spacing w:after="0" w:line="240" w:lineRule="auto"/>
        <w:jc w:val="both"/>
        <w:rPr>
          <w:rFonts w:cstheme="minorHAnsi"/>
          <w:b/>
          <w:bCs/>
          <w:color w:val="4472C4" w:themeColor="accent1"/>
          <w:sz w:val="24"/>
          <w:szCs w:val="24"/>
        </w:rPr>
      </w:pPr>
      <w:r w:rsidRPr="00BA7353">
        <w:rPr>
          <w:rFonts w:cstheme="minorHAnsi"/>
          <w:b/>
          <w:bCs/>
          <w:color w:val="4472C4" w:themeColor="accent1"/>
          <w:sz w:val="24"/>
          <w:szCs w:val="24"/>
        </w:rPr>
        <w:t>8.2. Causas subyacentes de riesgos, vulnerabilidades y necesidades políticas, sociales o relacionadas con conflictos, violaciones graves de los derechos humanos, desastres, el medio ambiente o la economía.</w:t>
      </w:r>
    </w:p>
    <w:p w14:paraId="2FF19F2F" w14:textId="77777777" w:rsidR="000C171B" w:rsidRPr="00725057" w:rsidRDefault="000C171B" w:rsidP="000C171B">
      <w:pPr>
        <w:spacing w:after="0" w:line="240" w:lineRule="auto"/>
        <w:rPr>
          <w:rFonts w:cstheme="minorHAnsi"/>
          <w:sz w:val="24"/>
          <w:szCs w:val="24"/>
        </w:rPr>
      </w:pPr>
    </w:p>
    <w:p w14:paraId="63749A59" w14:textId="77777777" w:rsidR="000C171B" w:rsidRPr="00725057" w:rsidRDefault="000C171B" w:rsidP="000C171B">
      <w:pPr>
        <w:spacing w:after="0" w:line="240" w:lineRule="auto"/>
        <w:jc w:val="both"/>
        <w:rPr>
          <w:rFonts w:cstheme="minorHAnsi"/>
          <w:sz w:val="24"/>
          <w:szCs w:val="24"/>
        </w:rPr>
      </w:pPr>
      <w:r w:rsidRPr="00725057">
        <w:rPr>
          <w:rFonts w:cstheme="minorHAnsi"/>
          <w:sz w:val="24"/>
          <w:szCs w:val="24"/>
        </w:rPr>
        <w:t xml:space="preserve">Entre </w:t>
      </w:r>
      <w:r>
        <w:rPr>
          <w:rFonts w:cstheme="minorHAnsi"/>
          <w:sz w:val="24"/>
          <w:szCs w:val="24"/>
        </w:rPr>
        <w:t>c</w:t>
      </w:r>
      <w:r w:rsidRPr="00A15C71">
        <w:rPr>
          <w:rFonts w:cstheme="minorHAnsi"/>
          <w:sz w:val="24"/>
          <w:szCs w:val="24"/>
        </w:rPr>
        <w:t xml:space="preserve">ausas subyacentes </w:t>
      </w:r>
      <w:r w:rsidRPr="00725057">
        <w:rPr>
          <w:rFonts w:cstheme="minorHAnsi"/>
          <w:sz w:val="24"/>
          <w:szCs w:val="24"/>
        </w:rPr>
        <w:t>que afecta</w:t>
      </w:r>
      <w:r>
        <w:rPr>
          <w:rFonts w:cstheme="minorHAnsi"/>
          <w:sz w:val="24"/>
          <w:szCs w:val="24"/>
        </w:rPr>
        <w:t>n</w:t>
      </w:r>
      <w:r w:rsidRPr="00725057">
        <w:rPr>
          <w:rFonts w:cstheme="minorHAnsi"/>
          <w:sz w:val="24"/>
          <w:szCs w:val="24"/>
        </w:rPr>
        <w:t xml:space="preserve"> </w:t>
      </w:r>
      <w:r>
        <w:rPr>
          <w:rFonts w:cstheme="minorHAnsi"/>
          <w:sz w:val="24"/>
          <w:szCs w:val="24"/>
        </w:rPr>
        <w:t>e</w:t>
      </w:r>
      <w:r w:rsidRPr="00725057">
        <w:rPr>
          <w:rFonts w:cstheme="minorHAnsi"/>
          <w:sz w:val="24"/>
          <w:szCs w:val="24"/>
        </w:rPr>
        <w:t>l desarrollo eficaz, eficiente y sostenible del desarrollo de la Agenda 2030 se encuentran los siguientes:</w:t>
      </w:r>
      <w:r>
        <w:rPr>
          <w:rFonts w:cstheme="minorHAnsi"/>
          <w:sz w:val="24"/>
          <w:szCs w:val="24"/>
        </w:rPr>
        <w:t xml:space="preserve"> (i) los </w:t>
      </w:r>
      <w:r w:rsidRPr="00725057">
        <w:rPr>
          <w:rFonts w:cstheme="minorHAnsi"/>
          <w:sz w:val="24"/>
          <w:szCs w:val="24"/>
        </w:rPr>
        <w:t xml:space="preserve"> mecanismos de gobernanza que no son sensibles al cambio</w:t>
      </w:r>
      <w:r>
        <w:rPr>
          <w:rFonts w:cstheme="minorHAnsi"/>
          <w:sz w:val="24"/>
          <w:szCs w:val="24"/>
        </w:rPr>
        <w:t>; (</w:t>
      </w:r>
      <w:proofErr w:type="spellStart"/>
      <w:r>
        <w:rPr>
          <w:rFonts w:cstheme="minorHAnsi"/>
          <w:sz w:val="24"/>
          <w:szCs w:val="24"/>
        </w:rPr>
        <w:t>ii</w:t>
      </w:r>
      <w:proofErr w:type="spellEnd"/>
      <w:r>
        <w:rPr>
          <w:rFonts w:cstheme="minorHAnsi"/>
          <w:sz w:val="24"/>
          <w:szCs w:val="24"/>
        </w:rPr>
        <w:t xml:space="preserve">) la </w:t>
      </w:r>
      <w:r w:rsidRPr="00725057">
        <w:rPr>
          <w:rFonts w:cstheme="minorHAnsi"/>
          <w:sz w:val="24"/>
          <w:szCs w:val="24"/>
        </w:rPr>
        <w:t xml:space="preserve">organización de los territorios por unidades políticas y administrativas rígidas, </w:t>
      </w:r>
      <w:r>
        <w:rPr>
          <w:rFonts w:cstheme="minorHAnsi"/>
          <w:sz w:val="24"/>
          <w:szCs w:val="24"/>
        </w:rPr>
        <w:t xml:space="preserve">con una </w:t>
      </w:r>
      <w:r w:rsidRPr="00725057">
        <w:rPr>
          <w:rFonts w:cstheme="minorHAnsi"/>
          <w:sz w:val="24"/>
          <w:szCs w:val="24"/>
        </w:rPr>
        <w:t>prestación de servicios de baja eficiencia</w:t>
      </w:r>
      <w:r>
        <w:rPr>
          <w:rFonts w:cstheme="minorHAnsi"/>
          <w:sz w:val="24"/>
          <w:szCs w:val="24"/>
        </w:rPr>
        <w:t>; (</w:t>
      </w:r>
      <w:proofErr w:type="spellStart"/>
      <w:r>
        <w:rPr>
          <w:rFonts w:cstheme="minorHAnsi"/>
          <w:sz w:val="24"/>
          <w:szCs w:val="24"/>
        </w:rPr>
        <w:t>iii</w:t>
      </w:r>
      <w:proofErr w:type="spellEnd"/>
      <w:r>
        <w:rPr>
          <w:rFonts w:cstheme="minorHAnsi"/>
          <w:sz w:val="24"/>
          <w:szCs w:val="24"/>
        </w:rPr>
        <w:t>) la</w:t>
      </w:r>
      <w:r w:rsidRPr="00725057">
        <w:rPr>
          <w:rFonts w:cstheme="minorHAnsi"/>
          <w:sz w:val="24"/>
          <w:szCs w:val="24"/>
        </w:rPr>
        <w:t xml:space="preserve"> ausencia de conocimientos, recursos y principios de integración, indivisibilidad y equilibrio en la implementación de las intervenciones.</w:t>
      </w:r>
    </w:p>
    <w:p w14:paraId="0B524517" w14:textId="77777777" w:rsidR="000C171B" w:rsidRPr="00725057" w:rsidRDefault="000C171B" w:rsidP="000C171B">
      <w:pPr>
        <w:spacing w:after="0" w:line="240" w:lineRule="auto"/>
        <w:rPr>
          <w:rFonts w:cstheme="minorHAnsi"/>
          <w:b/>
          <w:bCs/>
          <w:sz w:val="24"/>
          <w:szCs w:val="24"/>
        </w:rPr>
      </w:pPr>
    </w:p>
    <w:p w14:paraId="6E314763" w14:textId="77777777" w:rsidR="000C171B" w:rsidRPr="00725057" w:rsidRDefault="000C171B" w:rsidP="000C171B">
      <w:pPr>
        <w:spacing w:after="0" w:line="240" w:lineRule="auto"/>
        <w:jc w:val="both"/>
        <w:rPr>
          <w:rFonts w:cstheme="minorHAnsi"/>
          <w:sz w:val="24"/>
          <w:szCs w:val="24"/>
        </w:rPr>
      </w:pPr>
      <w:r w:rsidRPr="00725057">
        <w:rPr>
          <w:rFonts w:cstheme="minorHAnsi"/>
          <w:sz w:val="24"/>
          <w:szCs w:val="24"/>
        </w:rPr>
        <w:t>Asimismo, en lo político, una causa impulsora de riesgos es la organización de los territorios por unidades administrativas-políticas rígidas, sin capacidad de desarrollar capacidades para instalar un enfoque participativo que fomente el pensamiento integrado y las oportunidades de asociación en el desarrollo de y coordinar las intervenciones en los territorios. En el caso de la prestación de servicios con escasa eficiencia, los principios y normas de accesibilidad, adaptabilidad, aceptabilidad y adecuación requieren integrarse en una planificación y transversalización de la igualdad de oportunidades, la interculturalidad y efectos multiplicadores.</w:t>
      </w:r>
    </w:p>
    <w:p w14:paraId="738C9E78" w14:textId="77777777" w:rsidR="000C171B" w:rsidRPr="00725057" w:rsidRDefault="000C171B" w:rsidP="000C171B">
      <w:pPr>
        <w:spacing w:after="0" w:line="240" w:lineRule="auto"/>
        <w:rPr>
          <w:rFonts w:cstheme="minorHAnsi"/>
          <w:b/>
          <w:bCs/>
          <w:sz w:val="24"/>
          <w:szCs w:val="24"/>
        </w:rPr>
      </w:pPr>
    </w:p>
    <w:p w14:paraId="74A84505" w14:textId="77777777" w:rsidR="000C171B" w:rsidRDefault="000C171B" w:rsidP="000C171B">
      <w:pPr>
        <w:spacing w:after="0" w:line="240" w:lineRule="auto"/>
        <w:jc w:val="both"/>
        <w:rPr>
          <w:rFonts w:cstheme="minorHAnsi"/>
          <w:color w:val="000000" w:themeColor="text1"/>
          <w:sz w:val="24"/>
          <w:szCs w:val="24"/>
          <w:lang w:val="es-ES"/>
        </w:rPr>
      </w:pPr>
      <w:r w:rsidRPr="00725057">
        <w:rPr>
          <w:rFonts w:cstheme="minorHAnsi"/>
          <w:color w:val="000000" w:themeColor="text1"/>
          <w:sz w:val="24"/>
          <w:szCs w:val="24"/>
          <w:lang w:val="es-ES"/>
        </w:rPr>
        <w:t>Por su parte, en lo social, un riesgo lo representa abordar la brecha en la cobertura de la protección social para los más excluidos, a partir de los sistemas de prestación de servicios existentes a nivel subnacional. En términos concretos, esta brecha puede dividirse en dos componentes cuantificables: (i) el nivel de interacción entre el sector multisectorial (salud, nutrición, educación, atención, transferencias sociales y pensiones no contributivas) y multinivel (central, provincial y Gobierno de nivel distrital); y (</w:t>
      </w:r>
      <w:proofErr w:type="spellStart"/>
      <w:r w:rsidRPr="00725057">
        <w:rPr>
          <w:rFonts w:cstheme="minorHAnsi"/>
          <w:color w:val="000000" w:themeColor="text1"/>
          <w:sz w:val="24"/>
          <w:szCs w:val="24"/>
          <w:lang w:val="es-ES"/>
        </w:rPr>
        <w:t>ii</w:t>
      </w:r>
      <w:proofErr w:type="spellEnd"/>
      <w:r w:rsidRPr="00725057">
        <w:rPr>
          <w:rFonts w:cstheme="minorHAnsi"/>
          <w:color w:val="000000" w:themeColor="text1"/>
          <w:sz w:val="24"/>
          <w:szCs w:val="24"/>
          <w:lang w:val="es-ES"/>
        </w:rPr>
        <w:t>) el valor añadido que proporcionen los indicadores de monitoreo en tiempo real y la retroalimentación para iniciar los procesos de aceleración de los ODS, en contextos en los que los escasos datos y las débiles capacidades de implementación son la norma.</w:t>
      </w:r>
    </w:p>
    <w:p w14:paraId="766CD284" w14:textId="77777777" w:rsidR="000C171B" w:rsidRDefault="000C171B" w:rsidP="000C171B">
      <w:pPr>
        <w:spacing w:after="0" w:line="240" w:lineRule="auto"/>
        <w:jc w:val="both"/>
        <w:rPr>
          <w:rFonts w:cstheme="minorHAnsi"/>
          <w:color w:val="000000" w:themeColor="text1"/>
          <w:sz w:val="24"/>
          <w:szCs w:val="24"/>
          <w:lang w:val="es-ES"/>
        </w:rPr>
      </w:pPr>
    </w:p>
    <w:p w14:paraId="47D4FBFA" w14:textId="77777777" w:rsidR="000C171B" w:rsidRDefault="000C171B" w:rsidP="000C171B">
      <w:pPr>
        <w:spacing w:after="0" w:line="240" w:lineRule="auto"/>
        <w:jc w:val="both"/>
        <w:rPr>
          <w:rFonts w:eastAsiaTheme="minorEastAsia"/>
          <w:sz w:val="24"/>
          <w:szCs w:val="24"/>
          <w:lang w:val="es-VE"/>
        </w:rPr>
      </w:pPr>
      <w:r>
        <w:rPr>
          <w:rFonts w:eastAsiaTheme="minorEastAsia"/>
          <w:sz w:val="24"/>
          <w:szCs w:val="24"/>
          <w:lang w:val="es-VE"/>
        </w:rPr>
        <w:t xml:space="preserve">Finalmente, un </w:t>
      </w:r>
      <w:r w:rsidRPr="00DB16A1">
        <w:rPr>
          <w:rFonts w:eastAsiaTheme="minorEastAsia"/>
          <w:sz w:val="24"/>
          <w:szCs w:val="24"/>
          <w:lang w:val="es-VE"/>
        </w:rPr>
        <w:t xml:space="preserve">riesgo </w:t>
      </w:r>
      <w:r>
        <w:rPr>
          <w:rFonts w:eastAsiaTheme="minorEastAsia"/>
          <w:sz w:val="24"/>
          <w:szCs w:val="24"/>
          <w:lang w:val="es-VE"/>
        </w:rPr>
        <w:t xml:space="preserve">emergente </w:t>
      </w:r>
      <w:r w:rsidRPr="00DB16A1">
        <w:rPr>
          <w:rFonts w:eastAsiaTheme="minorEastAsia"/>
          <w:sz w:val="24"/>
          <w:szCs w:val="24"/>
          <w:lang w:val="es-VE"/>
        </w:rPr>
        <w:t xml:space="preserve">es el resurgimiento de los movimientos conversadores. </w:t>
      </w:r>
      <w:r>
        <w:rPr>
          <w:rFonts w:eastAsiaTheme="minorEastAsia"/>
          <w:sz w:val="24"/>
          <w:szCs w:val="24"/>
          <w:lang w:val="es-VE"/>
        </w:rPr>
        <w:t xml:space="preserve">Que promueven acciones en contra de </w:t>
      </w:r>
      <w:r w:rsidRPr="00DB16A1">
        <w:rPr>
          <w:rFonts w:eastAsiaTheme="minorEastAsia"/>
          <w:sz w:val="24"/>
          <w:szCs w:val="24"/>
          <w:lang w:val="es-VE"/>
        </w:rPr>
        <w:t xml:space="preserve">los derechos humanos y </w:t>
      </w:r>
      <w:r>
        <w:rPr>
          <w:rFonts w:eastAsiaTheme="minorEastAsia"/>
          <w:sz w:val="24"/>
          <w:szCs w:val="24"/>
          <w:lang w:val="es-VE"/>
        </w:rPr>
        <w:t>el c</w:t>
      </w:r>
      <w:r w:rsidRPr="00DB16A1">
        <w:rPr>
          <w:rFonts w:eastAsiaTheme="minorEastAsia"/>
          <w:sz w:val="24"/>
          <w:szCs w:val="24"/>
          <w:lang w:val="es-VE"/>
        </w:rPr>
        <w:t>onocimiento científico</w:t>
      </w:r>
      <w:r>
        <w:rPr>
          <w:rFonts w:eastAsiaTheme="minorEastAsia"/>
          <w:sz w:val="24"/>
          <w:szCs w:val="24"/>
          <w:lang w:val="es-VE"/>
        </w:rPr>
        <w:t xml:space="preserve">. En el año 2016, </w:t>
      </w:r>
      <w:r w:rsidRPr="00DB16A1">
        <w:rPr>
          <w:rFonts w:eastAsiaTheme="minorEastAsia"/>
          <w:sz w:val="24"/>
          <w:szCs w:val="24"/>
          <w:lang w:val="es-VE"/>
        </w:rPr>
        <w:t>las manifestaciones de</w:t>
      </w:r>
      <w:r>
        <w:rPr>
          <w:rFonts w:eastAsiaTheme="minorEastAsia"/>
          <w:sz w:val="24"/>
          <w:szCs w:val="24"/>
          <w:lang w:val="es-VE"/>
        </w:rPr>
        <w:t xml:space="preserve"> los grupos conservadores </w:t>
      </w:r>
      <w:r w:rsidRPr="00DB16A1">
        <w:rPr>
          <w:rFonts w:eastAsiaTheme="minorEastAsia"/>
          <w:sz w:val="24"/>
          <w:szCs w:val="24"/>
          <w:lang w:val="es-VE"/>
        </w:rPr>
        <w:t>lograron eliminaran de la agenda parlamentaria</w:t>
      </w:r>
      <w:r>
        <w:rPr>
          <w:rFonts w:eastAsiaTheme="minorEastAsia"/>
          <w:sz w:val="24"/>
          <w:szCs w:val="24"/>
          <w:lang w:val="es-VE"/>
        </w:rPr>
        <w:t>,</w:t>
      </w:r>
      <w:r w:rsidRPr="00DB16A1">
        <w:rPr>
          <w:rFonts w:eastAsiaTheme="minorEastAsia"/>
          <w:sz w:val="24"/>
          <w:szCs w:val="24"/>
          <w:lang w:val="es-VE"/>
        </w:rPr>
        <w:t xml:space="preserve"> las discusiones de la Ley de Educación en Sexualidad y que las Guías de Educación de Sexualidad y Afectividad del Ministerio de Educación. </w:t>
      </w:r>
    </w:p>
    <w:p w14:paraId="50D3808F" w14:textId="77777777" w:rsidR="000C171B" w:rsidRDefault="000C171B" w:rsidP="000C171B">
      <w:pPr>
        <w:rPr>
          <w:rFonts w:eastAsiaTheme="minorEastAsia"/>
          <w:sz w:val="24"/>
          <w:szCs w:val="24"/>
          <w:lang w:val="es-VE"/>
        </w:rPr>
      </w:pPr>
    </w:p>
    <w:p w14:paraId="42AC38D1" w14:textId="4BA965E2" w:rsidR="00B0730C" w:rsidRDefault="000C171B" w:rsidP="000C171B">
      <w:pPr>
        <w:jc w:val="both"/>
        <w:rPr>
          <w:rFonts w:eastAsiaTheme="minorEastAsia"/>
          <w:sz w:val="24"/>
          <w:szCs w:val="24"/>
          <w:lang w:val="es-VE"/>
        </w:rPr>
      </w:pPr>
      <w:r>
        <w:rPr>
          <w:rFonts w:eastAsiaTheme="minorEastAsia"/>
          <w:sz w:val="24"/>
          <w:szCs w:val="24"/>
          <w:lang w:val="es-VE"/>
        </w:rPr>
        <w:t xml:space="preserve">El riesgo de desastres y el cambio climático son elementos que ponen en riesgo los avances alcanzados en desarrollo sostenible del país.  Un evento de impacto </w:t>
      </w:r>
      <w:r w:rsidR="00624FAB">
        <w:rPr>
          <w:rFonts w:eastAsiaTheme="minorEastAsia"/>
          <w:sz w:val="24"/>
          <w:szCs w:val="24"/>
          <w:lang w:val="es-VE"/>
        </w:rPr>
        <w:t>intensivo,</w:t>
      </w:r>
      <w:r>
        <w:rPr>
          <w:rFonts w:eastAsiaTheme="minorEastAsia"/>
          <w:sz w:val="24"/>
          <w:szCs w:val="24"/>
          <w:lang w:val="es-VE"/>
        </w:rPr>
        <w:t xml:space="preserve"> así como la </w:t>
      </w:r>
      <w:r>
        <w:rPr>
          <w:rFonts w:eastAsiaTheme="minorEastAsia"/>
          <w:sz w:val="24"/>
          <w:szCs w:val="24"/>
          <w:lang w:val="es-VE"/>
        </w:rPr>
        <w:lastRenderedPageBreak/>
        <w:t xml:space="preserve">acumulación del riesgo extensivo pueden retroceder los indicadores de pobreza, de desarrollo económico y social por aumentar la vulnerabilidad de la población más excluida y por su impacto directo en el PIB del país.  </w:t>
      </w:r>
    </w:p>
    <w:p w14:paraId="71E98455" w14:textId="77777777" w:rsidR="000C171B" w:rsidRPr="00DB16A1" w:rsidRDefault="000C171B" w:rsidP="000C171B">
      <w:pPr>
        <w:spacing w:after="0" w:line="240" w:lineRule="auto"/>
        <w:jc w:val="both"/>
        <w:rPr>
          <w:rFonts w:eastAsiaTheme="minorEastAsia"/>
          <w:sz w:val="24"/>
          <w:szCs w:val="24"/>
          <w:lang w:val="es-VE"/>
        </w:rPr>
      </w:pPr>
    </w:p>
    <w:p w14:paraId="26869F1A" w14:textId="77777777" w:rsidR="000C171B" w:rsidRPr="00BA7353" w:rsidRDefault="000C171B" w:rsidP="000C171B">
      <w:pPr>
        <w:spacing w:after="0" w:line="240" w:lineRule="auto"/>
        <w:rPr>
          <w:rFonts w:cstheme="minorHAnsi"/>
          <w:b/>
          <w:bCs/>
          <w:color w:val="4472C4" w:themeColor="accent1"/>
          <w:sz w:val="24"/>
          <w:szCs w:val="24"/>
        </w:rPr>
      </w:pPr>
      <w:r w:rsidRPr="00BA7353">
        <w:rPr>
          <w:rFonts w:cstheme="minorHAnsi"/>
          <w:b/>
          <w:bCs/>
          <w:color w:val="4472C4" w:themeColor="accent1"/>
          <w:sz w:val="24"/>
          <w:szCs w:val="24"/>
        </w:rPr>
        <w:t>9. BRECHAS Y DESAFÍOS PARA LOGRAR LA AGENDA 2030.</w:t>
      </w:r>
    </w:p>
    <w:p w14:paraId="1592636B" w14:textId="77777777" w:rsidR="000C171B" w:rsidRPr="00BA7353" w:rsidRDefault="000C171B" w:rsidP="000C171B">
      <w:pPr>
        <w:spacing w:after="0" w:line="240" w:lineRule="auto"/>
        <w:rPr>
          <w:rFonts w:cstheme="minorHAnsi"/>
          <w:b/>
          <w:bCs/>
          <w:color w:val="4472C4" w:themeColor="accent1"/>
          <w:sz w:val="24"/>
          <w:szCs w:val="24"/>
        </w:rPr>
      </w:pPr>
    </w:p>
    <w:p w14:paraId="2BFCB17A" w14:textId="77777777" w:rsidR="000C171B" w:rsidRPr="00BA7353" w:rsidRDefault="000C171B" w:rsidP="000C171B">
      <w:pPr>
        <w:spacing w:after="0" w:line="240" w:lineRule="auto"/>
        <w:rPr>
          <w:rFonts w:cstheme="minorHAnsi"/>
          <w:color w:val="4472C4" w:themeColor="accent1"/>
          <w:sz w:val="24"/>
          <w:szCs w:val="24"/>
        </w:rPr>
      </w:pPr>
      <w:r w:rsidRPr="00BA7353">
        <w:rPr>
          <w:rFonts w:cstheme="minorHAnsi"/>
          <w:b/>
          <w:bCs/>
          <w:color w:val="4472C4" w:themeColor="accent1"/>
          <w:sz w:val="24"/>
          <w:szCs w:val="24"/>
        </w:rPr>
        <w:t xml:space="preserve">9.1. Examen de la trayectoria del país hacia el logro de la Agenda 2030, basado en el análisis de contexto y la comprensión del estado actual de progreso de los ODS.  </w:t>
      </w:r>
    </w:p>
    <w:p w14:paraId="1831523D" w14:textId="77777777" w:rsidR="000C171B" w:rsidRPr="001D4E79" w:rsidRDefault="000C171B" w:rsidP="000C171B">
      <w:pPr>
        <w:spacing w:after="0" w:line="240" w:lineRule="auto"/>
        <w:jc w:val="both"/>
        <w:rPr>
          <w:rFonts w:cstheme="minorHAnsi"/>
          <w:color w:val="000000" w:themeColor="text1"/>
          <w:sz w:val="24"/>
        </w:rPr>
      </w:pPr>
    </w:p>
    <w:p w14:paraId="372CBB7D" w14:textId="1FF5EA25" w:rsidR="000C171B" w:rsidRPr="001D4E79" w:rsidRDefault="000C171B" w:rsidP="000C171B">
      <w:pPr>
        <w:spacing w:after="0" w:line="240" w:lineRule="auto"/>
        <w:jc w:val="both"/>
        <w:rPr>
          <w:rFonts w:cstheme="minorHAnsi"/>
          <w:color w:val="000000" w:themeColor="text1"/>
          <w:sz w:val="24"/>
        </w:rPr>
      </w:pPr>
      <w:r w:rsidRPr="001D4E79">
        <w:rPr>
          <w:rFonts w:cstheme="minorHAnsi"/>
          <w:color w:val="000000" w:themeColor="text1"/>
          <w:sz w:val="24"/>
        </w:rPr>
        <w:t xml:space="preserve">Según el Informe Voluntario, en el proceso de adopción de la Agenda 2030 se identifican tres desafíos: definición del enfoque de las políticas públicas; mecanismo de monitoreo, seguimiento y evaluación de la política pública; planificación, gestión e inversión pública por resultados. Asimismo, cabe tener presente, como un desafío transversal, la integralidad y la coordinación según niveles de la política pública </w:t>
      </w:r>
      <w:r w:rsidR="00B0730C" w:rsidRPr="00DA00FE">
        <w:rPr>
          <w:rFonts w:cstheme="minorHAnsi"/>
          <w:sz w:val="24"/>
          <w:szCs w:val="24"/>
        </w:rPr>
        <w:t>(</w:t>
      </w:r>
      <w:r w:rsidR="00B0730C">
        <w:rPr>
          <w:rFonts w:cstheme="minorHAnsi"/>
          <w:sz w:val="24"/>
          <w:szCs w:val="24"/>
        </w:rPr>
        <w:t>MIDES-</w:t>
      </w:r>
      <w:r w:rsidR="00B0730C" w:rsidRPr="00DA00FE">
        <w:rPr>
          <w:rFonts w:cstheme="minorHAnsi"/>
          <w:sz w:val="24"/>
          <w:szCs w:val="24"/>
        </w:rPr>
        <w:t>VNR</w:t>
      </w:r>
      <w:r w:rsidR="00B0730C">
        <w:rPr>
          <w:rFonts w:cstheme="minorHAnsi"/>
          <w:sz w:val="24"/>
          <w:szCs w:val="24"/>
        </w:rPr>
        <w:t>,</w:t>
      </w:r>
      <w:r w:rsidR="00B0730C" w:rsidRPr="00DA00FE">
        <w:rPr>
          <w:rFonts w:cstheme="minorHAnsi"/>
          <w:sz w:val="24"/>
          <w:szCs w:val="24"/>
        </w:rPr>
        <w:t xml:space="preserve"> 2017).</w:t>
      </w:r>
    </w:p>
    <w:p w14:paraId="4A216F45" w14:textId="77777777" w:rsidR="000C171B" w:rsidRPr="001D4E79" w:rsidRDefault="000C171B" w:rsidP="000C171B">
      <w:pPr>
        <w:spacing w:after="0" w:line="240" w:lineRule="auto"/>
        <w:jc w:val="both"/>
        <w:rPr>
          <w:rFonts w:cstheme="minorHAnsi"/>
          <w:color w:val="000000" w:themeColor="text1"/>
          <w:sz w:val="24"/>
        </w:rPr>
      </w:pPr>
    </w:p>
    <w:p w14:paraId="7FB68121" w14:textId="1DA153B8" w:rsidR="000C171B" w:rsidRPr="001D4E79" w:rsidRDefault="000C171B" w:rsidP="000C171B">
      <w:pPr>
        <w:spacing w:after="0" w:line="240" w:lineRule="auto"/>
        <w:jc w:val="both"/>
        <w:rPr>
          <w:rFonts w:cstheme="minorHAnsi"/>
          <w:color w:val="000000" w:themeColor="text1"/>
          <w:sz w:val="24"/>
        </w:rPr>
      </w:pPr>
      <w:r w:rsidRPr="001D4E79">
        <w:rPr>
          <w:rFonts w:cstheme="minorHAnsi"/>
          <w:color w:val="000000" w:themeColor="text1"/>
          <w:sz w:val="24"/>
        </w:rPr>
        <w:t xml:space="preserve">Un primer desafío señala que el cumplimiento de la Agenda 2030 requiere un enfoque centrado en los derechos según ciclos de vida, que permita dimensionar los cuellos de botella que reducen y limitan la capacidad de las políticas públicas para generar el desarrollo humano sostenible </w:t>
      </w:r>
      <w:r w:rsidR="00B0730C" w:rsidRPr="00DA00FE">
        <w:rPr>
          <w:rFonts w:cstheme="minorHAnsi"/>
          <w:sz w:val="24"/>
          <w:szCs w:val="24"/>
        </w:rPr>
        <w:t>(</w:t>
      </w:r>
      <w:r w:rsidR="00B0730C">
        <w:rPr>
          <w:rFonts w:cstheme="minorHAnsi"/>
          <w:sz w:val="24"/>
          <w:szCs w:val="24"/>
        </w:rPr>
        <w:t>MIDES-</w:t>
      </w:r>
      <w:r w:rsidR="00B0730C" w:rsidRPr="00DA00FE">
        <w:rPr>
          <w:rFonts w:cstheme="minorHAnsi"/>
          <w:sz w:val="24"/>
          <w:szCs w:val="24"/>
        </w:rPr>
        <w:t>VNR</w:t>
      </w:r>
      <w:r w:rsidR="00B0730C">
        <w:rPr>
          <w:rFonts w:cstheme="minorHAnsi"/>
          <w:sz w:val="24"/>
          <w:szCs w:val="24"/>
        </w:rPr>
        <w:t>,</w:t>
      </w:r>
      <w:r w:rsidR="00B0730C" w:rsidRPr="00DA00FE">
        <w:rPr>
          <w:rFonts w:cstheme="minorHAnsi"/>
          <w:sz w:val="24"/>
          <w:szCs w:val="24"/>
        </w:rPr>
        <w:t xml:space="preserve"> 2017). </w:t>
      </w:r>
      <w:r w:rsidRPr="001D4E79">
        <w:rPr>
          <w:rFonts w:cstheme="minorHAnsi"/>
          <w:color w:val="000000" w:themeColor="text1"/>
          <w:sz w:val="24"/>
        </w:rPr>
        <w:t xml:space="preserve">Un segundo desafío apunta hacia un proceso de seguimiento que permita la generación de conocimiento sobre la dinámica de las políticas públicas y más específicamente sobre las intervenciones que las componen lo que supone homologar metodologías, mecanismos de acopio de los datos e información y trazabilidad horizontal y vertical de los indicadores </w:t>
      </w:r>
      <w:r w:rsidR="00B0730C" w:rsidRPr="00DA00FE">
        <w:rPr>
          <w:rFonts w:cstheme="minorHAnsi"/>
          <w:sz w:val="24"/>
          <w:szCs w:val="24"/>
        </w:rPr>
        <w:t>(</w:t>
      </w:r>
      <w:r w:rsidR="00B0730C">
        <w:rPr>
          <w:rFonts w:cstheme="minorHAnsi"/>
          <w:sz w:val="24"/>
          <w:szCs w:val="24"/>
        </w:rPr>
        <w:t>MIDES-</w:t>
      </w:r>
      <w:r w:rsidR="00B0730C" w:rsidRPr="00DA00FE">
        <w:rPr>
          <w:rFonts w:cstheme="minorHAnsi"/>
          <w:sz w:val="24"/>
          <w:szCs w:val="24"/>
        </w:rPr>
        <w:t>VNR</w:t>
      </w:r>
      <w:r w:rsidR="00B0730C">
        <w:rPr>
          <w:rFonts w:cstheme="minorHAnsi"/>
          <w:sz w:val="24"/>
          <w:szCs w:val="24"/>
        </w:rPr>
        <w:t>,</w:t>
      </w:r>
      <w:r w:rsidR="00B0730C" w:rsidRPr="00DA00FE">
        <w:rPr>
          <w:rFonts w:cstheme="minorHAnsi"/>
          <w:sz w:val="24"/>
          <w:szCs w:val="24"/>
        </w:rPr>
        <w:t xml:space="preserve"> 2017). </w:t>
      </w:r>
      <w:r w:rsidRPr="001D4E79">
        <w:rPr>
          <w:rFonts w:cstheme="minorHAnsi"/>
          <w:color w:val="000000" w:themeColor="text1"/>
          <w:sz w:val="24"/>
          <w:lang w:val="es-ES_tradnl"/>
        </w:rPr>
        <w:t xml:space="preserve">Un tercer desafío indica que a través del seguimiento es posible orientar el ciclo de política pública hacia los resultados por lo que es necesario realimentar el proceso con las evidencias derivadas de las evaluaciones </w:t>
      </w:r>
      <w:r w:rsidR="00B0730C" w:rsidRPr="00DA00FE">
        <w:rPr>
          <w:rFonts w:cstheme="minorHAnsi"/>
          <w:sz w:val="24"/>
          <w:szCs w:val="24"/>
        </w:rPr>
        <w:t>(</w:t>
      </w:r>
      <w:r w:rsidR="00B0730C">
        <w:rPr>
          <w:rFonts w:cstheme="minorHAnsi"/>
          <w:sz w:val="24"/>
          <w:szCs w:val="24"/>
        </w:rPr>
        <w:t>MIDES-</w:t>
      </w:r>
      <w:r w:rsidR="00B0730C" w:rsidRPr="00DA00FE">
        <w:rPr>
          <w:rFonts w:cstheme="minorHAnsi"/>
          <w:sz w:val="24"/>
          <w:szCs w:val="24"/>
        </w:rPr>
        <w:t>VNR</w:t>
      </w:r>
      <w:r w:rsidR="00B0730C">
        <w:rPr>
          <w:rFonts w:cstheme="minorHAnsi"/>
          <w:sz w:val="24"/>
          <w:szCs w:val="24"/>
        </w:rPr>
        <w:t>,</w:t>
      </w:r>
      <w:r w:rsidR="00B0730C" w:rsidRPr="00DA00FE">
        <w:rPr>
          <w:rFonts w:cstheme="minorHAnsi"/>
          <w:sz w:val="24"/>
          <w:szCs w:val="24"/>
        </w:rPr>
        <w:t xml:space="preserve"> 2017).</w:t>
      </w:r>
    </w:p>
    <w:p w14:paraId="1784D1BE" w14:textId="77777777" w:rsidR="000C171B" w:rsidRPr="001D4E79" w:rsidRDefault="000C171B" w:rsidP="000C171B">
      <w:pPr>
        <w:spacing w:after="0" w:line="240" w:lineRule="auto"/>
        <w:jc w:val="both"/>
        <w:rPr>
          <w:rFonts w:cstheme="minorHAnsi"/>
          <w:color w:val="000000" w:themeColor="text1"/>
          <w:sz w:val="24"/>
        </w:rPr>
      </w:pPr>
      <w:r w:rsidRPr="001D4E79">
        <w:rPr>
          <w:rFonts w:cstheme="minorHAnsi"/>
          <w:color w:val="000000" w:themeColor="text1"/>
          <w:sz w:val="24"/>
        </w:rPr>
        <w:t xml:space="preserve"> </w:t>
      </w:r>
    </w:p>
    <w:p w14:paraId="5D6F1826" w14:textId="3D775B51" w:rsidR="000C171B" w:rsidRPr="001D4E79" w:rsidRDefault="000C171B" w:rsidP="000C171B">
      <w:pPr>
        <w:spacing w:after="0" w:line="240" w:lineRule="auto"/>
        <w:jc w:val="both"/>
        <w:rPr>
          <w:rFonts w:cstheme="minorHAnsi"/>
          <w:color w:val="000000" w:themeColor="text1"/>
          <w:sz w:val="24"/>
          <w:szCs w:val="24"/>
        </w:rPr>
      </w:pPr>
      <w:r w:rsidRPr="001D4E79">
        <w:rPr>
          <w:rFonts w:cstheme="minorHAnsi"/>
          <w:color w:val="000000" w:themeColor="text1"/>
          <w:sz w:val="24"/>
          <w:szCs w:val="24"/>
        </w:rPr>
        <w:t>Asimismo, para desarrollar una plataforma para la aceleración del cumplimiento de las metas de los Objetivos de Desarrollo Sostenible requiere un análisis integral tanto de las capacidades institucionales instaladas como de las posibilidades para su articulación en estrategias y programas de inclusión socio productivos. Por ello, en el marco de la adopción de la Agenda 2030, Panamá requiere de tres apoyos estratégicos en las siguientes áreas: (i) diagnóstico de capacidades; (</w:t>
      </w:r>
      <w:proofErr w:type="spellStart"/>
      <w:r w:rsidRPr="001D4E79">
        <w:rPr>
          <w:rFonts w:cstheme="minorHAnsi"/>
          <w:color w:val="000000" w:themeColor="text1"/>
          <w:sz w:val="24"/>
          <w:szCs w:val="24"/>
        </w:rPr>
        <w:t>ii</w:t>
      </w:r>
      <w:proofErr w:type="spellEnd"/>
      <w:r w:rsidRPr="001D4E79">
        <w:rPr>
          <w:rFonts w:cstheme="minorHAnsi"/>
          <w:color w:val="000000" w:themeColor="text1"/>
          <w:sz w:val="24"/>
          <w:szCs w:val="24"/>
        </w:rPr>
        <w:t>) mecanismo de producción de datos e indicadores periódicos; (</w:t>
      </w:r>
      <w:proofErr w:type="spellStart"/>
      <w:r w:rsidRPr="001D4E79">
        <w:rPr>
          <w:rFonts w:cstheme="minorHAnsi"/>
          <w:color w:val="000000" w:themeColor="text1"/>
          <w:sz w:val="24"/>
          <w:szCs w:val="24"/>
        </w:rPr>
        <w:t>iii</w:t>
      </w:r>
      <w:proofErr w:type="spellEnd"/>
      <w:r w:rsidRPr="001D4E79">
        <w:rPr>
          <w:rFonts w:cstheme="minorHAnsi"/>
          <w:color w:val="000000" w:themeColor="text1"/>
          <w:sz w:val="24"/>
          <w:szCs w:val="24"/>
        </w:rPr>
        <w:t xml:space="preserve">) gobernanza del proceso de alineamiento </w:t>
      </w:r>
      <w:r w:rsidRPr="001D4E79">
        <w:rPr>
          <w:rFonts w:cstheme="minorHAnsi"/>
          <w:color w:val="000000" w:themeColor="text1"/>
          <w:sz w:val="24"/>
          <w:lang w:val="es-ES_tradnl"/>
        </w:rPr>
        <w:t xml:space="preserve">evaluaciones </w:t>
      </w:r>
      <w:r w:rsidR="00B0730C" w:rsidRPr="00DA00FE">
        <w:rPr>
          <w:rFonts w:cstheme="minorHAnsi"/>
          <w:sz w:val="24"/>
          <w:szCs w:val="24"/>
        </w:rPr>
        <w:t>(</w:t>
      </w:r>
      <w:r w:rsidR="00B0730C">
        <w:rPr>
          <w:rFonts w:cstheme="minorHAnsi"/>
          <w:sz w:val="24"/>
          <w:szCs w:val="24"/>
        </w:rPr>
        <w:t>MIDES-</w:t>
      </w:r>
      <w:r w:rsidR="00B0730C" w:rsidRPr="00DA00FE">
        <w:rPr>
          <w:rFonts w:cstheme="minorHAnsi"/>
          <w:sz w:val="24"/>
          <w:szCs w:val="24"/>
        </w:rPr>
        <w:t>VNR</w:t>
      </w:r>
      <w:r w:rsidR="00B0730C">
        <w:rPr>
          <w:rFonts w:cstheme="minorHAnsi"/>
          <w:sz w:val="24"/>
          <w:szCs w:val="24"/>
        </w:rPr>
        <w:t>,</w:t>
      </w:r>
      <w:r w:rsidR="00B0730C" w:rsidRPr="00DA00FE">
        <w:rPr>
          <w:rFonts w:cstheme="minorHAnsi"/>
          <w:sz w:val="24"/>
          <w:szCs w:val="24"/>
        </w:rPr>
        <w:t xml:space="preserve"> 2017).</w:t>
      </w:r>
    </w:p>
    <w:p w14:paraId="09FE5781" w14:textId="77777777" w:rsidR="000C171B" w:rsidRPr="001D4E79" w:rsidRDefault="000C171B" w:rsidP="000C171B">
      <w:pPr>
        <w:spacing w:after="0" w:line="240" w:lineRule="auto"/>
        <w:jc w:val="both"/>
        <w:rPr>
          <w:rFonts w:cstheme="minorHAnsi"/>
          <w:color w:val="000000" w:themeColor="text1"/>
          <w:sz w:val="24"/>
          <w:szCs w:val="24"/>
        </w:rPr>
      </w:pPr>
    </w:p>
    <w:p w14:paraId="7D6FA057" w14:textId="6CC9D374" w:rsidR="000C171B" w:rsidRPr="001D4E79" w:rsidRDefault="000C171B" w:rsidP="000C171B">
      <w:pPr>
        <w:spacing w:after="0" w:line="240" w:lineRule="auto"/>
        <w:jc w:val="both"/>
        <w:rPr>
          <w:rFonts w:cstheme="minorHAnsi"/>
          <w:color w:val="000000" w:themeColor="text1"/>
          <w:sz w:val="24"/>
        </w:rPr>
      </w:pPr>
      <w:r w:rsidRPr="001D4E79">
        <w:rPr>
          <w:rFonts w:cstheme="minorHAnsi"/>
          <w:color w:val="000000" w:themeColor="text1"/>
          <w:sz w:val="24"/>
          <w:szCs w:val="24"/>
        </w:rPr>
        <w:t xml:space="preserve">(i) Diagnóstico de capacidades. El diagnóstico de las capacidades tanto de las instituciones rectoras, como de aquellas prestadoras de servicios, además de proporcionar una mirada sobre lo que existe (redes, buenas prácticas, lecciones aprendidas, innovaciones), permite conocer lo que debe fortalecerse (principios, mecanismos, métodos, herramientas e instrumentos) según las prioridades específicas del país. El proceso de diagnóstico de capacidades según ODS y sectores permitiría: comprometer a los involucrados en el proceso; evaluar activos de las </w:t>
      </w:r>
      <w:r w:rsidRPr="001D4E79">
        <w:rPr>
          <w:rFonts w:cstheme="minorHAnsi"/>
          <w:color w:val="000000" w:themeColor="text1"/>
          <w:sz w:val="24"/>
          <w:szCs w:val="24"/>
        </w:rPr>
        <w:lastRenderedPageBreak/>
        <w:t xml:space="preserve">capacidades y necesidades; formular e implementar las estrategias; evaluar el desarrollo de capacidades </w:t>
      </w:r>
      <w:r w:rsidR="00B0730C" w:rsidRPr="00DA00FE">
        <w:rPr>
          <w:rFonts w:cstheme="minorHAnsi"/>
          <w:sz w:val="24"/>
          <w:szCs w:val="24"/>
        </w:rPr>
        <w:t>(</w:t>
      </w:r>
      <w:r w:rsidR="00B0730C">
        <w:rPr>
          <w:rFonts w:cstheme="minorHAnsi"/>
          <w:sz w:val="24"/>
          <w:szCs w:val="24"/>
        </w:rPr>
        <w:t>MIDES-</w:t>
      </w:r>
      <w:r w:rsidR="00B0730C" w:rsidRPr="00DA00FE">
        <w:rPr>
          <w:rFonts w:cstheme="minorHAnsi"/>
          <w:sz w:val="24"/>
          <w:szCs w:val="24"/>
        </w:rPr>
        <w:t>VNR</w:t>
      </w:r>
      <w:r w:rsidR="00B0730C">
        <w:rPr>
          <w:rFonts w:cstheme="minorHAnsi"/>
          <w:sz w:val="24"/>
          <w:szCs w:val="24"/>
        </w:rPr>
        <w:t>,</w:t>
      </w:r>
      <w:r w:rsidR="00B0730C" w:rsidRPr="00DA00FE">
        <w:rPr>
          <w:rFonts w:cstheme="minorHAnsi"/>
          <w:sz w:val="24"/>
          <w:szCs w:val="24"/>
        </w:rPr>
        <w:t xml:space="preserve"> 2017).</w:t>
      </w:r>
    </w:p>
    <w:p w14:paraId="3E671773" w14:textId="77777777" w:rsidR="000C171B" w:rsidRPr="001D4E79" w:rsidRDefault="000C171B" w:rsidP="000C171B">
      <w:pPr>
        <w:spacing w:after="0" w:line="240" w:lineRule="auto"/>
        <w:jc w:val="both"/>
        <w:rPr>
          <w:rFonts w:cstheme="minorHAnsi"/>
          <w:color w:val="000000" w:themeColor="text1"/>
          <w:sz w:val="24"/>
          <w:szCs w:val="24"/>
        </w:rPr>
      </w:pPr>
    </w:p>
    <w:p w14:paraId="13FB7BB5" w14:textId="18FDEBBA" w:rsidR="000C171B" w:rsidRPr="001D4E79" w:rsidRDefault="000C171B" w:rsidP="000C171B">
      <w:pPr>
        <w:spacing w:after="0" w:line="240" w:lineRule="auto"/>
        <w:jc w:val="both"/>
        <w:rPr>
          <w:rFonts w:cstheme="minorHAnsi"/>
          <w:color w:val="000000" w:themeColor="text1"/>
          <w:sz w:val="24"/>
          <w:szCs w:val="24"/>
        </w:rPr>
      </w:pPr>
      <w:r w:rsidRPr="001D4E79">
        <w:rPr>
          <w:rFonts w:cstheme="minorHAnsi"/>
          <w:color w:val="000000" w:themeColor="text1"/>
          <w:sz w:val="24"/>
          <w:szCs w:val="24"/>
        </w:rPr>
        <w:t>(</w:t>
      </w:r>
      <w:proofErr w:type="spellStart"/>
      <w:r w:rsidRPr="001D4E79">
        <w:rPr>
          <w:rFonts w:cstheme="minorHAnsi"/>
          <w:color w:val="000000" w:themeColor="text1"/>
          <w:sz w:val="24"/>
          <w:szCs w:val="24"/>
        </w:rPr>
        <w:t>ii</w:t>
      </w:r>
      <w:proofErr w:type="spellEnd"/>
      <w:r w:rsidRPr="001D4E79">
        <w:rPr>
          <w:rFonts w:cstheme="minorHAnsi"/>
          <w:color w:val="000000" w:themeColor="text1"/>
          <w:sz w:val="24"/>
          <w:szCs w:val="24"/>
        </w:rPr>
        <w:t xml:space="preserve">) Mecanismo de producción de datos e indicadores periódicos. En el caso de Panamá, según el grado de desarrollo metodológico y la disponibilidad general de los datos, los indicadores se agrupan en tres niveles distintos: nivel uno que indica que existe una metodología establecida y se dispone de amplios datos; nivel dos que indica que existe una metodología establecida pero los datos no son fáciles de obtener; nivel tres que indica que no se ha desarrollado todavía una metodología comparable internacionalmente a fin de garantizar su aplicación sistemática en el desarrollo de las políticas públicas a nivel nacional, subnacional y local. Para garantizar la articulación, la producción de datos debe contener: trazabilidad, horizonte temporal, indicadores, organismo implicados </w:t>
      </w:r>
      <w:r w:rsidRPr="001D4E79">
        <w:rPr>
          <w:rFonts w:cstheme="minorHAnsi"/>
          <w:color w:val="000000" w:themeColor="text1"/>
          <w:sz w:val="24"/>
        </w:rPr>
        <w:t>(</w:t>
      </w:r>
      <w:r w:rsidR="00FF7A2D">
        <w:rPr>
          <w:rFonts w:cstheme="minorHAnsi"/>
          <w:color w:val="000000" w:themeColor="text1"/>
          <w:sz w:val="24"/>
        </w:rPr>
        <w:t>MIDES-</w:t>
      </w:r>
      <w:r w:rsidRPr="001D4E79">
        <w:rPr>
          <w:rFonts w:cstheme="minorHAnsi"/>
          <w:color w:val="000000" w:themeColor="text1"/>
          <w:sz w:val="24"/>
        </w:rPr>
        <w:t>VNR, 2017).</w:t>
      </w:r>
      <w:r w:rsidRPr="001D4E79">
        <w:rPr>
          <w:rFonts w:cstheme="minorHAnsi"/>
          <w:color w:val="000000" w:themeColor="text1"/>
          <w:sz w:val="24"/>
          <w:szCs w:val="24"/>
        </w:rPr>
        <w:t xml:space="preserve">  </w:t>
      </w:r>
    </w:p>
    <w:p w14:paraId="31C59BEE" w14:textId="77777777" w:rsidR="000C171B" w:rsidRPr="001D4E79" w:rsidRDefault="000C171B" w:rsidP="000C171B">
      <w:pPr>
        <w:spacing w:after="0" w:line="240" w:lineRule="auto"/>
        <w:jc w:val="both"/>
        <w:rPr>
          <w:rFonts w:cstheme="minorHAnsi"/>
          <w:color w:val="000000" w:themeColor="text1"/>
          <w:sz w:val="24"/>
          <w:szCs w:val="24"/>
        </w:rPr>
      </w:pPr>
    </w:p>
    <w:p w14:paraId="04FBD6C0" w14:textId="4D0A8807" w:rsidR="000C171B" w:rsidRPr="001D4E79" w:rsidRDefault="000C171B" w:rsidP="000C171B">
      <w:pPr>
        <w:spacing w:after="0" w:line="240" w:lineRule="auto"/>
        <w:jc w:val="both"/>
        <w:rPr>
          <w:rFonts w:cstheme="minorHAnsi"/>
          <w:color w:val="000000" w:themeColor="text1"/>
          <w:sz w:val="24"/>
          <w:szCs w:val="24"/>
        </w:rPr>
      </w:pPr>
      <w:r w:rsidRPr="001D4E79">
        <w:rPr>
          <w:rFonts w:cstheme="minorHAnsi"/>
          <w:color w:val="000000" w:themeColor="text1"/>
          <w:sz w:val="24"/>
          <w:szCs w:val="24"/>
        </w:rPr>
        <w:t>(</w:t>
      </w:r>
      <w:proofErr w:type="spellStart"/>
      <w:r w:rsidRPr="001D4E79">
        <w:rPr>
          <w:rFonts w:cstheme="minorHAnsi"/>
          <w:color w:val="000000" w:themeColor="text1"/>
          <w:sz w:val="24"/>
          <w:szCs w:val="24"/>
        </w:rPr>
        <w:t>iii</w:t>
      </w:r>
      <w:proofErr w:type="spellEnd"/>
      <w:r w:rsidRPr="001D4E79">
        <w:rPr>
          <w:rFonts w:cstheme="minorHAnsi"/>
          <w:color w:val="000000" w:themeColor="text1"/>
          <w:sz w:val="24"/>
          <w:szCs w:val="24"/>
        </w:rPr>
        <w:t xml:space="preserve">) Gobernanza del proceso de alineamiento. El alineamiento institucional tiene como base las preguntas: quién hace qué, dónde se hace de manera más eficiente. De igual para realizar un proceso de alineamiento debe definirse una vez se cuenta con el diagnóstico de capacidades una estrategia de participación colaborativa (convenios, acuerdos), alianzas y soportes técnico-político (fiscalización-financiamiento) y una “carta de navegación” (permite la adecuada planificación de todas las contrapartes). El alineamiento generalmente implica cambio organizacional, desarrollo de liderazgo y rendición de cuentas y se impulsa teniendo en cuenta las garantías a preservar y ampliar </w:t>
      </w:r>
      <w:r w:rsidR="00B0730C" w:rsidRPr="00DA00FE">
        <w:rPr>
          <w:rFonts w:cstheme="minorHAnsi"/>
          <w:sz w:val="24"/>
          <w:szCs w:val="24"/>
        </w:rPr>
        <w:t>(</w:t>
      </w:r>
      <w:r w:rsidR="00B0730C">
        <w:rPr>
          <w:rFonts w:cstheme="minorHAnsi"/>
          <w:sz w:val="24"/>
          <w:szCs w:val="24"/>
        </w:rPr>
        <w:t>MIDES-</w:t>
      </w:r>
      <w:r w:rsidR="00B0730C" w:rsidRPr="00DA00FE">
        <w:rPr>
          <w:rFonts w:cstheme="minorHAnsi"/>
          <w:sz w:val="24"/>
          <w:szCs w:val="24"/>
        </w:rPr>
        <w:t>VNR</w:t>
      </w:r>
      <w:r w:rsidR="00B0730C">
        <w:rPr>
          <w:rFonts w:cstheme="minorHAnsi"/>
          <w:sz w:val="24"/>
          <w:szCs w:val="24"/>
        </w:rPr>
        <w:t>,</w:t>
      </w:r>
      <w:r w:rsidR="00B0730C" w:rsidRPr="00DA00FE">
        <w:rPr>
          <w:rFonts w:cstheme="minorHAnsi"/>
          <w:sz w:val="24"/>
          <w:szCs w:val="24"/>
        </w:rPr>
        <w:t xml:space="preserve"> 2017).</w:t>
      </w:r>
    </w:p>
    <w:p w14:paraId="4C6A3CB2" w14:textId="77777777" w:rsidR="000C171B" w:rsidRPr="00725057" w:rsidRDefault="000C171B" w:rsidP="000C171B">
      <w:pPr>
        <w:spacing w:after="0" w:line="240" w:lineRule="auto"/>
        <w:jc w:val="both"/>
        <w:rPr>
          <w:rFonts w:cstheme="minorHAnsi"/>
          <w:color w:val="7030A0"/>
          <w:sz w:val="24"/>
          <w:szCs w:val="24"/>
        </w:rPr>
      </w:pPr>
    </w:p>
    <w:p w14:paraId="22A7544E" w14:textId="77777777" w:rsidR="000C171B" w:rsidRPr="00BA7353" w:rsidRDefault="000C171B" w:rsidP="000C171B">
      <w:pPr>
        <w:spacing w:after="0" w:line="240" w:lineRule="auto"/>
        <w:rPr>
          <w:rFonts w:cstheme="minorHAnsi"/>
          <w:b/>
          <w:bCs/>
          <w:color w:val="4472C4" w:themeColor="accent1"/>
          <w:sz w:val="24"/>
          <w:szCs w:val="24"/>
        </w:rPr>
      </w:pPr>
      <w:r w:rsidRPr="00BA7353">
        <w:rPr>
          <w:rFonts w:cstheme="minorHAnsi"/>
          <w:b/>
          <w:bCs/>
          <w:color w:val="4472C4" w:themeColor="accent1"/>
          <w:sz w:val="24"/>
          <w:szCs w:val="24"/>
        </w:rPr>
        <w:t xml:space="preserve">9.2. Principales cuellos de botella que impiden que el país acelere el progreso en los ODS, las normas y estándares de la ONU y los principios de la Carta de la ONU. </w:t>
      </w:r>
    </w:p>
    <w:p w14:paraId="0859ED6F" w14:textId="77777777" w:rsidR="000C171B" w:rsidRDefault="000C171B" w:rsidP="000C171B">
      <w:pPr>
        <w:spacing w:after="0" w:line="240" w:lineRule="auto"/>
        <w:jc w:val="both"/>
        <w:rPr>
          <w:rFonts w:cstheme="minorHAnsi"/>
          <w:color w:val="000000" w:themeColor="text1"/>
          <w:sz w:val="24"/>
          <w:szCs w:val="24"/>
          <w:lang w:val="es-ES_tradnl" w:eastAsia="es-ES"/>
        </w:rPr>
      </w:pPr>
    </w:p>
    <w:p w14:paraId="7CF67E88" w14:textId="1143BF42" w:rsidR="000C171B" w:rsidRDefault="000C171B" w:rsidP="000C171B">
      <w:pPr>
        <w:pStyle w:val="ListParagraph"/>
        <w:spacing w:after="0" w:line="240" w:lineRule="auto"/>
        <w:ind w:left="0"/>
        <w:jc w:val="both"/>
        <w:rPr>
          <w:rFonts w:cstheme="minorHAnsi"/>
          <w:sz w:val="24"/>
          <w:szCs w:val="24"/>
        </w:rPr>
      </w:pPr>
      <w:r w:rsidRPr="00396212">
        <w:rPr>
          <w:rFonts w:cstheme="minorHAnsi"/>
          <w:sz w:val="24"/>
          <w:szCs w:val="24"/>
        </w:rPr>
        <w:t>Panamá cuenta con un patrón de crecimiento desigual y heterogéneo que distribuye de manera poco efectiva y eficiente oportunidades de empleo y capacidades de servicios en las áreas rurales, indígenas y urbanas marginales. La desigualdad de ingresos tiene como contraparte una serie de brechas en los activos productivos, físicos, financieros y de capital humano. Esas brechas generan patrones desiguales de desarrollo humano</w:t>
      </w:r>
      <w:r>
        <w:rPr>
          <w:rFonts w:cstheme="minorHAnsi"/>
          <w:sz w:val="24"/>
          <w:szCs w:val="24"/>
        </w:rPr>
        <w:t xml:space="preserve"> </w:t>
      </w:r>
      <w:r w:rsidR="00B0730C" w:rsidRPr="00DA00FE">
        <w:rPr>
          <w:rFonts w:cstheme="minorHAnsi"/>
          <w:sz w:val="24"/>
          <w:szCs w:val="24"/>
        </w:rPr>
        <w:t>(</w:t>
      </w:r>
      <w:r w:rsidR="00B0730C">
        <w:rPr>
          <w:rFonts w:cstheme="minorHAnsi"/>
          <w:sz w:val="24"/>
          <w:szCs w:val="24"/>
        </w:rPr>
        <w:t>MIDES-</w:t>
      </w:r>
      <w:r w:rsidR="00B0730C" w:rsidRPr="00DA00FE">
        <w:rPr>
          <w:rFonts w:cstheme="minorHAnsi"/>
          <w:sz w:val="24"/>
          <w:szCs w:val="24"/>
        </w:rPr>
        <w:t>VNR</w:t>
      </w:r>
      <w:r w:rsidR="00B0730C">
        <w:rPr>
          <w:rFonts w:cstheme="minorHAnsi"/>
          <w:sz w:val="24"/>
          <w:szCs w:val="24"/>
        </w:rPr>
        <w:t>,</w:t>
      </w:r>
      <w:r w:rsidR="00B0730C" w:rsidRPr="00DA00FE">
        <w:rPr>
          <w:rFonts w:cstheme="minorHAnsi"/>
          <w:sz w:val="24"/>
          <w:szCs w:val="24"/>
        </w:rPr>
        <w:t xml:space="preserve"> 2017). </w:t>
      </w:r>
      <w:r>
        <w:rPr>
          <w:rFonts w:cstheme="minorHAnsi"/>
          <w:sz w:val="24"/>
          <w:szCs w:val="24"/>
        </w:rPr>
        <w:t>Por lo que n</w:t>
      </w:r>
      <w:r w:rsidRPr="00396212">
        <w:rPr>
          <w:rFonts w:cstheme="minorHAnsi"/>
          <w:sz w:val="24"/>
          <w:szCs w:val="24"/>
        </w:rPr>
        <w:t>o logra reducir las brechas entre grupos de edad, sexo, etnia y territorios a pesar de la magnitud del gasto social panameño</w:t>
      </w:r>
      <w:r>
        <w:rPr>
          <w:rFonts w:cstheme="minorHAnsi"/>
          <w:sz w:val="24"/>
          <w:szCs w:val="24"/>
        </w:rPr>
        <w:t xml:space="preserve"> </w:t>
      </w:r>
      <w:r w:rsidR="00B0730C" w:rsidRPr="00DA00FE">
        <w:rPr>
          <w:rFonts w:cstheme="minorHAnsi"/>
          <w:sz w:val="24"/>
          <w:szCs w:val="24"/>
        </w:rPr>
        <w:t>(</w:t>
      </w:r>
      <w:r w:rsidR="00B0730C">
        <w:rPr>
          <w:rFonts w:cstheme="minorHAnsi"/>
          <w:sz w:val="24"/>
          <w:szCs w:val="24"/>
        </w:rPr>
        <w:t>MIDES-</w:t>
      </w:r>
      <w:r w:rsidR="00B0730C" w:rsidRPr="00DA00FE">
        <w:rPr>
          <w:rFonts w:cstheme="minorHAnsi"/>
          <w:sz w:val="24"/>
          <w:szCs w:val="24"/>
        </w:rPr>
        <w:t>VNR</w:t>
      </w:r>
      <w:r w:rsidR="00B0730C">
        <w:rPr>
          <w:rFonts w:cstheme="minorHAnsi"/>
          <w:sz w:val="24"/>
          <w:szCs w:val="24"/>
        </w:rPr>
        <w:t>,</w:t>
      </w:r>
      <w:r w:rsidR="00B0730C" w:rsidRPr="00DA00FE">
        <w:rPr>
          <w:rFonts w:cstheme="minorHAnsi"/>
          <w:sz w:val="24"/>
          <w:szCs w:val="24"/>
        </w:rPr>
        <w:t xml:space="preserve"> 2017).</w:t>
      </w:r>
    </w:p>
    <w:p w14:paraId="176124FD" w14:textId="77777777" w:rsidR="000C171B" w:rsidRDefault="000C171B" w:rsidP="000C171B">
      <w:pPr>
        <w:pStyle w:val="ListParagraph"/>
        <w:spacing w:after="0" w:line="240" w:lineRule="auto"/>
        <w:ind w:left="0"/>
        <w:jc w:val="both"/>
        <w:rPr>
          <w:rFonts w:cstheme="minorHAnsi"/>
          <w:sz w:val="24"/>
          <w:szCs w:val="24"/>
        </w:rPr>
      </w:pPr>
    </w:p>
    <w:p w14:paraId="04D4C1E0" w14:textId="632CE091" w:rsidR="000C171B" w:rsidRPr="00396212" w:rsidRDefault="000C171B" w:rsidP="000C171B">
      <w:pPr>
        <w:pStyle w:val="ListParagraph"/>
        <w:spacing w:after="0" w:line="240" w:lineRule="auto"/>
        <w:ind w:left="0"/>
        <w:jc w:val="both"/>
        <w:rPr>
          <w:rFonts w:cstheme="minorHAnsi"/>
          <w:sz w:val="24"/>
          <w:szCs w:val="24"/>
        </w:rPr>
      </w:pPr>
      <w:r>
        <w:rPr>
          <w:rFonts w:cstheme="minorHAnsi"/>
          <w:sz w:val="24"/>
          <w:szCs w:val="24"/>
        </w:rPr>
        <w:t xml:space="preserve">Sin embargo, el cumplimiento de la Agenda 2030 </w:t>
      </w:r>
      <w:r w:rsidRPr="00396212">
        <w:rPr>
          <w:rFonts w:cstheme="minorHAnsi"/>
          <w:sz w:val="24"/>
          <w:szCs w:val="24"/>
        </w:rPr>
        <w:t xml:space="preserve">permite estructurar mecanismos viables de implementación capaces de producir </w:t>
      </w:r>
      <w:r>
        <w:rPr>
          <w:rFonts w:cstheme="minorHAnsi"/>
          <w:sz w:val="24"/>
          <w:szCs w:val="24"/>
        </w:rPr>
        <w:t xml:space="preserve">un escalamiento </w:t>
      </w:r>
      <w:r w:rsidRPr="00396212">
        <w:rPr>
          <w:rFonts w:cstheme="minorHAnsi"/>
          <w:sz w:val="24"/>
          <w:szCs w:val="24"/>
        </w:rPr>
        <w:t>desde el punto de vista de la movilización de recursos</w:t>
      </w:r>
      <w:r>
        <w:rPr>
          <w:rFonts w:cstheme="minorHAnsi"/>
          <w:sz w:val="24"/>
          <w:szCs w:val="24"/>
        </w:rPr>
        <w:t>,</w:t>
      </w:r>
      <w:r w:rsidRPr="00396212">
        <w:rPr>
          <w:rFonts w:cstheme="minorHAnsi"/>
          <w:sz w:val="24"/>
          <w:szCs w:val="24"/>
        </w:rPr>
        <w:t xml:space="preserve"> que aseguren condiciones de celeridad y eficiencia en la gestión implementadora y ante todo que garanticen un grado óptimo de pertinencia de las acciones para el cumplimento de las metas y objetivos de la Agenda 2030 en Panamá</w:t>
      </w:r>
      <w:r>
        <w:rPr>
          <w:rFonts w:cstheme="minorHAnsi"/>
          <w:sz w:val="24"/>
          <w:szCs w:val="24"/>
        </w:rPr>
        <w:t xml:space="preserve"> </w:t>
      </w:r>
      <w:r w:rsidR="00B0730C" w:rsidRPr="00DA00FE">
        <w:rPr>
          <w:rFonts w:cstheme="minorHAnsi"/>
          <w:sz w:val="24"/>
          <w:szCs w:val="24"/>
        </w:rPr>
        <w:t>(</w:t>
      </w:r>
      <w:r w:rsidR="00B0730C">
        <w:rPr>
          <w:rFonts w:cstheme="minorHAnsi"/>
          <w:sz w:val="24"/>
          <w:szCs w:val="24"/>
        </w:rPr>
        <w:t>MIDES-</w:t>
      </w:r>
      <w:r w:rsidR="00B0730C" w:rsidRPr="00DA00FE">
        <w:rPr>
          <w:rFonts w:cstheme="minorHAnsi"/>
          <w:sz w:val="24"/>
          <w:szCs w:val="24"/>
        </w:rPr>
        <w:t>VNR</w:t>
      </w:r>
      <w:r w:rsidR="00B0730C">
        <w:rPr>
          <w:rFonts w:cstheme="minorHAnsi"/>
          <w:sz w:val="24"/>
          <w:szCs w:val="24"/>
        </w:rPr>
        <w:t>,</w:t>
      </w:r>
      <w:r w:rsidR="00B0730C" w:rsidRPr="00DA00FE">
        <w:rPr>
          <w:rFonts w:cstheme="minorHAnsi"/>
          <w:sz w:val="24"/>
          <w:szCs w:val="24"/>
        </w:rPr>
        <w:t xml:space="preserve"> 2017).</w:t>
      </w:r>
    </w:p>
    <w:p w14:paraId="711E582F" w14:textId="77777777" w:rsidR="000C171B" w:rsidRPr="00396212" w:rsidRDefault="000C171B" w:rsidP="000C171B">
      <w:pPr>
        <w:spacing w:after="0" w:line="240" w:lineRule="auto"/>
        <w:rPr>
          <w:rFonts w:cstheme="minorHAnsi"/>
          <w:sz w:val="24"/>
          <w:szCs w:val="24"/>
        </w:rPr>
      </w:pPr>
    </w:p>
    <w:p w14:paraId="3429EA8D" w14:textId="3894BA01" w:rsidR="000C171B" w:rsidRPr="00725057" w:rsidRDefault="000C171B" w:rsidP="000C171B">
      <w:pPr>
        <w:spacing w:after="0" w:line="240" w:lineRule="auto"/>
        <w:jc w:val="both"/>
        <w:rPr>
          <w:rFonts w:cstheme="minorHAnsi"/>
          <w:color w:val="000000" w:themeColor="text1"/>
          <w:sz w:val="24"/>
          <w:szCs w:val="24"/>
          <w:lang w:val="es-ES_tradnl" w:eastAsia="es-ES"/>
        </w:rPr>
      </w:pPr>
      <w:r>
        <w:rPr>
          <w:rFonts w:cstheme="minorHAnsi"/>
          <w:color w:val="000000" w:themeColor="text1"/>
          <w:sz w:val="24"/>
          <w:szCs w:val="24"/>
          <w:lang w:val="es-ES_tradnl" w:eastAsia="es-ES"/>
        </w:rPr>
        <w:t>Pero de igual manera, l</w:t>
      </w:r>
      <w:r w:rsidRPr="00725057">
        <w:rPr>
          <w:rFonts w:cstheme="minorHAnsi"/>
          <w:color w:val="000000" w:themeColor="text1"/>
          <w:sz w:val="24"/>
          <w:szCs w:val="24"/>
          <w:lang w:val="es-ES_tradnl" w:eastAsia="es-ES"/>
        </w:rPr>
        <w:t xml:space="preserve">a implementación de la Agenda 2030 requiere el cierre de una serie de brechas que reducen la velocidad del proceso de alineamiento e implementación de las políticas públicas centradas en derechos y garantías.  Para agilizar el cumplimiento de las metas y </w:t>
      </w:r>
      <w:r w:rsidRPr="00725057">
        <w:rPr>
          <w:rFonts w:cstheme="minorHAnsi"/>
          <w:color w:val="000000" w:themeColor="text1"/>
          <w:sz w:val="24"/>
          <w:szCs w:val="24"/>
          <w:lang w:val="es-ES_tradnl" w:eastAsia="es-ES"/>
        </w:rPr>
        <w:lastRenderedPageBreak/>
        <w:t>objetivos de los ODS se debe agilizar los procesos tendientes a incrementa</w:t>
      </w:r>
      <w:r>
        <w:rPr>
          <w:rFonts w:cstheme="minorHAnsi"/>
          <w:color w:val="000000" w:themeColor="text1"/>
          <w:sz w:val="24"/>
          <w:szCs w:val="24"/>
          <w:lang w:val="es-ES_tradnl" w:eastAsia="es-ES"/>
        </w:rPr>
        <w:t>r</w:t>
      </w:r>
      <w:r w:rsidRPr="00725057">
        <w:rPr>
          <w:rFonts w:cstheme="minorHAnsi"/>
          <w:color w:val="000000" w:themeColor="text1"/>
          <w:sz w:val="24"/>
          <w:szCs w:val="24"/>
          <w:lang w:val="es-ES_tradnl" w:eastAsia="es-ES"/>
        </w:rPr>
        <w:t>: capacidades gestión y gobernanza; capacidades técnicas; capacidades políticas</w:t>
      </w:r>
      <w:r>
        <w:rPr>
          <w:rFonts w:cstheme="minorHAnsi"/>
          <w:color w:val="000000" w:themeColor="text1"/>
          <w:sz w:val="24"/>
          <w:szCs w:val="24"/>
          <w:lang w:val="es-ES_tradnl" w:eastAsia="es-ES"/>
        </w:rPr>
        <w:t xml:space="preserve"> </w:t>
      </w:r>
      <w:r w:rsidR="00B0730C" w:rsidRPr="00DA00FE">
        <w:rPr>
          <w:rFonts w:cstheme="minorHAnsi"/>
          <w:sz w:val="24"/>
          <w:szCs w:val="24"/>
        </w:rPr>
        <w:t>(</w:t>
      </w:r>
      <w:r w:rsidR="00B0730C">
        <w:rPr>
          <w:rFonts w:cstheme="minorHAnsi"/>
          <w:sz w:val="24"/>
          <w:szCs w:val="24"/>
        </w:rPr>
        <w:t>MIDES-</w:t>
      </w:r>
      <w:r w:rsidR="00B0730C" w:rsidRPr="00DA00FE">
        <w:rPr>
          <w:rFonts w:cstheme="minorHAnsi"/>
          <w:sz w:val="24"/>
          <w:szCs w:val="24"/>
        </w:rPr>
        <w:t>VNR</w:t>
      </w:r>
      <w:r w:rsidR="00B0730C">
        <w:rPr>
          <w:rFonts w:cstheme="minorHAnsi"/>
          <w:sz w:val="24"/>
          <w:szCs w:val="24"/>
        </w:rPr>
        <w:t>,</w:t>
      </w:r>
      <w:r w:rsidR="00B0730C" w:rsidRPr="00DA00FE">
        <w:rPr>
          <w:rFonts w:cstheme="minorHAnsi"/>
          <w:sz w:val="24"/>
          <w:szCs w:val="24"/>
        </w:rPr>
        <w:t xml:space="preserve"> 2017).</w:t>
      </w:r>
    </w:p>
    <w:p w14:paraId="4717F738" w14:textId="77777777" w:rsidR="000C171B" w:rsidRPr="00725057" w:rsidRDefault="000C171B" w:rsidP="000C171B">
      <w:pPr>
        <w:spacing w:after="0" w:line="240" w:lineRule="auto"/>
        <w:jc w:val="both"/>
        <w:rPr>
          <w:rFonts w:cstheme="minorHAnsi"/>
          <w:color w:val="000000" w:themeColor="text1"/>
          <w:sz w:val="24"/>
          <w:szCs w:val="24"/>
          <w:lang w:val="es-ES_tradnl" w:eastAsia="es-ES"/>
        </w:rPr>
      </w:pPr>
    </w:p>
    <w:p w14:paraId="7D73EA91" w14:textId="5CC8E7DB" w:rsidR="000C171B" w:rsidRPr="00725057" w:rsidRDefault="000C171B" w:rsidP="000C171B">
      <w:pPr>
        <w:spacing w:after="0" w:line="240" w:lineRule="auto"/>
        <w:jc w:val="both"/>
        <w:rPr>
          <w:rFonts w:cstheme="minorHAnsi"/>
          <w:sz w:val="24"/>
          <w:szCs w:val="24"/>
          <w:lang w:val="es-ES_tradnl" w:eastAsia="es-ES"/>
        </w:rPr>
      </w:pPr>
      <w:bookmarkStart w:id="4" w:name="_Hlk480306305"/>
      <w:r w:rsidRPr="00725057">
        <w:rPr>
          <w:rFonts w:cstheme="minorHAnsi"/>
          <w:color w:val="000000" w:themeColor="text1"/>
          <w:sz w:val="24"/>
          <w:szCs w:val="24"/>
          <w:lang w:val="es-ES_tradnl" w:eastAsia="es-ES"/>
        </w:rPr>
        <w:t xml:space="preserve">Desarrollo de capacidades de gestión y gobernanza. En perspectiva de los procesos de gestión administrativa, toda estrategia (en este caso, una estrategia macro, como los Objetivos de Desarrollo Sostenible), requiere para su adecuada implementación, estar soportada sobre la base de una estructura, que la contenga, la instrumentalice y la direccione. De igual manera el </w:t>
      </w:r>
      <w:r w:rsidRPr="00725057">
        <w:rPr>
          <w:rFonts w:cstheme="minorHAnsi"/>
          <w:sz w:val="24"/>
          <w:szCs w:val="24"/>
          <w:lang w:val="es-ES_tradnl" w:eastAsia="es-ES"/>
        </w:rPr>
        <w:t>proceso de cambio institucional se da también en función de las capacidades del gobierno nacional para establecer condiciones de gobernanza a nivel sectorial. Los criterios aplicables a la administración y gestión de las distintas carteras ministeriales deben ser compatibles y armónicos, con el resto de las estrategias que se promueven desde los demás sectores administrativos del estado. Para ello es necesario fortalecer factores y aspectos como: c</w:t>
      </w:r>
      <w:r w:rsidRPr="00725057">
        <w:rPr>
          <w:rFonts w:cstheme="minorHAnsi"/>
          <w:color w:val="000000" w:themeColor="text1"/>
          <w:sz w:val="24"/>
          <w:szCs w:val="24"/>
          <w:lang w:val="es-ES_tradnl" w:eastAsia="es-ES"/>
        </w:rPr>
        <w:t>onsolidación y funcionalidad de las instituciones nacionales y locales del estado; implementación de una estrategia de Modernización Institucional generalizada en todas las esferas de gobierno; d</w:t>
      </w:r>
      <w:r w:rsidRPr="00725057">
        <w:rPr>
          <w:rFonts w:cstheme="minorHAnsi"/>
          <w:sz w:val="24"/>
          <w:szCs w:val="24"/>
          <w:lang w:val="es-ES_tradnl" w:eastAsia="es-ES"/>
        </w:rPr>
        <w:t>iscrecionalidad en los flujos de financiamiento hacia los sectores</w:t>
      </w:r>
      <w:r w:rsidRPr="00725057">
        <w:rPr>
          <w:rFonts w:cstheme="minorHAnsi"/>
          <w:color w:val="000000" w:themeColor="text1"/>
          <w:sz w:val="24"/>
          <w:szCs w:val="24"/>
          <w:lang w:val="es-ES_tradnl" w:eastAsia="es-ES"/>
        </w:rPr>
        <w:t xml:space="preserve"> </w:t>
      </w:r>
      <w:r w:rsidR="00B0730C" w:rsidRPr="00DA00FE">
        <w:rPr>
          <w:rFonts w:cstheme="minorHAnsi"/>
          <w:sz w:val="24"/>
          <w:szCs w:val="24"/>
        </w:rPr>
        <w:t>(</w:t>
      </w:r>
      <w:r w:rsidR="00B0730C">
        <w:rPr>
          <w:rFonts w:cstheme="minorHAnsi"/>
          <w:sz w:val="24"/>
          <w:szCs w:val="24"/>
        </w:rPr>
        <w:t>MIDES-</w:t>
      </w:r>
      <w:r w:rsidR="00B0730C" w:rsidRPr="00DA00FE">
        <w:rPr>
          <w:rFonts w:cstheme="minorHAnsi"/>
          <w:sz w:val="24"/>
          <w:szCs w:val="24"/>
        </w:rPr>
        <w:t>VNR</w:t>
      </w:r>
      <w:r w:rsidR="00B0730C">
        <w:rPr>
          <w:rFonts w:cstheme="minorHAnsi"/>
          <w:sz w:val="24"/>
          <w:szCs w:val="24"/>
        </w:rPr>
        <w:t>,</w:t>
      </w:r>
      <w:r w:rsidR="00B0730C" w:rsidRPr="00DA00FE">
        <w:rPr>
          <w:rFonts w:cstheme="minorHAnsi"/>
          <w:sz w:val="24"/>
          <w:szCs w:val="24"/>
        </w:rPr>
        <w:t xml:space="preserve"> 2017).</w:t>
      </w:r>
    </w:p>
    <w:p w14:paraId="62FACAF6" w14:textId="77777777" w:rsidR="000C171B" w:rsidRPr="00725057" w:rsidRDefault="000C171B" w:rsidP="000C171B">
      <w:pPr>
        <w:pStyle w:val="ListParagraph"/>
        <w:spacing w:after="0" w:line="240" w:lineRule="auto"/>
        <w:ind w:left="0"/>
        <w:jc w:val="both"/>
        <w:rPr>
          <w:rFonts w:cstheme="minorHAnsi"/>
          <w:sz w:val="24"/>
          <w:szCs w:val="24"/>
          <w:lang w:val="es-ES_tradnl" w:eastAsia="es-ES"/>
        </w:rPr>
      </w:pPr>
    </w:p>
    <w:p w14:paraId="4A493D2C" w14:textId="35862D76" w:rsidR="000C171B" w:rsidRPr="00725057" w:rsidRDefault="000C171B" w:rsidP="000C171B">
      <w:pPr>
        <w:pStyle w:val="ListParagraph"/>
        <w:spacing w:after="0" w:line="240" w:lineRule="auto"/>
        <w:ind w:left="0"/>
        <w:jc w:val="both"/>
        <w:rPr>
          <w:rFonts w:cstheme="minorHAnsi"/>
          <w:color w:val="000000" w:themeColor="text1"/>
          <w:sz w:val="24"/>
          <w:szCs w:val="24"/>
          <w:lang w:val="es-ES_tradnl" w:eastAsia="es-ES"/>
        </w:rPr>
      </w:pPr>
      <w:r w:rsidRPr="00725057">
        <w:rPr>
          <w:rFonts w:cstheme="minorHAnsi"/>
          <w:color w:val="000000" w:themeColor="text1"/>
          <w:sz w:val="24"/>
          <w:szCs w:val="24"/>
          <w:lang w:val="es-ES_tradnl" w:eastAsia="es-ES"/>
        </w:rPr>
        <w:t>Desarrollo de capacidades técnicas</w:t>
      </w:r>
      <w:bookmarkEnd w:id="4"/>
      <w:r w:rsidRPr="00725057">
        <w:rPr>
          <w:rFonts w:cstheme="minorHAnsi"/>
          <w:color w:val="000000" w:themeColor="text1"/>
          <w:sz w:val="24"/>
          <w:szCs w:val="24"/>
          <w:lang w:val="es-ES_tradnl" w:eastAsia="es-ES"/>
        </w:rPr>
        <w:t xml:space="preserve">. Estas brechas se entienden como las capacidades a desarrollarse, en términos de los requerimientos de información, conocimientos y experticias que el equipo implementador del gobierno disponga al servicio del proceso de consecución de las metas </w:t>
      </w:r>
      <w:r>
        <w:rPr>
          <w:rFonts w:cstheme="minorHAnsi"/>
          <w:color w:val="000000" w:themeColor="text1"/>
          <w:sz w:val="24"/>
          <w:szCs w:val="24"/>
          <w:lang w:val="es-ES_tradnl" w:eastAsia="es-ES"/>
        </w:rPr>
        <w:t xml:space="preserve">de </w:t>
      </w:r>
      <w:r w:rsidRPr="00725057">
        <w:rPr>
          <w:rFonts w:cstheme="minorHAnsi"/>
          <w:color w:val="000000" w:themeColor="text1"/>
          <w:sz w:val="24"/>
          <w:szCs w:val="24"/>
          <w:lang w:val="es-ES_tradnl" w:eastAsia="es-ES"/>
        </w:rPr>
        <w:t>desarrollo sostenible lo cual hace referencia específica a criterios como: cualificación de equipos de trabajo intersectoriales de alto impacto (bien calificados y motivados); trabajo colaborativo y relacionamiento inter agencia; gestión de información estratégica nacional; condiciones óptimas de implementación</w:t>
      </w:r>
      <w:r w:rsidR="00B0730C">
        <w:rPr>
          <w:rFonts w:cstheme="minorHAnsi"/>
          <w:color w:val="000000" w:themeColor="text1"/>
          <w:sz w:val="24"/>
          <w:szCs w:val="24"/>
          <w:lang w:val="es-ES_tradnl" w:eastAsia="es-ES"/>
        </w:rPr>
        <w:t xml:space="preserve"> </w:t>
      </w:r>
      <w:r w:rsidR="00B0730C" w:rsidRPr="00DA00FE">
        <w:rPr>
          <w:rFonts w:cstheme="minorHAnsi"/>
          <w:sz w:val="24"/>
          <w:szCs w:val="24"/>
        </w:rPr>
        <w:t>(</w:t>
      </w:r>
      <w:r w:rsidR="00B0730C">
        <w:rPr>
          <w:rFonts w:cstheme="minorHAnsi"/>
          <w:sz w:val="24"/>
          <w:szCs w:val="24"/>
        </w:rPr>
        <w:t>MIDES-</w:t>
      </w:r>
      <w:r w:rsidR="00B0730C" w:rsidRPr="00DA00FE">
        <w:rPr>
          <w:rFonts w:cstheme="minorHAnsi"/>
          <w:sz w:val="24"/>
          <w:szCs w:val="24"/>
        </w:rPr>
        <w:t>VNR</w:t>
      </w:r>
      <w:r w:rsidR="00B0730C">
        <w:rPr>
          <w:rFonts w:cstheme="minorHAnsi"/>
          <w:sz w:val="24"/>
          <w:szCs w:val="24"/>
        </w:rPr>
        <w:t>,</w:t>
      </w:r>
      <w:r w:rsidR="00B0730C" w:rsidRPr="00DA00FE">
        <w:rPr>
          <w:rFonts w:cstheme="minorHAnsi"/>
          <w:sz w:val="24"/>
          <w:szCs w:val="24"/>
        </w:rPr>
        <w:t xml:space="preserve"> 2017).</w:t>
      </w:r>
    </w:p>
    <w:p w14:paraId="76BC99D9" w14:textId="77777777" w:rsidR="000C171B" w:rsidRPr="00725057" w:rsidRDefault="000C171B" w:rsidP="000C171B">
      <w:pPr>
        <w:pStyle w:val="ListParagraph"/>
        <w:spacing w:after="0" w:line="240" w:lineRule="auto"/>
        <w:ind w:left="0"/>
        <w:jc w:val="both"/>
        <w:rPr>
          <w:rFonts w:cstheme="minorHAnsi"/>
          <w:color w:val="000000" w:themeColor="text1"/>
          <w:sz w:val="24"/>
          <w:szCs w:val="24"/>
          <w:lang w:val="es-ES_tradnl" w:eastAsia="es-ES"/>
        </w:rPr>
      </w:pPr>
    </w:p>
    <w:p w14:paraId="3C670402" w14:textId="26100DC8" w:rsidR="000C171B" w:rsidRDefault="000C171B" w:rsidP="000C171B">
      <w:pPr>
        <w:pStyle w:val="ListParagraph"/>
        <w:spacing w:after="0" w:line="240" w:lineRule="auto"/>
        <w:ind w:left="0"/>
        <w:jc w:val="both"/>
        <w:rPr>
          <w:rFonts w:cstheme="minorHAnsi"/>
          <w:color w:val="000000" w:themeColor="text1"/>
          <w:sz w:val="24"/>
          <w:szCs w:val="24"/>
          <w:lang w:val="es-ES_tradnl" w:eastAsia="es-ES"/>
        </w:rPr>
      </w:pPr>
      <w:bookmarkStart w:id="5" w:name="_Hlk480306418"/>
      <w:r w:rsidRPr="00725057">
        <w:rPr>
          <w:rFonts w:cstheme="minorHAnsi"/>
          <w:color w:val="000000" w:themeColor="text1"/>
          <w:sz w:val="24"/>
          <w:szCs w:val="24"/>
          <w:lang w:val="es-ES_tradnl" w:eastAsia="es-ES"/>
        </w:rPr>
        <w:t xml:space="preserve">Desarrollo de capacidades políticas. </w:t>
      </w:r>
      <w:bookmarkEnd w:id="5"/>
      <w:r w:rsidRPr="00725057">
        <w:rPr>
          <w:rFonts w:cstheme="minorHAnsi"/>
          <w:color w:val="000000" w:themeColor="text1"/>
          <w:sz w:val="24"/>
          <w:szCs w:val="24"/>
          <w:lang w:val="es-ES_tradnl" w:eastAsia="es-ES"/>
        </w:rPr>
        <w:t>Se requiere de capacidades para incorporar en el proceso de implementación de los ODS, los intereses y propuestas de los tomadores de decisión como líderes</w:t>
      </w:r>
      <w:r>
        <w:rPr>
          <w:rFonts w:cstheme="minorHAnsi"/>
          <w:color w:val="000000" w:themeColor="text1"/>
          <w:sz w:val="24"/>
          <w:szCs w:val="24"/>
          <w:lang w:val="es-ES_tradnl" w:eastAsia="es-ES"/>
        </w:rPr>
        <w:t xml:space="preserve"> y lideresas </w:t>
      </w:r>
      <w:r w:rsidRPr="00725057">
        <w:rPr>
          <w:rFonts w:cstheme="minorHAnsi"/>
          <w:color w:val="000000" w:themeColor="text1"/>
          <w:sz w:val="24"/>
          <w:szCs w:val="24"/>
          <w:lang w:val="es-ES_tradnl" w:eastAsia="es-ES"/>
        </w:rPr>
        <w:t>y representantes de las diversas organizaciones que integran el territorio nacional en su condición de artífices de las políticas y acciones públicas, privadas</w:t>
      </w:r>
      <w:r>
        <w:rPr>
          <w:rFonts w:cstheme="minorHAnsi"/>
          <w:color w:val="000000" w:themeColor="text1"/>
          <w:sz w:val="24"/>
          <w:szCs w:val="24"/>
          <w:lang w:val="es-ES_tradnl" w:eastAsia="es-ES"/>
        </w:rPr>
        <w:t>,</w:t>
      </w:r>
      <w:r w:rsidRPr="00725057">
        <w:rPr>
          <w:rFonts w:cstheme="minorHAnsi"/>
          <w:color w:val="000000" w:themeColor="text1"/>
          <w:sz w:val="24"/>
          <w:szCs w:val="24"/>
          <w:lang w:val="es-ES_tradnl" w:eastAsia="es-ES"/>
        </w:rPr>
        <w:t xml:space="preserve"> sociales</w:t>
      </w:r>
      <w:r>
        <w:rPr>
          <w:rFonts w:cstheme="minorHAnsi"/>
          <w:color w:val="000000" w:themeColor="text1"/>
          <w:sz w:val="24"/>
          <w:szCs w:val="24"/>
          <w:lang w:val="es-ES_tradnl" w:eastAsia="es-ES"/>
        </w:rPr>
        <w:t xml:space="preserve"> y comunitarias</w:t>
      </w:r>
      <w:r w:rsidRPr="00725057">
        <w:rPr>
          <w:rFonts w:cstheme="minorHAnsi"/>
          <w:color w:val="000000" w:themeColor="text1"/>
          <w:sz w:val="24"/>
          <w:szCs w:val="24"/>
          <w:lang w:val="es-ES_tradnl" w:eastAsia="es-ES"/>
        </w:rPr>
        <w:t xml:space="preserve">. Dentro de esas fortalezas a construir, se identifican factores como: fortalecimiento de las capacidades de negociación con actores; establecimiento de sistemas de incentivos y/o compensaciones; diseño de una estrategia de marketing institucional para la gestión de alianzas; sistemas técnicos de medición de resultados e impacto de las intervenciones ejecutadas a través de aliados </w:t>
      </w:r>
      <w:r w:rsidR="00B0730C" w:rsidRPr="00DA00FE">
        <w:rPr>
          <w:rFonts w:cstheme="minorHAnsi"/>
          <w:sz w:val="24"/>
          <w:szCs w:val="24"/>
        </w:rPr>
        <w:t>(</w:t>
      </w:r>
      <w:r w:rsidR="00B0730C">
        <w:rPr>
          <w:rFonts w:cstheme="minorHAnsi"/>
          <w:sz w:val="24"/>
          <w:szCs w:val="24"/>
        </w:rPr>
        <w:t>MIDES-</w:t>
      </w:r>
      <w:r w:rsidR="00B0730C" w:rsidRPr="00DA00FE">
        <w:rPr>
          <w:rFonts w:cstheme="minorHAnsi"/>
          <w:sz w:val="24"/>
          <w:szCs w:val="24"/>
        </w:rPr>
        <w:t>VNR</w:t>
      </w:r>
      <w:r w:rsidR="00B0730C">
        <w:rPr>
          <w:rFonts w:cstheme="minorHAnsi"/>
          <w:sz w:val="24"/>
          <w:szCs w:val="24"/>
        </w:rPr>
        <w:t>,</w:t>
      </w:r>
      <w:r w:rsidR="00B0730C" w:rsidRPr="00DA00FE">
        <w:rPr>
          <w:rFonts w:cstheme="minorHAnsi"/>
          <w:sz w:val="24"/>
          <w:szCs w:val="24"/>
        </w:rPr>
        <w:t xml:space="preserve"> 2017).</w:t>
      </w:r>
    </w:p>
    <w:p w14:paraId="57118309" w14:textId="77777777" w:rsidR="000C171B" w:rsidRPr="00BA7353" w:rsidRDefault="000C171B" w:rsidP="000C171B">
      <w:pPr>
        <w:pStyle w:val="ListParagraph"/>
        <w:spacing w:after="0" w:line="240" w:lineRule="auto"/>
        <w:ind w:left="0"/>
        <w:jc w:val="both"/>
        <w:rPr>
          <w:rFonts w:cstheme="minorHAnsi"/>
          <w:b/>
          <w:bCs/>
          <w:color w:val="4472C4" w:themeColor="accent1"/>
          <w:sz w:val="24"/>
          <w:szCs w:val="24"/>
        </w:rPr>
      </w:pPr>
    </w:p>
    <w:p w14:paraId="55DCE6F4" w14:textId="77777777" w:rsidR="000C171B" w:rsidRPr="00725057" w:rsidRDefault="000C171B" w:rsidP="000C171B">
      <w:pPr>
        <w:spacing w:after="0" w:line="240" w:lineRule="auto"/>
        <w:jc w:val="both"/>
        <w:rPr>
          <w:rFonts w:cstheme="minorHAnsi"/>
          <w:b/>
          <w:bCs/>
          <w:sz w:val="24"/>
          <w:szCs w:val="24"/>
        </w:rPr>
      </w:pPr>
      <w:r w:rsidRPr="00BA7353">
        <w:rPr>
          <w:rFonts w:cstheme="minorHAnsi"/>
          <w:b/>
          <w:bCs/>
          <w:color w:val="4472C4" w:themeColor="accent1"/>
          <w:sz w:val="24"/>
          <w:szCs w:val="24"/>
        </w:rPr>
        <w:t>9.3 Interconectividad de los ODS.</w:t>
      </w:r>
    </w:p>
    <w:p w14:paraId="1695140E" w14:textId="77777777" w:rsidR="000C171B" w:rsidRPr="00725057" w:rsidRDefault="000C171B" w:rsidP="000C171B">
      <w:pPr>
        <w:spacing w:after="0" w:line="240" w:lineRule="auto"/>
        <w:jc w:val="both"/>
        <w:rPr>
          <w:rFonts w:cstheme="minorHAnsi"/>
          <w:sz w:val="24"/>
          <w:szCs w:val="24"/>
        </w:rPr>
      </w:pPr>
    </w:p>
    <w:p w14:paraId="5C3BAC36" w14:textId="32110534" w:rsidR="000C171B" w:rsidRDefault="000C171B" w:rsidP="000C171B">
      <w:pPr>
        <w:spacing w:after="0" w:line="240" w:lineRule="auto"/>
        <w:jc w:val="both"/>
        <w:rPr>
          <w:rFonts w:cstheme="minorHAnsi"/>
          <w:sz w:val="24"/>
          <w:szCs w:val="24"/>
        </w:rPr>
      </w:pPr>
      <w:r w:rsidRPr="00725057">
        <w:rPr>
          <w:rFonts w:cstheme="minorHAnsi"/>
          <w:sz w:val="24"/>
          <w:szCs w:val="24"/>
        </w:rPr>
        <w:t xml:space="preserve">En el proceso de adopción de la Agenda 2030, según la interconectividad de los ODS, se identifican </w:t>
      </w:r>
      <w:r>
        <w:rPr>
          <w:rFonts w:cstheme="minorHAnsi"/>
          <w:sz w:val="24"/>
          <w:szCs w:val="24"/>
        </w:rPr>
        <w:t>cuatro</w:t>
      </w:r>
      <w:r w:rsidRPr="00725057">
        <w:rPr>
          <w:rFonts w:cstheme="minorHAnsi"/>
          <w:sz w:val="24"/>
          <w:szCs w:val="24"/>
        </w:rPr>
        <w:t xml:space="preserve"> desafíos: </w:t>
      </w:r>
      <w:r>
        <w:rPr>
          <w:rFonts w:cstheme="minorHAnsi"/>
          <w:sz w:val="24"/>
          <w:szCs w:val="24"/>
        </w:rPr>
        <w:t xml:space="preserve">(i) </w:t>
      </w:r>
      <w:r w:rsidRPr="00725057">
        <w:rPr>
          <w:rFonts w:cstheme="minorHAnsi"/>
          <w:sz w:val="24"/>
          <w:szCs w:val="24"/>
        </w:rPr>
        <w:t xml:space="preserve">definición del enfoque de las políticas públicas; </w:t>
      </w:r>
      <w:r>
        <w:rPr>
          <w:rFonts w:cstheme="minorHAnsi"/>
          <w:sz w:val="24"/>
          <w:szCs w:val="24"/>
        </w:rPr>
        <w:t>(</w:t>
      </w:r>
      <w:proofErr w:type="spellStart"/>
      <w:r>
        <w:rPr>
          <w:rFonts w:cstheme="minorHAnsi"/>
          <w:sz w:val="24"/>
          <w:szCs w:val="24"/>
        </w:rPr>
        <w:t>ii</w:t>
      </w:r>
      <w:proofErr w:type="spellEnd"/>
      <w:r>
        <w:rPr>
          <w:rFonts w:cstheme="minorHAnsi"/>
          <w:sz w:val="24"/>
          <w:szCs w:val="24"/>
        </w:rPr>
        <w:t xml:space="preserve">) </w:t>
      </w:r>
      <w:r w:rsidRPr="00725057">
        <w:rPr>
          <w:rFonts w:cstheme="minorHAnsi"/>
          <w:sz w:val="24"/>
          <w:szCs w:val="24"/>
        </w:rPr>
        <w:t xml:space="preserve">monitoreo, seguimiento y evaluación de la política pública; </w:t>
      </w:r>
      <w:r>
        <w:rPr>
          <w:rFonts w:cstheme="minorHAnsi"/>
          <w:sz w:val="24"/>
          <w:szCs w:val="24"/>
        </w:rPr>
        <w:t>(</w:t>
      </w:r>
      <w:proofErr w:type="spellStart"/>
      <w:r>
        <w:rPr>
          <w:rFonts w:cstheme="minorHAnsi"/>
          <w:sz w:val="24"/>
          <w:szCs w:val="24"/>
        </w:rPr>
        <w:t>iii</w:t>
      </w:r>
      <w:proofErr w:type="spellEnd"/>
      <w:r>
        <w:rPr>
          <w:rFonts w:cstheme="minorHAnsi"/>
          <w:sz w:val="24"/>
          <w:szCs w:val="24"/>
        </w:rPr>
        <w:t xml:space="preserve">) </w:t>
      </w:r>
      <w:r w:rsidRPr="00725057">
        <w:rPr>
          <w:rFonts w:cstheme="minorHAnsi"/>
          <w:sz w:val="24"/>
          <w:szCs w:val="24"/>
        </w:rPr>
        <w:t>planificación, gestión e inversión pública por resultados</w:t>
      </w:r>
      <w:r>
        <w:rPr>
          <w:rFonts w:cstheme="minorHAnsi"/>
          <w:sz w:val="24"/>
          <w:szCs w:val="24"/>
        </w:rPr>
        <w:t>; (</w:t>
      </w:r>
      <w:proofErr w:type="spellStart"/>
      <w:r>
        <w:rPr>
          <w:rFonts w:cstheme="minorHAnsi"/>
          <w:sz w:val="24"/>
          <w:szCs w:val="24"/>
        </w:rPr>
        <w:t>iv</w:t>
      </w:r>
      <w:proofErr w:type="spellEnd"/>
      <w:r>
        <w:rPr>
          <w:rFonts w:cstheme="minorHAnsi"/>
          <w:sz w:val="24"/>
          <w:szCs w:val="24"/>
        </w:rPr>
        <w:t>) marco de aceleración intersectorial, (v) e</w:t>
      </w:r>
      <w:r w:rsidRPr="00725057">
        <w:rPr>
          <w:rFonts w:cstheme="minorHAnsi"/>
          <w:sz w:val="24"/>
          <w:szCs w:val="24"/>
        </w:rPr>
        <w:t>nfoques intersectoriales transversales</w:t>
      </w:r>
      <w:r>
        <w:rPr>
          <w:rFonts w:cstheme="minorHAnsi"/>
          <w:sz w:val="24"/>
          <w:szCs w:val="24"/>
        </w:rPr>
        <w:t xml:space="preserve"> </w:t>
      </w:r>
      <w:r w:rsidRPr="00725057">
        <w:rPr>
          <w:rFonts w:cstheme="minorHAnsi"/>
          <w:color w:val="000000" w:themeColor="text1"/>
          <w:sz w:val="24"/>
          <w:szCs w:val="24"/>
          <w:lang w:val="es-ES_tradnl" w:eastAsia="es-ES"/>
        </w:rPr>
        <w:t xml:space="preserve"> </w:t>
      </w:r>
      <w:r w:rsidR="00B0730C" w:rsidRPr="00DA00FE">
        <w:rPr>
          <w:rFonts w:cstheme="minorHAnsi"/>
          <w:sz w:val="24"/>
          <w:szCs w:val="24"/>
        </w:rPr>
        <w:t>(</w:t>
      </w:r>
      <w:r w:rsidR="00B0730C">
        <w:rPr>
          <w:rFonts w:cstheme="minorHAnsi"/>
          <w:sz w:val="24"/>
          <w:szCs w:val="24"/>
        </w:rPr>
        <w:t>MIDES-</w:t>
      </w:r>
      <w:r w:rsidR="00B0730C" w:rsidRPr="00DA00FE">
        <w:rPr>
          <w:rFonts w:cstheme="minorHAnsi"/>
          <w:sz w:val="24"/>
          <w:szCs w:val="24"/>
        </w:rPr>
        <w:t>VNR</w:t>
      </w:r>
      <w:r w:rsidR="00B0730C">
        <w:rPr>
          <w:rFonts w:cstheme="minorHAnsi"/>
          <w:sz w:val="24"/>
          <w:szCs w:val="24"/>
        </w:rPr>
        <w:t>,</w:t>
      </w:r>
      <w:r w:rsidR="00B0730C" w:rsidRPr="00DA00FE">
        <w:rPr>
          <w:rFonts w:cstheme="minorHAnsi"/>
          <w:sz w:val="24"/>
          <w:szCs w:val="24"/>
        </w:rPr>
        <w:t xml:space="preserve"> 2017).</w:t>
      </w:r>
    </w:p>
    <w:p w14:paraId="5201744E" w14:textId="77777777" w:rsidR="00B0730C" w:rsidRPr="00725057" w:rsidRDefault="00B0730C" w:rsidP="000C171B">
      <w:pPr>
        <w:spacing w:after="0" w:line="240" w:lineRule="auto"/>
        <w:jc w:val="both"/>
        <w:rPr>
          <w:rFonts w:cstheme="minorHAnsi"/>
          <w:sz w:val="24"/>
          <w:szCs w:val="24"/>
        </w:rPr>
      </w:pPr>
    </w:p>
    <w:p w14:paraId="784A78B1" w14:textId="1B302FC7" w:rsidR="000C171B" w:rsidRPr="00725057" w:rsidRDefault="000C171B" w:rsidP="000C171B">
      <w:pPr>
        <w:spacing w:after="0" w:line="240" w:lineRule="auto"/>
        <w:jc w:val="both"/>
        <w:rPr>
          <w:rFonts w:cstheme="minorHAnsi"/>
          <w:sz w:val="24"/>
          <w:szCs w:val="24"/>
        </w:rPr>
      </w:pPr>
      <w:r>
        <w:rPr>
          <w:rFonts w:cstheme="minorHAnsi"/>
          <w:sz w:val="24"/>
          <w:szCs w:val="24"/>
        </w:rPr>
        <w:lastRenderedPageBreak/>
        <w:t xml:space="preserve">(i) Enfoque de las políticas públicas </w:t>
      </w:r>
      <w:r w:rsidRPr="00725057">
        <w:rPr>
          <w:rFonts w:cstheme="minorHAnsi"/>
          <w:sz w:val="24"/>
          <w:szCs w:val="24"/>
        </w:rPr>
        <w:t xml:space="preserve">centrado en </w:t>
      </w:r>
      <w:r>
        <w:rPr>
          <w:rFonts w:cstheme="minorHAnsi"/>
          <w:sz w:val="24"/>
          <w:szCs w:val="24"/>
        </w:rPr>
        <w:t>el acceso y garantía de</w:t>
      </w:r>
      <w:r w:rsidRPr="00725057" w:rsidDel="00365597">
        <w:rPr>
          <w:rFonts w:cstheme="minorHAnsi"/>
          <w:sz w:val="24"/>
          <w:szCs w:val="24"/>
        </w:rPr>
        <w:t xml:space="preserve"> </w:t>
      </w:r>
      <w:r w:rsidRPr="00725057">
        <w:rPr>
          <w:rFonts w:cstheme="minorHAnsi"/>
          <w:sz w:val="24"/>
          <w:szCs w:val="24"/>
        </w:rPr>
        <w:t>derechos</w:t>
      </w:r>
      <w:r>
        <w:rPr>
          <w:rFonts w:cstheme="minorHAnsi"/>
          <w:sz w:val="24"/>
          <w:szCs w:val="24"/>
        </w:rPr>
        <w:t xml:space="preserve">, la perspectiva de género </w:t>
      </w:r>
      <w:r w:rsidRPr="00725057">
        <w:rPr>
          <w:rFonts w:cstheme="minorHAnsi"/>
          <w:sz w:val="24"/>
          <w:szCs w:val="24"/>
        </w:rPr>
        <w:t>y según ciclos de vida, que permita dimensionar los cuellos de botella que reducen</w:t>
      </w:r>
      <w:r>
        <w:rPr>
          <w:rFonts w:cstheme="minorHAnsi"/>
          <w:sz w:val="24"/>
          <w:szCs w:val="24"/>
        </w:rPr>
        <w:t>,</w:t>
      </w:r>
      <w:r w:rsidRPr="00725057">
        <w:rPr>
          <w:rFonts w:cstheme="minorHAnsi"/>
          <w:sz w:val="24"/>
          <w:szCs w:val="24"/>
        </w:rPr>
        <w:t xml:space="preserve"> limitan </w:t>
      </w:r>
      <w:r>
        <w:rPr>
          <w:rFonts w:cstheme="minorHAnsi"/>
          <w:sz w:val="24"/>
          <w:szCs w:val="24"/>
        </w:rPr>
        <w:t xml:space="preserve">y retrasan </w:t>
      </w:r>
      <w:r w:rsidRPr="00725057">
        <w:rPr>
          <w:rFonts w:cstheme="minorHAnsi"/>
          <w:sz w:val="24"/>
          <w:szCs w:val="24"/>
        </w:rPr>
        <w:t>la capacidad de las políticas públicas para generar el desarrollo humano sostenible</w:t>
      </w:r>
      <w:r>
        <w:rPr>
          <w:rFonts w:cstheme="minorHAnsi"/>
          <w:sz w:val="24"/>
          <w:szCs w:val="24"/>
        </w:rPr>
        <w:t>; (</w:t>
      </w:r>
      <w:proofErr w:type="spellStart"/>
      <w:r>
        <w:rPr>
          <w:rFonts w:cstheme="minorHAnsi"/>
          <w:sz w:val="24"/>
          <w:szCs w:val="24"/>
        </w:rPr>
        <w:t>ii</w:t>
      </w:r>
      <w:proofErr w:type="spellEnd"/>
      <w:r>
        <w:rPr>
          <w:rFonts w:cstheme="minorHAnsi"/>
          <w:sz w:val="24"/>
          <w:szCs w:val="24"/>
        </w:rPr>
        <w:t>) S</w:t>
      </w:r>
      <w:r w:rsidRPr="00725057">
        <w:rPr>
          <w:rFonts w:cstheme="minorHAnsi"/>
          <w:sz w:val="24"/>
          <w:szCs w:val="24"/>
        </w:rPr>
        <w:t xml:space="preserve">eguimiento y evaluación de la política pública </w:t>
      </w:r>
      <w:r>
        <w:rPr>
          <w:rFonts w:cstheme="minorHAnsi"/>
          <w:sz w:val="24"/>
          <w:szCs w:val="24"/>
        </w:rPr>
        <w:t xml:space="preserve">mediante </w:t>
      </w:r>
      <w:r w:rsidRPr="00725057">
        <w:rPr>
          <w:rFonts w:cstheme="minorHAnsi"/>
          <w:sz w:val="24"/>
          <w:szCs w:val="24"/>
        </w:rPr>
        <w:t>una taxonomía de indicadores</w:t>
      </w:r>
      <w:r>
        <w:rPr>
          <w:rFonts w:cstheme="minorHAnsi"/>
          <w:sz w:val="24"/>
          <w:szCs w:val="24"/>
        </w:rPr>
        <w:t>,</w:t>
      </w:r>
      <w:r w:rsidRPr="00725057">
        <w:rPr>
          <w:rFonts w:cstheme="minorHAnsi"/>
          <w:sz w:val="24"/>
          <w:szCs w:val="24"/>
        </w:rPr>
        <w:t xml:space="preserve"> según niveles</w:t>
      </w:r>
      <w:r>
        <w:rPr>
          <w:rFonts w:cstheme="minorHAnsi"/>
          <w:sz w:val="24"/>
          <w:szCs w:val="24"/>
        </w:rPr>
        <w:t xml:space="preserve">, además de </w:t>
      </w:r>
      <w:r w:rsidRPr="00725057">
        <w:rPr>
          <w:rFonts w:cstheme="minorHAnsi"/>
          <w:sz w:val="24"/>
          <w:szCs w:val="24"/>
        </w:rPr>
        <w:t xml:space="preserve">metas </w:t>
      </w:r>
      <w:r>
        <w:rPr>
          <w:rFonts w:cstheme="minorHAnsi"/>
          <w:sz w:val="24"/>
          <w:szCs w:val="24"/>
        </w:rPr>
        <w:t xml:space="preserve">con </w:t>
      </w:r>
      <w:r w:rsidRPr="00725057">
        <w:rPr>
          <w:rFonts w:cstheme="minorHAnsi"/>
          <w:sz w:val="24"/>
          <w:szCs w:val="24"/>
        </w:rPr>
        <w:t xml:space="preserve">metodologías y procesos </w:t>
      </w:r>
      <w:r>
        <w:rPr>
          <w:rFonts w:cstheme="minorHAnsi"/>
          <w:sz w:val="24"/>
          <w:szCs w:val="24"/>
        </w:rPr>
        <w:t>homologados</w:t>
      </w:r>
      <w:r w:rsidRPr="00725057">
        <w:rPr>
          <w:rFonts w:cstheme="minorHAnsi"/>
          <w:sz w:val="24"/>
          <w:szCs w:val="24"/>
        </w:rPr>
        <w:t xml:space="preserve">. </w:t>
      </w:r>
      <w:r>
        <w:rPr>
          <w:rFonts w:cstheme="minorHAnsi"/>
          <w:sz w:val="24"/>
          <w:szCs w:val="24"/>
        </w:rPr>
        <w:t xml:space="preserve"> (</w:t>
      </w:r>
      <w:proofErr w:type="spellStart"/>
      <w:r>
        <w:rPr>
          <w:rFonts w:cstheme="minorHAnsi"/>
          <w:sz w:val="24"/>
          <w:szCs w:val="24"/>
        </w:rPr>
        <w:t>iii</w:t>
      </w:r>
      <w:proofErr w:type="spellEnd"/>
      <w:r>
        <w:rPr>
          <w:rFonts w:cstheme="minorHAnsi"/>
          <w:sz w:val="24"/>
          <w:szCs w:val="24"/>
        </w:rPr>
        <w:t>) P</w:t>
      </w:r>
      <w:r w:rsidRPr="00725057">
        <w:rPr>
          <w:rFonts w:cstheme="minorHAnsi"/>
          <w:sz w:val="24"/>
          <w:szCs w:val="24"/>
        </w:rPr>
        <w:t>lanificación, gestión e inversión pública por resultados</w:t>
      </w:r>
      <w:r>
        <w:rPr>
          <w:rFonts w:cstheme="minorHAnsi"/>
          <w:sz w:val="24"/>
          <w:szCs w:val="24"/>
        </w:rPr>
        <w:t xml:space="preserve"> para definir </w:t>
      </w:r>
      <w:r w:rsidRPr="00725057">
        <w:rPr>
          <w:rFonts w:cstheme="minorHAnsi"/>
          <w:sz w:val="24"/>
          <w:szCs w:val="24"/>
        </w:rPr>
        <w:t>un ciclo de políticas públicas orientado hacia los resultados en tanto es necesario retroalimentar el proceso con las evidencias derivadas de las evaluaciones</w:t>
      </w:r>
      <w:r>
        <w:rPr>
          <w:rFonts w:cstheme="minorHAnsi"/>
          <w:sz w:val="24"/>
          <w:szCs w:val="24"/>
        </w:rPr>
        <w:t xml:space="preserve"> y estándares </w:t>
      </w:r>
      <w:r w:rsidRPr="00725057">
        <w:rPr>
          <w:rFonts w:cstheme="minorHAnsi"/>
          <w:sz w:val="24"/>
          <w:szCs w:val="24"/>
        </w:rPr>
        <w:t>que permitan identificar fortalezas y retos, objetivos y metas</w:t>
      </w:r>
      <w:r>
        <w:rPr>
          <w:rFonts w:cstheme="minorHAnsi"/>
          <w:sz w:val="24"/>
          <w:szCs w:val="24"/>
        </w:rPr>
        <w:t>; (</w:t>
      </w:r>
      <w:proofErr w:type="spellStart"/>
      <w:r>
        <w:rPr>
          <w:rFonts w:cstheme="minorHAnsi"/>
          <w:sz w:val="24"/>
          <w:szCs w:val="24"/>
        </w:rPr>
        <w:t>iv</w:t>
      </w:r>
      <w:proofErr w:type="spellEnd"/>
      <w:r>
        <w:rPr>
          <w:rFonts w:cstheme="minorHAnsi"/>
          <w:sz w:val="24"/>
          <w:szCs w:val="24"/>
        </w:rPr>
        <w:t>) M</w:t>
      </w:r>
      <w:r w:rsidRPr="00725057">
        <w:rPr>
          <w:rFonts w:cstheme="minorHAnsi"/>
          <w:sz w:val="24"/>
          <w:szCs w:val="24"/>
        </w:rPr>
        <w:t>arco de aceleración intersectorial con el objetivo de facilitar un proceso coordinado de movilizando recursos y sincronizando de monitoreo técnica en tiempo real</w:t>
      </w:r>
      <w:r>
        <w:rPr>
          <w:rFonts w:cstheme="minorHAnsi"/>
          <w:sz w:val="24"/>
          <w:szCs w:val="24"/>
        </w:rPr>
        <w:t xml:space="preserve">, desarrollando </w:t>
      </w:r>
      <w:r w:rsidRPr="00725057">
        <w:rPr>
          <w:rFonts w:cstheme="minorHAnsi"/>
          <w:sz w:val="24"/>
          <w:szCs w:val="24"/>
        </w:rPr>
        <w:t>sinergias en el caso de indicadores complejos que dinamizan la cadena de valor de las intervenciones sectoriales, poblacionales o territoriales</w:t>
      </w:r>
      <w:r>
        <w:rPr>
          <w:rFonts w:cstheme="minorHAnsi"/>
          <w:sz w:val="24"/>
          <w:szCs w:val="24"/>
        </w:rPr>
        <w:t xml:space="preserve">, pero </w:t>
      </w:r>
      <w:r w:rsidRPr="00725057">
        <w:rPr>
          <w:rFonts w:cstheme="minorHAnsi"/>
          <w:sz w:val="24"/>
          <w:szCs w:val="24"/>
        </w:rPr>
        <w:t>establecimiento apalancamiento</w:t>
      </w:r>
      <w:r>
        <w:rPr>
          <w:rFonts w:cstheme="minorHAnsi"/>
          <w:sz w:val="24"/>
          <w:szCs w:val="24"/>
        </w:rPr>
        <w:t>s</w:t>
      </w:r>
      <w:r w:rsidRPr="00725057">
        <w:rPr>
          <w:rFonts w:cstheme="minorHAnsi"/>
          <w:sz w:val="24"/>
          <w:szCs w:val="24"/>
        </w:rPr>
        <w:t xml:space="preserve"> que catalizan el cumplimiento de metas e indicadores que aseguran la reducción de las condiciones legales (reformas legislativas), institucionales (como el mejoramiento de los sistemas nacionales de información, condiciones para las políticas pro-igualdad), mercado (integración territorial y socioeconómica, gestión sostenible de los recursos naturales, equilibrio entre la relación de especialización y diversificación de la economía regional)</w:t>
      </w:r>
      <w:r>
        <w:rPr>
          <w:rFonts w:cstheme="minorHAnsi"/>
          <w:sz w:val="24"/>
          <w:szCs w:val="24"/>
        </w:rPr>
        <w:t>; (v) E</w:t>
      </w:r>
      <w:r w:rsidRPr="00725057">
        <w:rPr>
          <w:rFonts w:cstheme="minorHAnsi"/>
          <w:sz w:val="24"/>
          <w:szCs w:val="24"/>
        </w:rPr>
        <w:t>nfoques intersectoriales transversales que promuev</w:t>
      </w:r>
      <w:r>
        <w:rPr>
          <w:rFonts w:cstheme="minorHAnsi"/>
          <w:sz w:val="24"/>
          <w:szCs w:val="24"/>
        </w:rPr>
        <w:t>e</w:t>
      </w:r>
      <w:r w:rsidRPr="00725057">
        <w:rPr>
          <w:rFonts w:cstheme="minorHAnsi"/>
          <w:sz w:val="24"/>
          <w:szCs w:val="24"/>
        </w:rPr>
        <w:t xml:space="preserve">n </w:t>
      </w:r>
      <w:r>
        <w:rPr>
          <w:rFonts w:cstheme="minorHAnsi"/>
          <w:sz w:val="24"/>
          <w:szCs w:val="24"/>
        </w:rPr>
        <w:t xml:space="preserve">el cumplimiento de los derechos de las personas según los </w:t>
      </w:r>
      <w:r w:rsidRPr="00725057">
        <w:rPr>
          <w:rFonts w:cstheme="minorHAnsi"/>
          <w:sz w:val="24"/>
          <w:szCs w:val="24"/>
        </w:rPr>
        <w:t xml:space="preserve">intercambios de conocimientos basados en normas internacionales, mejores prácticas y enfoques innovadores </w:t>
      </w:r>
      <w:r>
        <w:rPr>
          <w:rFonts w:cstheme="minorHAnsi"/>
          <w:sz w:val="24"/>
          <w:szCs w:val="24"/>
        </w:rPr>
        <w:t>según</w:t>
      </w:r>
      <w:r w:rsidRPr="00725057">
        <w:rPr>
          <w:rFonts w:cstheme="minorHAnsi"/>
          <w:sz w:val="24"/>
          <w:szCs w:val="24"/>
        </w:rPr>
        <w:t xml:space="preserve"> </w:t>
      </w:r>
      <w:r>
        <w:rPr>
          <w:rFonts w:cstheme="minorHAnsi"/>
          <w:sz w:val="24"/>
          <w:szCs w:val="24"/>
        </w:rPr>
        <w:t xml:space="preserve">las </w:t>
      </w:r>
      <w:r w:rsidRPr="00725057">
        <w:rPr>
          <w:rFonts w:cstheme="minorHAnsi"/>
          <w:sz w:val="24"/>
          <w:szCs w:val="24"/>
        </w:rPr>
        <w:t>recomendaciones de los mecanismos internacionales de tratados en el proceso de seguimiento y evaluación</w:t>
      </w:r>
      <w:r>
        <w:rPr>
          <w:rFonts w:cstheme="minorHAnsi"/>
          <w:sz w:val="24"/>
          <w:szCs w:val="24"/>
        </w:rPr>
        <w:t xml:space="preserve"> </w:t>
      </w:r>
      <w:r w:rsidR="00B0730C" w:rsidRPr="00DA00FE">
        <w:rPr>
          <w:rFonts w:cstheme="minorHAnsi"/>
          <w:sz w:val="24"/>
          <w:szCs w:val="24"/>
        </w:rPr>
        <w:t>(</w:t>
      </w:r>
      <w:r w:rsidR="00B0730C">
        <w:rPr>
          <w:rFonts w:cstheme="minorHAnsi"/>
          <w:sz w:val="24"/>
          <w:szCs w:val="24"/>
        </w:rPr>
        <w:t>MIDES-</w:t>
      </w:r>
      <w:r w:rsidR="00B0730C" w:rsidRPr="00DA00FE">
        <w:rPr>
          <w:rFonts w:cstheme="minorHAnsi"/>
          <w:sz w:val="24"/>
          <w:szCs w:val="24"/>
        </w:rPr>
        <w:t>VNR</w:t>
      </w:r>
      <w:r w:rsidR="00B0730C">
        <w:rPr>
          <w:rFonts w:cstheme="minorHAnsi"/>
          <w:sz w:val="24"/>
          <w:szCs w:val="24"/>
        </w:rPr>
        <w:t>,</w:t>
      </w:r>
      <w:r w:rsidR="00B0730C" w:rsidRPr="00DA00FE">
        <w:rPr>
          <w:rFonts w:cstheme="minorHAnsi"/>
          <w:sz w:val="24"/>
          <w:szCs w:val="24"/>
        </w:rPr>
        <w:t xml:space="preserve"> 2017).</w:t>
      </w:r>
    </w:p>
    <w:p w14:paraId="5C051FC7" w14:textId="77777777" w:rsidR="000C171B" w:rsidRDefault="000C171B" w:rsidP="000C171B">
      <w:pPr>
        <w:spacing w:after="0" w:line="240" w:lineRule="auto"/>
        <w:jc w:val="both"/>
        <w:rPr>
          <w:rFonts w:cstheme="minorHAnsi"/>
          <w:sz w:val="24"/>
          <w:szCs w:val="24"/>
        </w:rPr>
      </w:pPr>
    </w:p>
    <w:p w14:paraId="4BA0EA56" w14:textId="77777777" w:rsidR="000C171B" w:rsidRPr="00396212" w:rsidRDefault="000C171B" w:rsidP="000C171B">
      <w:pPr>
        <w:pStyle w:val="ListParagraph"/>
        <w:spacing w:after="0" w:line="240" w:lineRule="auto"/>
        <w:ind w:left="0"/>
        <w:jc w:val="both"/>
        <w:rPr>
          <w:rFonts w:cstheme="minorHAnsi"/>
          <w:sz w:val="24"/>
          <w:szCs w:val="24"/>
        </w:rPr>
      </w:pPr>
      <w:r>
        <w:rPr>
          <w:rFonts w:cstheme="minorHAnsi"/>
          <w:sz w:val="24"/>
          <w:szCs w:val="24"/>
        </w:rPr>
        <w:t xml:space="preserve">Para alcanzar la interconectividad e impactos deben combinarse </w:t>
      </w:r>
      <w:r w:rsidRPr="00396212">
        <w:rPr>
          <w:rFonts w:cstheme="minorHAnsi"/>
          <w:sz w:val="24"/>
          <w:szCs w:val="24"/>
        </w:rPr>
        <w:t>coincidencia</w:t>
      </w:r>
      <w:r>
        <w:rPr>
          <w:rFonts w:cstheme="minorHAnsi"/>
          <w:sz w:val="24"/>
          <w:szCs w:val="24"/>
        </w:rPr>
        <w:t>s</w:t>
      </w:r>
      <w:r w:rsidRPr="00396212">
        <w:rPr>
          <w:rFonts w:cstheme="minorHAnsi"/>
          <w:sz w:val="24"/>
          <w:szCs w:val="24"/>
        </w:rPr>
        <w:t>, sinergia</w:t>
      </w:r>
      <w:r>
        <w:rPr>
          <w:rFonts w:cstheme="minorHAnsi"/>
          <w:sz w:val="24"/>
          <w:szCs w:val="24"/>
        </w:rPr>
        <w:t>s</w:t>
      </w:r>
      <w:r w:rsidRPr="00396212">
        <w:rPr>
          <w:rFonts w:cstheme="minorHAnsi"/>
          <w:sz w:val="24"/>
          <w:szCs w:val="24"/>
        </w:rPr>
        <w:t xml:space="preserve"> y apalancamiento</w:t>
      </w:r>
      <w:r>
        <w:rPr>
          <w:rFonts w:cstheme="minorHAnsi"/>
          <w:sz w:val="24"/>
          <w:szCs w:val="24"/>
        </w:rPr>
        <w:t>s:</w:t>
      </w:r>
    </w:p>
    <w:p w14:paraId="774AC54C" w14:textId="77777777" w:rsidR="000C171B" w:rsidRPr="00396212" w:rsidRDefault="000C171B" w:rsidP="000C171B">
      <w:pPr>
        <w:spacing w:after="0" w:line="240" w:lineRule="auto"/>
        <w:jc w:val="both"/>
        <w:rPr>
          <w:rFonts w:cstheme="minorHAnsi"/>
          <w:sz w:val="24"/>
          <w:szCs w:val="24"/>
        </w:rPr>
      </w:pPr>
    </w:p>
    <w:p w14:paraId="0A7FEF92" w14:textId="48D3AD5B" w:rsidR="000C171B" w:rsidRPr="00396212" w:rsidRDefault="000C171B" w:rsidP="000C171B">
      <w:pPr>
        <w:spacing w:after="0" w:line="240" w:lineRule="auto"/>
        <w:jc w:val="both"/>
        <w:rPr>
          <w:rFonts w:cstheme="minorHAnsi"/>
          <w:sz w:val="24"/>
          <w:szCs w:val="24"/>
        </w:rPr>
      </w:pPr>
      <w:r>
        <w:rPr>
          <w:rFonts w:cstheme="minorHAnsi"/>
          <w:sz w:val="24"/>
          <w:szCs w:val="24"/>
        </w:rPr>
        <w:t xml:space="preserve">(i) </w:t>
      </w:r>
      <w:r w:rsidRPr="00396212">
        <w:rPr>
          <w:rFonts w:cstheme="minorHAnsi"/>
          <w:sz w:val="24"/>
          <w:szCs w:val="24"/>
        </w:rPr>
        <w:t>Coincidencias. La comparación entre los marcos conceptuales y operativos de los planes nacionales identifica acciones, estrategias u objetivos comunes o similares, lo cual abre la posibilidad de instrumentalizar mecanismos de implementación para los ODS de tipo transversal, que articulen de manera simultánea metas, objetivos e inclusive más de un ámbito en los que se han agrupado los ODS. Lo anterior, orientado a facilitar un proceso coordinado de movilización de recursos y de sincronización de los instrumentos técnicos de seguimiento y monitoreo, para identificar en tiempo real los avances y logros alcanzados, de las estrategias que diseñe el país para alcanzarlos</w:t>
      </w:r>
      <w:r>
        <w:rPr>
          <w:rFonts w:cstheme="minorHAnsi"/>
          <w:sz w:val="24"/>
          <w:szCs w:val="24"/>
        </w:rPr>
        <w:t xml:space="preserve"> </w:t>
      </w:r>
      <w:r w:rsidR="00B0730C" w:rsidRPr="00DA00FE">
        <w:rPr>
          <w:rFonts w:cstheme="minorHAnsi"/>
          <w:sz w:val="24"/>
          <w:szCs w:val="24"/>
        </w:rPr>
        <w:t>(</w:t>
      </w:r>
      <w:r w:rsidR="00B0730C">
        <w:rPr>
          <w:rFonts w:cstheme="minorHAnsi"/>
          <w:sz w:val="24"/>
          <w:szCs w:val="24"/>
        </w:rPr>
        <w:t>MIDES-</w:t>
      </w:r>
      <w:r w:rsidR="00B0730C" w:rsidRPr="00DA00FE">
        <w:rPr>
          <w:rFonts w:cstheme="minorHAnsi"/>
          <w:sz w:val="24"/>
          <w:szCs w:val="24"/>
        </w:rPr>
        <w:t>VNR</w:t>
      </w:r>
      <w:r w:rsidR="00B0730C">
        <w:rPr>
          <w:rFonts w:cstheme="minorHAnsi"/>
          <w:sz w:val="24"/>
          <w:szCs w:val="24"/>
        </w:rPr>
        <w:t>,</w:t>
      </w:r>
      <w:r w:rsidR="00B0730C" w:rsidRPr="00DA00FE">
        <w:rPr>
          <w:rFonts w:cstheme="minorHAnsi"/>
          <w:sz w:val="24"/>
          <w:szCs w:val="24"/>
        </w:rPr>
        <w:t xml:space="preserve"> 2017).</w:t>
      </w:r>
    </w:p>
    <w:p w14:paraId="69166A5C" w14:textId="77777777" w:rsidR="000C171B" w:rsidRPr="00396212" w:rsidRDefault="000C171B" w:rsidP="000C171B">
      <w:pPr>
        <w:spacing w:after="0" w:line="240" w:lineRule="auto"/>
        <w:jc w:val="both"/>
        <w:rPr>
          <w:rFonts w:cstheme="minorHAnsi"/>
          <w:sz w:val="24"/>
          <w:szCs w:val="24"/>
        </w:rPr>
      </w:pPr>
    </w:p>
    <w:p w14:paraId="1BFB3FB7" w14:textId="693C3492" w:rsidR="000C171B" w:rsidRPr="00396212" w:rsidRDefault="000C171B" w:rsidP="000C171B">
      <w:pPr>
        <w:spacing w:after="0" w:line="240" w:lineRule="auto"/>
        <w:jc w:val="both"/>
        <w:rPr>
          <w:rFonts w:cstheme="minorHAnsi"/>
          <w:sz w:val="24"/>
          <w:szCs w:val="24"/>
        </w:rPr>
      </w:pPr>
      <w:r>
        <w:rPr>
          <w:rFonts w:cstheme="minorHAnsi"/>
          <w:sz w:val="24"/>
          <w:szCs w:val="24"/>
        </w:rPr>
        <w:t>(</w:t>
      </w:r>
      <w:proofErr w:type="spellStart"/>
      <w:r>
        <w:rPr>
          <w:rFonts w:cstheme="minorHAnsi"/>
          <w:sz w:val="24"/>
          <w:szCs w:val="24"/>
        </w:rPr>
        <w:t>ii</w:t>
      </w:r>
      <w:proofErr w:type="spellEnd"/>
      <w:r>
        <w:rPr>
          <w:rFonts w:cstheme="minorHAnsi"/>
          <w:sz w:val="24"/>
          <w:szCs w:val="24"/>
        </w:rPr>
        <w:t xml:space="preserve">)  </w:t>
      </w:r>
      <w:r w:rsidRPr="00396212">
        <w:rPr>
          <w:rFonts w:cstheme="minorHAnsi"/>
          <w:sz w:val="24"/>
          <w:szCs w:val="24"/>
        </w:rPr>
        <w:t xml:space="preserve">Sinergias. La articulación entre los marcos conceptuales y operativos de los planes nacionales permite observar sinergias que identifican de factores trazadores, que vistos como una sumatoria de esfuerzos que, instrumentalizados adecuadamente, activan el resto de los elementos asociados o relacionados entre sí. Es decir, dinamizan la cadena de valor sobre la cual se llevan a cabo las intervenciones sectoriales, poblacionales o territoriales con relación al cumplimiento de un objetivo o una meta de desarrollo </w:t>
      </w:r>
      <w:r w:rsidR="00B0730C" w:rsidRPr="00DA00FE">
        <w:rPr>
          <w:rFonts w:cstheme="minorHAnsi"/>
          <w:sz w:val="24"/>
          <w:szCs w:val="24"/>
        </w:rPr>
        <w:t>(</w:t>
      </w:r>
      <w:r w:rsidR="00B0730C">
        <w:rPr>
          <w:rFonts w:cstheme="minorHAnsi"/>
          <w:sz w:val="24"/>
          <w:szCs w:val="24"/>
        </w:rPr>
        <w:t>MIDES-</w:t>
      </w:r>
      <w:r w:rsidR="00B0730C" w:rsidRPr="00DA00FE">
        <w:rPr>
          <w:rFonts w:cstheme="minorHAnsi"/>
          <w:sz w:val="24"/>
          <w:szCs w:val="24"/>
        </w:rPr>
        <w:t>VNR</w:t>
      </w:r>
      <w:r w:rsidR="00B0730C">
        <w:rPr>
          <w:rFonts w:cstheme="minorHAnsi"/>
          <w:sz w:val="24"/>
          <w:szCs w:val="24"/>
        </w:rPr>
        <w:t>,</w:t>
      </w:r>
      <w:r w:rsidR="00B0730C" w:rsidRPr="00DA00FE">
        <w:rPr>
          <w:rFonts w:cstheme="minorHAnsi"/>
          <w:sz w:val="24"/>
          <w:szCs w:val="24"/>
        </w:rPr>
        <w:t xml:space="preserve"> 2017).</w:t>
      </w:r>
    </w:p>
    <w:p w14:paraId="10C7FF5D" w14:textId="77777777" w:rsidR="000C171B" w:rsidRPr="00396212" w:rsidRDefault="000C171B" w:rsidP="000C171B">
      <w:pPr>
        <w:spacing w:after="0" w:line="240" w:lineRule="auto"/>
        <w:jc w:val="both"/>
        <w:rPr>
          <w:rFonts w:cstheme="minorHAnsi"/>
          <w:sz w:val="24"/>
          <w:szCs w:val="24"/>
        </w:rPr>
      </w:pPr>
    </w:p>
    <w:p w14:paraId="639C48E2" w14:textId="006F489E" w:rsidR="000C171B" w:rsidRPr="00396212" w:rsidRDefault="000C171B" w:rsidP="000C171B">
      <w:pPr>
        <w:spacing w:after="0" w:line="240" w:lineRule="auto"/>
        <w:jc w:val="both"/>
        <w:rPr>
          <w:rFonts w:cstheme="minorHAnsi"/>
          <w:sz w:val="24"/>
          <w:szCs w:val="24"/>
        </w:rPr>
      </w:pPr>
      <w:r>
        <w:rPr>
          <w:rFonts w:cstheme="minorHAnsi"/>
          <w:sz w:val="24"/>
          <w:szCs w:val="24"/>
        </w:rPr>
        <w:lastRenderedPageBreak/>
        <w:t>(</w:t>
      </w:r>
      <w:proofErr w:type="spellStart"/>
      <w:r>
        <w:rPr>
          <w:rFonts w:cstheme="minorHAnsi"/>
          <w:sz w:val="24"/>
          <w:szCs w:val="24"/>
        </w:rPr>
        <w:t>iii</w:t>
      </w:r>
      <w:proofErr w:type="spellEnd"/>
      <w:r>
        <w:rPr>
          <w:rFonts w:cstheme="minorHAnsi"/>
          <w:sz w:val="24"/>
          <w:szCs w:val="24"/>
        </w:rPr>
        <w:t>) A</w:t>
      </w:r>
      <w:r w:rsidRPr="00396212">
        <w:rPr>
          <w:rFonts w:cstheme="minorHAnsi"/>
          <w:sz w:val="24"/>
          <w:szCs w:val="24"/>
        </w:rPr>
        <w:t>palancamiento. El alineamiento de marcos, objetivos y metas plantea y determinada la forma de soportes financieros, jurídicos, institucionales o de mercado, entre otros, que pueden catalizar el cumplimiento de las metas e indicadores de los ODS y cuya intervención y/o superación son indispensables para asegurar la efectividad de las gestiones que se lleven a cabo en ese sentido</w:t>
      </w:r>
      <w:r>
        <w:rPr>
          <w:rFonts w:cstheme="minorHAnsi"/>
          <w:sz w:val="24"/>
          <w:szCs w:val="24"/>
        </w:rPr>
        <w:t xml:space="preserve"> </w:t>
      </w:r>
      <w:r w:rsidR="00B0730C" w:rsidRPr="00DA00FE">
        <w:rPr>
          <w:rFonts w:cstheme="minorHAnsi"/>
          <w:sz w:val="24"/>
          <w:szCs w:val="24"/>
        </w:rPr>
        <w:t>(</w:t>
      </w:r>
      <w:r w:rsidR="00B0730C">
        <w:rPr>
          <w:rFonts w:cstheme="minorHAnsi"/>
          <w:sz w:val="24"/>
          <w:szCs w:val="24"/>
        </w:rPr>
        <w:t>MIDES-</w:t>
      </w:r>
      <w:r w:rsidR="00B0730C" w:rsidRPr="00DA00FE">
        <w:rPr>
          <w:rFonts w:cstheme="minorHAnsi"/>
          <w:sz w:val="24"/>
          <w:szCs w:val="24"/>
        </w:rPr>
        <w:t>VNR</w:t>
      </w:r>
      <w:r w:rsidR="00B0730C">
        <w:rPr>
          <w:rFonts w:cstheme="minorHAnsi"/>
          <w:sz w:val="24"/>
          <w:szCs w:val="24"/>
        </w:rPr>
        <w:t>,</w:t>
      </w:r>
      <w:r w:rsidR="00B0730C" w:rsidRPr="00DA00FE">
        <w:rPr>
          <w:rFonts w:cstheme="minorHAnsi"/>
          <w:sz w:val="24"/>
          <w:szCs w:val="24"/>
        </w:rPr>
        <w:t xml:space="preserve"> 2017).</w:t>
      </w:r>
    </w:p>
    <w:p w14:paraId="7DA4E57B" w14:textId="77777777" w:rsidR="000C171B" w:rsidRPr="00725057" w:rsidRDefault="000C171B" w:rsidP="000C171B">
      <w:pPr>
        <w:spacing w:after="0" w:line="240" w:lineRule="auto"/>
        <w:jc w:val="both"/>
        <w:rPr>
          <w:rFonts w:cstheme="minorHAnsi"/>
          <w:sz w:val="24"/>
          <w:szCs w:val="24"/>
        </w:rPr>
      </w:pPr>
    </w:p>
    <w:p w14:paraId="3A04A8A7" w14:textId="77777777" w:rsidR="000C171B" w:rsidRDefault="000C171B" w:rsidP="000C171B">
      <w:pPr>
        <w:rPr>
          <w:rFonts w:eastAsiaTheme="minorEastAsia"/>
          <w:b/>
          <w:bCs/>
          <w:color w:val="4472C4" w:themeColor="accent1"/>
          <w:sz w:val="24"/>
          <w:szCs w:val="24"/>
        </w:rPr>
      </w:pPr>
      <w:r>
        <w:rPr>
          <w:rFonts w:eastAsiaTheme="minorEastAsia"/>
          <w:b/>
          <w:bCs/>
          <w:color w:val="4472C4" w:themeColor="accent1"/>
          <w:sz w:val="24"/>
          <w:szCs w:val="24"/>
        </w:rPr>
        <w:br w:type="page"/>
      </w:r>
    </w:p>
    <w:p w14:paraId="5FC6EA01" w14:textId="15148375" w:rsidR="000C171B" w:rsidRPr="005D1561" w:rsidRDefault="00D602FB" w:rsidP="000C171B">
      <w:pPr>
        <w:spacing w:after="0" w:line="240" w:lineRule="auto"/>
        <w:jc w:val="both"/>
        <w:rPr>
          <w:rFonts w:eastAsiaTheme="minorEastAsia"/>
          <w:b/>
          <w:bCs/>
          <w:color w:val="4472C4" w:themeColor="accent1"/>
          <w:sz w:val="24"/>
          <w:szCs w:val="24"/>
        </w:rPr>
      </w:pPr>
      <w:r>
        <w:rPr>
          <w:rFonts w:eastAsiaTheme="minorEastAsia"/>
          <w:b/>
          <w:bCs/>
          <w:color w:val="4472C4" w:themeColor="accent1"/>
          <w:sz w:val="24"/>
          <w:szCs w:val="24"/>
        </w:rPr>
        <w:lastRenderedPageBreak/>
        <w:t xml:space="preserve">10. </w:t>
      </w:r>
      <w:r w:rsidR="000C171B" w:rsidRPr="005D1561">
        <w:rPr>
          <w:rFonts w:eastAsiaTheme="minorEastAsia"/>
          <w:b/>
          <w:bCs/>
          <w:color w:val="4472C4" w:themeColor="accent1"/>
          <w:sz w:val="24"/>
          <w:szCs w:val="24"/>
        </w:rPr>
        <w:t>BIBLIOGRAFÍA</w:t>
      </w:r>
      <w:r w:rsidR="001D69E2">
        <w:rPr>
          <w:rFonts w:eastAsiaTheme="minorEastAsia"/>
          <w:b/>
          <w:bCs/>
          <w:color w:val="4472C4" w:themeColor="accent1"/>
          <w:sz w:val="24"/>
          <w:szCs w:val="24"/>
        </w:rPr>
        <w:t xml:space="preserve"> Y REERENCIAS</w:t>
      </w:r>
      <w:r w:rsidR="000C171B" w:rsidRPr="005D1561">
        <w:rPr>
          <w:rFonts w:eastAsiaTheme="minorEastAsia"/>
          <w:b/>
          <w:bCs/>
          <w:color w:val="4472C4" w:themeColor="accent1"/>
          <w:sz w:val="24"/>
          <w:szCs w:val="24"/>
        </w:rPr>
        <w:t>.</w:t>
      </w:r>
    </w:p>
    <w:p w14:paraId="6D0C124F" w14:textId="77777777" w:rsidR="000C171B" w:rsidRDefault="000C171B" w:rsidP="000C171B">
      <w:pPr>
        <w:spacing w:after="0" w:line="240" w:lineRule="auto"/>
        <w:jc w:val="both"/>
        <w:rPr>
          <w:rFonts w:eastAsiaTheme="minorEastAsia"/>
          <w:sz w:val="24"/>
          <w:szCs w:val="24"/>
        </w:rPr>
      </w:pPr>
    </w:p>
    <w:p w14:paraId="28B04259" w14:textId="77777777" w:rsidR="00341C4C" w:rsidRPr="0061566D" w:rsidRDefault="00341C4C" w:rsidP="00341C4C">
      <w:pPr>
        <w:spacing w:after="0" w:line="240" w:lineRule="auto"/>
        <w:jc w:val="both"/>
        <w:rPr>
          <w:rFonts w:eastAsiaTheme="minorEastAsia"/>
          <w:sz w:val="20"/>
          <w:szCs w:val="20"/>
        </w:rPr>
      </w:pPr>
      <w:bookmarkStart w:id="6" w:name="_Hlk32268337"/>
      <w:r w:rsidRPr="0061566D">
        <w:rPr>
          <w:rFonts w:eastAsiaTheme="minorEastAsia"/>
          <w:sz w:val="20"/>
          <w:szCs w:val="20"/>
        </w:rPr>
        <w:t>ACNUDH, 2012, Indicadores de derechos humanos, Guía para la medición y la aplicación, Nueva York, Ginebra, HR/PUB/12/5.</w:t>
      </w:r>
    </w:p>
    <w:p w14:paraId="0CEE17AB"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ACNUDH, 2016, Guía práctica para la colaboración efectiva de los estados con los mecanismos internacionales de derechos humanos, Mecanismos nacionales de presentación de informes y seguimiento, Nueva York y Ginebra.</w:t>
      </w:r>
    </w:p>
    <w:p w14:paraId="250EAB9A"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ACP, 2018, Informe Anual, Panamá: </w:t>
      </w:r>
      <w:proofErr w:type="spellStart"/>
      <w:r w:rsidRPr="0061566D">
        <w:rPr>
          <w:rFonts w:eastAsiaTheme="minorEastAsia"/>
          <w:sz w:val="20"/>
          <w:szCs w:val="20"/>
        </w:rPr>
        <w:t>Print</w:t>
      </w:r>
      <w:proofErr w:type="spellEnd"/>
      <w:r w:rsidRPr="0061566D">
        <w:rPr>
          <w:rFonts w:eastAsiaTheme="minorEastAsia"/>
          <w:sz w:val="20"/>
          <w:szCs w:val="20"/>
        </w:rPr>
        <w:t xml:space="preserve"> Plus, S.A.</w:t>
      </w:r>
    </w:p>
    <w:p w14:paraId="0EC470BD" w14:textId="77777777" w:rsidR="00B31565" w:rsidRPr="00B31565" w:rsidRDefault="00B31565" w:rsidP="00B31565">
      <w:pPr>
        <w:spacing w:after="0" w:line="240" w:lineRule="auto"/>
        <w:jc w:val="both"/>
        <w:rPr>
          <w:rFonts w:eastAsiaTheme="minorEastAsia"/>
          <w:sz w:val="20"/>
          <w:szCs w:val="20"/>
        </w:rPr>
      </w:pPr>
      <w:r w:rsidRPr="00B31565">
        <w:rPr>
          <w:rFonts w:eastAsiaTheme="minorEastAsia"/>
          <w:sz w:val="20"/>
          <w:szCs w:val="20"/>
        </w:rPr>
        <w:t>BM, 2000, Panamá: Estudio Sobre Pobreza Prioridades y Estrategias para la Reducción de la Pobreza, Serie Estudios sobre Países.</w:t>
      </w:r>
    </w:p>
    <w:p w14:paraId="50499F76" w14:textId="77777777" w:rsidR="00B31565" w:rsidRDefault="00B31565" w:rsidP="00B31565">
      <w:pPr>
        <w:spacing w:after="0" w:line="240" w:lineRule="auto"/>
        <w:jc w:val="both"/>
        <w:rPr>
          <w:rFonts w:eastAsiaTheme="minorEastAsia"/>
          <w:sz w:val="20"/>
          <w:szCs w:val="20"/>
        </w:rPr>
      </w:pPr>
      <w:r w:rsidRPr="00B31565">
        <w:rPr>
          <w:rFonts w:eastAsiaTheme="minorEastAsia"/>
          <w:sz w:val="20"/>
          <w:szCs w:val="20"/>
        </w:rPr>
        <w:t xml:space="preserve">BM, 2012, Mejores Empleos en Panamá, El Rol del Capital </w:t>
      </w:r>
      <w:proofErr w:type="spellStart"/>
      <w:r w:rsidRPr="00B31565">
        <w:rPr>
          <w:rFonts w:eastAsiaTheme="minorEastAsia"/>
          <w:sz w:val="20"/>
          <w:szCs w:val="20"/>
        </w:rPr>
        <w:t>Humano.</w:t>
      </w:r>
      <w:proofErr w:type="spellEnd"/>
    </w:p>
    <w:p w14:paraId="3ED9FA6D" w14:textId="4244464C" w:rsidR="00341C4C" w:rsidRPr="0061566D" w:rsidRDefault="00341C4C" w:rsidP="00B31565">
      <w:pPr>
        <w:spacing w:after="0" w:line="240" w:lineRule="auto"/>
        <w:jc w:val="both"/>
        <w:rPr>
          <w:rFonts w:eastAsiaTheme="minorEastAsia"/>
          <w:sz w:val="20"/>
          <w:szCs w:val="20"/>
        </w:rPr>
      </w:pPr>
      <w:r w:rsidRPr="0061566D">
        <w:rPr>
          <w:rFonts w:eastAsiaTheme="minorEastAsia"/>
          <w:sz w:val="20"/>
          <w:szCs w:val="20"/>
        </w:rPr>
        <w:t>B</w:t>
      </w:r>
      <w:r w:rsidR="00FF7A2D">
        <w:rPr>
          <w:rFonts w:eastAsiaTheme="minorEastAsia"/>
          <w:sz w:val="20"/>
          <w:szCs w:val="20"/>
        </w:rPr>
        <w:t>M</w:t>
      </w:r>
      <w:r w:rsidRPr="0061566D">
        <w:rPr>
          <w:rFonts w:eastAsiaTheme="minorEastAsia"/>
          <w:sz w:val="20"/>
          <w:szCs w:val="20"/>
        </w:rPr>
        <w:t>, 2018, Afrodescendientes en Latinoamérica: Hacia un marco de inclusión.</w:t>
      </w:r>
    </w:p>
    <w:p w14:paraId="4B690C60" w14:textId="10081D6F"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BID,</w:t>
      </w:r>
      <w:r w:rsidR="001D69E2">
        <w:rPr>
          <w:rFonts w:eastAsiaTheme="minorEastAsia"/>
          <w:sz w:val="20"/>
          <w:szCs w:val="20"/>
        </w:rPr>
        <w:t xml:space="preserve"> 2</w:t>
      </w:r>
      <w:r w:rsidRPr="0061566D">
        <w:rPr>
          <w:rFonts w:eastAsiaTheme="minorEastAsia"/>
          <w:sz w:val="20"/>
          <w:szCs w:val="20"/>
        </w:rPr>
        <w:t xml:space="preserve">011, Políticas de Desarrollo Productivo en Panamá: Autodescubrimiento y fallas de coordinación, Washington, Documento de trabajo del BID # IDB-WP-172. </w:t>
      </w:r>
    </w:p>
    <w:p w14:paraId="180CA47B"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BID, 2018, Estrategia Nacional de Políticas Públicas para la Población Afropanameña, Panamá. </w:t>
      </w:r>
    </w:p>
    <w:p w14:paraId="380EC1D9"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BID, 2018, Inversiones en infraestructura y efectos catalíticos sobre la inversión privada: El caso de la ampliación del Canal de Panamá, Serie de Desarrollo a través del Sector Privado 9. </w:t>
      </w:r>
    </w:p>
    <w:p w14:paraId="292F8065"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BID, 2019, Desafíos para consolidar su desarrollo, Panamá: </w:t>
      </w:r>
      <w:proofErr w:type="spellStart"/>
      <w:r w:rsidRPr="0061566D">
        <w:rPr>
          <w:rFonts w:eastAsiaTheme="minorEastAsia"/>
          <w:sz w:val="20"/>
          <w:szCs w:val="20"/>
        </w:rPr>
        <w:t>BIDeconomics</w:t>
      </w:r>
      <w:proofErr w:type="spellEnd"/>
      <w:r w:rsidRPr="0061566D">
        <w:rPr>
          <w:rFonts w:eastAsiaTheme="minorEastAsia"/>
          <w:sz w:val="20"/>
          <w:szCs w:val="20"/>
        </w:rPr>
        <w:t xml:space="preserve"> Panamá.</w:t>
      </w:r>
    </w:p>
    <w:p w14:paraId="1E5D5F03"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BID, 2019, La desigualdad de Panamá: su carácter territorial y el papel de la inversión pública, Panamá: NTIDBTN1703.</w:t>
      </w:r>
    </w:p>
    <w:p w14:paraId="7F12B207"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BM, 2011, Crimen y Violencia en Centroamérica. Un Desafío para el Desarrollo, Washington, Departamentos de Desarrollo Sostenible y Reducción de la Pobreza y Gestión Económica Región de América Latina y el Caribe. </w:t>
      </w:r>
    </w:p>
    <w:p w14:paraId="0B44C2BD"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BM, 2012, Mejores Empleos en Panamá, El Rol del Capital Humano.</w:t>
      </w:r>
    </w:p>
    <w:p w14:paraId="67EF7A70"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BM, 2018, Afrodescendientes en Latinoamérica: Hacia un marco de inclusión. Washington, DC: </w:t>
      </w:r>
      <w:proofErr w:type="spellStart"/>
      <w:r w:rsidRPr="0061566D">
        <w:rPr>
          <w:rFonts w:eastAsiaTheme="minorEastAsia"/>
          <w:sz w:val="20"/>
          <w:szCs w:val="20"/>
        </w:rPr>
        <w:t>Creative</w:t>
      </w:r>
      <w:proofErr w:type="spellEnd"/>
      <w:r w:rsidRPr="0061566D">
        <w:rPr>
          <w:rFonts w:eastAsiaTheme="minorEastAsia"/>
          <w:sz w:val="20"/>
          <w:szCs w:val="20"/>
        </w:rPr>
        <w:t xml:space="preserve"> </w:t>
      </w:r>
      <w:proofErr w:type="spellStart"/>
      <w:r w:rsidRPr="0061566D">
        <w:rPr>
          <w:rFonts w:eastAsiaTheme="minorEastAsia"/>
          <w:sz w:val="20"/>
          <w:szCs w:val="20"/>
        </w:rPr>
        <w:t>Commons</w:t>
      </w:r>
      <w:proofErr w:type="spellEnd"/>
      <w:r w:rsidRPr="0061566D">
        <w:rPr>
          <w:rFonts w:eastAsiaTheme="minorEastAsia"/>
          <w:sz w:val="20"/>
          <w:szCs w:val="20"/>
        </w:rPr>
        <w:t xml:space="preserve"> </w:t>
      </w:r>
      <w:proofErr w:type="spellStart"/>
      <w:r w:rsidRPr="0061566D">
        <w:rPr>
          <w:rFonts w:eastAsiaTheme="minorEastAsia"/>
          <w:sz w:val="20"/>
          <w:szCs w:val="20"/>
        </w:rPr>
        <w:t>Attribution</w:t>
      </w:r>
      <w:proofErr w:type="spellEnd"/>
      <w:r w:rsidRPr="0061566D">
        <w:rPr>
          <w:rFonts w:eastAsiaTheme="minorEastAsia"/>
          <w:sz w:val="20"/>
          <w:szCs w:val="20"/>
        </w:rPr>
        <w:t xml:space="preserve"> CC BY 3.0 IGO.</w:t>
      </w:r>
    </w:p>
    <w:p w14:paraId="69391A37"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CELADE, 2012, Buenas prácticas en el monitoreo y reporte de los Objetivos de Desarrollo del Milenio: lecciones nacionales desde América Latina. </w:t>
      </w:r>
    </w:p>
    <w:p w14:paraId="4EAF8FAA"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CELADE, UNFPA, 2008, Familia y solidaridad intergeneracional escenarios futuros en políticas de vejez en Panamá, Panamá.</w:t>
      </w:r>
    </w:p>
    <w:p w14:paraId="3D8A103B"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CEPAL, 2010, La hora de la igualdad. Caminos por abrir, brechas por cerrar, Santiago de Chile.</w:t>
      </w:r>
    </w:p>
    <w:p w14:paraId="749D6C84"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CEPAL, 2013, Indicadores de desigualdad de Mediano Plazo en América latina, Santiago de Chile. </w:t>
      </w:r>
    </w:p>
    <w:p w14:paraId="5658EFEC"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CEPAL, 2015, Panorama del desarrollo territorial en América Latina y el Caribe 2015, Santiago.  </w:t>
      </w:r>
    </w:p>
    <w:p w14:paraId="2CF92733"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CEPAL, 2015, Panorama del desarrollo territorial en América Latina y el Caribe 2015. </w:t>
      </w:r>
    </w:p>
    <w:p w14:paraId="6D6189AB"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CEPAL, 2016, La matriz de la desigualdad social en América Latina, Santiago de Chile.</w:t>
      </w:r>
    </w:p>
    <w:p w14:paraId="51EB6386"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CEPAL, 2017, Análisis de factibilidad técnica para la implementación de seguros indexados contra las amenazas de sequía e inundación para los cultivos de arroz y maíz en Panamá, México: LC/MEX/TS.2017/4.</w:t>
      </w:r>
    </w:p>
    <w:p w14:paraId="4E55F601"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CEPAL, 2017, Análisis estructural de la economía panameña: el mercado laboral, México:  Documento de Proyectos. </w:t>
      </w:r>
    </w:p>
    <w:p w14:paraId="52CB5489"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CEPAL, 2017, Brechas, ejes y desafíos en el vínculo entre lo social y lo productivo, Santiago de Chile.</w:t>
      </w:r>
    </w:p>
    <w:p w14:paraId="5D76F33E"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CEPAL, 2017, Descripción del marco metodológico para la construcción de matrices de insumo-producto a partir de los cuadros de oferta y utilización: una aplicación para el caso de Panamá, México: LC/MEX/TS.2017/17.</w:t>
      </w:r>
    </w:p>
    <w:p w14:paraId="375E8BCF" w14:textId="4637B9E5"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CEPAL, 2017, Impactos potenciales del cambio climático en el ámbito hidroeléctrico en Panamá y la República Dominicana, México: LC/MEX/TS.2017/28.</w:t>
      </w:r>
    </w:p>
    <w:p w14:paraId="4A9CA569" w14:textId="77777777" w:rsidR="008B4E30" w:rsidRPr="0061566D" w:rsidRDefault="008B4E30" w:rsidP="008B4E30">
      <w:pPr>
        <w:spacing w:after="0" w:line="240" w:lineRule="auto"/>
        <w:jc w:val="both"/>
        <w:rPr>
          <w:rFonts w:eastAsiaTheme="minorEastAsia"/>
          <w:sz w:val="20"/>
          <w:szCs w:val="20"/>
        </w:rPr>
      </w:pPr>
      <w:r w:rsidRPr="0061566D">
        <w:rPr>
          <w:rFonts w:eastAsiaTheme="minorEastAsia"/>
          <w:sz w:val="20"/>
          <w:szCs w:val="20"/>
        </w:rPr>
        <w:t xml:space="preserve">CEPAL,  2017, Informe anual sobre el progreso y los desafíos regionales de la Agenda 2030 para el Desarrollo Sostenible en América Latina y el Caribe, Santiago de Chile:  (LC/L.4268(FDS.1/3)/Rev.1. </w:t>
      </w:r>
    </w:p>
    <w:p w14:paraId="41264876"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CEPAL, 2018, La ineficiencia de la desigualdad, Santiago de Chile. </w:t>
      </w:r>
    </w:p>
    <w:p w14:paraId="1CA0A438"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CEPAL, 2018, Panorama del desarrollo territorial en América Latina y El Caribe, Santiago. </w:t>
      </w:r>
    </w:p>
    <w:p w14:paraId="59C8A779"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CEPAL, 2019, Panorama Fiscal de América Latina y el Caribe, Santiago: LC/PUB.2019/8-P.</w:t>
      </w:r>
    </w:p>
    <w:p w14:paraId="01CDB077"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CEPAL, OIG, 2019, La medición del feminicidio o femicidio: desafíos y ruta de fortalecimiento en América Latina y el Caribe, Santiago de Chile: https://oig.cepal.org/es.</w:t>
      </w:r>
    </w:p>
    <w:p w14:paraId="4AF78119"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CEPAL, Taller regional de América latina y el Caribe sobre los Exámenes Voluntarios Nacionales.</w:t>
      </w:r>
    </w:p>
    <w:p w14:paraId="14207AF2"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CID, 2016, Cambiando esclusas: un diagnóstico de crecimiento de Panamá, Boston:   </w:t>
      </w:r>
    </w:p>
    <w:p w14:paraId="3D195EBF"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lastRenderedPageBreak/>
        <w:t>CLADEM,  2010, Situación de los derechos humanos de las mujeres en Panamá. Monitoreo de la Convención Sobre la Eliminación de Todas las Formas de Discriminación Contra la Mujer (CEDAW), Panamá.</w:t>
      </w:r>
    </w:p>
    <w:p w14:paraId="11548E25"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Consejo de la Concertación Nacional para el Desarrollo, 2007, Acuerdos de la Concertación Nacional para el Desarrollo.</w:t>
      </w:r>
    </w:p>
    <w:p w14:paraId="73DDE33A"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Consejo de la Concertación Nacional para el Desarrollo, 2015, Marco Estratégico de la Concertación Nacional al 2027.</w:t>
      </w:r>
    </w:p>
    <w:p w14:paraId="22631458"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Consejo de la Concertación Nacional para el Desarrollo, 2017, Plan Estratégico Nacional con Visión de Estado.</w:t>
      </w:r>
    </w:p>
    <w:p w14:paraId="4E103994"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Cruces, Guillermo, 2012, Visibilidad Estadística. Datos sobre Población afrodescendiente en censos y encuestas de hogares de América Latina, Buenos Aires: PNUD.</w:t>
      </w:r>
    </w:p>
    <w:p w14:paraId="5F7DB2CA" w14:textId="77777777" w:rsidR="00341C4C" w:rsidRPr="0061566D" w:rsidRDefault="00341C4C" w:rsidP="00341C4C">
      <w:pPr>
        <w:spacing w:after="0" w:line="240" w:lineRule="auto"/>
        <w:jc w:val="both"/>
        <w:rPr>
          <w:rFonts w:eastAsiaTheme="minorEastAsia"/>
          <w:sz w:val="20"/>
          <w:szCs w:val="20"/>
          <w:lang w:val="en-US"/>
        </w:rPr>
      </w:pPr>
      <w:r w:rsidRPr="0061566D">
        <w:rPr>
          <w:rFonts w:eastAsiaTheme="minorEastAsia"/>
          <w:sz w:val="20"/>
          <w:szCs w:val="20"/>
          <w:lang w:val="en-US"/>
        </w:rPr>
        <w:t>Department of State, 2019, Trafficking in persons report, Washington: WWW.STATE.GOV/J/TIP</w:t>
      </w:r>
    </w:p>
    <w:p w14:paraId="7440C8EB"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DFI, OXFAM, 2018, Índice de compromiso con la reducción de la desigualdad (CRI), Londres: www.inequalityindex.com.</w:t>
      </w:r>
    </w:p>
    <w:p w14:paraId="7468E1E5"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DNP, OIM, 2016, Dinámicas y flujos migratorios Colombia-Panamá: estado actual y perspectivas futuras, Bogotá. </w:t>
      </w:r>
    </w:p>
    <w:p w14:paraId="76AEF836" w14:textId="77777777" w:rsidR="00341C4C" w:rsidRPr="0061566D" w:rsidRDefault="00341C4C" w:rsidP="00341C4C">
      <w:pPr>
        <w:spacing w:after="0" w:line="240" w:lineRule="auto"/>
        <w:jc w:val="both"/>
        <w:rPr>
          <w:rFonts w:eastAsiaTheme="minorEastAsia"/>
          <w:sz w:val="20"/>
          <w:szCs w:val="20"/>
          <w:lang w:val="en-US"/>
        </w:rPr>
      </w:pPr>
      <w:r w:rsidRPr="0061566D">
        <w:rPr>
          <w:rFonts w:eastAsiaTheme="minorEastAsia"/>
          <w:sz w:val="20"/>
          <w:szCs w:val="20"/>
          <w:lang w:val="en-US"/>
        </w:rPr>
        <w:t xml:space="preserve">Faculty Working Paper Series 325, </w:t>
      </w:r>
      <w:proofErr w:type="spellStart"/>
      <w:r w:rsidRPr="0061566D">
        <w:rPr>
          <w:rFonts w:eastAsiaTheme="minorEastAsia"/>
          <w:sz w:val="20"/>
          <w:szCs w:val="20"/>
          <w:lang w:val="en-US"/>
        </w:rPr>
        <w:t>Octubre</w:t>
      </w:r>
      <w:proofErr w:type="spellEnd"/>
      <w:r w:rsidRPr="0061566D">
        <w:rPr>
          <w:rFonts w:eastAsiaTheme="minorEastAsia"/>
          <w:sz w:val="20"/>
          <w:szCs w:val="20"/>
          <w:lang w:val="en-US"/>
        </w:rPr>
        <w:t xml:space="preserve"> de 2016.</w:t>
      </w:r>
    </w:p>
    <w:p w14:paraId="317530B8"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FAO, 2014, Panorama de la Seguridad Alimentaria y Nutricional en Centroamérica y República dominicana.</w:t>
      </w:r>
    </w:p>
    <w:p w14:paraId="77DADB7B"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FAO, 2019, Marco de la FAO sobre pobreza extrema rural: Hacia el logro de la meta 1.1 de los Objetivos de Desarrollo Sostenible, Roma: http://www.fao.org/publications/es.</w:t>
      </w:r>
    </w:p>
    <w:p w14:paraId="2222F951"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Fernández, M., 2011, Políticas de Desarrollo Productivo en Panamá: Autodescubrimiento y fallas de coordinación. Banco Interamericano de Desarrollo, Documento de trabajo del BID # IDB-WP-172.</w:t>
      </w:r>
    </w:p>
    <w:p w14:paraId="32C3672D" w14:textId="5F485702"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Fondo Mundial para la Lucha contra el SIDA/VIH, la Tuberculosis y la Malaria,  2018, Estimación del tamaño de la población de hombres que tienen sexo con hombres (HSH), mujeres trans y trabajadoras sexuales (TS) de 18 años y más, caracterización de esta población, uso de servicios de salud, uso de condón, discriminación y violencia en la República de Panamá para el año 2018, Panamá. </w:t>
      </w:r>
    </w:p>
    <w:p w14:paraId="08829094" w14:textId="77777777" w:rsidR="004443C5" w:rsidRPr="0061566D" w:rsidRDefault="004443C5" w:rsidP="004443C5">
      <w:pPr>
        <w:spacing w:after="0" w:line="240" w:lineRule="auto"/>
        <w:jc w:val="both"/>
        <w:rPr>
          <w:rFonts w:eastAsiaTheme="minorEastAsia"/>
          <w:sz w:val="20"/>
          <w:szCs w:val="20"/>
        </w:rPr>
      </w:pPr>
      <w:r w:rsidRPr="0061566D">
        <w:rPr>
          <w:rFonts w:eastAsiaTheme="minorEastAsia"/>
          <w:sz w:val="20"/>
          <w:szCs w:val="20"/>
        </w:rPr>
        <w:t>Foro Político de Alto Nivel, 2016, Informe Voluntario de Colombia. Los ODS como instrumento para consolidar la Paz.</w:t>
      </w:r>
    </w:p>
    <w:p w14:paraId="13F12ACD" w14:textId="579F5930" w:rsidR="004443C5" w:rsidRPr="0061566D" w:rsidRDefault="004443C5" w:rsidP="004443C5">
      <w:pPr>
        <w:spacing w:after="0" w:line="240" w:lineRule="auto"/>
        <w:jc w:val="both"/>
        <w:rPr>
          <w:rFonts w:eastAsiaTheme="minorEastAsia"/>
          <w:sz w:val="20"/>
          <w:szCs w:val="20"/>
        </w:rPr>
      </w:pPr>
      <w:r w:rsidRPr="0061566D">
        <w:rPr>
          <w:rFonts w:eastAsiaTheme="minorEastAsia"/>
          <w:sz w:val="20"/>
          <w:szCs w:val="20"/>
        </w:rPr>
        <w:t>Foro Político de Alto Nivel, 2016, Informe Voluntario de la República Bolivariana de Venezuela.</w:t>
      </w:r>
    </w:p>
    <w:p w14:paraId="0D59FF85"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FUDESPA, 2014, desarrollo humano: Una vida digna para todos. Diagnóstico y propuestas.</w:t>
      </w:r>
    </w:p>
    <w:p w14:paraId="50AC4072"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FUNTRAB, 2019, indicadores para el objetivo de crecimiento equitativo y trabajo decente de la Agenda 2030 de Naciones Unidas: Pautas para el seguimiento, Panamá. </w:t>
      </w:r>
    </w:p>
    <w:p w14:paraId="7B3138EA"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Gabinete Social, 2017, Taller de sensibilización de los objetivos de Desarrollo Sostenible.</w:t>
      </w:r>
    </w:p>
    <w:p w14:paraId="774FFFE0" w14:textId="0980A5F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Gabinete Social, </w:t>
      </w:r>
      <w:r w:rsidR="008B4E30" w:rsidRPr="0061566D">
        <w:rPr>
          <w:rFonts w:eastAsiaTheme="minorEastAsia"/>
          <w:sz w:val="20"/>
          <w:szCs w:val="20"/>
        </w:rPr>
        <w:t>201</w:t>
      </w:r>
      <w:r w:rsidR="00DE2945" w:rsidRPr="0061566D">
        <w:rPr>
          <w:rFonts w:eastAsiaTheme="minorEastAsia"/>
          <w:sz w:val="20"/>
          <w:szCs w:val="20"/>
        </w:rPr>
        <w:t xml:space="preserve">7, </w:t>
      </w:r>
      <w:r w:rsidRPr="0061566D">
        <w:rPr>
          <w:rFonts w:eastAsiaTheme="minorEastAsia"/>
          <w:sz w:val="20"/>
          <w:szCs w:val="20"/>
        </w:rPr>
        <w:t>Panamá para todos, Plan Nacional para la Reducción de la pobreza hacia el 2020, Panamá</w:t>
      </w:r>
      <w:r w:rsidR="00DE2945" w:rsidRPr="0061566D">
        <w:rPr>
          <w:rFonts w:eastAsiaTheme="minorEastAsia"/>
          <w:sz w:val="20"/>
          <w:szCs w:val="20"/>
        </w:rPr>
        <w:t>.</w:t>
      </w:r>
    </w:p>
    <w:p w14:paraId="531839E5" w14:textId="7926BCA6"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Gabinete Social, </w:t>
      </w:r>
      <w:r w:rsidR="00DE2945" w:rsidRPr="0061566D">
        <w:rPr>
          <w:rFonts w:eastAsiaTheme="minorEastAsia"/>
          <w:sz w:val="20"/>
          <w:szCs w:val="20"/>
        </w:rPr>
        <w:t xml:space="preserve">2017, </w:t>
      </w:r>
      <w:r w:rsidRPr="0061566D">
        <w:rPr>
          <w:rFonts w:eastAsiaTheme="minorEastAsia"/>
          <w:sz w:val="20"/>
          <w:szCs w:val="20"/>
        </w:rPr>
        <w:t>Primera reunión del Foro de los Países de América Latina y el Caribe sobre el Desarrollo Sostenible</w:t>
      </w:r>
      <w:r w:rsidR="00DE2945" w:rsidRPr="0061566D">
        <w:rPr>
          <w:rFonts w:eastAsiaTheme="minorEastAsia"/>
          <w:sz w:val="20"/>
          <w:szCs w:val="20"/>
        </w:rPr>
        <w:t>.</w:t>
      </w:r>
    </w:p>
    <w:p w14:paraId="6371FA67"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Gabinete Social, Resumen ejecutivo del Reporte de la Revisión nacional del Cumplimiento de la Agenda 2030, Panamá.</w:t>
      </w:r>
    </w:p>
    <w:p w14:paraId="26A0370F"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Gobierno de Panamá, 2008, Censo de Talla de escolareas del primer grado, Panamá: MEDUCA, MINSA.</w:t>
      </w:r>
    </w:p>
    <w:p w14:paraId="6B6CF4AB"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Gobierno de Panamá: V y VI Informe del Estado panameño al Comité de los Derechos del Niño de las Naciones Unidas con arreglo al artículo 44 de la Convención sobre los Derechos del Niño. Panamá 7.7.2016</w:t>
      </w:r>
    </w:p>
    <w:p w14:paraId="4DF32321"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Gobierno Nacional, 2014, Informe de la República de Panamá. Aplicación de la Declaración y Plataforma de Acción de Beijing (1995) y los resultados del vigésimo tercer período extraordinario de sesiones de la Asamblea General (2000). </w:t>
      </w:r>
    </w:p>
    <w:p w14:paraId="03978F1F"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GOBPA, 2019, Plan Estratégico de Gobierno 2019-2024, Panamá: MEF. </w:t>
      </w:r>
    </w:p>
    <w:p w14:paraId="685A3B7A"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GOBPA, UNDCO, 2019, consulta regional para países de América Latina, Examen Periódico Universal del Consejo de Derechos Humanos: buenas prácticas, mecanismos de seguimiento y sinergias con la Agenda 2030 para el Desarrollo Sostenible, Panamá, Nota Técnica.</w:t>
      </w:r>
    </w:p>
    <w:p w14:paraId="68A89F65"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GS, 2017, Informe sobre los avances de los Objetivos de Desarrollo Sostenible (ODS), que implementa el gobierno de Panamá relativo a la Agenda 2030.</w:t>
      </w:r>
    </w:p>
    <w:p w14:paraId="27F7CAFF" w14:textId="77777777" w:rsidR="00341C4C" w:rsidRPr="0061566D" w:rsidRDefault="00341C4C" w:rsidP="00341C4C">
      <w:pPr>
        <w:spacing w:after="0" w:line="240" w:lineRule="auto"/>
        <w:jc w:val="both"/>
        <w:rPr>
          <w:rFonts w:eastAsiaTheme="minorEastAsia"/>
          <w:sz w:val="20"/>
          <w:szCs w:val="20"/>
          <w:lang w:val="en-US"/>
        </w:rPr>
      </w:pPr>
      <w:r w:rsidRPr="0061566D">
        <w:rPr>
          <w:rFonts w:eastAsiaTheme="minorEastAsia"/>
          <w:sz w:val="20"/>
          <w:szCs w:val="20"/>
          <w:lang w:val="en-US"/>
        </w:rPr>
        <w:t xml:space="preserve">Hausmann, R., Santos, M., </w:t>
      </w:r>
      <w:proofErr w:type="spellStart"/>
      <w:r w:rsidRPr="0061566D">
        <w:rPr>
          <w:rFonts w:eastAsiaTheme="minorEastAsia"/>
          <w:sz w:val="20"/>
          <w:szCs w:val="20"/>
          <w:lang w:val="en-US"/>
        </w:rPr>
        <w:t>Obach</w:t>
      </w:r>
      <w:proofErr w:type="spellEnd"/>
      <w:r w:rsidRPr="0061566D">
        <w:rPr>
          <w:rFonts w:eastAsiaTheme="minorEastAsia"/>
          <w:sz w:val="20"/>
          <w:szCs w:val="20"/>
          <w:lang w:val="en-US"/>
        </w:rPr>
        <w:t xml:space="preserve">, J., 2017, Appraising the Economic Potential of Panama: Policy Recommendations for Sustainable and Inclusive Growth. </w:t>
      </w:r>
    </w:p>
    <w:p w14:paraId="6833624A"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HCHR, 2002, Declaración y Programa de Acción de Durban Conferencia Mundial contra el Racismo, la Discriminación Racial, la Xenofobia y las Formas Conexas de Intolerancia, Bogotá. </w:t>
      </w:r>
    </w:p>
    <w:p w14:paraId="164E9FEE" w14:textId="4D07FF00" w:rsidR="00341C4C" w:rsidRDefault="00341C4C" w:rsidP="00341C4C">
      <w:pPr>
        <w:spacing w:after="0" w:line="240" w:lineRule="auto"/>
        <w:jc w:val="both"/>
        <w:rPr>
          <w:rFonts w:eastAsiaTheme="minorEastAsia"/>
          <w:sz w:val="20"/>
          <w:szCs w:val="20"/>
          <w:lang w:val="en-US"/>
        </w:rPr>
      </w:pPr>
      <w:r w:rsidRPr="0061566D">
        <w:rPr>
          <w:rFonts w:eastAsiaTheme="minorEastAsia"/>
          <w:sz w:val="20"/>
          <w:szCs w:val="20"/>
          <w:lang w:val="en-US"/>
        </w:rPr>
        <w:lastRenderedPageBreak/>
        <w:t>Human Rights Council, 2013, Compilation of Recommendations, Conclusions and Advice from Studies Completed by the Expert Mechanism on the Rights of Indigenous Peoples, Sixth session 8-12 July 2013 Item 3 of the provisional agenda World Conference on Indigenous Peoples A/HRC/EMRIP/2013/CRP.1.</w:t>
      </w:r>
    </w:p>
    <w:p w14:paraId="46CE88AD" w14:textId="573C3FBD" w:rsidR="00646041" w:rsidRPr="00646041" w:rsidRDefault="00646041" w:rsidP="00646041">
      <w:pPr>
        <w:spacing w:after="0" w:line="240" w:lineRule="auto"/>
        <w:jc w:val="both"/>
        <w:rPr>
          <w:rFonts w:eastAsiaTheme="minorEastAsia"/>
          <w:sz w:val="20"/>
          <w:szCs w:val="20"/>
          <w:lang w:val="en-US"/>
        </w:rPr>
      </w:pPr>
      <w:r w:rsidRPr="00646041">
        <w:rPr>
          <w:rFonts w:eastAsiaTheme="minorEastAsia"/>
          <w:sz w:val="20"/>
          <w:szCs w:val="20"/>
          <w:lang w:val="en-US"/>
        </w:rPr>
        <w:t xml:space="preserve">HDR, 2019, </w:t>
      </w:r>
      <w:r w:rsidRPr="00646041">
        <w:rPr>
          <w:rFonts w:eastAsiaTheme="minorEastAsia"/>
          <w:sz w:val="20"/>
          <w:szCs w:val="20"/>
          <w:lang w:val="en-US"/>
        </w:rPr>
        <w:t>Human Development Report</w:t>
      </w:r>
      <w:r>
        <w:rPr>
          <w:rFonts w:eastAsiaTheme="minorEastAsia"/>
          <w:sz w:val="20"/>
          <w:szCs w:val="20"/>
          <w:lang w:val="en-US"/>
        </w:rPr>
        <w:t xml:space="preserve">: </w:t>
      </w:r>
      <w:r w:rsidRPr="00646041">
        <w:rPr>
          <w:rFonts w:eastAsiaTheme="minorEastAsia"/>
          <w:sz w:val="20"/>
          <w:szCs w:val="20"/>
          <w:lang w:val="en-US"/>
        </w:rPr>
        <w:t>Beyond income, beyond averages, beyond today:</w:t>
      </w:r>
      <w:r>
        <w:rPr>
          <w:rFonts w:eastAsiaTheme="minorEastAsia"/>
          <w:sz w:val="20"/>
          <w:szCs w:val="20"/>
          <w:lang w:val="en-US"/>
        </w:rPr>
        <w:t xml:space="preserve"> </w:t>
      </w:r>
      <w:r w:rsidRPr="00646041">
        <w:rPr>
          <w:rFonts w:eastAsiaTheme="minorEastAsia"/>
          <w:sz w:val="20"/>
          <w:szCs w:val="20"/>
          <w:lang w:val="en-US"/>
        </w:rPr>
        <w:t>Inequalities in human development in the 21st century</w:t>
      </w:r>
      <w:r w:rsidRPr="00646041">
        <w:rPr>
          <w:rFonts w:eastAsiaTheme="minorEastAsia"/>
          <w:sz w:val="20"/>
          <w:szCs w:val="20"/>
          <w:lang w:val="en-US"/>
        </w:rPr>
        <w:t xml:space="preserve"> Nueva York.</w:t>
      </w:r>
    </w:p>
    <w:p w14:paraId="097DFD2D" w14:textId="112006C0" w:rsidR="00DE2945" w:rsidRPr="0061566D" w:rsidRDefault="00DE2945" w:rsidP="00DE2945">
      <w:pPr>
        <w:spacing w:after="0" w:line="240" w:lineRule="auto"/>
        <w:jc w:val="both"/>
        <w:rPr>
          <w:rFonts w:eastAsiaTheme="minorEastAsia"/>
          <w:sz w:val="20"/>
          <w:szCs w:val="20"/>
        </w:rPr>
      </w:pPr>
      <w:r w:rsidRPr="0061566D">
        <w:rPr>
          <w:rFonts w:eastAsiaTheme="minorEastAsia"/>
          <w:sz w:val="20"/>
          <w:szCs w:val="20"/>
        </w:rPr>
        <w:t xml:space="preserve">ICEFI, 2016, </w:t>
      </w:r>
      <w:r w:rsidR="0061264A" w:rsidRPr="0061566D">
        <w:rPr>
          <w:rFonts w:eastAsiaTheme="minorEastAsia"/>
          <w:sz w:val="20"/>
          <w:szCs w:val="20"/>
        </w:rPr>
        <w:t>P</w:t>
      </w:r>
      <w:r w:rsidRPr="0061566D">
        <w:rPr>
          <w:rFonts w:eastAsiaTheme="minorEastAsia"/>
          <w:sz w:val="20"/>
          <w:szCs w:val="20"/>
        </w:rPr>
        <w:t xml:space="preserve">anamá: Inversión pública en niñez y adolescencia. </w:t>
      </w:r>
      <w:r w:rsidR="0061264A" w:rsidRPr="0061566D">
        <w:rPr>
          <w:rFonts w:eastAsiaTheme="minorEastAsia"/>
          <w:sz w:val="20"/>
          <w:szCs w:val="20"/>
        </w:rPr>
        <w:t xml:space="preserve">Años </w:t>
      </w:r>
      <w:r w:rsidRPr="0061566D">
        <w:rPr>
          <w:rFonts w:eastAsiaTheme="minorEastAsia"/>
          <w:sz w:val="20"/>
          <w:szCs w:val="20"/>
        </w:rPr>
        <w:t xml:space="preserve">2007-2013. </w:t>
      </w:r>
    </w:p>
    <w:p w14:paraId="615A2847"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ICEFI, 2017, Centroamérica: ICEFI advierte que sin reformas fiscales integrales será imposible cumplir los Objetivos de Desarrollo Sostenible 2030,  Guatemala: CA-03-2017. </w:t>
      </w:r>
    </w:p>
    <w:p w14:paraId="5AC81C2F"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ICEFI, 2018, </w:t>
      </w:r>
      <w:proofErr w:type="spellStart"/>
      <w:r w:rsidRPr="0061566D">
        <w:rPr>
          <w:rFonts w:eastAsiaTheme="minorEastAsia"/>
          <w:sz w:val="20"/>
          <w:szCs w:val="20"/>
        </w:rPr>
        <w:t>Icefi</w:t>
      </w:r>
      <w:proofErr w:type="spellEnd"/>
      <w:r w:rsidRPr="0061566D">
        <w:rPr>
          <w:rFonts w:eastAsiaTheme="minorEastAsia"/>
          <w:sz w:val="20"/>
          <w:szCs w:val="20"/>
        </w:rPr>
        <w:t>: Centroamérica no podrá cumplir los Objetivos de Desarrollo Sostenible con la política fiscal actual, Guatemala: CA-03-2018.</w:t>
      </w:r>
    </w:p>
    <w:p w14:paraId="49EE2299"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ICEFI, 2019, </w:t>
      </w:r>
      <w:proofErr w:type="spellStart"/>
      <w:r w:rsidRPr="0061566D">
        <w:rPr>
          <w:rFonts w:eastAsiaTheme="minorEastAsia"/>
          <w:sz w:val="20"/>
          <w:szCs w:val="20"/>
        </w:rPr>
        <w:t>Icefi</w:t>
      </w:r>
      <w:proofErr w:type="spellEnd"/>
      <w:r w:rsidRPr="0061566D">
        <w:rPr>
          <w:rFonts w:eastAsiaTheme="minorEastAsia"/>
          <w:sz w:val="20"/>
          <w:szCs w:val="20"/>
        </w:rPr>
        <w:t xml:space="preserve">: la reducción del gasto público afectará el crecimiento económico de Panamá en 2020, Guatemala: PN-01-2019. </w:t>
      </w:r>
    </w:p>
    <w:p w14:paraId="7DBC34CB" w14:textId="77777777" w:rsidR="00341C4C" w:rsidRPr="0061566D" w:rsidRDefault="00341C4C" w:rsidP="00341C4C">
      <w:pPr>
        <w:spacing w:after="0" w:line="240" w:lineRule="auto"/>
        <w:jc w:val="both"/>
        <w:rPr>
          <w:rFonts w:eastAsiaTheme="minorEastAsia"/>
          <w:sz w:val="20"/>
          <w:szCs w:val="20"/>
          <w:lang w:val="en-US"/>
        </w:rPr>
      </w:pPr>
      <w:r w:rsidRPr="0061566D">
        <w:rPr>
          <w:rFonts w:eastAsiaTheme="minorEastAsia"/>
          <w:sz w:val="20"/>
          <w:szCs w:val="20"/>
          <w:lang w:val="en-US"/>
        </w:rPr>
        <w:t xml:space="preserve">ICGES, 2019, High prevalence of sexually transmitted infections, and high-risk sexual behaviors among indigenous adolescents of the Comarca </w:t>
      </w:r>
      <w:proofErr w:type="spellStart"/>
      <w:r w:rsidRPr="0061566D">
        <w:rPr>
          <w:rFonts w:eastAsiaTheme="minorEastAsia"/>
          <w:sz w:val="20"/>
          <w:szCs w:val="20"/>
          <w:lang w:val="en-US"/>
        </w:rPr>
        <w:t>Ngäbe-Buglé</w:t>
      </w:r>
      <w:proofErr w:type="spellEnd"/>
      <w:r w:rsidRPr="0061566D">
        <w:rPr>
          <w:rFonts w:eastAsiaTheme="minorEastAsia"/>
          <w:sz w:val="20"/>
          <w:szCs w:val="20"/>
          <w:lang w:val="en-US"/>
        </w:rPr>
        <w:t xml:space="preserve">, Panamá. </w:t>
      </w:r>
    </w:p>
    <w:p w14:paraId="38425006" w14:textId="77777777" w:rsidR="00341C4C" w:rsidRPr="0061566D" w:rsidRDefault="00341C4C" w:rsidP="00341C4C">
      <w:pPr>
        <w:spacing w:after="0" w:line="240" w:lineRule="auto"/>
        <w:jc w:val="both"/>
        <w:rPr>
          <w:rFonts w:eastAsiaTheme="minorEastAsia"/>
          <w:sz w:val="20"/>
          <w:szCs w:val="20"/>
          <w:lang w:val="en-US"/>
        </w:rPr>
      </w:pPr>
      <w:r w:rsidRPr="0061566D">
        <w:rPr>
          <w:rFonts w:eastAsiaTheme="minorEastAsia"/>
          <w:sz w:val="20"/>
          <w:szCs w:val="20"/>
          <w:lang w:val="en-US"/>
        </w:rPr>
        <w:t>IMF, 2017, Panama’s Growth Prospects:  Determinants and Sectoral Perspectives, Western Hemisphere Department, Working Papers WP/17/150.</w:t>
      </w:r>
    </w:p>
    <w:p w14:paraId="6304CED1" w14:textId="77777777" w:rsidR="00341C4C" w:rsidRPr="0061566D" w:rsidRDefault="00341C4C" w:rsidP="00341C4C">
      <w:pPr>
        <w:spacing w:after="0" w:line="240" w:lineRule="auto"/>
        <w:jc w:val="both"/>
        <w:rPr>
          <w:rFonts w:eastAsiaTheme="minorEastAsia"/>
          <w:sz w:val="20"/>
          <w:szCs w:val="20"/>
          <w:lang w:val="en-US"/>
        </w:rPr>
      </w:pPr>
      <w:r w:rsidRPr="0061566D">
        <w:rPr>
          <w:rFonts w:eastAsiaTheme="minorEastAsia"/>
          <w:sz w:val="20"/>
          <w:szCs w:val="20"/>
          <w:lang w:val="en-US"/>
        </w:rPr>
        <w:t xml:space="preserve">IMF, 2020, Tentative Stabilization, Sluggish </w:t>
      </w:r>
      <w:proofErr w:type="gramStart"/>
      <w:r w:rsidRPr="0061566D">
        <w:rPr>
          <w:rFonts w:eastAsiaTheme="minorEastAsia"/>
          <w:sz w:val="20"/>
          <w:szCs w:val="20"/>
          <w:lang w:val="en-US"/>
        </w:rPr>
        <w:t>Recovery?,</w:t>
      </w:r>
      <w:proofErr w:type="gramEnd"/>
      <w:r w:rsidRPr="0061566D">
        <w:rPr>
          <w:rFonts w:eastAsiaTheme="minorEastAsia"/>
          <w:sz w:val="20"/>
          <w:szCs w:val="20"/>
          <w:lang w:val="en-US"/>
        </w:rPr>
        <w:t xml:space="preserve"> Washington: World Economic Outlook</w:t>
      </w:r>
    </w:p>
    <w:p w14:paraId="4A7F238F"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INAMU, 2019, Informe de Avances | Beijing+25 Panamá 2019:  Examen exhaustivo a nivel nacional del progreso realizado y los desafíos encontrados durante la implementación de la Declaración y Plataforma de Acción de Beijing (1995) y tras cinco años de la adopción de la Agenda de Desarrollo Sostenible y sus Objetivos de Desarrollo Sostenible, Panamá. </w:t>
      </w:r>
    </w:p>
    <w:p w14:paraId="0A83F38D"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INEC, 2008, Estado nutricional de niños y niñas menores de cinco años, Panamá: MINSA, UNICEF. </w:t>
      </w:r>
    </w:p>
    <w:p w14:paraId="03233075"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INEC, 2014, Diagnóstico de la Población Afrodescendiente en Panamá con base en los datos del XI Censo de Población y VII de Vivienda de 2010, Panamá: FNUAP, UNICEF.</w:t>
      </w:r>
    </w:p>
    <w:p w14:paraId="7806AFDF"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INEC, 2014, Diagnóstico de la Población Afrodescendiente en Panamá con base en los datos del XI Censo de Población y VII de Vivienda de 2010, Panamá: FNUAP, UNICEF.</w:t>
      </w:r>
    </w:p>
    <w:p w14:paraId="33960722"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INEC, 2015, Envejecimiento Demográfico en Panamá. Período 1960-2050, Panamá. </w:t>
      </w:r>
    </w:p>
    <w:p w14:paraId="1D9C7D58"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Informe sobre los avances de los objetivos de desarrollo sostenible (ODS), que implementa el Gobierno de Panamá relativo a la Agenda 2030.</w:t>
      </w:r>
    </w:p>
    <w:p w14:paraId="17815237" w14:textId="77777777" w:rsidR="00341C4C" w:rsidRPr="0061566D" w:rsidRDefault="00341C4C" w:rsidP="00341C4C">
      <w:pPr>
        <w:spacing w:after="0" w:line="240" w:lineRule="auto"/>
        <w:jc w:val="both"/>
        <w:rPr>
          <w:rFonts w:eastAsiaTheme="minorEastAsia"/>
          <w:sz w:val="20"/>
          <w:szCs w:val="20"/>
        </w:rPr>
      </w:pPr>
      <w:proofErr w:type="spellStart"/>
      <w:r w:rsidRPr="0061566D">
        <w:rPr>
          <w:rFonts w:eastAsiaTheme="minorEastAsia"/>
          <w:sz w:val="20"/>
          <w:szCs w:val="20"/>
        </w:rPr>
        <w:t>InSight</w:t>
      </w:r>
      <w:proofErr w:type="spellEnd"/>
      <w:r w:rsidRPr="0061566D">
        <w:rPr>
          <w:rFonts w:eastAsiaTheme="minorEastAsia"/>
          <w:sz w:val="20"/>
          <w:szCs w:val="20"/>
        </w:rPr>
        <w:t xml:space="preserve"> </w:t>
      </w:r>
      <w:proofErr w:type="spellStart"/>
      <w:r w:rsidRPr="0061566D">
        <w:rPr>
          <w:rFonts w:eastAsiaTheme="minorEastAsia"/>
          <w:sz w:val="20"/>
          <w:szCs w:val="20"/>
        </w:rPr>
        <w:t>Crime</w:t>
      </w:r>
      <w:proofErr w:type="spellEnd"/>
      <w:r w:rsidRPr="0061566D">
        <w:rPr>
          <w:rFonts w:eastAsiaTheme="minorEastAsia"/>
          <w:sz w:val="20"/>
          <w:szCs w:val="20"/>
        </w:rPr>
        <w:t xml:space="preserve">, 2019, Una cultura criminal. Extorsión en Centroamérica, Ginebra: Global </w:t>
      </w:r>
      <w:proofErr w:type="spellStart"/>
      <w:r w:rsidRPr="0061566D">
        <w:rPr>
          <w:rFonts w:eastAsiaTheme="minorEastAsia"/>
          <w:sz w:val="20"/>
          <w:szCs w:val="20"/>
        </w:rPr>
        <w:t>Initiative</w:t>
      </w:r>
      <w:proofErr w:type="spellEnd"/>
      <w:r w:rsidRPr="0061566D">
        <w:rPr>
          <w:rFonts w:eastAsiaTheme="minorEastAsia"/>
          <w:sz w:val="20"/>
          <w:szCs w:val="20"/>
        </w:rPr>
        <w:t xml:space="preserve"> </w:t>
      </w:r>
      <w:proofErr w:type="spellStart"/>
      <w:r w:rsidRPr="0061566D">
        <w:rPr>
          <w:rFonts w:eastAsiaTheme="minorEastAsia"/>
          <w:sz w:val="20"/>
          <w:szCs w:val="20"/>
        </w:rPr>
        <w:t>Against</w:t>
      </w:r>
      <w:proofErr w:type="spellEnd"/>
      <w:r w:rsidRPr="0061566D">
        <w:rPr>
          <w:rFonts w:eastAsiaTheme="minorEastAsia"/>
          <w:sz w:val="20"/>
          <w:szCs w:val="20"/>
        </w:rPr>
        <w:t xml:space="preserve"> </w:t>
      </w:r>
      <w:proofErr w:type="spellStart"/>
      <w:r w:rsidRPr="0061566D">
        <w:rPr>
          <w:rFonts w:eastAsiaTheme="minorEastAsia"/>
          <w:sz w:val="20"/>
          <w:szCs w:val="20"/>
        </w:rPr>
        <w:t>Transnational</w:t>
      </w:r>
      <w:proofErr w:type="spellEnd"/>
      <w:r w:rsidRPr="0061566D">
        <w:rPr>
          <w:rFonts w:eastAsiaTheme="minorEastAsia"/>
          <w:sz w:val="20"/>
          <w:szCs w:val="20"/>
        </w:rPr>
        <w:t xml:space="preserve"> </w:t>
      </w:r>
      <w:proofErr w:type="spellStart"/>
      <w:r w:rsidRPr="0061566D">
        <w:rPr>
          <w:rFonts w:eastAsiaTheme="minorEastAsia"/>
          <w:sz w:val="20"/>
          <w:szCs w:val="20"/>
        </w:rPr>
        <w:t>Organized</w:t>
      </w:r>
      <w:proofErr w:type="spellEnd"/>
      <w:r w:rsidRPr="0061566D">
        <w:rPr>
          <w:rFonts w:eastAsiaTheme="minorEastAsia"/>
          <w:sz w:val="20"/>
          <w:szCs w:val="20"/>
        </w:rPr>
        <w:t xml:space="preserve"> </w:t>
      </w:r>
      <w:proofErr w:type="spellStart"/>
      <w:r w:rsidRPr="0061566D">
        <w:rPr>
          <w:rFonts w:eastAsiaTheme="minorEastAsia"/>
          <w:sz w:val="20"/>
          <w:szCs w:val="20"/>
        </w:rPr>
        <w:t>Crime</w:t>
      </w:r>
      <w:proofErr w:type="spellEnd"/>
      <w:r w:rsidRPr="0061566D">
        <w:rPr>
          <w:rFonts w:eastAsiaTheme="minorEastAsia"/>
          <w:sz w:val="20"/>
          <w:szCs w:val="20"/>
        </w:rPr>
        <w:t xml:space="preserve">. </w:t>
      </w:r>
    </w:p>
    <w:p w14:paraId="573BD920"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Jahn, Barbar, 2017, Los “</w:t>
      </w:r>
      <w:proofErr w:type="spellStart"/>
      <w:r w:rsidRPr="0061566D">
        <w:rPr>
          <w:rFonts w:eastAsiaTheme="minorEastAsia"/>
          <w:sz w:val="20"/>
          <w:szCs w:val="20"/>
        </w:rPr>
        <w:t>Panama</w:t>
      </w:r>
      <w:proofErr w:type="spellEnd"/>
      <w:r w:rsidRPr="0061566D">
        <w:rPr>
          <w:rFonts w:eastAsiaTheme="minorEastAsia"/>
          <w:sz w:val="20"/>
          <w:szCs w:val="20"/>
        </w:rPr>
        <w:t xml:space="preserve"> </w:t>
      </w:r>
      <w:proofErr w:type="spellStart"/>
      <w:r w:rsidRPr="0061566D">
        <w:rPr>
          <w:rFonts w:eastAsiaTheme="minorEastAsia"/>
          <w:sz w:val="20"/>
          <w:szCs w:val="20"/>
        </w:rPr>
        <w:t>Papers</w:t>
      </w:r>
      <w:proofErr w:type="spellEnd"/>
      <w:r w:rsidRPr="0061566D">
        <w:rPr>
          <w:rFonts w:eastAsiaTheme="minorEastAsia"/>
          <w:sz w:val="20"/>
          <w:szCs w:val="20"/>
        </w:rPr>
        <w:t>” y su percepción en Panamá.  Un secreto escondido en un paraíso tropical.</w:t>
      </w:r>
    </w:p>
    <w:p w14:paraId="2E0595F7"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Lee </w:t>
      </w:r>
      <w:proofErr w:type="spellStart"/>
      <w:r w:rsidRPr="0061566D">
        <w:rPr>
          <w:rFonts w:eastAsiaTheme="minorEastAsia"/>
          <w:sz w:val="20"/>
          <w:szCs w:val="20"/>
        </w:rPr>
        <w:t>Hecht</w:t>
      </w:r>
      <w:proofErr w:type="spellEnd"/>
      <w:r w:rsidRPr="0061566D">
        <w:rPr>
          <w:rFonts w:eastAsiaTheme="minorEastAsia"/>
          <w:sz w:val="20"/>
          <w:szCs w:val="20"/>
        </w:rPr>
        <w:t xml:space="preserve"> Harrison, 2019, Elevando a las mujeres hacia el liderazgo Un estudio para explorar cómo las organizaciones pueden lograr verdaderos avances, Panamá: www.lhh.com.pa. </w:t>
      </w:r>
    </w:p>
    <w:p w14:paraId="2756E971"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Marco de Cooperación de las Naciones Unidas para el desarrollo de Panamá, 2016-2020</w:t>
      </w:r>
    </w:p>
    <w:p w14:paraId="4C465D2E"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MEDUCA, 2019, Programa para la Evaluación Internacional de Estudiantes, Panamá: OCDE. </w:t>
      </w:r>
    </w:p>
    <w:p w14:paraId="42719257"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MEF, 2006, Pobreza y desigualdad en Panamá. La equidad: un reto impostergable. Panamá. </w:t>
      </w:r>
    </w:p>
    <w:p w14:paraId="6D03FF4B" w14:textId="4FFDB48B" w:rsidR="00FF7A2D" w:rsidRDefault="00B31565" w:rsidP="00341C4C">
      <w:pPr>
        <w:spacing w:after="0" w:line="240" w:lineRule="auto"/>
        <w:jc w:val="both"/>
        <w:rPr>
          <w:rFonts w:eastAsiaTheme="minorEastAsia"/>
          <w:sz w:val="20"/>
          <w:szCs w:val="20"/>
        </w:rPr>
      </w:pPr>
      <w:r w:rsidRPr="00B31565">
        <w:rPr>
          <w:rFonts w:eastAsiaTheme="minorEastAsia"/>
          <w:sz w:val="18"/>
          <w:szCs w:val="18"/>
        </w:rPr>
        <w:t xml:space="preserve">MEF, </w:t>
      </w:r>
      <w:r w:rsidR="00FF7A2D">
        <w:rPr>
          <w:rFonts w:eastAsiaTheme="minorEastAsia"/>
          <w:sz w:val="20"/>
          <w:szCs w:val="20"/>
        </w:rPr>
        <w:t xml:space="preserve">2015, </w:t>
      </w:r>
      <w:r>
        <w:rPr>
          <w:rFonts w:eastAsiaTheme="minorEastAsia"/>
          <w:sz w:val="20"/>
          <w:szCs w:val="20"/>
        </w:rPr>
        <w:t>Mapa de Pobreza, Panamá: BM.</w:t>
      </w:r>
    </w:p>
    <w:p w14:paraId="08C048BD" w14:textId="604909A6" w:rsidR="0061264A" w:rsidRPr="0061566D" w:rsidRDefault="0061264A" w:rsidP="00341C4C">
      <w:pPr>
        <w:spacing w:after="0" w:line="240" w:lineRule="auto"/>
        <w:jc w:val="both"/>
        <w:rPr>
          <w:rFonts w:eastAsiaTheme="minorEastAsia"/>
          <w:sz w:val="20"/>
          <w:szCs w:val="20"/>
        </w:rPr>
      </w:pPr>
      <w:r w:rsidRPr="0061566D">
        <w:rPr>
          <w:rFonts w:eastAsiaTheme="minorEastAsia"/>
          <w:sz w:val="20"/>
          <w:szCs w:val="20"/>
        </w:rPr>
        <w:t>MEF, 2016, Informe Económico y Social, Panamá.</w:t>
      </w:r>
    </w:p>
    <w:p w14:paraId="1A07EB46" w14:textId="0D29697B"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MEF, 2017, Avances de Líneas y niveles de pobreza y distribución del ingreso, Panamá.</w:t>
      </w:r>
    </w:p>
    <w:p w14:paraId="3CD9A3D6"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MEF, 2017, Informe de Ejecución del Programa de Inversiones Públicas No Financieras. </w:t>
      </w:r>
    </w:p>
    <w:p w14:paraId="3726D8F3"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MEF, Objetivos de Desarrollo Sostenible, Indicadores de seguimiento 2013-2015, Preliminares, Panamá.</w:t>
      </w:r>
    </w:p>
    <w:p w14:paraId="685DA111" w14:textId="7D6C0E91"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MEF, Propuesta de dimensiones e indicadores para la adopción de un </w:t>
      </w:r>
      <w:r w:rsidR="0061264A" w:rsidRPr="0061566D">
        <w:rPr>
          <w:rFonts w:eastAsiaTheme="minorEastAsia"/>
          <w:sz w:val="20"/>
          <w:szCs w:val="20"/>
        </w:rPr>
        <w:t>Índice</w:t>
      </w:r>
      <w:r w:rsidRPr="0061566D">
        <w:rPr>
          <w:rFonts w:eastAsiaTheme="minorEastAsia"/>
          <w:sz w:val="20"/>
          <w:szCs w:val="20"/>
        </w:rPr>
        <w:t xml:space="preserve"> de Pobreza Multidimensional para Panamá.</w:t>
      </w:r>
    </w:p>
    <w:p w14:paraId="6AF8EB41" w14:textId="77777777" w:rsidR="00341C4C" w:rsidRPr="0061566D" w:rsidRDefault="00341C4C" w:rsidP="00341C4C">
      <w:pPr>
        <w:spacing w:after="0" w:line="240" w:lineRule="auto"/>
        <w:jc w:val="both"/>
        <w:rPr>
          <w:rFonts w:eastAsiaTheme="minorEastAsia"/>
          <w:sz w:val="20"/>
          <w:szCs w:val="20"/>
        </w:rPr>
      </w:pPr>
      <w:proofErr w:type="spellStart"/>
      <w:r w:rsidRPr="0061566D">
        <w:rPr>
          <w:rFonts w:eastAsiaTheme="minorEastAsia"/>
          <w:sz w:val="20"/>
          <w:szCs w:val="20"/>
        </w:rPr>
        <w:t>MiAMBIENTE</w:t>
      </w:r>
      <w:proofErr w:type="spellEnd"/>
      <w:r w:rsidRPr="0061566D">
        <w:rPr>
          <w:rFonts w:eastAsiaTheme="minorEastAsia"/>
          <w:sz w:val="20"/>
          <w:szCs w:val="20"/>
        </w:rPr>
        <w:t xml:space="preserve">, 2018, Niveles de Referencia de Emisiones Forestales (NREF) / Nivel de Referencia Forestal (NRF) para REDD+ Panamá, Panamá: FCPF, PNUD. </w:t>
      </w:r>
    </w:p>
    <w:p w14:paraId="6A6613E6"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MiAmbiente, 2018, Tercera Comunicación Nacional de Cambio Climático de Panamá, Panamá: PNUD. </w:t>
      </w:r>
    </w:p>
    <w:p w14:paraId="69163EFC"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MIDES, 2011, Plan de Atención Integral a la Primera Infancia, Panamá.</w:t>
      </w:r>
    </w:p>
    <w:p w14:paraId="6E7023A3" w14:textId="77777777" w:rsidR="009A2576" w:rsidRPr="0061566D" w:rsidRDefault="009A2576" w:rsidP="009A2576">
      <w:pPr>
        <w:spacing w:after="0" w:line="240" w:lineRule="auto"/>
        <w:jc w:val="both"/>
        <w:rPr>
          <w:rFonts w:eastAsiaTheme="minorEastAsia"/>
          <w:sz w:val="20"/>
          <w:szCs w:val="20"/>
        </w:rPr>
      </w:pPr>
      <w:r w:rsidRPr="0061566D">
        <w:rPr>
          <w:rFonts w:eastAsiaTheme="minorEastAsia"/>
          <w:sz w:val="20"/>
          <w:szCs w:val="20"/>
        </w:rPr>
        <w:t>MIDES, 2017, Informe de Misión Oficial Internacional a la Primera reunión del Foro de los países de América Latina y el Caribe sobre el Desarrollo Sostenible,  México, D.F.</w:t>
      </w:r>
    </w:p>
    <w:p w14:paraId="5F14094B" w14:textId="0667C6A0" w:rsidR="009A2576" w:rsidRPr="0061566D" w:rsidRDefault="009A2576" w:rsidP="009A2576">
      <w:pPr>
        <w:spacing w:after="0" w:line="240" w:lineRule="auto"/>
        <w:jc w:val="both"/>
        <w:rPr>
          <w:rFonts w:eastAsiaTheme="minorEastAsia"/>
          <w:sz w:val="20"/>
          <w:szCs w:val="20"/>
        </w:rPr>
      </w:pPr>
      <w:r w:rsidRPr="0061566D">
        <w:rPr>
          <w:rFonts w:eastAsiaTheme="minorEastAsia"/>
          <w:sz w:val="20"/>
          <w:szCs w:val="20"/>
        </w:rPr>
        <w:lastRenderedPageBreak/>
        <w:t>MIDES, 2017, Informe de Misión Oficial Internacional a Nueva York a la Reunión del grupo de expertos sobre los preparativos para los Exámenes Voluntarios Nacionales, Panamá.</w:t>
      </w:r>
    </w:p>
    <w:p w14:paraId="157B40FC" w14:textId="426AB1B8"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MIDES</w:t>
      </w:r>
      <w:r w:rsidR="00B0730C">
        <w:rPr>
          <w:rFonts w:eastAsiaTheme="minorEastAsia"/>
          <w:sz w:val="20"/>
          <w:szCs w:val="20"/>
        </w:rPr>
        <w:t>-VNR</w:t>
      </w:r>
      <w:r w:rsidRPr="0061566D">
        <w:rPr>
          <w:rFonts w:eastAsiaTheme="minorEastAsia"/>
          <w:sz w:val="20"/>
          <w:szCs w:val="20"/>
        </w:rPr>
        <w:t>, 2017, Informe Voluntario: Erradicar la pobreza y promover la prosperidad en un mundo cambiante, Foro Político de alto nivel para el desarrollo sostenible, Nueva York</w:t>
      </w:r>
      <w:r w:rsidR="0001267A">
        <w:rPr>
          <w:rFonts w:eastAsiaTheme="minorEastAsia"/>
          <w:sz w:val="20"/>
          <w:szCs w:val="20"/>
        </w:rPr>
        <w:t>,</w:t>
      </w:r>
      <w:r w:rsidRPr="0061566D">
        <w:rPr>
          <w:rFonts w:eastAsiaTheme="minorEastAsia"/>
          <w:sz w:val="20"/>
          <w:szCs w:val="20"/>
        </w:rPr>
        <w:t xml:space="preserve"> Gabinete Social. </w:t>
      </w:r>
    </w:p>
    <w:p w14:paraId="3478CB8E"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MIDES, 2019, Caminando juntos hacia un envejecimiento inclusivo, Plan nacional de las personas adultas mayores, Panamá: UNFPA, BM, </w:t>
      </w:r>
      <w:proofErr w:type="spellStart"/>
      <w:r w:rsidRPr="0061566D">
        <w:rPr>
          <w:rFonts w:eastAsiaTheme="minorEastAsia"/>
          <w:sz w:val="20"/>
          <w:szCs w:val="20"/>
        </w:rPr>
        <w:t>EuroSocial</w:t>
      </w:r>
      <w:proofErr w:type="spellEnd"/>
      <w:r w:rsidRPr="0061566D">
        <w:rPr>
          <w:rFonts w:eastAsiaTheme="minorEastAsia"/>
          <w:sz w:val="20"/>
          <w:szCs w:val="20"/>
        </w:rPr>
        <w:t xml:space="preserve">. </w:t>
      </w:r>
    </w:p>
    <w:p w14:paraId="010D69EE"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MINSA, 2008, Plan Nacional Prevención y Control de Deficiencias de Micronutrientes, 2008-2015, Panamá: INCAP-OPS.</w:t>
      </w:r>
    </w:p>
    <w:p w14:paraId="7AA57226"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MINSA, 2010-2016, Anuarios estadísticos.</w:t>
      </w:r>
    </w:p>
    <w:p w14:paraId="38191FD5" w14:textId="146635C9" w:rsidR="00341C4C" w:rsidRDefault="00341C4C" w:rsidP="00341C4C">
      <w:pPr>
        <w:spacing w:after="0" w:line="240" w:lineRule="auto"/>
        <w:jc w:val="both"/>
        <w:rPr>
          <w:rFonts w:eastAsiaTheme="minorEastAsia"/>
          <w:sz w:val="20"/>
          <w:szCs w:val="20"/>
        </w:rPr>
      </w:pPr>
      <w:r w:rsidRPr="0061566D">
        <w:rPr>
          <w:rFonts w:eastAsiaTheme="minorEastAsia"/>
          <w:sz w:val="20"/>
          <w:szCs w:val="20"/>
        </w:rPr>
        <w:t>MINSA/SENAPAN, Plan Nacional de Combate al Desnutrición Infantil, 2008-2015, Panamá.</w:t>
      </w:r>
    </w:p>
    <w:p w14:paraId="5911B321" w14:textId="01D24B2A" w:rsidR="005B4C0B" w:rsidRPr="0061566D" w:rsidRDefault="005B4C0B" w:rsidP="00341C4C">
      <w:pPr>
        <w:spacing w:after="0" w:line="240" w:lineRule="auto"/>
        <w:jc w:val="both"/>
        <w:rPr>
          <w:rFonts w:eastAsiaTheme="minorEastAsia"/>
          <w:sz w:val="20"/>
          <w:szCs w:val="20"/>
        </w:rPr>
      </w:pPr>
      <w:r>
        <w:rPr>
          <w:rFonts w:eastAsiaTheme="minorEastAsia"/>
          <w:sz w:val="20"/>
          <w:szCs w:val="20"/>
        </w:rPr>
        <w:t xml:space="preserve">MINSA, </w:t>
      </w:r>
      <w:r w:rsidR="003A796D">
        <w:rPr>
          <w:rFonts w:eastAsiaTheme="minorEastAsia"/>
          <w:sz w:val="20"/>
          <w:szCs w:val="20"/>
        </w:rPr>
        <w:t>2017</w:t>
      </w:r>
      <w:r>
        <w:rPr>
          <w:rFonts w:eastAsiaTheme="minorEastAsia"/>
          <w:sz w:val="20"/>
          <w:szCs w:val="20"/>
        </w:rPr>
        <w:t xml:space="preserve">, </w:t>
      </w:r>
      <w:r w:rsidRPr="005B4C0B">
        <w:rPr>
          <w:rFonts w:eastAsiaTheme="minorEastAsia"/>
          <w:sz w:val="20"/>
          <w:szCs w:val="20"/>
        </w:rPr>
        <w:t>Monitoreo del Estado Nutricional</w:t>
      </w:r>
      <w:r w:rsidR="003A796D">
        <w:rPr>
          <w:rFonts w:eastAsiaTheme="minorEastAsia"/>
          <w:sz w:val="20"/>
          <w:szCs w:val="20"/>
        </w:rPr>
        <w:t>, MONINUT</w:t>
      </w:r>
      <w:r>
        <w:rPr>
          <w:rFonts w:eastAsiaTheme="minorEastAsia"/>
          <w:sz w:val="20"/>
          <w:szCs w:val="20"/>
        </w:rPr>
        <w:t>, Panamá</w:t>
      </w:r>
      <w:r w:rsidR="007F4C65">
        <w:rPr>
          <w:rFonts w:eastAsiaTheme="minorEastAsia"/>
          <w:sz w:val="20"/>
          <w:szCs w:val="20"/>
        </w:rPr>
        <w:t>: PMA, OPS, OMS, INCAP</w:t>
      </w:r>
      <w:r>
        <w:rPr>
          <w:rFonts w:eastAsiaTheme="minorEastAsia"/>
          <w:sz w:val="20"/>
          <w:szCs w:val="20"/>
        </w:rPr>
        <w:t xml:space="preserve">. </w:t>
      </w:r>
    </w:p>
    <w:p w14:paraId="36E6EF58"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MINSEG, PNUD,  2017, Estrategia Nacional de Seguridad Ciudadana – 2017-2030, Panamá.</w:t>
      </w:r>
    </w:p>
    <w:p w14:paraId="5478C8F3"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MINSEG, SECOPA, 2016, Caracterización de las pandillas en la república de Panamá, Panamá. </w:t>
      </w:r>
    </w:p>
    <w:p w14:paraId="1B45A7D6" w14:textId="20FF7BB6" w:rsidR="00076B76" w:rsidRDefault="00076B76" w:rsidP="009A2576">
      <w:pPr>
        <w:spacing w:after="0" w:line="240" w:lineRule="auto"/>
        <w:jc w:val="both"/>
        <w:rPr>
          <w:rFonts w:eastAsiaTheme="minorEastAsia"/>
          <w:sz w:val="20"/>
          <w:szCs w:val="20"/>
        </w:rPr>
      </w:pPr>
      <w:r>
        <w:rPr>
          <w:rFonts w:eastAsiaTheme="minorEastAsia"/>
          <w:sz w:val="20"/>
          <w:szCs w:val="20"/>
        </w:rPr>
        <w:t xml:space="preserve">MITRADEL, 2019, </w:t>
      </w:r>
      <w:r w:rsidRPr="00076B76">
        <w:rPr>
          <w:rFonts w:eastAsiaTheme="minorEastAsia"/>
          <w:sz w:val="20"/>
          <w:szCs w:val="20"/>
        </w:rPr>
        <w:t>Estudio de métodos mixtos sobre el trabajo infantil en la caña de azúcar en Panamá</w:t>
      </w:r>
      <w:r>
        <w:rPr>
          <w:rFonts w:eastAsiaTheme="minorEastAsia"/>
          <w:sz w:val="20"/>
          <w:szCs w:val="20"/>
        </w:rPr>
        <w:t>, Panamá: OIR.</w:t>
      </w:r>
    </w:p>
    <w:p w14:paraId="10A96DC4" w14:textId="6DA9844E" w:rsidR="009A2576" w:rsidRPr="0061566D" w:rsidRDefault="009A2576" w:rsidP="009A2576">
      <w:pPr>
        <w:spacing w:after="0" w:line="240" w:lineRule="auto"/>
        <w:jc w:val="both"/>
        <w:rPr>
          <w:rFonts w:eastAsiaTheme="minorEastAsia"/>
          <w:sz w:val="20"/>
          <w:szCs w:val="20"/>
        </w:rPr>
      </w:pPr>
      <w:r w:rsidRPr="0061566D">
        <w:rPr>
          <w:rFonts w:eastAsiaTheme="minorEastAsia"/>
          <w:sz w:val="20"/>
          <w:szCs w:val="20"/>
        </w:rPr>
        <w:t xml:space="preserve">Naciones Unidas, 1965, Convención Internacional sobre la Eliminación de todas las Formas de Discriminación Racial,  Asamblea General, Resolución 2106 A (XX). </w:t>
      </w:r>
    </w:p>
    <w:p w14:paraId="4EE4A89B" w14:textId="77777777" w:rsidR="009A2576" w:rsidRPr="0061566D" w:rsidRDefault="009A2576" w:rsidP="009A2576">
      <w:pPr>
        <w:spacing w:after="0" w:line="240" w:lineRule="auto"/>
        <w:jc w:val="both"/>
        <w:rPr>
          <w:rFonts w:eastAsiaTheme="minorEastAsia"/>
          <w:sz w:val="20"/>
          <w:szCs w:val="20"/>
        </w:rPr>
      </w:pPr>
      <w:r w:rsidRPr="0061566D">
        <w:rPr>
          <w:rFonts w:eastAsiaTheme="minorEastAsia"/>
          <w:sz w:val="20"/>
          <w:szCs w:val="20"/>
        </w:rPr>
        <w:t>Naciones Unidas, 2001, Informe de la Conferencia Mundial contra el Racismo, la Discriminación Racial, la Xenofobia y las Formas Conexas de Intolerancia, Durban, A/CONF.189/12.</w:t>
      </w:r>
    </w:p>
    <w:p w14:paraId="345D77A8" w14:textId="77777777" w:rsidR="009A2576" w:rsidRPr="0061566D" w:rsidRDefault="009A2576" w:rsidP="009A2576">
      <w:pPr>
        <w:spacing w:after="0" w:line="240" w:lineRule="auto"/>
        <w:jc w:val="both"/>
        <w:rPr>
          <w:rFonts w:eastAsiaTheme="minorEastAsia"/>
          <w:sz w:val="20"/>
          <w:szCs w:val="20"/>
        </w:rPr>
      </w:pPr>
      <w:r w:rsidRPr="0061566D">
        <w:rPr>
          <w:rFonts w:eastAsiaTheme="minorEastAsia"/>
          <w:sz w:val="20"/>
          <w:szCs w:val="20"/>
        </w:rPr>
        <w:t>Naciones Unidas, 2009, Informe de la Conferencia de Examen de Durban, Ginebra.</w:t>
      </w:r>
    </w:p>
    <w:p w14:paraId="38C20525" w14:textId="520F567B"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Naciones Unidas, 2014, Informe del Relator Especial sobre los derechos de los pueblos indígenas, James Anaya, A/HRC/27/52/Add.1, Nueva York: Consejo de Derechos Humanos 27º período de sesiones Tema 3 de la agenda Promoción y protección de todos los derechos humanos,  civiles, políticos, económicos, sociales y culturales,  incluido el derecho al desarrollo.</w:t>
      </w:r>
    </w:p>
    <w:p w14:paraId="053F2270"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Naciones Unidas, 2015, Informe del Grupo de Apoyo Interinstitucional de las Naciones Unidas sobre Cuestiones Indígenas sobre su reunión anual de 2014, Foro Permanente para las Cuestiones Indígenas 14º período de sesiones Nueva York, 20 de abril a 1 de mayo de 2015, Tema 6 del programa provisional, Diálogo amplio con los organismos y fondos de las Naciones Unidas,  E/C.19/2015/7,  Nueva York. </w:t>
      </w:r>
    </w:p>
    <w:p w14:paraId="6218DF87"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Naciones Unidas, 2015, Informe del Grupo de Trabajo sobre el Examen Periódico Universal, A/HRC/30/7, Nueva York: Consejo de Derechos Humanos 30º período de sesiones.</w:t>
      </w:r>
    </w:p>
    <w:p w14:paraId="6F442AC3"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Naciones Unidas, 2016, Declaración Política sobre el VIH/SIDA: En la vía rápida para acelerar la lucha contra el VIH y poner fin a la epidemia del SIDA para 2030, A/70/L.52, Nueva York: Septuagésimo período de sesiones Tema 11 del programa Aplicación de la Declaración de Compromiso en la Lucha Contra el VIH/SIDA y las declaraciones políticas sobre el VIH/SIDA.</w:t>
      </w:r>
    </w:p>
    <w:p w14:paraId="25296A2F"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Naciones Unidas, 2016, Estudio final sobre las corrientes financieras ilícitas, los derechos humanos y la Agenda 2030 para el Desarrollo Sostenible del Experto Independiente  sobre las consecuencias de la deuda externa y las  obligaciones financieras internacionales conexas  de los Estados para el pleno goce de todos los  derechos humanos, sobre todo los derechos  económicos, sociales y culturales, A/HRC/31/61, Nueva York: Consejo de Derechos Humanos 31er período de sesiones Tema 3 de la agenda Promoción y protección de todos los derechos humanos, civiles, políticos, económicos, sociales y culturales,  incluido el derecho al desarrollo. </w:t>
      </w:r>
    </w:p>
    <w:p w14:paraId="40DB63EB"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Naciones Unidas, 2019, Lista de cuestiones y preguntas previa a la presentación del octavo informe periódico de Panamá,  CEDAW/C/PAN/QPR/8SNU.</w:t>
      </w:r>
    </w:p>
    <w:p w14:paraId="3B94F5DA"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Naciones Unidas, Hitos Fundamentales necesarios para llevar a cabo un proceso coherente, eficiente e inclusivo de seguimiento y examen en el plano mundial.  15 de enero de 2016.</w:t>
      </w:r>
    </w:p>
    <w:p w14:paraId="5CA890F9" w14:textId="77EC0D95"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OCDE, 2018, Estudio multidimensional de Panamá, Volumen 1.</w:t>
      </w:r>
    </w:p>
    <w:p w14:paraId="49CE860F" w14:textId="59B5DFED"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OCDE, 2018, Estudio multidimensional de Panamá</w:t>
      </w:r>
      <w:r w:rsidR="000B73F8" w:rsidRPr="0061566D">
        <w:rPr>
          <w:rFonts w:eastAsiaTheme="minorEastAsia"/>
          <w:sz w:val="20"/>
          <w:szCs w:val="20"/>
        </w:rPr>
        <w:t>,</w:t>
      </w:r>
      <w:r w:rsidRPr="0061566D">
        <w:rPr>
          <w:rFonts w:eastAsiaTheme="minorEastAsia"/>
          <w:sz w:val="20"/>
          <w:szCs w:val="20"/>
        </w:rPr>
        <w:t xml:space="preserve"> Volumen </w:t>
      </w:r>
      <w:r w:rsidR="000B73F8" w:rsidRPr="0061566D">
        <w:rPr>
          <w:rFonts w:eastAsiaTheme="minorEastAsia"/>
          <w:sz w:val="20"/>
          <w:szCs w:val="20"/>
        </w:rPr>
        <w:t>2</w:t>
      </w:r>
      <w:r w:rsidRPr="0061566D">
        <w:rPr>
          <w:rFonts w:eastAsiaTheme="minorEastAsia"/>
          <w:sz w:val="20"/>
          <w:szCs w:val="20"/>
        </w:rPr>
        <w:t>.</w:t>
      </w:r>
    </w:p>
    <w:p w14:paraId="12F9D2FB" w14:textId="18358574"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OCDE/CEPAL/CAF,</w:t>
      </w:r>
      <w:r w:rsidR="000B73F8" w:rsidRPr="0061566D">
        <w:rPr>
          <w:rFonts w:eastAsiaTheme="minorEastAsia"/>
          <w:sz w:val="20"/>
          <w:szCs w:val="20"/>
        </w:rPr>
        <w:t xml:space="preserve"> </w:t>
      </w:r>
      <w:r w:rsidRPr="0061566D">
        <w:rPr>
          <w:rFonts w:eastAsiaTheme="minorEastAsia"/>
          <w:sz w:val="20"/>
          <w:szCs w:val="20"/>
        </w:rPr>
        <w:t>2016, Perspectiva Económica de América Latina 2017. Juventud, competencias y emprendimiento. OECD Publishing, Paris. Pág. 312-313. Notas País. http://dx.doi.org/10.1787/leo-2017-es</w:t>
      </w:r>
    </w:p>
    <w:p w14:paraId="151F9F62"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OCR, 2019, Informe Evaluación Final del MANUD 2016-2020 de Panamá, Panamá: SNU.</w:t>
      </w:r>
    </w:p>
    <w:p w14:paraId="79322EEA"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ODENA, 2015, Reporte Anual, Panamá</w:t>
      </w:r>
    </w:p>
    <w:p w14:paraId="153ECFAE"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ODENA, 2017, Informe alternativo, Panamá: Defensoría del Pueblo, Panamá. </w:t>
      </w:r>
    </w:p>
    <w:p w14:paraId="25B205AD"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lastRenderedPageBreak/>
        <w:t>OID, CICAD, OAS, 2019, Informe sobre el consumo de drogas en las Américas, Washington, D.C.</w:t>
      </w:r>
    </w:p>
    <w:p w14:paraId="399091EB"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OIM, 2019, Panamá: Perfil de gobernanza sobre migración, Panamá. </w:t>
      </w:r>
    </w:p>
    <w:p w14:paraId="7A3AB690"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OIM, 2019, Tendencias migratorias en Centroamérica, Norteamérica, y el Caribe, San José. </w:t>
      </w:r>
    </w:p>
    <w:p w14:paraId="397ABC7B"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OIM, ACNUR, UNICEF, OEA, 2019, Situación de Población Refugiada y Migrante de Venezuela en Panamá, Panamá. </w:t>
      </w:r>
    </w:p>
    <w:p w14:paraId="349D926D"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OIM, CAF, 2019, La movilidad humana en la agenda climática de las Américas, Necesidades y oportunidades, Panamá.</w:t>
      </w:r>
    </w:p>
    <w:p w14:paraId="1C072DFA"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OIT, 2003, Valuación financiera y actuarial de la Caja de Seguro Social (CSS), San José.  </w:t>
      </w:r>
    </w:p>
    <w:p w14:paraId="5A7B8325"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OIT, 2014, La Estrategia de Desarrollo de los Sistemas de Seguridad Social de la OIT. El Papel de los Pisos de Protección Social en América Latina y el Caribe, Lima.</w:t>
      </w:r>
    </w:p>
    <w:p w14:paraId="4F630C8A" w14:textId="7397F006" w:rsidR="00341C4C"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OIT, 2017, Informe Mundial sobre la Protección Social 2017-2019 La protección social universal para alcanzar los Objetivos de Desarrollo Sostenible, Ginebra. </w:t>
      </w:r>
    </w:p>
    <w:p w14:paraId="26E000A8" w14:textId="591DC9E9" w:rsidR="003702CC" w:rsidRPr="0061566D" w:rsidRDefault="003702CC" w:rsidP="00341C4C">
      <w:pPr>
        <w:spacing w:after="0" w:line="240" w:lineRule="auto"/>
        <w:jc w:val="both"/>
        <w:rPr>
          <w:rFonts w:eastAsiaTheme="minorEastAsia"/>
          <w:sz w:val="20"/>
          <w:szCs w:val="20"/>
        </w:rPr>
      </w:pPr>
      <w:r>
        <w:rPr>
          <w:rFonts w:eastAsiaTheme="minorEastAsia"/>
          <w:sz w:val="20"/>
          <w:szCs w:val="20"/>
        </w:rPr>
        <w:t>OIT, 2018, P</w:t>
      </w:r>
      <w:r w:rsidRPr="003702CC">
        <w:rPr>
          <w:rFonts w:eastAsiaTheme="minorEastAsia"/>
          <w:sz w:val="20"/>
          <w:szCs w:val="20"/>
        </w:rPr>
        <w:t>anorama Laboral</w:t>
      </w:r>
      <w:r>
        <w:rPr>
          <w:rFonts w:eastAsiaTheme="minorEastAsia"/>
          <w:sz w:val="20"/>
          <w:szCs w:val="20"/>
        </w:rPr>
        <w:t xml:space="preserve">: </w:t>
      </w:r>
      <w:r w:rsidRPr="003702CC">
        <w:rPr>
          <w:rFonts w:eastAsiaTheme="minorEastAsia"/>
          <w:sz w:val="20"/>
          <w:szCs w:val="20"/>
        </w:rPr>
        <w:t>Empleo, desempleo, mercado de trabajo, salario, salario mínimo, brecha de género, estadísticas del trabajo, condiciones de trabajo, América Latina, América Central, Caribe</w:t>
      </w:r>
      <w:r>
        <w:rPr>
          <w:rFonts w:eastAsiaTheme="minorEastAsia"/>
          <w:sz w:val="20"/>
          <w:szCs w:val="20"/>
        </w:rPr>
        <w:t>, Lima: OIT</w:t>
      </w:r>
      <w:r w:rsidRPr="003702CC">
        <w:rPr>
          <w:rFonts w:eastAsiaTheme="minorEastAsia"/>
          <w:sz w:val="20"/>
          <w:szCs w:val="20"/>
        </w:rPr>
        <w:t>.</w:t>
      </w:r>
    </w:p>
    <w:p w14:paraId="25E4EBC4"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OIT, 2019, Plan estratégico para colaborar con las entidades del sistema de las Naciones Unidas y las organizaciones regionales pertinentes en cuestiones relativas al Convenio sobre pueblos indígenas y tribales, 1989 (núm. 169), Consejo de Administración 335.ª reunión, Ginebra.</w:t>
      </w:r>
    </w:p>
    <w:p w14:paraId="5A358BAD"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ONUSIDA, 90-90-90 Un ambicioso objetivo de tratamiento para contribuir al fin de la epidemia de sida, Panamá. </w:t>
      </w:r>
    </w:p>
    <w:p w14:paraId="533C6501"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OPS, UNICEF, 2014, Progreso en materia de saneamiento y agua potable.</w:t>
      </w:r>
    </w:p>
    <w:p w14:paraId="1483E065" w14:textId="4EFBCC39" w:rsidR="003916D1" w:rsidRDefault="00C8413F" w:rsidP="003916D1">
      <w:pPr>
        <w:spacing w:after="0" w:line="240" w:lineRule="auto"/>
        <w:jc w:val="both"/>
        <w:rPr>
          <w:rFonts w:eastAsiaTheme="minorEastAsia"/>
          <w:sz w:val="20"/>
          <w:szCs w:val="20"/>
        </w:rPr>
      </w:pPr>
      <w:r w:rsidRPr="003916D1">
        <w:rPr>
          <w:rFonts w:eastAsiaTheme="minorEastAsia"/>
          <w:sz w:val="20"/>
          <w:szCs w:val="20"/>
        </w:rPr>
        <w:t>PASMO-PSI-IPPF</w:t>
      </w:r>
      <w:r>
        <w:rPr>
          <w:rFonts w:eastAsiaTheme="minorEastAsia"/>
          <w:sz w:val="20"/>
          <w:szCs w:val="20"/>
        </w:rPr>
        <w:t xml:space="preserve">, 2016, </w:t>
      </w:r>
      <w:r w:rsidR="003916D1" w:rsidRPr="003916D1">
        <w:rPr>
          <w:rFonts w:eastAsiaTheme="minorEastAsia"/>
          <w:sz w:val="20"/>
          <w:szCs w:val="20"/>
        </w:rPr>
        <w:t>Proyecto de Prevención</w:t>
      </w:r>
      <w:r>
        <w:rPr>
          <w:rFonts w:eastAsiaTheme="minorEastAsia"/>
          <w:sz w:val="20"/>
          <w:szCs w:val="20"/>
        </w:rPr>
        <w:t xml:space="preserve"> </w:t>
      </w:r>
      <w:r w:rsidR="003916D1" w:rsidRPr="003916D1">
        <w:rPr>
          <w:rFonts w:eastAsiaTheme="minorEastAsia"/>
          <w:sz w:val="20"/>
          <w:szCs w:val="20"/>
        </w:rPr>
        <w:t>Combinada en VIH para PEMAR</w:t>
      </w:r>
      <w:r>
        <w:rPr>
          <w:rFonts w:eastAsiaTheme="minorEastAsia"/>
          <w:sz w:val="20"/>
          <w:szCs w:val="20"/>
        </w:rPr>
        <w:t>.</w:t>
      </w:r>
      <w:r w:rsidR="003916D1" w:rsidRPr="003916D1">
        <w:rPr>
          <w:rFonts w:eastAsiaTheme="minorEastAsia"/>
          <w:sz w:val="20"/>
          <w:szCs w:val="20"/>
        </w:rPr>
        <w:t xml:space="preserve"> </w:t>
      </w:r>
    </w:p>
    <w:p w14:paraId="4EFBCC8D" w14:textId="176839F3"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Pérez, </w:t>
      </w:r>
      <w:proofErr w:type="spellStart"/>
      <w:r w:rsidRPr="0061566D">
        <w:rPr>
          <w:rFonts w:eastAsiaTheme="minorEastAsia"/>
          <w:sz w:val="20"/>
          <w:szCs w:val="20"/>
        </w:rPr>
        <w:t>Eudemia</w:t>
      </w:r>
      <w:proofErr w:type="spellEnd"/>
      <w:r w:rsidRPr="0061566D">
        <w:rPr>
          <w:rFonts w:eastAsiaTheme="minorEastAsia"/>
          <w:sz w:val="20"/>
          <w:szCs w:val="20"/>
        </w:rPr>
        <w:t xml:space="preserve">, </w:t>
      </w:r>
      <w:r w:rsidR="000B73F8" w:rsidRPr="0061566D">
        <w:rPr>
          <w:rFonts w:eastAsiaTheme="minorEastAsia"/>
          <w:sz w:val="20"/>
          <w:szCs w:val="20"/>
        </w:rPr>
        <w:t xml:space="preserve">2015, </w:t>
      </w:r>
      <w:r w:rsidRPr="0061566D">
        <w:rPr>
          <w:rFonts w:eastAsiaTheme="minorEastAsia"/>
          <w:sz w:val="20"/>
          <w:szCs w:val="20"/>
        </w:rPr>
        <w:t>Aproximación a la Pobreza Multidimensional, Panamá, MEF</w:t>
      </w:r>
      <w:r w:rsidR="000B73F8" w:rsidRPr="0061566D">
        <w:rPr>
          <w:rFonts w:eastAsiaTheme="minorEastAsia"/>
          <w:sz w:val="20"/>
          <w:szCs w:val="20"/>
        </w:rPr>
        <w:t>.</w:t>
      </w:r>
    </w:p>
    <w:p w14:paraId="36D33F95" w14:textId="2800DBA3" w:rsidR="00B352CA" w:rsidRPr="0061566D" w:rsidRDefault="00B352CA" w:rsidP="00341C4C">
      <w:pPr>
        <w:spacing w:after="0" w:line="240" w:lineRule="auto"/>
        <w:jc w:val="both"/>
        <w:rPr>
          <w:rFonts w:eastAsiaTheme="minorEastAsia"/>
          <w:sz w:val="20"/>
          <w:szCs w:val="20"/>
        </w:rPr>
      </w:pPr>
      <w:r w:rsidRPr="0061566D">
        <w:rPr>
          <w:rFonts w:eastAsiaTheme="minorEastAsia"/>
          <w:sz w:val="20"/>
          <w:szCs w:val="20"/>
        </w:rPr>
        <w:t xml:space="preserve">Pérez, Orlando, 2017, </w:t>
      </w:r>
      <w:proofErr w:type="spellStart"/>
      <w:r w:rsidRPr="0061566D">
        <w:rPr>
          <w:rFonts w:eastAsiaTheme="minorEastAsia"/>
          <w:sz w:val="20"/>
          <w:szCs w:val="20"/>
        </w:rPr>
        <w:t>Panama</w:t>
      </w:r>
      <w:proofErr w:type="spellEnd"/>
      <w:r w:rsidRPr="0061566D">
        <w:rPr>
          <w:rFonts w:eastAsiaTheme="minorEastAsia"/>
          <w:sz w:val="20"/>
          <w:szCs w:val="20"/>
        </w:rPr>
        <w:t xml:space="preserve">: </w:t>
      </w:r>
      <w:proofErr w:type="spellStart"/>
      <w:r w:rsidRPr="0061566D">
        <w:rPr>
          <w:rFonts w:eastAsiaTheme="minorEastAsia"/>
          <w:sz w:val="20"/>
          <w:szCs w:val="20"/>
        </w:rPr>
        <w:t>Democracy</w:t>
      </w:r>
      <w:proofErr w:type="spellEnd"/>
      <w:r w:rsidRPr="0061566D">
        <w:rPr>
          <w:rFonts w:eastAsiaTheme="minorEastAsia"/>
          <w:sz w:val="20"/>
          <w:szCs w:val="20"/>
        </w:rPr>
        <w:t xml:space="preserve"> </w:t>
      </w:r>
      <w:proofErr w:type="spellStart"/>
      <w:r w:rsidRPr="0061566D">
        <w:rPr>
          <w:rFonts w:eastAsiaTheme="minorEastAsia"/>
          <w:sz w:val="20"/>
          <w:szCs w:val="20"/>
        </w:rPr>
        <w:t>Under</w:t>
      </w:r>
      <w:proofErr w:type="spellEnd"/>
      <w:r w:rsidRPr="0061566D">
        <w:rPr>
          <w:rFonts w:eastAsiaTheme="minorEastAsia"/>
          <w:sz w:val="20"/>
          <w:szCs w:val="20"/>
        </w:rPr>
        <w:t xml:space="preserve"> </w:t>
      </w:r>
      <w:proofErr w:type="spellStart"/>
      <w:r w:rsidRPr="0061566D">
        <w:rPr>
          <w:rFonts w:eastAsiaTheme="minorEastAsia"/>
          <w:sz w:val="20"/>
          <w:szCs w:val="20"/>
        </w:rPr>
        <w:t>the</w:t>
      </w:r>
      <w:proofErr w:type="spellEnd"/>
      <w:r w:rsidRPr="0061566D">
        <w:rPr>
          <w:rFonts w:eastAsiaTheme="minorEastAsia"/>
          <w:sz w:val="20"/>
          <w:szCs w:val="20"/>
        </w:rPr>
        <w:t xml:space="preserve"> Shadow </w:t>
      </w:r>
      <w:proofErr w:type="spellStart"/>
      <w:r w:rsidRPr="0061566D">
        <w:rPr>
          <w:rFonts w:eastAsiaTheme="minorEastAsia"/>
          <w:sz w:val="20"/>
          <w:szCs w:val="20"/>
        </w:rPr>
        <w:t>of</w:t>
      </w:r>
      <w:proofErr w:type="spellEnd"/>
      <w:r w:rsidRPr="0061566D">
        <w:rPr>
          <w:rFonts w:eastAsiaTheme="minorEastAsia"/>
          <w:sz w:val="20"/>
          <w:szCs w:val="20"/>
        </w:rPr>
        <w:t xml:space="preserve"> </w:t>
      </w:r>
      <w:proofErr w:type="spellStart"/>
      <w:r w:rsidRPr="0061566D">
        <w:rPr>
          <w:rFonts w:eastAsiaTheme="minorEastAsia"/>
          <w:sz w:val="20"/>
          <w:szCs w:val="20"/>
        </w:rPr>
        <w:t>Corruption</w:t>
      </w:r>
      <w:proofErr w:type="spellEnd"/>
      <w:r w:rsidRPr="0061566D">
        <w:rPr>
          <w:rFonts w:eastAsiaTheme="minorEastAsia"/>
          <w:sz w:val="20"/>
          <w:szCs w:val="20"/>
        </w:rPr>
        <w:t>, Revista de Ciencias Políticas, 37, Santiago.  no.2 Santiago  2017</w:t>
      </w:r>
    </w:p>
    <w:p w14:paraId="2CE31A5C" w14:textId="4CFB20AD"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Pineda, Claudia, </w:t>
      </w:r>
      <w:r w:rsidR="000B73F8" w:rsidRPr="0061566D">
        <w:rPr>
          <w:rFonts w:eastAsiaTheme="minorEastAsia"/>
          <w:sz w:val="20"/>
          <w:szCs w:val="20"/>
        </w:rPr>
        <w:t xml:space="preserve">2011, </w:t>
      </w:r>
      <w:r w:rsidRPr="0061566D">
        <w:rPr>
          <w:rFonts w:eastAsiaTheme="minorEastAsia"/>
          <w:sz w:val="20"/>
          <w:szCs w:val="20"/>
        </w:rPr>
        <w:t>La incidencia del PNUD en el desarrollo de políticas sociales en Panamá, 2007-2011, Panamá.</w:t>
      </w:r>
    </w:p>
    <w:p w14:paraId="125AF8C9" w14:textId="0CDBEA93" w:rsidR="001501DC" w:rsidRDefault="001501DC" w:rsidP="00341C4C">
      <w:pPr>
        <w:spacing w:after="0" w:line="240" w:lineRule="auto"/>
        <w:jc w:val="both"/>
        <w:rPr>
          <w:rFonts w:eastAsiaTheme="minorEastAsia"/>
          <w:sz w:val="20"/>
          <w:szCs w:val="20"/>
        </w:rPr>
      </w:pPr>
      <w:r>
        <w:rPr>
          <w:rFonts w:eastAsiaTheme="minorEastAsia"/>
          <w:sz w:val="20"/>
          <w:szCs w:val="20"/>
        </w:rPr>
        <w:t xml:space="preserve">PEG, 2019, Plan Estratégico de Gobierno, 2019-2024. </w:t>
      </w:r>
    </w:p>
    <w:p w14:paraId="1F770CCC" w14:textId="4706FC6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PNUD, 2003. Situación de la pobreza en Panamá. Panamá.</w:t>
      </w:r>
    </w:p>
    <w:p w14:paraId="3532ABA0"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PNUD, 2015, Atlas de Desarrollo Humano Local: Panamá 2015, Panamá.   </w:t>
      </w:r>
    </w:p>
    <w:p w14:paraId="73EEF7D5"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PNUD, 2015, Atlas de Desarrollo Humano Local: Panamá 2015.</w:t>
      </w:r>
    </w:p>
    <w:p w14:paraId="31A696FF"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PNUD, 2017, Erradicar la pobreza y promover la prosperidad en un mundo cambiante. Informe voluntario: Panamá, Nueva York: Naciones Unidas. </w:t>
      </w:r>
    </w:p>
    <w:p w14:paraId="5EFB8EC6" w14:textId="28B9CE0C"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PNUD, 2017, Plan Estratégico Nacional con Visión de Estado, Panamá. </w:t>
      </w:r>
    </w:p>
    <w:p w14:paraId="73A12F79"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PNUD, 2018, Contribuciones Técnicas: Informe Nacional de Desarrollo Humano Panamá 2018,  Gobiernos Indígenas e Institucionalidad, Panamá.</w:t>
      </w:r>
    </w:p>
    <w:p w14:paraId="09A7243B" w14:textId="77777777" w:rsidR="00341C4C" w:rsidRPr="00ED2593"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PNUD, 2019, Estrategia de consolidación fiscal en Panamá. Con el fin de recuperar la credibilidad fiscal del país, es </w:t>
      </w:r>
      <w:r w:rsidRPr="00ED2593">
        <w:rPr>
          <w:rFonts w:eastAsiaTheme="minorEastAsia"/>
          <w:sz w:val="20"/>
          <w:szCs w:val="20"/>
        </w:rPr>
        <w:t xml:space="preserve">conveniente trazar una ruta de consolidación de las cuentas públicas creíble y sostenible, Panamá. </w:t>
      </w:r>
    </w:p>
    <w:p w14:paraId="6C2594DE" w14:textId="77777777" w:rsidR="00341C4C" w:rsidRPr="00ED2593" w:rsidRDefault="00341C4C" w:rsidP="00341C4C">
      <w:pPr>
        <w:spacing w:after="0" w:line="240" w:lineRule="auto"/>
        <w:jc w:val="both"/>
        <w:rPr>
          <w:rFonts w:eastAsiaTheme="minorEastAsia"/>
          <w:sz w:val="20"/>
          <w:szCs w:val="20"/>
        </w:rPr>
      </w:pPr>
      <w:r w:rsidRPr="00ED2593">
        <w:rPr>
          <w:rFonts w:eastAsiaTheme="minorEastAsia"/>
          <w:sz w:val="20"/>
          <w:szCs w:val="20"/>
        </w:rPr>
        <w:t xml:space="preserve">PNUD, 2019, INDH 2019:  Renovando las instituciones para el desarrollo humano sostenible, Panamá. </w:t>
      </w:r>
    </w:p>
    <w:p w14:paraId="78CCF3A5" w14:textId="77777777" w:rsidR="00341C4C" w:rsidRPr="00ED2593" w:rsidRDefault="00341C4C" w:rsidP="00341C4C">
      <w:pPr>
        <w:spacing w:after="0" w:line="240" w:lineRule="auto"/>
        <w:jc w:val="both"/>
        <w:rPr>
          <w:rFonts w:eastAsiaTheme="minorEastAsia"/>
          <w:sz w:val="20"/>
          <w:szCs w:val="20"/>
        </w:rPr>
      </w:pPr>
      <w:r w:rsidRPr="00ED2593">
        <w:rPr>
          <w:rFonts w:eastAsiaTheme="minorEastAsia"/>
          <w:sz w:val="20"/>
          <w:szCs w:val="20"/>
        </w:rPr>
        <w:t xml:space="preserve">PNUD, 2019, Informe de Desarrollo Humano 2019, Más allá del ingreso, más allá de los promedios, más allá del presente: Desigualdades del desarrollo humano en el siglo XXI, Panamá. </w:t>
      </w:r>
    </w:p>
    <w:p w14:paraId="69ABE977" w14:textId="77777777" w:rsidR="00341C4C" w:rsidRPr="00ED2593" w:rsidRDefault="00341C4C" w:rsidP="00341C4C">
      <w:pPr>
        <w:spacing w:after="0" w:line="240" w:lineRule="auto"/>
        <w:jc w:val="both"/>
        <w:rPr>
          <w:rFonts w:eastAsiaTheme="minorEastAsia"/>
          <w:sz w:val="20"/>
          <w:szCs w:val="20"/>
        </w:rPr>
      </w:pPr>
      <w:r w:rsidRPr="00ED2593">
        <w:rPr>
          <w:rFonts w:eastAsiaTheme="minorEastAsia"/>
          <w:sz w:val="20"/>
          <w:szCs w:val="20"/>
        </w:rPr>
        <w:t xml:space="preserve">PNUD, 2019, Protegiendo la calificación de riesgo soberano de Panamá. Es necesario resaltar las fortalezas crediticias del país y minimizar sus potenciales vulnerabilidades, Panamá. </w:t>
      </w:r>
    </w:p>
    <w:p w14:paraId="0328630F" w14:textId="77777777" w:rsidR="00341C4C" w:rsidRPr="00ED2593" w:rsidRDefault="00341C4C" w:rsidP="00341C4C">
      <w:pPr>
        <w:spacing w:after="0" w:line="240" w:lineRule="auto"/>
        <w:jc w:val="both"/>
        <w:rPr>
          <w:rFonts w:eastAsiaTheme="minorEastAsia"/>
          <w:sz w:val="20"/>
          <w:szCs w:val="20"/>
        </w:rPr>
      </w:pPr>
      <w:r w:rsidRPr="00ED2593">
        <w:rPr>
          <w:rFonts w:eastAsiaTheme="minorEastAsia"/>
          <w:sz w:val="20"/>
          <w:szCs w:val="20"/>
        </w:rPr>
        <w:t>PNUD, Informe sobre Desarrollo Humano 2016.</w:t>
      </w:r>
    </w:p>
    <w:p w14:paraId="3F6CEE59" w14:textId="77777777" w:rsidR="00341C4C" w:rsidRPr="00ED2593" w:rsidRDefault="00341C4C" w:rsidP="00341C4C">
      <w:pPr>
        <w:spacing w:after="0" w:line="240" w:lineRule="auto"/>
        <w:jc w:val="both"/>
        <w:rPr>
          <w:rFonts w:eastAsiaTheme="minorEastAsia"/>
          <w:sz w:val="20"/>
          <w:szCs w:val="20"/>
        </w:rPr>
      </w:pPr>
      <w:proofErr w:type="spellStart"/>
      <w:r w:rsidRPr="00ED2593">
        <w:rPr>
          <w:rFonts w:eastAsiaTheme="minorEastAsia"/>
          <w:sz w:val="20"/>
          <w:szCs w:val="20"/>
        </w:rPr>
        <w:t>RedTraSex</w:t>
      </w:r>
      <w:proofErr w:type="spellEnd"/>
      <w:r w:rsidRPr="00ED2593">
        <w:rPr>
          <w:rFonts w:eastAsiaTheme="minorEastAsia"/>
          <w:sz w:val="20"/>
          <w:szCs w:val="20"/>
        </w:rPr>
        <w:t xml:space="preserve">, 2013, Violencia institucional hacia trabajadoras sexuales, Panamá. </w:t>
      </w:r>
    </w:p>
    <w:p w14:paraId="1282A809" w14:textId="77777777" w:rsidR="0017031B" w:rsidRDefault="00341C4C" w:rsidP="00341C4C">
      <w:pPr>
        <w:spacing w:after="0" w:line="240" w:lineRule="auto"/>
        <w:jc w:val="both"/>
        <w:rPr>
          <w:rFonts w:eastAsiaTheme="minorEastAsia"/>
          <w:sz w:val="20"/>
          <w:szCs w:val="20"/>
        </w:rPr>
      </w:pPr>
      <w:proofErr w:type="spellStart"/>
      <w:r w:rsidRPr="00ED2593">
        <w:rPr>
          <w:rFonts w:eastAsiaTheme="minorEastAsia"/>
          <w:sz w:val="20"/>
          <w:szCs w:val="20"/>
        </w:rPr>
        <w:t>RedTraSex</w:t>
      </w:r>
      <w:proofErr w:type="spellEnd"/>
      <w:r w:rsidRPr="00ED2593">
        <w:rPr>
          <w:rFonts w:eastAsiaTheme="minorEastAsia"/>
          <w:sz w:val="20"/>
          <w:szCs w:val="20"/>
        </w:rPr>
        <w:t xml:space="preserve">, 2016, Trabajo Sexual y violencia institucional: </w:t>
      </w:r>
      <w:r w:rsidR="000C3E33" w:rsidRPr="00ED2593">
        <w:rPr>
          <w:rFonts w:eastAsiaTheme="minorEastAsia"/>
          <w:sz w:val="20"/>
          <w:szCs w:val="20"/>
        </w:rPr>
        <w:t xml:space="preserve">Vulneración de derechos y abuso de poder hacia mujeres trabajadoras sexuales, </w:t>
      </w:r>
      <w:r w:rsidRPr="00ED2593">
        <w:rPr>
          <w:rFonts w:eastAsiaTheme="minorEastAsia"/>
          <w:sz w:val="20"/>
          <w:szCs w:val="20"/>
        </w:rPr>
        <w:t>Investigación en 14 países de América Latina y el Caribe, Buenos Aires.</w:t>
      </w:r>
    </w:p>
    <w:p w14:paraId="51009324" w14:textId="71F748A1" w:rsidR="00341C4C" w:rsidRPr="00ED2593" w:rsidRDefault="0017031B" w:rsidP="00341C4C">
      <w:pPr>
        <w:spacing w:after="0" w:line="240" w:lineRule="auto"/>
        <w:jc w:val="both"/>
        <w:rPr>
          <w:rFonts w:eastAsiaTheme="minorEastAsia"/>
          <w:sz w:val="20"/>
          <w:szCs w:val="20"/>
        </w:rPr>
      </w:pPr>
      <w:r>
        <w:rPr>
          <w:rFonts w:eastAsiaTheme="minorEastAsia"/>
          <w:sz w:val="20"/>
          <w:szCs w:val="20"/>
        </w:rPr>
        <w:t xml:space="preserve">Rodríguez Mojica, Alexis, 2018, </w:t>
      </w:r>
      <w:r w:rsidRPr="0017031B">
        <w:rPr>
          <w:rFonts w:eastAsiaTheme="minorEastAsia"/>
          <w:sz w:val="20"/>
          <w:szCs w:val="20"/>
        </w:rPr>
        <w:t>Estudio sobre matriz de desigualdad y Objetivos de Desarrollo Sostenible en Panamá</w:t>
      </w:r>
      <w:r>
        <w:rPr>
          <w:rFonts w:eastAsiaTheme="minorEastAsia"/>
          <w:sz w:val="20"/>
          <w:szCs w:val="20"/>
        </w:rPr>
        <w:t>, Panamá.</w:t>
      </w:r>
      <w:r w:rsidR="00341C4C" w:rsidRPr="00ED2593">
        <w:rPr>
          <w:rFonts w:eastAsiaTheme="minorEastAsia"/>
          <w:sz w:val="20"/>
          <w:szCs w:val="20"/>
        </w:rPr>
        <w:t xml:space="preserve"> </w:t>
      </w:r>
    </w:p>
    <w:p w14:paraId="003498E0" w14:textId="5D2D77A6" w:rsidR="00ED2593" w:rsidRPr="00ED2593" w:rsidRDefault="00ED2593" w:rsidP="00341C4C">
      <w:pPr>
        <w:spacing w:after="0" w:line="240" w:lineRule="auto"/>
        <w:jc w:val="both"/>
        <w:rPr>
          <w:rFonts w:eastAsiaTheme="minorEastAsia"/>
          <w:sz w:val="20"/>
          <w:szCs w:val="20"/>
        </w:rPr>
      </w:pPr>
      <w:r w:rsidRPr="00ED2593">
        <w:rPr>
          <w:rFonts w:cstheme="minorHAnsi"/>
          <w:color w:val="000000" w:themeColor="text1"/>
          <w:sz w:val="20"/>
          <w:szCs w:val="20"/>
        </w:rPr>
        <w:t>SAVE THE CHILDREN, 2018, Convención Internacional sobre la Protección de los Derechos de Todos los Trabajadores Migratorios y de sus Familiares y la Convención sobre los Derechos del Niño (CMW/C/GC/3−CRC/C/GC/22).</w:t>
      </w:r>
    </w:p>
    <w:p w14:paraId="5A6EE97D" w14:textId="628C1CCA" w:rsidR="00341C4C" w:rsidRDefault="00341C4C" w:rsidP="00341C4C">
      <w:pPr>
        <w:spacing w:after="0" w:line="240" w:lineRule="auto"/>
        <w:jc w:val="both"/>
        <w:rPr>
          <w:rFonts w:eastAsiaTheme="minorEastAsia"/>
          <w:sz w:val="20"/>
          <w:szCs w:val="20"/>
        </w:rPr>
      </w:pPr>
      <w:r w:rsidRPr="00ED2593">
        <w:rPr>
          <w:rFonts w:eastAsiaTheme="minorEastAsia"/>
          <w:sz w:val="20"/>
          <w:szCs w:val="20"/>
        </w:rPr>
        <w:t xml:space="preserve">SENADIS, 2006, Estudio sobre la Prevalencia y caracterización de la Discapacidad en la República de Panamá, Panamá: GEMAS. </w:t>
      </w:r>
    </w:p>
    <w:p w14:paraId="343959D5" w14:textId="41516E00" w:rsidR="004D2BF7" w:rsidRPr="00ED2593" w:rsidRDefault="004D2BF7" w:rsidP="00341C4C">
      <w:pPr>
        <w:spacing w:after="0" w:line="240" w:lineRule="auto"/>
        <w:jc w:val="both"/>
        <w:rPr>
          <w:rFonts w:eastAsiaTheme="minorEastAsia"/>
          <w:sz w:val="20"/>
          <w:szCs w:val="20"/>
        </w:rPr>
      </w:pPr>
      <w:r>
        <w:rPr>
          <w:rFonts w:eastAsiaTheme="minorEastAsia"/>
          <w:sz w:val="20"/>
          <w:szCs w:val="20"/>
        </w:rPr>
        <w:t xml:space="preserve">SND, 2018, Avances en el proceso de Descentralización, Panamá. </w:t>
      </w:r>
    </w:p>
    <w:p w14:paraId="6C004363" w14:textId="77777777" w:rsidR="00341C4C" w:rsidRPr="00ED2593" w:rsidRDefault="00341C4C" w:rsidP="00341C4C">
      <w:pPr>
        <w:spacing w:after="0" w:line="240" w:lineRule="auto"/>
        <w:jc w:val="both"/>
        <w:rPr>
          <w:rFonts w:eastAsiaTheme="minorEastAsia"/>
          <w:sz w:val="20"/>
          <w:szCs w:val="20"/>
        </w:rPr>
      </w:pPr>
      <w:r w:rsidRPr="00ED2593">
        <w:rPr>
          <w:rFonts w:eastAsiaTheme="minorEastAsia"/>
          <w:sz w:val="20"/>
          <w:szCs w:val="20"/>
        </w:rPr>
        <w:lastRenderedPageBreak/>
        <w:t>SENAPAN, 2009, Plan Nacional de Seguridad Alimentaria y Nutricional: Panamá, 2009-2015. Panamá: Secretaría Nacional para el Plan de Seguridad Alimentario y Nutricional.</w:t>
      </w:r>
    </w:p>
    <w:p w14:paraId="61262B24"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SICA, OIM, ACNUR, 2019, Informe Regional: Hallazgos del estudio de línea base sobre migración y desplazamiento en la región del SICA, Costa Rica.</w:t>
      </w:r>
    </w:p>
    <w:p w14:paraId="1051FFCA" w14:textId="1555B04D"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SNU, 2017, Seguimiento a la implementación de la Convención sobre los Derechos del Niño en Panamá, Panamá. </w:t>
      </w:r>
    </w:p>
    <w:p w14:paraId="01BB7CA1" w14:textId="48E44E67" w:rsidR="004443C5" w:rsidRPr="0061566D" w:rsidRDefault="004443C5" w:rsidP="004443C5">
      <w:pPr>
        <w:spacing w:after="0" w:line="240" w:lineRule="auto"/>
        <w:jc w:val="both"/>
        <w:rPr>
          <w:rFonts w:eastAsiaTheme="minorEastAsia"/>
          <w:sz w:val="20"/>
          <w:szCs w:val="20"/>
        </w:rPr>
      </w:pPr>
      <w:r w:rsidRPr="0061566D">
        <w:rPr>
          <w:rFonts w:eastAsiaTheme="minorEastAsia"/>
          <w:sz w:val="20"/>
          <w:szCs w:val="20"/>
        </w:rPr>
        <w:t>SNU, 2019, INFORME PARA EL EXAMEN PERIÓDICO UNIVERSAL, Panamá.</w:t>
      </w:r>
    </w:p>
    <w:p w14:paraId="34CE9797" w14:textId="77777777" w:rsidR="00341C4C" w:rsidRPr="0061566D" w:rsidRDefault="00341C4C" w:rsidP="00341C4C">
      <w:pPr>
        <w:spacing w:after="0" w:line="240" w:lineRule="auto"/>
        <w:jc w:val="both"/>
        <w:rPr>
          <w:rFonts w:eastAsiaTheme="minorEastAsia"/>
          <w:sz w:val="20"/>
          <w:szCs w:val="20"/>
        </w:rPr>
      </w:pPr>
      <w:proofErr w:type="spellStart"/>
      <w:r w:rsidRPr="0061566D">
        <w:rPr>
          <w:rFonts w:eastAsiaTheme="minorEastAsia"/>
          <w:sz w:val="20"/>
          <w:szCs w:val="20"/>
        </w:rPr>
        <w:t>Sokol</w:t>
      </w:r>
      <w:proofErr w:type="spellEnd"/>
      <w:r w:rsidRPr="0061566D">
        <w:rPr>
          <w:rFonts w:eastAsiaTheme="minorEastAsia"/>
          <w:sz w:val="20"/>
          <w:szCs w:val="20"/>
        </w:rPr>
        <w:t>, José B., 2016,  Crecimiento con equidad e inclusión: Políticas públicas en la economía panameña para lograrlo, Panamá: USMA.</w:t>
      </w:r>
    </w:p>
    <w:p w14:paraId="749A3FF6" w14:textId="77777777" w:rsidR="00341C4C" w:rsidRPr="0061566D" w:rsidRDefault="00341C4C" w:rsidP="00341C4C">
      <w:pPr>
        <w:spacing w:after="0" w:line="240" w:lineRule="auto"/>
        <w:jc w:val="both"/>
        <w:rPr>
          <w:rFonts w:eastAsiaTheme="minorEastAsia"/>
          <w:sz w:val="20"/>
          <w:szCs w:val="20"/>
        </w:rPr>
      </w:pPr>
      <w:proofErr w:type="spellStart"/>
      <w:r w:rsidRPr="0061566D">
        <w:rPr>
          <w:rFonts w:eastAsiaTheme="minorEastAsia"/>
          <w:sz w:val="20"/>
          <w:szCs w:val="20"/>
        </w:rPr>
        <w:t>Sokol</w:t>
      </w:r>
      <w:proofErr w:type="spellEnd"/>
      <w:r w:rsidRPr="0061566D">
        <w:rPr>
          <w:rFonts w:eastAsiaTheme="minorEastAsia"/>
          <w:sz w:val="20"/>
          <w:szCs w:val="20"/>
        </w:rPr>
        <w:t>, José B., 2019, Análisis de las fuentes de crecimiento de Panamá: La desaceleración, perspectivas y políticas de recuperación, Panamá: Centro Nacional de Competitividad.</w:t>
      </w:r>
    </w:p>
    <w:p w14:paraId="5C94C4D7"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UAF, 2019, Aviso sobre corrupción pública, Indicadores de riesgos,  señales de alertas y tipologías, Panamá.</w:t>
      </w:r>
    </w:p>
    <w:p w14:paraId="52504B57"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UAF, 2019, Señales de alerta de blanqueo de capitales producto de la evasión fiscal, Panamá. </w:t>
      </w:r>
    </w:p>
    <w:p w14:paraId="6D671D46" w14:textId="77777777" w:rsidR="00341C4C" w:rsidRPr="0061566D" w:rsidRDefault="00341C4C" w:rsidP="00341C4C">
      <w:pPr>
        <w:spacing w:after="0" w:line="240" w:lineRule="auto"/>
        <w:jc w:val="both"/>
        <w:rPr>
          <w:rFonts w:eastAsiaTheme="minorEastAsia"/>
          <w:sz w:val="20"/>
          <w:szCs w:val="20"/>
          <w:lang w:val="en-US"/>
        </w:rPr>
      </w:pPr>
      <w:r w:rsidRPr="0061566D">
        <w:rPr>
          <w:rFonts w:eastAsiaTheme="minorEastAsia"/>
          <w:sz w:val="20"/>
          <w:szCs w:val="20"/>
          <w:lang w:val="en-US"/>
        </w:rPr>
        <w:t xml:space="preserve">UN Environment,  2019, GEO-6: Global environment outlook, Healthy planet, Healthy people, Washington, DC: Banco Mundial, Creative Commons Attribution CC BY 3.0 IGO. </w:t>
      </w:r>
    </w:p>
    <w:p w14:paraId="27DAEA03"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UNFPA, 2019, Análisis de situación de país, Panamá, Noviembre.</w:t>
      </w:r>
    </w:p>
    <w:p w14:paraId="14503801"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UNFPA, 2019, Embarazo Adolescente y Pobreza, Panamá. </w:t>
      </w:r>
    </w:p>
    <w:p w14:paraId="648139B4"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UNICEF, 2017, Desarrollo de un marco estratégico para implementar los objetivos de desarrollo sostenible en panamá, Panamá. </w:t>
      </w:r>
    </w:p>
    <w:p w14:paraId="4C8FA933"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 xml:space="preserve">UNICEF, 2019, Avances y retos en la adecuación normativa en América Latina. Avances y deudas con la niñez, Resumen Ejecutivo. </w:t>
      </w:r>
    </w:p>
    <w:p w14:paraId="3E5AD834"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UNICEF, 2019, Niñez y adolescencia en el contexto de Migración Internacional, Panamá.</w:t>
      </w:r>
    </w:p>
    <w:p w14:paraId="3E251217"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UNICEF, 2019, Perfil del matrimonio infantil y las uniones tempranas en América Latina y el Caribe, Nueva York.</w:t>
      </w:r>
    </w:p>
    <w:p w14:paraId="2F33D5F9"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UNICEF, 2019, Situación de los derechos de la niñez y la adolescencia en Panamá. A 30 años de la Convención sobre los Derechos del Niño, Panamá: UNICEF/DSC6525/Urdaneta.</w:t>
      </w:r>
    </w:p>
    <w:p w14:paraId="72A46E39"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UNISDR, 2015, Evaluación del estado de la reducción del riesgo de desastres en la República de Panamá, Panamá: SINAPROC.</w:t>
      </w:r>
    </w:p>
    <w:p w14:paraId="1AD88A1F"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UNODC, 2004, Convención de las Naciones Unidas contra la delincuencia organizada Transnacional y sus protocolos, Nueva York.</w:t>
      </w:r>
    </w:p>
    <w:p w14:paraId="00378528" w14:textId="77777777" w:rsidR="00341C4C"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UNODC, 2012, Delincuencia Organizada Transnacional en Centroamérica y el Caribe: Una Evaluación de las Amenazas, Viena: www.unodc.org.</w:t>
      </w:r>
    </w:p>
    <w:p w14:paraId="44CFC866" w14:textId="6CFC045A" w:rsidR="000C171B" w:rsidRPr="0061566D" w:rsidRDefault="00341C4C" w:rsidP="00341C4C">
      <w:pPr>
        <w:spacing w:after="0" w:line="240" w:lineRule="auto"/>
        <w:jc w:val="both"/>
        <w:rPr>
          <w:rFonts w:eastAsiaTheme="minorEastAsia"/>
          <w:sz w:val="20"/>
          <w:szCs w:val="20"/>
        </w:rPr>
      </w:pPr>
      <w:r w:rsidRPr="0061566D">
        <w:rPr>
          <w:rFonts w:eastAsiaTheme="minorEastAsia"/>
          <w:sz w:val="20"/>
          <w:szCs w:val="20"/>
        </w:rPr>
        <w:t>UNODC, 2017, Informe Mundial sobre las Drogas, Viena: www.unodc.org/wdr2017.</w:t>
      </w:r>
    </w:p>
    <w:p w14:paraId="7247CDAA" w14:textId="77777777" w:rsidR="000C171B" w:rsidRPr="00341C4C" w:rsidRDefault="000C171B" w:rsidP="000C171B">
      <w:pPr>
        <w:spacing w:after="0" w:line="240" w:lineRule="auto"/>
        <w:jc w:val="both"/>
        <w:rPr>
          <w:rFonts w:eastAsiaTheme="minorEastAsia"/>
          <w:sz w:val="24"/>
          <w:szCs w:val="24"/>
        </w:rPr>
      </w:pPr>
    </w:p>
    <w:p w14:paraId="47A9E014" w14:textId="77777777" w:rsidR="000C171B" w:rsidRPr="00341C4C" w:rsidRDefault="000C171B" w:rsidP="000C171B">
      <w:pPr>
        <w:spacing w:after="0" w:line="240" w:lineRule="auto"/>
        <w:jc w:val="both"/>
        <w:rPr>
          <w:rFonts w:eastAsiaTheme="minorEastAsia"/>
          <w:sz w:val="24"/>
          <w:szCs w:val="24"/>
        </w:rPr>
      </w:pPr>
    </w:p>
    <w:bookmarkEnd w:id="6"/>
    <w:p w14:paraId="5B0639B4" w14:textId="77777777" w:rsidR="000C171B" w:rsidRPr="00341C4C" w:rsidRDefault="000C171B" w:rsidP="000C171B">
      <w:pPr>
        <w:spacing w:after="0" w:line="240" w:lineRule="auto"/>
        <w:jc w:val="both"/>
        <w:rPr>
          <w:rFonts w:eastAsiaTheme="minorEastAsia"/>
          <w:sz w:val="24"/>
          <w:szCs w:val="24"/>
        </w:rPr>
      </w:pPr>
    </w:p>
    <w:p w14:paraId="18E09173" w14:textId="77777777" w:rsidR="000C171B" w:rsidRPr="00341C4C" w:rsidRDefault="000C171B" w:rsidP="000C171B">
      <w:pPr>
        <w:spacing w:after="0" w:line="240" w:lineRule="auto"/>
        <w:jc w:val="both"/>
        <w:rPr>
          <w:rFonts w:eastAsiaTheme="minorEastAsia"/>
          <w:sz w:val="24"/>
          <w:szCs w:val="24"/>
        </w:rPr>
      </w:pPr>
    </w:p>
    <w:p w14:paraId="7A38A132" w14:textId="77777777" w:rsidR="000C171B" w:rsidRPr="00341C4C" w:rsidRDefault="000C171B" w:rsidP="000C171B">
      <w:pPr>
        <w:spacing w:after="0" w:line="240" w:lineRule="auto"/>
        <w:jc w:val="both"/>
        <w:rPr>
          <w:rFonts w:eastAsiaTheme="minorEastAsia"/>
          <w:sz w:val="24"/>
          <w:szCs w:val="24"/>
        </w:rPr>
      </w:pPr>
    </w:p>
    <w:p w14:paraId="698CF2BF" w14:textId="77777777" w:rsidR="000C171B" w:rsidRPr="00341C4C" w:rsidRDefault="000C171B" w:rsidP="000C171B">
      <w:pPr>
        <w:spacing w:after="0" w:line="240" w:lineRule="auto"/>
        <w:jc w:val="both"/>
        <w:rPr>
          <w:rFonts w:eastAsiaTheme="minorEastAsia"/>
          <w:sz w:val="24"/>
          <w:szCs w:val="24"/>
        </w:rPr>
      </w:pPr>
    </w:p>
    <w:p w14:paraId="5F4985B1" w14:textId="77777777" w:rsidR="000C171B" w:rsidRPr="00341C4C" w:rsidRDefault="000C171B" w:rsidP="000C171B">
      <w:pPr>
        <w:spacing w:after="0" w:line="240" w:lineRule="auto"/>
        <w:jc w:val="both"/>
        <w:rPr>
          <w:rFonts w:eastAsiaTheme="minorEastAsia"/>
          <w:sz w:val="24"/>
          <w:szCs w:val="24"/>
        </w:rPr>
      </w:pPr>
    </w:p>
    <w:p w14:paraId="229ABE41" w14:textId="77777777" w:rsidR="000C171B" w:rsidRPr="00341C4C" w:rsidRDefault="000C171B" w:rsidP="000C171B">
      <w:pPr>
        <w:spacing w:after="0" w:line="240" w:lineRule="auto"/>
        <w:jc w:val="both"/>
        <w:rPr>
          <w:rFonts w:eastAsiaTheme="minorEastAsia"/>
          <w:sz w:val="24"/>
          <w:szCs w:val="24"/>
        </w:rPr>
      </w:pPr>
    </w:p>
    <w:p w14:paraId="25818D1F" w14:textId="77777777" w:rsidR="000C171B" w:rsidRPr="00341C4C" w:rsidRDefault="000C171B" w:rsidP="000C171B">
      <w:pPr>
        <w:spacing w:after="0" w:line="240" w:lineRule="auto"/>
        <w:jc w:val="both"/>
        <w:rPr>
          <w:rFonts w:eastAsiaTheme="minorEastAsia"/>
          <w:sz w:val="24"/>
          <w:szCs w:val="24"/>
        </w:rPr>
      </w:pPr>
    </w:p>
    <w:p w14:paraId="760F9901" w14:textId="77777777" w:rsidR="000C171B" w:rsidRPr="00341C4C" w:rsidRDefault="000C171B" w:rsidP="000C171B">
      <w:pPr>
        <w:spacing w:after="0" w:line="240" w:lineRule="auto"/>
        <w:jc w:val="both"/>
        <w:rPr>
          <w:rFonts w:eastAsiaTheme="minorEastAsia"/>
          <w:sz w:val="24"/>
          <w:szCs w:val="24"/>
        </w:rPr>
      </w:pPr>
    </w:p>
    <w:p w14:paraId="4F6DA4C9" w14:textId="77777777" w:rsidR="000C171B" w:rsidRPr="00341C4C" w:rsidRDefault="000C171B" w:rsidP="000C171B">
      <w:pPr>
        <w:spacing w:after="0" w:line="240" w:lineRule="auto"/>
        <w:jc w:val="both"/>
        <w:rPr>
          <w:rFonts w:eastAsiaTheme="minorEastAsia"/>
          <w:sz w:val="24"/>
          <w:szCs w:val="24"/>
        </w:rPr>
      </w:pPr>
    </w:p>
    <w:p w14:paraId="3C57A2BD" w14:textId="77777777" w:rsidR="000C171B" w:rsidRPr="00341C4C" w:rsidRDefault="000C171B" w:rsidP="000C171B">
      <w:pPr>
        <w:spacing w:after="0" w:line="240" w:lineRule="auto"/>
        <w:jc w:val="both"/>
        <w:rPr>
          <w:rFonts w:eastAsiaTheme="minorEastAsia"/>
          <w:sz w:val="24"/>
          <w:szCs w:val="24"/>
        </w:rPr>
      </w:pPr>
    </w:p>
    <w:p w14:paraId="090AFFD6" w14:textId="77777777" w:rsidR="000C171B" w:rsidRPr="00341C4C" w:rsidRDefault="000C171B" w:rsidP="000C171B">
      <w:pPr>
        <w:spacing w:after="0" w:line="240" w:lineRule="auto"/>
        <w:jc w:val="both"/>
        <w:rPr>
          <w:rFonts w:eastAsiaTheme="minorEastAsia"/>
          <w:sz w:val="24"/>
          <w:szCs w:val="24"/>
        </w:rPr>
      </w:pPr>
    </w:p>
    <w:p w14:paraId="48F4FBAA" w14:textId="77777777" w:rsidR="00D602FB" w:rsidRDefault="00D602FB">
      <w:pPr>
        <w:rPr>
          <w:rFonts w:eastAsiaTheme="minorEastAsia"/>
          <w:b/>
          <w:bCs/>
          <w:color w:val="4472C4" w:themeColor="accent1"/>
          <w:sz w:val="24"/>
          <w:szCs w:val="24"/>
        </w:rPr>
      </w:pPr>
      <w:r>
        <w:rPr>
          <w:rFonts w:eastAsiaTheme="minorEastAsia"/>
          <w:b/>
          <w:bCs/>
          <w:color w:val="4472C4" w:themeColor="accent1"/>
          <w:sz w:val="24"/>
          <w:szCs w:val="24"/>
        </w:rPr>
        <w:br w:type="page"/>
      </w:r>
    </w:p>
    <w:p w14:paraId="060559B0" w14:textId="24532E99" w:rsidR="000C171B" w:rsidRPr="005D1561" w:rsidRDefault="000C171B" w:rsidP="000C171B">
      <w:pPr>
        <w:spacing w:after="0" w:line="240" w:lineRule="auto"/>
        <w:jc w:val="both"/>
        <w:rPr>
          <w:rFonts w:eastAsiaTheme="minorEastAsia"/>
          <w:b/>
          <w:bCs/>
          <w:color w:val="4472C4" w:themeColor="accent1"/>
          <w:sz w:val="24"/>
          <w:szCs w:val="24"/>
        </w:rPr>
      </w:pPr>
      <w:r>
        <w:rPr>
          <w:rFonts w:eastAsiaTheme="minorEastAsia"/>
          <w:b/>
          <w:bCs/>
          <w:color w:val="4472C4" w:themeColor="accent1"/>
          <w:sz w:val="24"/>
          <w:szCs w:val="24"/>
        </w:rPr>
        <w:lastRenderedPageBreak/>
        <w:t>A</w:t>
      </w:r>
      <w:r w:rsidRPr="005D1561">
        <w:rPr>
          <w:rFonts w:eastAsiaTheme="minorEastAsia"/>
          <w:b/>
          <w:bCs/>
          <w:color w:val="4472C4" w:themeColor="accent1"/>
          <w:sz w:val="24"/>
          <w:szCs w:val="24"/>
        </w:rPr>
        <w:t>NEXO</w:t>
      </w:r>
      <w:r w:rsidR="009110B7">
        <w:rPr>
          <w:rFonts w:eastAsiaTheme="minorEastAsia"/>
          <w:b/>
          <w:bCs/>
          <w:color w:val="4472C4" w:themeColor="accent1"/>
          <w:sz w:val="24"/>
          <w:szCs w:val="24"/>
        </w:rPr>
        <w:t xml:space="preserve"> </w:t>
      </w:r>
      <w:proofErr w:type="spellStart"/>
      <w:r w:rsidR="009110B7">
        <w:rPr>
          <w:rFonts w:eastAsiaTheme="minorEastAsia"/>
          <w:b/>
          <w:bCs/>
          <w:color w:val="4472C4" w:themeColor="accent1"/>
          <w:sz w:val="24"/>
          <w:szCs w:val="24"/>
        </w:rPr>
        <w:t>N°</w:t>
      </w:r>
      <w:proofErr w:type="spellEnd"/>
      <w:r w:rsidR="009110B7">
        <w:rPr>
          <w:rFonts w:eastAsiaTheme="minorEastAsia"/>
          <w:b/>
          <w:bCs/>
          <w:color w:val="4472C4" w:themeColor="accent1"/>
          <w:sz w:val="24"/>
          <w:szCs w:val="24"/>
        </w:rPr>
        <w:t xml:space="preserve"> 1</w:t>
      </w:r>
      <w:r w:rsidRPr="005D1561">
        <w:rPr>
          <w:rFonts w:eastAsiaTheme="minorEastAsia"/>
          <w:b/>
          <w:bCs/>
          <w:color w:val="4472C4" w:themeColor="accent1"/>
          <w:sz w:val="24"/>
          <w:szCs w:val="24"/>
        </w:rPr>
        <w:t>.</w:t>
      </w:r>
    </w:p>
    <w:p w14:paraId="164E571C" w14:textId="77777777" w:rsidR="000C171B" w:rsidRDefault="000C171B" w:rsidP="000C171B">
      <w:pPr>
        <w:spacing w:after="0" w:line="240" w:lineRule="auto"/>
        <w:jc w:val="both"/>
        <w:rPr>
          <w:rFonts w:eastAsiaTheme="minorEastAsia"/>
          <w:sz w:val="24"/>
          <w:szCs w:val="24"/>
        </w:rPr>
      </w:pPr>
    </w:p>
    <w:tbl>
      <w:tblPr>
        <w:tblW w:w="5000" w:type="pct"/>
        <w:tblCellMar>
          <w:left w:w="70" w:type="dxa"/>
          <w:right w:w="70" w:type="dxa"/>
        </w:tblCellMar>
        <w:tblLook w:val="04A0" w:firstRow="1" w:lastRow="0" w:firstColumn="1" w:lastColumn="0" w:noHBand="0" w:noVBand="1"/>
      </w:tblPr>
      <w:tblGrid>
        <w:gridCol w:w="720"/>
        <w:gridCol w:w="2885"/>
        <w:gridCol w:w="2886"/>
        <w:gridCol w:w="909"/>
        <w:gridCol w:w="909"/>
        <w:gridCol w:w="907"/>
      </w:tblGrid>
      <w:tr w:rsidR="000C171B" w:rsidRPr="0010306A" w14:paraId="14C9B6D6" w14:textId="77777777" w:rsidTr="002C49EF">
        <w:trPr>
          <w:trHeight w:val="46"/>
          <w:tblHeader/>
        </w:trPr>
        <w:tc>
          <w:tcPr>
            <w:tcW w:w="5000" w:type="pct"/>
            <w:gridSpan w:val="6"/>
            <w:shd w:val="clear" w:color="auto" w:fill="FFFFFF"/>
            <w:vAlign w:val="center"/>
          </w:tcPr>
          <w:p w14:paraId="56707A0E" w14:textId="201C9274" w:rsidR="000C171B" w:rsidRDefault="000C171B" w:rsidP="001D69E2">
            <w:pPr>
              <w:spacing w:after="0" w:line="240" w:lineRule="auto"/>
              <w:jc w:val="center"/>
              <w:rPr>
                <w:rFonts w:ascii="Arial Narrow" w:eastAsia="Times New Roman" w:hAnsi="Arial Narrow" w:cs="Calibri"/>
                <w:b/>
                <w:color w:val="4472C4" w:themeColor="accent1"/>
                <w:sz w:val="20"/>
                <w:szCs w:val="20"/>
                <w:lang w:eastAsia="es-PA"/>
              </w:rPr>
            </w:pPr>
            <w:r w:rsidRPr="00F12323">
              <w:rPr>
                <w:rFonts w:ascii="Arial Narrow" w:eastAsia="Times New Roman" w:hAnsi="Arial Narrow" w:cs="Calibri"/>
                <w:b/>
                <w:color w:val="4472C4" w:themeColor="accent1"/>
                <w:sz w:val="20"/>
                <w:szCs w:val="20"/>
                <w:lang w:eastAsia="es-PA"/>
              </w:rPr>
              <w:t>OBJETIVOS DE DESARROLLO SOSTENIBLE</w:t>
            </w:r>
            <w:r w:rsidR="001D69E2">
              <w:rPr>
                <w:rFonts w:ascii="Arial Narrow" w:eastAsia="Times New Roman" w:hAnsi="Arial Narrow" w:cs="Calibri"/>
                <w:b/>
                <w:color w:val="4472C4" w:themeColor="accent1"/>
                <w:sz w:val="20"/>
                <w:szCs w:val="20"/>
                <w:lang w:eastAsia="es-PA"/>
              </w:rPr>
              <w:t xml:space="preserve">, SEGÚN </w:t>
            </w:r>
            <w:r w:rsidR="001D69E2" w:rsidRPr="00F12323">
              <w:rPr>
                <w:rFonts w:ascii="Arial Narrow" w:eastAsia="Times New Roman" w:hAnsi="Arial Narrow" w:cs="Calibri"/>
                <w:b/>
                <w:color w:val="4472C4" w:themeColor="accent1"/>
                <w:sz w:val="20"/>
                <w:szCs w:val="20"/>
                <w:lang w:eastAsia="es-PA"/>
              </w:rPr>
              <w:t>INDICADORES DEL NIVEL 1</w:t>
            </w:r>
            <w:r w:rsidR="001D69E2">
              <w:rPr>
                <w:rFonts w:ascii="Arial Narrow" w:eastAsia="Times New Roman" w:hAnsi="Arial Narrow" w:cs="Calibri"/>
                <w:b/>
                <w:color w:val="4472C4" w:themeColor="accent1"/>
                <w:sz w:val="20"/>
                <w:szCs w:val="20"/>
                <w:lang w:eastAsia="es-PA"/>
              </w:rPr>
              <w:t xml:space="preserve">. </w:t>
            </w:r>
            <w:r w:rsidRPr="00F12323">
              <w:rPr>
                <w:rFonts w:ascii="Arial Narrow" w:eastAsia="Times New Roman" w:hAnsi="Arial Narrow" w:cs="Calibri"/>
                <w:b/>
                <w:color w:val="4472C4" w:themeColor="accent1"/>
                <w:sz w:val="20"/>
                <w:szCs w:val="20"/>
                <w:lang w:eastAsia="es-PA"/>
              </w:rPr>
              <w:t>AÑOS 2015-2017</w:t>
            </w:r>
          </w:p>
          <w:p w14:paraId="34073D5C" w14:textId="77777777" w:rsidR="000C171B" w:rsidRPr="005C3DF5" w:rsidRDefault="000C171B" w:rsidP="001D69E2">
            <w:pPr>
              <w:spacing w:after="0" w:line="240" w:lineRule="auto"/>
              <w:jc w:val="center"/>
              <w:rPr>
                <w:rFonts w:ascii="Arial Narrow" w:eastAsia="Times New Roman" w:hAnsi="Arial Narrow" w:cs="Calibri"/>
                <w:b/>
                <w:color w:val="000000"/>
                <w:sz w:val="16"/>
                <w:szCs w:val="20"/>
                <w:lang w:eastAsia="es-PA"/>
              </w:rPr>
            </w:pPr>
          </w:p>
        </w:tc>
      </w:tr>
      <w:tr w:rsidR="000C171B" w:rsidRPr="0010306A" w14:paraId="447A83CA" w14:textId="77777777" w:rsidTr="002C49EF">
        <w:trPr>
          <w:trHeight w:val="46"/>
          <w:tblHeader/>
        </w:trPr>
        <w:tc>
          <w:tcPr>
            <w:tcW w:w="391" w:type="pct"/>
            <w:vMerge w:val="restart"/>
            <w:tcBorders>
              <w:top w:val="single" w:sz="4" w:space="0" w:color="auto"/>
              <w:left w:val="single" w:sz="4" w:space="0" w:color="auto"/>
              <w:right w:val="single" w:sz="4" w:space="0" w:color="auto"/>
            </w:tcBorders>
            <w:shd w:val="clear" w:color="auto" w:fill="FFFFFF"/>
            <w:vAlign w:val="center"/>
          </w:tcPr>
          <w:p w14:paraId="1977DD00" w14:textId="77777777" w:rsidR="000C171B" w:rsidRPr="00F12323" w:rsidRDefault="000C171B" w:rsidP="002C49EF">
            <w:pPr>
              <w:spacing w:after="0" w:line="240" w:lineRule="auto"/>
              <w:jc w:val="center"/>
              <w:rPr>
                <w:rFonts w:ascii="Arial Narrow" w:eastAsia="Times New Roman" w:hAnsi="Arial Narrow" w:cs="Calibri"/>
                <w:b/>
                <w:color w:val="4472C4" w:themeColor="accent1"/>
                <w:sz w:val="16"/>
                <w:szCs w:val="20"/>
                <w:lang w:eastAsia="es-PA"/>
              </w:rPr>
            </w:pPr>
            <w:r w:rsidRPr="00F12323">
              <w:rPr>
                <w:rFonts w:ascii="Arial Narrow" w:eastAsia="Times New Roman" w:hAnsi="Arial Narrow" w:cs="Calibri"/>
                <w:b/>
                <w:color w:val="4472C4" w:themeColor="accent1"/>
                <w:sz w:val="16"/>
                <w:szCs w:val="20"/>
                <w:lang w:eastAsia="es-PA"/>
              </w:rPr>
              <w:t>ODS</w:t>
            </w:r>
          </w:p>
        </w:tc>
        <w:tc>
          <w:tcPr>
            <w:tcW w:w="1565" w:type="pct"/>
            <w:vMerge w:val="restart"/>
            <w:tcBorders>
              <w:top w:val="single" w:sz="4" w:space="0" w:color="auto"/>
              <w:left w:val="single" w:sz="4" w:space="0" w:color="auto"/>
              <w:right w:val="single" w:sz="4" w:space="0" w:color="auto"/>
            </w:tcBorders>
            <w:shd w:val="clear" w:color="auto" w:fill="FFFFFF"/>
            <w:vAlign w:val="center"/>
          </w:tcPr>
          <w:p w14:paraId="266617C0" w14:textId="77777777" w:rsidR="000C171B" w:rsidRPr="00F12323" w:rsidRDefault="000C171B" w:rsidP="002C49EF">
            <w:pPr>
              <w:spacing w:after="0" w:line="240" w:lineRule="auto"/>
              <w:jc w:val="center"/>
              <w:rPr>
                <w:rFonts w:ascii="Arial Narrow" w:eastAsia="Times New Roman" w:hAnsi="Arial Narrow" w:cs="Calibri"/>
                <w:b/>
                <w:color w:val="4472C4" w:themeColor="accent1"/>
                <w:sz w:val="16"/>
                <w:szCs w:val="20"/>
                <w:lang w:eastAsia="es-PA"/>
              </w:rPr>
            </w:pPr>
            <w:r w:rsidRPr="00F12323">
              <w:rPr>
                <w:rFonts w:ascii="Arial Narrow" w:eastAsia="Times New Roman" w:hAnsi="Arial Narrow" w:cs="Calibri"/>
                <w:b/>
                <w:color w:val="4472C4" w:themeColor="accent1"/>
                <w:sz w:val="16"/>
                <w:szCs w:val="20"/>
                <w:lang w:eastAsia="es-PA"/>
              </w:rPr>
              <w:t>INDICADOR</w:t>
            </w:r>
          </w:p>
        </w:tc>
        <w:tc>
          <w:tcPr>
            <w:tcW w:w="1566" w:type="pct"/>
            <w:vMerge w:val="restart"/>
            <w:tcBorders>
              <w:top w:val="single" w:sz="4" w:space="0" w:color="auto"/>
              <w:left w:val="single" w:sz="4" w:space="0" w:color="auto"/>
              <w:right w:val="single" w:sz="4" w:space="0" w:color="auto"/>
            </w:tcBorders>
            <w:shd w:val="clear" w:color="auto" w:fill="FFFFFF"/>
            <w:vAlign w:val="center"/>
          </w:tcPr>
          <w:p w14:paraId="35A9F6EB" w14:textId="77777777" w:rsidR="000C171B" w:rsidRPr="00F12323" w:rsidRDefault="000C171B" w:rsidP="002C49EF">
            <w:pPr>
              <w:spacing w:after="0" w:line="240" w:lineRule="auto"/>
              <w:jc w:val="center"/>
              <w:rPr>
                <w:rFonts w:ascii="Arial Narrow" w:eastAsia="Times New Roman" w:hAnsi="Arial Narrow" w:cs="Calibri"/>
                <w:b/>
                <w:color w:val="4472C4" w:themeColor="accent1"/>
                <w:sz w:val="16"/>
                <w:szCs w:val="20"/>
                <w:lang w:eastAsia="es-PA"/>
              </w:rPr>
            </w:pPr>
            <w:r w:rsidRPr="00F12323">
              <w:rPr>
                <w:rFonts w:ascii="Arial Narrow" w:eastAsia="Times New Roman" w:hAnsi="Arial Narrow" w:cs="Calibri"/>
                <w:b/>
                <w:color w:val="4472C4" w:themeColor="accent1"/>
                <w:sz w:val="16"/>
                <w:szCs w:val="20"/>
                <w:lang w:eastAsia="es-PA"/>
              </w:rPr>
              <w:t>DESGLOSE</w:t>
            </w:r>
          </w:p>
        </w:tc>
        <w:tc>
          <w:tcPr>
            <w:tcW w:w="1478" w:type="pct"/>
            <w:gridSpan w:val="3"/>
            <w:tcBorders>
              <w:top w:val="single" w:sz="4" w:space="0" w:color="auto"/>
              <w:left w:val="single" w:sz="4" w:space="0" w:color="auto"/>
              <w:bottom w:val="single" w:sz="4" w:space="0" w:color="auto"/>
              <w:right w:val="single" w:sz="2" w:space="0" w:color="auto"/>
            </w:tcBorders>
            <w:shd w:val="clear" w:color="auto" w:fill="FFFFFF"/>
            <w:vAlign w:val="center"/>
          </w:tcPr>
          <w:p w14:paraId="54726ADD" w14:textId="77777777" w:rsidR="000C171B" w:rsidRPr="00F12323" w:rsidRDefault="000C171B" w:rsidP="002C49EF">
            <w:pPr>
              <w:spacing w:after="0" w:line="240" w:lineRule="auto"/>
              <w:jc w:val="center"/>
              <w:rPr>
                <w:rFonts w:ascii="Arial Narrow" w:eastAsia="Times New Roman" w:hAnsi="Arial Narrow" w:cs="Calibri"/>
                <w:b/>
                <w:color w:val="4472C4" w:themeColor="accent1"/>
                <w:sz w:val="16"/>
                <w:szCs w:val="20"/>
                <w:lang w:eastAsia="es-PA"/>
              </w:rPr>
            </w:pPr>
            <w:r w:rsidRPr="00F12323">
              <w:rPr>
                <w:rFonts w:ascii="Arial Narrow" w:eastAsia="Times New Roman" w:hAnsi="Arial Narrow" w:cs="Calibri"/>
                <w:b/>
                <w:color w:val="4472C4" w:themeColor="accent1"/>
                <w:sz w:val="16"/>
                <w:szCs w:val="20"/>
                <w:lang w:eastAsia="es-PA"/>
              </w:rPr>
              <w:t>AÑOS</w:t>
            </w:r>
          </w:p>
        </w:tc>
      </w:tr>
      <w:tr w:rsidR="000C171B" w:rsidRPr="0010306A" w14:paraId="469514FB" w14:textId="77777777" w:rsidTr="002C49EF">
        <w:trPr>
          <w:trHeight w:val="46"/>
          <w:tblHeader/>
        </w:trPr>
        <w:tc>
          <w:tcPr>
            <w:tcW w:w="391" w:type="pct"/>
            <w:vMerge/>
            <w:tcBorders>
              <w:left w:val="single" w:sz="4" w:space="0" w:color="auto"/>
              <w:bottom w:val="single" w:sz="4" w:space="0" w:color="auto"/>
              <w:right w:val="single" w:sz="4" w:space="0" w:color="auto"/>
            </w:tcBorders>
            <w:shd w:val="clear" w:color="auto" w:fill="FFFFFF"/>
            <w:vAlign w:val="center"/>
          </w:tcPr>
          <w:p w14:paraId="2B1EBE9E" w14:textId="77777777" w:rsidR="000C171B" w:rsidRPr="00F12323" w:rsidRDefault="000C171B" w:rsidP="002C49EF">
            <w:pPr>
              <w:spacing w:after="0" w:line="240" w:lineRule="auto"/>
              <w:jc w:val="center"/>
              <w:rPr>
                <w:rFonts w:ascii="Arial Narrow" w:eastAsia="Times New Roman" w:hAnsi="Arial Narrow" w:cs="Calibri"/>
                <w:b/>
                <w:color w:val="4472C4" w:themeColor="accent1"/>
                <w:sz w:val="16"/>
                <w:szCs w:val="16"/>
                <w:lang w:eastAsia="es-PA"/>
              </w:rPr>
            </w:pPr>
          </w:p>
        </w:tc>
        <w:tc>
          <w:tcPr>
            <w:tcW w:w="1565" w:type="pct"/>
            <w:vMerge/>
            <w:tcBorders>
              <w:left w:val="single" w:sz="4" w:space="0" w:color="auto"/>
              <w:bottom w:val="single" w:sz="4" w:space="0" w:color="auto"/>
              <w:right w:val="single" w:sz="4" w:space="0" w:color="auto"/>
            </w:tcBorders>
            <w:shd w:val="clear" w:color="auto" w:fill="FFFFFF"/>
            <w:vAlign w:val="center"/>
          </w:tcPr>
          <w:p w14:paraId="55836BE5" w14:textId="77777777" w:rsidR="000C171B" w:rsidRPr="00F12323" w:rsidRDefault="000C171B" w:rsidP="002C49EF">
            <w:pPr>
              <w:spacing w:after="0" w:line="240" w:lineRule="auto"/>
              <w:jc w:val="center"/>
              <w:rPr>
                <w:rFonts w:ascii="Arial Narrow" w:eastAsia="Times New Roman" w:hAnsi="Arial Narrow" w:cs="Calibri"/>
                <w:b/>
                <w:color w:val="4472C4" w:themeColor="accent1"/>
                <w:sz w:val="16"/>
                <w:szCs w:val="16"/>
                <w:lang w:eastAsia="es-PA"/>
              </w:rPr>
            </w:pPr>
          </w:p>
        </w:tc>
        <w:tc>
          <w:tcPr>
            <w:tcW w:w="1566" w:type="pct"/>
            <w:vMerge/>
            <w:tcBorders>
              <w:left w:val="single" w:sz="4" w:space="0" w:color="auto"/>
              <w:bottom w:val="single" w:sz="4" w:space="0" w:color="auto"/>
              <w:right w:val="single" w:sz="4" w:space="0" w:color="auto"/>
            </w:tcBorders>
            <w:shd w:val="clear" w:color="auto" w:fill="FFFFFF"/>
            <w:vAlign w:val="center"/>
          </w:tcPr>
          <w:p w14:paraId="2DCF0862" w14:textId="77777777" w:rsidR="000C171B" w:rsidRPr="00F12323" w:rsidRDefault="000C171B" w:rsidP="002C49EF">
            <w:pPr>
              <w:spacing w:after="0" w:line="240" w:lineRule="auto"/>
              <w:jc w:val="center"/>
              <w:rPr>
                <w:rFonts w:ascii="Arial Narrow" w:eastAsia="Times New Roman" w:hAnsi="Arial Narrow" w:cs="Calibri"/>
                <w:b/>
                <w:color w:val="4472C4" w:themeColor="accent1"/>
                <w:sz w:val="16"/>
                <w:szCs w:val="16"/>
                <w:lang w:eastAsia="es-PA"/>
              </w:rPr>
            </w:pP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14:paraId="7A81696C" w14:textId="77777777" w:rsidR="000C171B" w:rsidRPr="00F12323" w:rsidRDefault="000C171B" w:rsidP="002C49EF">
            <w:pPr>
              <w:spacing w:after="0" w:line="240" w:lineRule="auto"/>
              <w:jc w:val="center"/>
              <w:rPr>
                <w:rFonts w:ascii="Arial Narrow" w:eastAsia="Times New Roman" w:hAnsi="Arial Narrow" w:cs="Calibri"/>
                <w:b/>
                <w:color w:val="4472C4" w:themeColor="accent1"/>
                <w:sz w:val="16"/>
                <w:szCs w:val="16"/>
                <w:lang w:eastAsia="es-PA"/>
              </w:rPr>
            </w:pPr>
            <w:r w:rsidRPr="00F12323">
              <w:rPr>
                <w:rFonts w:ascii="Arial Narrow" w:eastAsia="Times New Roman" w:hAnsi="Arial Narrow" w:cs="Calibri"/>
                <w:b/>
                <w:color w:val="4472C4" w:themeColor="accent1"/>
                <w:sz w:val="16"/>
                <w:szCs w:val="16"/>
                <w:lang w:eastAsia="es-PA"/>
              </w:rPr>
              <w:t>2015</w:t>
            </w: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tcPr>
          <w:p w14:paraId="51B63B8F" w14:textId="77777777" w:rsidR="000C171B" w:rsidRPr="00F12323" w:rsidRDefault="000C171B" w:rsidP="002C49EF">
            <w:pPr>
              <w:spacing w:after="0" w:line="240" w:lineRule="auto"/>
              <w:jc w:val="center"/>
              <w:rPr>
                <w:rFonts w:ascii="Arial Narrow" w:eastAsia="Times New Roman" w:hAnsi="Arial Narrow" w:cs="Calibri"/>
                <w:b/>
                <w:color w:val="4472C4" w:themeColor="accent1"/>
                <w:sz w:val="16"/>
                <w:szCs w:val="16"/>
                <w:lang w:eastAsia="es-PA"/>
              </w:rPr>
            </w:pPr>
            <w:r w:rsidRPr="00F12323">
              <w:rPr>
                <w:rFonts w:ascii="Arial Narrow" w:eastAsia="Times New Roman" w:hAnsi="Arial Narrow" w:cs="Calibri"/>
                <w:b/>
                <w:color w:val="4472C4" w:themeColor="accent1"/>
                <w:sz w:val="16"/>
                <w:szCs w:val="16"/>
                <w:lang w:eastAsia="es-PA"/>
              </w:rPr>
              <w:t>2016</w:t>
            </w:r>
          </w:p>
        </w:tc>
        <w:tc>
          <w:tcPr>
            <w:tcW w:w="492" w:type="pct"/>
            <w:tcBorders>
              <w:top w:val="single" w:sz="4" w:space="0" w:color="auto"/>
              <w:left w:val="single" w:sz="4" w:space="0" w:color="auto"/>
              <w:bottom w:val="single" w:sz="4" w:space="0" w:color="auto"/>
              <w:right w:val="single" w:sz="2" w:space="0" w:color="auto"/>
            </w:tcBorders>
            <w:shd w:val="clear" w:color="auto" w:fill="FFFFFF"/>
            <w:vAlign w:val="center"/>
          </w:tcPr>
          <w:p w14:paraId="5717C95F" w14:textId="77777777" w:rsidR="000C171B" w:rsidRPr="00F12323" w:rsidRDefault="000C171B" w:rsidP="002C49EF">
            <w:pPr>
              <w:spacing w:after="0" w:line="240" w:lineRule="auto"/>
              <w:jc w:val="center"/>
              <w:rPr>
                <w:rFonts w:ascii="Arial Narrow" w:eastAsia="Times New Roman" w:hAnsi="Arial Narrow" w:cs="Calibri"/>
                <w:b/>
                <w:color w:val="4472C4" w:themeColor="accent1"/>
                <w:sz w:val="16"/>
                <w:szCs w:val="16"/>
                <w:lang w:eastAsia="es-PA"/>
              </w:rPr>
            </w:pPr>
            <w:r w:rsidRPr="00F12323">
              <w:rPr>
                <w:rFonts w:ascii="Arial Narrow" w:eastAsia="Times New Roman" w:hAnsi="Arial Narrow" w:cs="Calibri"/>
                <w:b/>
                <w:color w:val="4472C4" w:themeColor="accent1"/>
                <w:sz w:val="16"/>
                <w:szCs w:val="16"/>
                <w:lang w:eastAsia="es-PA"/>
              </w:rPr>
              <w:t>2017</w:t>
            </w:r>
          </w:p>
        </w:tc>
      </w:tr>
      <w:tr w:rsidR="000C171B" w:rsidRPr="0010306A" w14:paraId="5267C753" w14:textId="77777777" w:rsidTr="0049743F">
        <w:trPr>
          <w:trHeight w:val="59"/>
        </w:trPr>
        <w:tc>
          <w:tcPr>
            <w:tcW w:w="391" w:type="pct"/>
            <w:vMerge w:val="restart"/>
            <w:tcBorders>
              <w:top w:val="single" w:sz="4" w:space="0" w:color="auto"/>
              <w:left w:val="single" w:sz="4" w:space="0" w:color="auto"/>
              <w:right w:val="single" w:sz="4" w:space="0" w:color="auto"/>
            </w:tcBorders>
          </w:tcPr>
          <w:p w14:paraId="6052C85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1</w:t>
            </w:r>
          </w:p>
        </w:tc>
        <w:tc>
          <w:tcPr>
            <w:tcW w:w="1565" w:type="pct"/>
            <w:vMerge w:val="restart"/>
            <w:tcBorders>
              <w:top w:val="single" w:sz="4" w:space="0" w:color="auto"/>
              <w:left w:val="nil"/>
              <w:right w:val="single" w:sz="4" w:space="0" w:color="auto"/>
            </w:tcBorders>
          </w:tcPr>
          <w:p w14:paraId="62DD4FD4"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Proporción de la población que vive por debajo del umbral internacional de la pobreza</w:t>
            </w:r>
          </w:p>
        </w:tc>
        <w:tc>
          <w:tcPr>
            <w:tcW w:w="1566" w:type="pct"/>
            <w:tcBorders>
              <w:top w:val="single" w:sz="4" w:space="0" w:color="auto"/>
              <w:left w:val="nil"/>
              <w:bottom w:val="nil"/>
              <w:right w:val="single" w:sz="4" w:space="0" w:color="auto"/>
            </w:tcBorders>
            <w:vAlign w:val="center"/>
            <w:hideMark/>
          </w:tcPr>
          <w:p w14:paraId="5F4C731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Total</w:t>
            </w:r>
          </w:p>
        </w:tc>
        <w:tc>
          <w:tcPr>
            <w:tcW w:w="493" w:type="pct"/>
            <w:tcBorders>
              <w:top w:val="single" w:sz="4" w:space="0" w:color="auto"/>
              <w:left w:val="nil"/>
              <w:bottom w:val="nil"/>
              <w:right w:val="single" w:sz="4" w:space="0" w:color="auto"/>
            </w:tcBorders>
            <w:noWrap/>
            <w:vAlign w:val="center"/>
            <w:hideMark/>
          </w:tcPr>
          <w:p w14:paraId="12E956D0"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9.8</w:t>
            </w:r>
          </w:p>
        </w:tc>
        <w:tc>
          <w:tcPr>
            <w:tcW w:w="493" w:type="pct"/>
            <w:tcBorders>
              <w:top w:val="single" w:sz="4" w:space="0" w:color="auto"/>
              <w:left w:val="nil"/>
              <w:bottom w:val="nil"/>
              <w:right w:val="single" w:sz="4" w:space="0" w:color="auto"/>
            </w:tcBorders>
            <w:noWrap/>
            <w:vAlign w:val="center"/>
            <w:hideMark/>
          </w:tcPr>
          <w:p w14:paraId="1CB42848"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8.6</w:t>
            </w:r>
          </w:p>
        </w:tc>
        <w:tc>
          <w:tcPr>
            <w:tcW w:w="492" w:type="pct"/>
            <w:tcBorders>
              <w:top w:val="single" w:sz="4" w:space="0" w:color="auto"/>
              <w:left w:val="nil"/>
              <w:bottom w:val="nil"/>
              <w:right w:val="single" w:sz="2" w:space="0" w:color="auto"/>
            </w:tcBorders>
            <w:noWrap/>
            <w:vAlign w:val="center"/>
            <w:hideMark/>
          </w:tcPr>
          <w:p w14:paraId="467A06E8"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7.9</w:t>
            </w:r>
          </w:p>
        </w:tc>
      </w:tr>
      <w:tr w:rsidR="000C171B" w:rsidRPr="0010306A" w14:paraId="70F36970" w14:textId="77777777" w:rsidTr="0049743F">
        <w:trPr>
          <w:trHeight w:val="60"/>
        </w:trPr>
        <w:tc>
          <w:tcPr>
            <w:tcW w:w="391" w:type="pct"/>
            <w:vMerge/>
            <w:tcBorders>
              <w:left w:val="single" w:sz="4" w:space="0" w:color="auto"/>
              <w:right w:val="single" w:sz="4" w:space="0" w:color="auto"/>
            </w:tcBorders>
          </w:tcPr>
          <w:p w14:paraId="72569B35"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7F8D3B35"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hideMark/>
          </w:tcPr>
          <w:p w14:paraId="6825634D"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Hombre</w:t>
            </w:r>
          </w:p>
        </w:tc>
        <w:tc>
          <w:tcPr>
            <w:tcW w:w="493" w:type="pct"/>
            <w:tcBorders>
              <w:top w:val="nil"/>
              <w:left w:val="nil"/>
              <w:bottom w:val="nil"/>
              <w:right w:val="single" w:sz="4" w:space="0" w:color="auto"/>
            </w:tcBorders>
            <w:noWrap/>
            <w:vAlign w:val="center"/>
          </w:tcPr>
          <w:p w14:paraId="7D5F7555"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9.5</w:t>
            </w:r>
          </w:p>
        </w:tc>
        <w:tc>
          <w:tcPr>
            <w:tcW w:w="493" w:type="pct"/>
            <w:tcBorders>
              <w:top w:val="nil"/>
              <w:left w:val="nil"/>
              <w:bottom w:val="nil"/>
              <w:right w:val="single" w:sz="4" w:space="0" w:color="auto"/>
            </w:tcBorders>
            <w:noWrap/>
            <w:vAlign w:val="center"/>
          </w:tcPr>
          <w:p w14:paraId="52254174"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8.2</w:t>
            </w:r>
          </w:p>
        </w:tc>
        <w:tc>
          <w:tcPr>
            <w:tcW w:w="492" w:type="pct"/>
            <w:tcBorders>
              <w:right w:val="single" w:sz="2" w:space="0" w:color="auto"/>
            </w:tcBorders>
            <w:noWrap/>
            <w:vAlign w:val="center"/>
          </w:tcPr>
          <w:p w14:paraId="7A4CD77A"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7.6</w:t>
            </w:r>
          </w:p>
        </w:tc>
      </w:tr>
      <w:tr w:rsidR="000C171B" w:rsidRPr="0010306A" w14:paraId="5B03D18A" w14:textId="77777777" w:rsidTr="0049743F">
        <w:trPr>
          <w:trHeight w:val="60"/>
        </w:trPr>
        <w:tc>
          <w:tcPr>
            <w:tcW w:w="391" w:type="pct"/>
            <w:vMerge/>
            <w:tcBorders>
              <w:left w:val="single" w:sz="4" w:space="0" w:color="auto"/>
              <w:right w:val="single" w:sz="4" w:space="0" w:color="auto"/>
            </w:tcBorders>
          </w:tcPr>
          <w:p w14:paraId="4520F349"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1C220C44"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613D50E3"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Mujer</w:t>
            </w:r>
          </w:p>
        </w:tc>
        <w:tc>
          <w:tcPr>
            <w:tcW w:w="493" w:type="pct"/>
            <w:tcBorders>
              <w:top w:val="nil"/>
              <w:left w:val="nil"/>
              <w:bottom w:val="nil"/>
              <w:right w:val="single" w:sz="4" w:space="0" w:color="auto"/>
            </w:tcBorders>
            <w:noWrap/>
            <w:vAlign w:val="center"/>
          </w:tcPr>
          <w:p w14:paraId="0854F98C"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10.0</w:t>
            </w:r>
          </w:p>
        </w:tc>
        <w:tc>
          <w:tcPr>
            <w:tcW w:w="493" w:type="pct"/>
            <w:tcBorders>
              <w:top w:val="nil"/>
              <w:left w:val="nil"/>
              <w:bottom w:val="nil"/>
              <w:right w:val="single" w:sz="4" w:space="0" w:color="auto"/>
            </w:tcBorders>
            <w:noWrap/>
            <w:vAlign w:val="center"/>
          </w:tcPr>
          <w:p w14:paraId="3EF6249C"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9.0</w:t>
            </w:r>
          </w:p>
        </w:tc>
        <w:tc>
          <w:tcPr>
            <w:tcW w:w="492" w:type="pct"/>
            <w:tcBorders>
              <w:right w:val="single" w:sz="2" w:space="0" w:color="auto"/>
            </w:tcBorders>
            <w:noWrap/>
            <w:vAlign w:val="center"/>
          </w:tcPr>
          <w:p w14:paraId="03E749B8"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8.3</w:t>
            </w:r>
          </w:p>
        </w:tc>
      </w:tr>
      <w:tr w:rsidR="000C171B" w:rsidRPr="0010306A" w14:paraId="1E1339C1" w14:textId="77777777" w:rsidTr="0049743F">
        <w:trPr>
          <w:trHeight w:val="60"/>
        </w:trPr>
        <w:tc>
          <w:tcPr>
            <w:tcW w:w="391" w:type="pct"/>
            <w:vMerge/>
            <w:tcBorders>
              <w:left w:val="single" w:sz="4" w:space="0" w:color="auto"/>
              <w:right w:val="single" w:sz="4" w:space="0" w:color="auto"/>
            </w:tcBorders>
          </w:tcPr>
          <w:p w14:paraId="3C8A6FB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25ED0F2F"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126C4509"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Área Urbana</w:t>
            </w:r>
          </w:p>
        </w:tc>
        <w:tc>
          <w:tcPr>
            <w:tcW w:w="493" w:type="pct"/>
            <w:tcBorders>
              <w:top w:val="nil"/>
              <w:left w:val="nil"/>
              <w:bottom w:val="nil"/>
              <w:right w:val="single" w:sz="4" w:space="0" w:color="auto"/>
            </w:tcBorders>
            <w:noWrap/>
            <w:vAlign w:val="center"/>
          </w:tcPr>
          <w:p w14:paraId="5EA11E45"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2.5</w:t>
            </w:r>
          </w:p>
        </w:tc>
        <w:tc>
          <w:tcPr>
            <w:tcW w:w="493" w:type="pct"/>
            <w:tcBorders>
              <w:top w:val="nil"/>
              <w:left w:val="nil"/>
              <w:bottom w:val="nil"/>
              <w:right w:val="single" w:sz="4" w:space="0" w:color="auto"/>
            </w:tcBorders>
            <w:noWrap/>
            <w:vAlign w:val="center"/>
          </w:tcPr>
          <w:p w14:paraId="66131927"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2.2</w:t>
            </w:r>
          </w:p>
        </w:tc>
        <w:tc>
          <w:tcPr>
            <w:tcW w:w="492" w:type="pct"/>
            <w:tcBorders>
              <w:right w:val="single" w:sz="2" w:space="0" w:color="auto"/>
            </w:tcBorders>
            <w:noWrap/>
            <w:vAlign w:val="center"/>
          </w:tcPr>
          <w:p w14:paraId="05B8D014"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2.1</w:t>
            </w:r>
          </w:p>
        </w:tc>
      </w:tr>
      <w:tr w:rsidR="000C171B" w:rsidRPr="0010306A" w14:paraId="60C43A38" w14:textId="77777777" w:rsidTr="0049743F">
        <w:trPr>
          <w:trHeight w:val="50"/>
        </w:trPr>
        <w:tc>
          <w:tcPr>
            <w:tcW w:w="391" w:type="pct"/>
            <w:vMerge/>
            <w:tcBorders>
              <w:left w:val="single" w:sz="4" w:space="0" w:color="auto"/>
              <w:bottom w:val="single" w:sz="4" w:space="0" w:color="auto"/>
              <w:right w:val="single" w:sz="4" w:space="0" w:color="auto"/>
            </w:tcBorders>
          </w:tcPr>
          <w:p w14:paraId="629B5436"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7BFA972C"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578660F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Área Rural total</w:t>
            </w:r>
          </w:p>
        </w:tc>
        <w:tc>
          <w:tcPr>
            <w:tcW w:w="493" w:type="pct"/>
            <w:tcBorders>
              <w:top w:val="nil"/>
              <w:left w:val="nil"/>
              <w:bottom w:val="single" w:sz="4" w:space="0" w:color="auto"/>
              <w:right w:val="single" w:sz="4" w:space="0" w:color="auto"/>
            </w:tcBorders>
            <w:noWrap/>
            <w:vAlign w:val="center"/>
          </w:tcPr>
          <w:p w14:paraId="59434989"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24.7</w:t>
            </w:r>
          </w:p>
        </w:tc>
        <w:tc>
          <w:tcPr>
            <w:tcW w:w="493" w:type="pct"/>
            <w:tcBorders>
              <w:top w:val="nil"/>
              <w:left w:val="nil"/>
              <w:bottom w:val="single" w:sz="4" w:space="0" w:color="auto"/>
              <w:right w:val="single" w:sz="4" w:space="0" w:color="auto"/>
            </w:tcBorders>
            <w:noWrap/>
            <w:vAlign w:val="center"/>
          </w:tcPr>
          <w:p w14:paraId="0568EA22"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22.0</w:t>
            </w:r>
          </w:p>
        </w:tc>
        <w:tc>
          <w:tcPr>
            <w:tcW w:w="492" w:type="pct"/>
            <w:tcBorders>
              <w:bottom w:val="single" w:sz="4" w:space="0" w:color="auto"/>
              <w:right w:val="single" w:sz="2" w:space="0" w:color="auto"/>
            </w:tcBorders>
            <w:noWrap/>
            <w:vAlign w:val="center"/>
          </w:tcPr>
          <w:p w14:paraId="24EADA44"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20.5</w:t>
            </w:r>
          </w:p>
        </w:tc>
      </w:tr>
      <w:tr w:rsidR="000C171B" w:rsidRPr="0010306A" w14:paraId="4A521931" w14:textId="77777777" w:rsidTr="0049743F">
        <w:trPr>
          <w:trHeight w:val="60"/>
        </w:trPr>
        <w:tc>
          <w:tcPr>
            <w:tcW w:w="391" w:type="pct"/>
            <w:vMerge w:val="restart"/>
            <w:tcBorders>
              <w:top w:val="single" w:sz="4" w:space="0" w:color="auto"/>
              <w:left w:val="single" w:sz="4" w:space="0" w:color="auto"/>
              <w:right w:val="single" w:sz="4" w:space="0" w:color="auto"/>
            </w:tcBorders>
          </w:tcPr>
          <w:p w14:paraId="62FA562D"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 xml:space="preserve">ODS 1 </w:t>
            </w:r>
          </w:p>
        </w:tc>
        <w:tc>
          <w:tcPr>
            <w:tcW w:w="1565" w:type="pct"/>
            <w:vMerge w:val="restart"/>
            <w:tcBorders>
              <w:top w:val="single" w:sz="4" w:space="0" w:color="auto"/>
              <w:left w:val="nil"/>
              <w:right w:val="single" w:sz="4" w:space="0" w:color="auto"/>
            </w:tcBorders>
          </w:tcPr>
          <w:p w14:paraId="38C8E267"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Evolución de los niveles de bienestar de la población (Pobreza general o total).</w:t>
            </w:r>
          </w:p>
        </w:tc>
        <w:tc>
          <w:tcPr>
            <w:tcW w:w="1566" w:type="pct"/>
            <w:tcBorders>
              <w:top w:val="single" w:sz="4" w:space="0" w:color="auto"/>
              <w:left w:val="nil"/>
              <w:bottom w:val="nil"/>
              <w:right w:val="single" w:sz="4" w:space="0" w:color="auto"/>
            </w:tcBorders>
            <w:vAlign w:val="center"/>
          </w:tcPr>
          <w:p w14:paraId="0DA24C0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Total</w:t>
            </w:r>
          </w:p>
        </w:tc>
        <w:tc>
          <w:tcPr>
            <w:tcW w:w="493" w:type="pct"/>
            <w:tcBorders>
              <w:top w:val="single" w:sz="4" w:space="0" w:color="auto"/>
              <w:left w:val="nil"/>
              <w:bottom w:val="nil"/>
              <w:right w:val="single" w:sz="4" w:space="0" w:color="auto"/>
            </w:tcBorders>
            <w:noWrap/>
            <w:vAlign w:val="center"/>
          </w:tcPr>
          <w:p w14:paraId="264B94BE"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23.0</w:t>
            </w:r>
          </w:p>
        </w:tc>
        <w:tc>
          <w:tcPr>
            <w:tcW w:w="493" w:type="pct"/>
            <w:tcBorders>
              <w:top w:val="single" w:sz="4" w:space="0" w:color="auto"/>
              <w:left w:val="nil"/>
              <w:bottom w:val="nil"/>
              <w:right w:val="single" w:sz="4" w:space="0" w:color="auto"/>
            </w:tcBorders>
            <w:noWrap/>
            <w:vAlign w:val="center"/>
          </w:tcPr>
          <w:p w14:paraId="3C95FB97"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22.1</w:t>
            </w:r>
          </w:p>
        </w:tc>
        <w:tc>
          <w:tcPr>
            <w:tcW w:w="492" w:type="pct"/>
            <w:tcBorders>
              <w:top w:val="single" w:sz="4" w:space="0" w:color="auto"/>
              <w:right w:val="single" w:sz="2" w:space="0" w:color="auto"/>
            </w:tcBorders>
            <w:noWrap/>
            <w:vAlign w:val="center"/>
          </w:tcPr>
          <w:p w14:paraId="60E19D08"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20.7</w:t>
            </w:r>
          </w:p>
        </w:tc>
      </w:tr>
      <w:tr w:rsidR="000C171B" w:rsidRPr="0010306A" w14:paraId="3AB2F98A" w14:textId="77777777" w:rsidTr="0049743F">
        <w:trPr>
          <w:trHeight w:val="60"/>
        </w:trPr>
        <w:tc>
          <w:tcPr>
            <w:tcW w:w="391" w:type="pct"/>
            <w:vMerge/>
            <w:tcBorders>
              <w:left w:val="single" w:sz="4" w:space="0" w:color="auto"/>
              <w:right w:val="single" w:sz="4" w:space="0" w:color="auto"/>
            </w:tcBorders>
          </w:tcPr>
          <w:p w14:paraId="4A9D4C1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0F7DA9D0"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62E849A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Hombre</w:t>
            </w:r>
          </w:p>
        </w:tc>
        <w:tc>
          <w:tcPr>
            <w:tcW w:w="493" w:type="pct"/>
            <w:tcBorders>
              <w:top w:val="nil"/>
              <w:left w:val="nil"/>
              <w:bottom w:val="nil"/>
              <w:right w:val="single" w:sz="4" w:space="0" w:color="auto"/>
            </w:tcBorders>
            <w:noWrap/>
            <w:vAlign w:val="center"/>
          </w:tcPr>
          <w:p w14:paraId="045E9B9C"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22.3</w:t>
            </w:r>
          </w:p>
        </w:tc>
        <w:tc>
          <w:tcPr>
            <w:tcW w:w="493" w:type="pct"/>
            <w:tcBorders>
              <w:top w:val="nil"/>
              <w:left w:val="nil"/>
              <w:bottom w:val="nil"/>
              <w:right w:val="single" w:sz="4" w:space="0" w:color="auto"/>
            </w:tcBorders>
            <w:noWrap/>
            <w:vAlign w:val="center"/>
          </w:tcPr>
          <w:p w14:paraId="3C846087"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21.3</w:t>
            </w:r>
          </w:p>
        </w:tc>
        <w:tc>
          <w:tcPr>
            <w:tcW w:w="492" w:type="pct"/>
            <w:tcBorders>
              <w:right w:val="single" w:sz="2" w:space="0" w:color="auto"/>
            </w:tcBorders>
            <w:noWrap/>
            <w:vAlign w:val="center"/>
          </w:tcPr>
          <w:p w14:paraId="3D77DF01"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20.3</w:t>
            </w:r>
          </w:p>
        </w:tc>
      </w:tr>
      <w:tr w:rsidR="000C171B" w:rsidRPr="0010306A" w14:paraId="0702A9CC" w14:textId="77777777" w:rsidTr="0049743F">
        <w:trPr>
          <w:trHeight w:val="60"/>
        </w:trPr>
        <w:tc>
          <w:tcPr>
            <w:tcW w:w="391" w:type="pct"/>
            <w:vMerge/>
            <w:tcBorders>
              <w:left w:val="single" w:sz="4" w:space="0" w:color="auto"/>
              <w:right w:val="single" w:sz="4" w:space="0" w:color="auto"/>
            </w:tcBorders>
          </w:tcPr>
          <w:p w14:paraId="7F1BE43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6C1018CE"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40948176"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Mujer</w:t>
            </w:r>
          </w:p>
        </w:tc>
        <w:tc>
          <w:tcPr>
            <w:tcW w:w="493" w:type="pct"/>
            <w:tcBorders>
              <w:top w:val="nil"/>
              <w:left w:val="nil"/>
              <w:bottom w:val="nil"/>
              <w:right w:val="single" w:sz="4" w:space="0" w:color="auto"/>
            </w:tcBorders>
            <w:noWrap/>
            <w:vAlign w:val="center"/>
          </w:tcPr>
          <w:p w14:paraId="1C3751A1"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23.8</w:t>
            </w:r>
          </w:p>
        </w:tc>
        <w:tc>
          <w:tcPr>
            <w:tcW w:w="493" w:type="pct"/>
            <w:tcBorders>
              <w:top w:val="nil"/>
              <w:left w:val="nil"/>
              <w:bottom w:val="nil"/>
              <w:right w:val="single" w:sz="4" w:space="0" w:color="auto"/>
            </w:tcBorders>
            <w:noWrap/>
            <w:vAlign w:val="center"/>
          </w:tcPr>
          <w:p w14:paraId="11434517"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22.9</w:t>
            </w:r>
          </w:p>
        </w:tc>
        <w:tc>
          <w:tcPr>
            <w:tcW w:w="492" w:type="pct"/>
            <w:tcBorders>
              <w:right w:val="single" w:sz="2" w:space="0" w:color="auto"/>
            </w:tcBorders>
            <w:noWrap/>
            <w:vAlign w:val="center"/>
          </w:tcPr>
          <w:p w14:paraId="5CBE2E4A"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21.2</w:t>
            </w:r>
          </w:p>
        </w:tc>
      </w:tr>
      <w:tr w:rsidR="000C171B" w:rsidRPr="0010306A" w14:paraId="44E9F3A2" w14:textId="77777777" w:rsidTr="0049743F">
        <w:trPr>
          <w:trHeight w:val="60"/>
        </w:trPr>
        <w:tc>
          <w:tcPr>
            <w:tcW w:w="391" w:type="pct"/>
            <w:vMerge/>
            <w:tcBorders>
              <w:left w:val="single" w:sz="4" w:space="0" w:color="auto"/>
              <w:right w:val="single" w:sz="4" w:space="0" w:color="auto"/>
            </w:tcBorders>
          </w:tcPr>
          <w:p w14:paraId="0C38B394"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764DFEA4"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292EDD8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Área Urbana</w:t>
            </w:r>
          </w:p>
        </w:tc>
        <w:tc>
          <w:tcPr>
            <w:tcW w:w="493" w:type="pct"/>
            <w:tcBorders>
              <w:top w:val="nil"/>
              <w:left w:val="nil"/>
              <w:bottom w:val="nil"/>
              <w:right w:val="single" w:sz="4" w:space="0" w:color="auto"/>
            </w:tcBorders>
            <w:noWrap/>
            <w:vAlign w:val="center"/>
          </w:tcPr>
          <w:p w14:paraId="05F558F1"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11.6</w:t>
            </w:r>
          </w:p>
        </w:tc>
        <w:tc>
          <w:tcPr>
            <w:tcW w:w="493" w:type="pct"/>
            <w:tcBorders>
              <w:top w:val="nil"/>
              <w:left w:val="nil"/>
              <w:bottom w:val="nil"/>
              <w:right w:val="single" w:sz="4" w:space="0" w:color="auto"/>
            </w:tcBorders>
            <w:noWrap/>
            <w:vAlign w:val="center"/>
          </w:tcPr>
          <w:p w14:paraId="3061C14F"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11.1</w:t>
            </w:r>
          </w:p>
        </w:tc>
        <w:tc>
          <w:tcPr>
            <w:tcW w:w="492" w:type="pct"/>
            <w:tcBorders>
              <w:right w:val="single" w:sz="2" w:space="0" w:color="auto"/>
            </w:tcBorders>
            <w:noWrap/>
            <w:vAlign w:val="center"/>
          </w:tcPr>
          <w:p w14:paraId="3141D089"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11.0</w:t>
            </w:r>
          </w:p>
        </w:tc>
      </w:tr>
      <w:tr w:rsidR="000C171B" w:rsidRPr="0010306A" w14:paraId="67576020" w14:textId="77777777" w:rsidTr="0049743F">
        <w:trPr>
          <w:trHeight w:val="60"/>
        </w:trPr>
        <w:tc>
          <w:tcPr>
            <w:tcW w:w="391" w:type="pct"/>
            <w:vMerge/>
            <w:tcBorders>
              <w:left w:val="single" w:sz="4" w:space="0" w:color="auto"/>
              <w:bottom w:val="single" w:sz="4" w:space="0" w:color="auto"/>
              <w:right w:val="single" w:sz="4" w:space="0" w:color="auto"/>
            </w:tcBorders>
          </w:tcPr>
          <w:p w14:paraId="5E345BD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19B49769"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4021491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Área Rural total</w:t>
            </w:r>
          </w:p>
        </w:tc>
        <w:tc>
          <w:tcPr>
            <w:tcW w:w="493" w:type="pct"/>
            <w:tcBorders>
              <w:top w:val="nil"/>
              <w:left w:val="nil"/>
              <w:bottom w:val="single" w:sz="4" w:space="0" w:color="auto"/>
              <w:right w:val="single" w:sz="4" w:space="0" w:color="auto"/>
            </w:tcBorders>
            <w:noWrap/>
            <w:vAlign w:val="center"/>
          </w:tcPr>
          <w:p w14:paraId="57FF0A05"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46.5</w:t>
            </w:r>
          </w:p>
        </w:tc>
        <w:tc>
          <w:tcPr>
            <w:tcW w:w="493" w:type="pct"/>
            <w:tcBorders>
              <w:top w:val="nil"/>
              <w:left w:val="nil"/>
              <w:bottom w:val="single" w:sz="4" w:space="0" w:color="auto"/>
              <w:right w:val="single" w:sz="4" w:space="0" w:color="auto"/>
            </w:tcBorders>
            <w:noWrap/>
            <w:vAlign w:val="center"/>
          </w:tcPr>
          <w:p w14:paraId="6E3040E6"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45.2</w:t>
            </w:r>
          </w:p>
        </w:tc>
        <w:tc>
          <w:tcPr>
            <w:tcW w:w="492" w:type="pct"/>
            <w:tcBorders>
              <w:bottom w:val="single" w:sz="4" w:space="0" w:color="auto"/>
              <w:right w:val="single" w:sz="2" w:space="0" w:color="auto"/>
            </w:tcBorders>
            <w:noWrap/>
            <w:vAlign w:val="center"/>
          </w:tcPr>
          <w:p w14:paraId="4C36A4A6"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41.4</w:t>
            </w:r>
          </w:p>
        </w:tc>
      </w:tr>
      <w:tr w:rsidR="000C171B" w:rsidRPr="0010306A" w14:paraId="23691EFD" w14:textId="77777777" w:rsidTr="0049743F">
        <w:trPr>
          <w:trHeight w:val="60"/>
        </w:trPr>
        <w:tc>
          <w:tcPr>
            <w:tcW w:w="391" w:type="pct"/>
            <w:vMerge w:val="restart"/>
            <w:tcBorders>
              <w:top w:val="single" w:sz="4" w:space="0" w:color="auto"/>
              <w:left w:val="single" w:sz="4" w:space="0" w:color="auto"/>
              <w:right w:val="single" w:sz="4" w:space="0" w:color="auto"/>
            </w:tcBorders>
          </w:tcPr>
          <w:p w14:paraId="1E0F9414"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1</w:t>
            </w:r>
          </w:p>
        </w:tc>
        <w:tc>
          <w:tcPr>
            <w:tcW w:w="1565" w:type="pct"/>
            <w:vMerge w:val="restart"/>
            <w:tcBorders>
              <w:top w:val="single" w:sz="4" w:space="0" w:color="auto"/>
              <w:left w:val="nil"/>
              <w:right w:val="single" w:sz="4" w:space="0" w:color="auto"/>
            </w:tcBorders>
          </w:tcPr>
          <w:p w14:paraId="56B07EAF"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Evolución de los niveles de bienestar de la población (Pobreza extrema).</w:t>
            </w:r>
          </w:p>
        </w:tc>
        <w:tc>
          <w:tcPr>
            <w:tcW w:w="1566" w:type="pct"/>
            <w:tcBorders>
              <w:top w:val="single" w:sz="4" w:space="0" w:color="auto"/>
              <w:left w:val="nil"/>
              <w:bottom w:val="nil"/>
              <w:right w:val="single" w:sz="4" w:space="0" w:color="auto"/>
            </w:tcBorders>
            <w:vAlign w:val="center"/>
          </w:tcPr>
          <w:p w14:paraId="4BF8DAFD"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Total</w:t>
            </w:r>
          </w:p>
        </w:tc>
        <w:tc>
          <w:tcPr>
            <w:tcW w:w="493" w:type="pct"/>
            <w:tcBorders>
              <w:top w:val="single" w:sz="4" w:space="0" w:color="auto"/>
              <w:left w:val="nil"/>
              <w:bottom w:val="nil"/>
              <w:right w:val="single" w:sz="4" w:space="0" w:color="auto"/>
            </w:tcBorders>
            <w:noWrap/>
            <w:vAlign w:val="center"/>
          </w:tcPr>
          <w:p w14:paraId="24F5E677"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10.2</w:t>
            </w:r>
          </w:p>
        </w:tc>
        <w:tc>
          <w:tcPr>
            <w:tcW w:w="493" w:type="pct"/>
            <w:tcBorders>
              <w:top w:val="single" w:sz="4" w:space="0" w:color="auto"/>
              <w:left w:val="nil"/>
              <w:bottom w:val="nil"/>
              <w:right w:val="single" w:sz="4" w:space="0" w:color="auto"/>
            </w:tcBorders>
            <w:noWrap/>
            <w:vAlign w:val="center"/>
          </w:tcPr>
          <w:p w14:paraId="089732CF"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9.9</w:t>
            </w:r>
          </w:p>
        </w:tc>
        <w:tc>
          <w:tcPr>
            <w:tcW w:w="492" w:type="pct"/>
            <w:tcBorders>
              <w:top w:val="single" w:sz="4" w:space="0" w:color="auto"/>
              <w:right w:val="single" w:sz="2" w:space="0" w:color="auto"/>
            </w:tcBorders>
            <w:noWrap/>
            <w:vAlign w:val="center"/>
          </w:tcPr>
          <w:p w14:paraId="2B84DEEE"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9.8</w:t>
            </w:r>
          </w:p>
        </w:tc>
      </w:tr>
      <w:tr w:rsidR="000C171B" w:rsidRPr="0010306A" w14:paraId="6ADF697B" w14:textId="77777777" w:rsidTr="0049743F">
        <w:trPr>
          <w:trHeight w:val="60"/>
        </w:trPr>
        <w:tc>
          <w:tcPr>
            <w:tcW w:w="391" w:type="pct"/>
            <w:vMerge/>
            <w:tcBorders>
              <w:left w:val="single" w:sz="4" w:space="0" w:color="auto"/>
              <w:right w:val="single" w:sz="4" w:space="0" w:color="auto"/>
            </w:tcBorders>
          </w:tcPr>
          <w:p w14:paraId="12D6912D"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4C8C26D7"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37BAE87D"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Hombre</w:t>
            </w:r>
          </w:p>
        </w:tc>
        <w:tc>
          <w:tcPr>
            <w:tcW w:w="493" w:type="pct"/>
            <w:tcBorders>
              <w:top w:val="nil"/>
              <w:left w:val="nil"/>
              <w:bottom w:val="nil"/>
              <w:right w:val="single" w:sz="4" w:space="0" w:color="auto"/>
            </w:tcBorders>
            <w:noWrap/>
            <w:vAlign w:val="center"/>
          </w:tcPr>
          <w:p w14:paraId="1875C9D8"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9.9</w:t>
            </w:r>
          </w:p>
        </w:tc>
        <w:tc>
          <w:tcPr>
            <w:tcW w:w="493" w:type="pct"/>
            <w:tcBorders>
              <w:top w:val="nil"/>
              <w:left w:val="nil"/>
              <w:bottom w:val="nil"/>
              <w:right w:val="single" w:sz="4" w:space="0" w:color="auto"/>
            </w:tcBorders>
            <w:noWrap/>
            <w:vAlign w:val="center"/>
          </w:tcPr>
          <w:p w14:paraId="79CD336A"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9.5</w:t>
            </w:r>
          </w:p>
        </w:tc>
        <w:tc>
          <w:tcPr>
            <w:tcW w:w="492" w:type="pct"/>
            <w:tcBorders>
              <w:right w:val="single" w:sz="2" w:space="0" w:color="auto"/>
            </w:tcBorders>
            <w:noWrap/>
            <w:vAlign w:val="center"/>
          </w:tcPr>
          <w:p w14:paraId="503A6271"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9.3</w:t>
            </w:r>
          </w:p>
        </w:tc>
      </w:tr>
      <w:tr w:rsidR="000C171B" w:rsidRPr="0010306A" w14:paraId="61F79D27" w14:textId="77777777" w:rsidTr="0049743F">
        <w:trPr>
          <w:trHeight w:val="60"/>
        </w:trPr>
        <w:tc>
          <w:tcPr>
            <w:tcW w:w="391" w:type="pct"/>
            <w:vMerge/>
            <w:tcBorders>
              <w:left w:val="single" w:sz="4" w:space="0" w:color="auto"/>
              <w:right w:val="single" w:sz="4" w:space="0" w:color="auto"/>
            </w:tcBorders>
          </w:tcPr>
          <w:p w14:paraId="17DE8B1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4F8BEC6B"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45F99BA3"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Mujer</w:t>
            </w:r>
          </w:p>
        </w:tc>
        <w:tc>
          <w:tcPr>
            <w:tcW w:w="493" w:type="pct"/>
            <w:tcBorders>
              <w:top w:val="nil"/>
              <w:left w:val="nil"/>
              <w:bottom w:val="nil"/>
              <w:right w:val="single" w:sz="4" w:space="0" w:color="auto"/>
            </w:tcBorders>
            <w:noWrap/>
            <w:vAlign w:val="center"/>
          </w:tcPr>
          <w:p w14:paraId="13D4A318"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10.5</w:t>
            </w:r>
          </w:p>
        </w:tc>
        <w:tc>
          <w:tcPr>
            <w:tcW w:w="493" w:type="pct"/>
            <w:tcBorders>
              <w:top w:val="nil"/>
              <w:left w:val="nil"/>
              <w:bottom w:val="nil"/>
              <w:right w:val="single" w:sz="4" w:space="0" w:color="auto"/>
            </w:tcBorders>
            <w:noWrap/>
            <w:vAlign w:val="center"/>
          </w:tcPr>
          <w:p w14:paraId="5F819241"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10.3</w:t>
            </w:r>
          </w:p>
        </w:tc>
        <w:tc>
          <w:tcPr>
            <w:tcW w:w="492" w:type="pct"/>
            <w:tcBorders>
              <w:right w:val="single" w:sz="2" w:space="0" w:color="auto"/>
            </w:tcBorders>
            <w:noWrap/>
            <w:vAlign w:val="center"/>
          </w:tcPr>
          <w:p w14:paraId="08D4ACD8"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10.3</w:t>
            </w:r>
          </w:p>
        </w:tc>
      </w:tr>
      <w:tr w:rsidR="000C171B" w:rsidRPr="0010306A" w14:paraId="087A9FA7" w14:textId="77777777" w:rsidTr="0049743F">
        <w:trPr>
          <w:trHeight w:val="60"/>
        </w:trPr>
        <w:tc>
          <w:tcPr>
            <w:tcW w:w="391" w:type="pct"/>
            <w:vMerge/>
            <w:tcBorders>
              <w:left w:val="single" w:sz="4" w:space="0" w:color="auto"/>
              <w:right w:val="single" w:sz="4" w:space="0" w:color="auto"/>
            </w:tcBorders>
          </w:tcPr>
          <w:p w14:paraId="7354D454"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1862A1B0"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1AE1AA7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Área Urbana</w:t>
            </w:r>
          </w:p>
        </w:tc>
        <w:tc>
          <w:tcPr>
            <w:tcW w:w="493" w:type="pct"/>
            <w:tcBorders>
              <w:top w:val="nil"/>
              <w:left w:val="nil"/>
              <w:bottom w:val="nil"/>
              <w:right w:val="single" w:sz="4" w:space="0" w:color="auto"/>
            </w:tcBorders>
            <w:noWrap/>
            <w:vAlign w:val="center"/>
          </w:tcPr>
          <w:p w14:paraId="5E56572C"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2.9</w:t>
            </w:r>
          </w:p>
        </w:tc>
        <w:tc>
          <w:tcPr>
            <w:tcW w:w="493" w:type="pct"/>
            <w:tcBorders>
              <w:top w:val="nil"/>
              <w:left w:val="nil"/>
              <w:bottom w:val="nil"/>
              <w:right w:val="single" w:sz="4" w:space="0" w:color="auto"/>
            </w:tcBorders>
            <w:noWrap/>
            <w:vAlign w:val="center"/>
          </w:tcPr>
          <w:p w14:paraId="315B240D"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2.8</w:t>
            </w:r>
          </w:p>
        </w:tc>
        <w:tc>
          <w:tcPr>
            <w:tcW w:w="492" w:type="pct"/>
            <w:tcBorders>
              <w:right w:val="single" w:sz="2" w:space="0" w:color="auto"/>
            </w:tcBorders>
            <w:noWrap/>
            <w:vAlign w:val="center"/>
          </w:tcPr>
          <w:p w14:paraId="1082E43D"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2.8</w:t>
            </w:r>
          </w:p>
        </w:tc>
      </w:tr>
      <w:tr w:rsidR="000C171B" w:rsidRPr="0010306A" w14:paraId="69AB7B14" w14:textId="77777777" w:rsidTr="0049743F">
        <w:trPr>
          <w:trHeight w:val="60"/>
        </w:trPr>
        <w:tc>
          <w:tcPr>
            <w:tcW w:w="391" w:type="pct"/>
            <w:vMerge/>
            <w:tcBorders>
              <w:left w:val="single" w:sz="4" w:space="0" w:color="auto"/>
              <w:bottom w:val="single" w:sz="4" w:space="0" w:color="auto"/>
              <w:right w:val="single" w:sz="4" w:space="0" w:color="auto"/>
            </w:tcBorders>
          </w:tcPr>
          <w:p w14:paraId="634B7294"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60777859"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6250CD5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Área Rural total</w:t>
            </w:r>
          </w:p>
        </w:tc>
        <w:tc>
          <w:tcPr>
            <w:tcW w:w="493" w:type="pct"/>
            <w:tcBorders>
              <w:top w:val="nil"/>
              <w:left w:val="nil"/>
              <w:bottom w:val="single" w:sz="4" w:space="0" w:color="auto"/>
              <w:right w:val="single" w:sz="4" w:space="0" w:color="auto"/>
            </w:tcBorders>
            <w:noWrap/>
            <w:vAlign w:val="center"/>
          </w:tcPr>
          <w:p w14:paraId="50E268BB"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25.2</w:t>
            </w:r>
          </w:p>
        </w:tc>
        <w:tc>
          <w:tcPr>
            <w:tcW w:w="493" w:type="pct"/>
            <w:tcBorders>
              <w:top w:val="nil"/>
              <w:left w:val="nil"/>
              <w:bottom w:val="single" w:sz="4" w:space="0" w:color="auto"/>
              <w:right w:val="single" w:sz="4" w:space="0" w:color="auto"/>
            </w:tcBorders>
            <w:noWrap/>
            <w:vAlign w:val="center"/>
          </w:tcPr>
          <w:p w14:paraId="18D8BDE1"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24.8</w:t>
            </w:r>
          </w:p>
        </w:tc>
        <w:tc>
          <w:tcPr>
            <w:tcW w:w="492" w:type="pct"/>
            <w:tcBorders>
              <w:bottom w:val="single" w:sz="4" w:space="0" w:color="auto"/>
              <w:right w:val="single" w:sz="2" w:space="0" w:color="auto"/>
            </w:tcBorders>
            <w:noWrap/>
            <w:vAlign w:val="center"/>
          </w:tcPr>
          <w:p w14:paraId="4DF92273"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24.6</w:t>
            </w:r>
          </w:p>
        </w:tc>
      </w:tr>
      <w:tr w:rsidR="000C171B" w:rsidRPr="0010306A" w14:paraId="73121F56" w14:textId="77777777" w:rsidTr="0049743F">
        <w:trPr>
          <w:trHeight w:val="60"/>
        </w:trPr>
        <w:tc>
          <w:tcPr>
            <w:tcW w:w="391" w:type="pct"/>
            <w:vMerge w:val="restart"/>
            <w:tcBorders>
              <w:top w:val="single" w:sz="4" w:space="0" w:color="auto"/>
              <w:left w:val="single" w:sz="4" w:space="0" w:color="auto"/>
              <w:right w:val="single" w:sz="4" w:space="0" w:color="auto"/>
            </w:tcBorders>
          </w:tcPr>
          <w:p w14:paraId="729D9E4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1</w:t>
            </w:r>
          </w:p>
        </w:tc>
        <w:tc>
          <w:tcPr>
            <w:tcW w:w="1565" w:type="pct"/>
            <w:vMerge w:val="restart"/>
            <w:tcBorders>
              <w:top w:val="single" w:sz="4" w:space="0" w:color="auto"/>
              <w:left w:val="nil"/>
              <w:right w:val="single" w:sz="4" w:space="0" w:color="auto"/>
            </w:tcBorders>
          </w:tcPr>
          <w:p w14:paraId="23CE1F34"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 xml:space="preserve">Evolución de los niveles de bienestar de la población (Pobreza no extrema). </w:t>
            </w:r>
          </w:p>
        </w:tc>
        <w:tc>
          <w:tcPr>
            <w:tcW w:w="1566" w:type="pct"/>
            <w:tcBorders>
              <w:top w:val="single" w:sz="4" w:space="0" w:color="auto"/>
              <w:left w:val="nil"/>
              <w:bottom w:val="nil"/>
              <w:right w:val="single" w:sz="4" w:space="0" w:color="auto"/>
            </w:tcBorders>
            <w:vAlign w:val="center"/>
          </w:tcPr>
          <w:p w14:paraId="358FC8D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Total</w:t>
            </w:r>
          </w:p>
        </w:tc>
        <w:tc>
          <w:tcPr>
            <w:tcW w:w="493" w:type="pct"/>
            <w:tcBorders>
              <w:top w:val="single" w:sz="4" w:space="0" w:color="auto"/>
              <w:left w:val="nil"/>
              <w:bottom w:val="nil"/>
              <w:right w:val="single" w:sz="4" w:space="0" w:color="auto"/>
            </w:tcBorders>
            <w:noWrap/>
            <w:vAlign w:val="center"/>
          </w:tcPr>
          <w:p w14:paraId="681977E3"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12.9</w:t>
            </w:r>
          </w:p>
        </w:tc>
        <w:tc>
          <w:tcPr>
            <w:tcW w:w="493" w:type="pct"/>
            <w:tcBorders>
              <w:top w:val="single" w:sz="4" w:space="0" w:color="auto"/>
              <w:left w:val="nil"/>
              <w:bottom w:val="nil"/>
              <w:right w:val="single" w:sz="4" w:space="0" w:color="auto"/>
            </w:tcBorders>
            <w:noWrap/>
            <w:vAlign w:val="center"/>
          </w:tcPr>
          <w:p w14:paraId="341922BF"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12.2</w:t>
            </w:r>
          </w:p>
        </w:tc>
        <w:tc>
          <w:tcPr>
            <w:tcW w:w="492" w:type="pct"/>
            <w:tcBorders>
              <w:top w:val="single" w:sz="4" w:space="0" w:color="auto"/>
              <w:right w:val="single" w:sz="2" w:space="0" w:color="auto"/>
            </w:tcBorders>
            <w:noWrap/>
            <w:vAlign w:val="center"/>
          </w:tcPr>
          <w:p w14:paraId="4356C6B6"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10.9</w:t>
            </w:r>
          </w:p>
        </w:tc>
      </w:tr>
      <w:tr w:rsidR="000C171B" w:rsidRPr="0010306A" w14:paraId="2B3B298E" w14:textId="77777777" w:rsidTr="0049743F">
        <w:trPr>
          <w:trHeight w:val="60"/>
        </w:trPr>
        <w:tc>
          <w:tcPr>
            <w:tcW w:w="391" w:type="pct"/>
            <w:vMerge/>
            <w:tcBorders>
              <w:left w:val="single" w:sz="4" w:space="0" w:color="auto"/>
              <w:right w:val="single" w:sz="4" w:space="0" w:color="auto"/>
            </w:tcBorders>
          </w:tcPr>
          <w:p w14:paraId="194923AD"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25EA5A06"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2A8C582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Hombre</w:t>
            </w:r>
          </w:p>
        </w:tc>
        <w:tc>
          <w:tcPr>
            <w:tcW w:w="493" w:type="pct"/>
            <w:tcBorders>
              <w:top w:val="nil"/>
              <w:left w:val="nil"/>
              <w:bottom w:val="nil"/>
              <w:right w:val="single" w:sz="4" w:space="0" w:color="auto"/>
            </w:tcBorders>
            <w:noWrap/>
            <w:vAlign w:val="center"/>
          </w:tcPr>
          <w:p w14:paraId="651F481B"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12.4</w:t>
            </w:r>
          </w:p>
        </w:tc>
        <w:tc>
          <w:tcPr>
            <w:tcW w:w="493" w:type="pct"/>
            <w:tcBorders>
              <w:top w:val="nil"/>
              <w:left w:val="nil"/>
              <w:bottom w:val="nil"/>
              <w:right w:val="single" w:sz="4" w:space="0" w:color="auto"/>
            </w:tcBorders>
            <w:noWrap/>
            <w:vAlign w:val="center"/>
          </w:tcPr>
          <w:p w14:paraId="7C1E0F84"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11.8</w:t>
            </w:r>
          </w:p>
        </w:tc>
        <w:tc>
          <w:tcPr>
            <w:tcW w:w="492" w:type="pct"/>
            <w:tcBorders>
              <w:right w:val="single" w:sz="2" w:space="0" w:color="auto"/>
            </w:tcBorders>
            <w:noWrap/>
            <w:vAlign w:val="center"/>
          </w:tcPr>
          <w:p w14:paraId="284647BF"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11.0</w:t>
            </w:r>
          </w:p>
        </w:tc>
      </w:tr>
      <w:tr w:rsidR="000C171B" w:rsidRPr="0010306A" w14:paraId="350E338A" w14:textId="77777777" w:rsidTr="0049743F">
        <w:trPr>
          <w:trHeight w:val="60"/>
        </w:trPr>
        <w:tc>
          <w:tcPr>
            <w:tcW w:w="391" w:type="pct"/>
            <w:vMerge/>
            <w:tcBorders>
              <w:left w:val="single" w:sz="4" w:space="0" w:color="auto"/>
              <w:right w:val="single" w:sz="4" w:space="0" w:color="auto"/>
            </w:tcBorders>
          </w:tcPr>
          <w:p w14:paraId="17B5E4C9"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3816AF56"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5951588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Mujer</w:t>
            </w:r>
          </w:p>
        </w:tc>
        <w:tc>
          <w:tcPr>
            <w:tcW w:w="493" w:type="pct"/>
            <w:tcBorders>
              <w:top w:val="nil"/>
              <w:left w:val="nil"/>
              <w:bottom w:val="nil"/>
              <w:right w:val="single" w:sz="4" w:space="0" w:color="auto"/>
            </w:tcBorders>
            <w:noWrap/>
            <w:vAlign w:val="center"/>
          </w:tcPr>
          <w:p w14:paraId="20BED8B0"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13.3</w:t>
            </w:r>
          </w:p>
        </w:tc>
        <w:tc>
          <w:tcPr>
            <w:tcW w:w="493" w:type="pct"/>
            <w:tcBorders>
              <w:top w:val="nil"/>
              <w:left w:val="nil"/>
              <w:bottom w:val="nil"/>
              <w:right w:val="single" w:sz="4" w:space="0" w:color="auto"/>
            </w:tcBorders>
            <w:noWrap/>
            <w:vAlign w:val="center"/>
          </w:tcPr>
          <w:p w14:paraId="548BAC02"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12.6</w:t>
            </w:r>
          </w:p>
        </w:tc>
        <w:tc>
          <w:tcPr>
            <w:tcW w:w="492" w:type="pct"/>
            <w:tcBorders>
              <w:right w:val="single" w:sz="2" w:space="0" w:color="auto"/>
            </w:tcBorders>
            <w:noWrap/>
            <w:vAlign w:val="center"/>
          </w:tcPr>
          <w:p w14:paraId="0D529AED"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10.9</w:t>
            </w:r>
          </w:p>
        </w:tc>
      </w:tr>
      <w:tr w:rsidR="000C171B" w:rsidRPr="0010306A" w14:paraId="73D478F9" w14:textId="77777777" w:rsidTr="0049743F">
        <w:trPr>
          <w:trHeight w:val="60"/>
        </w:trPr>
        <w:tc>
          <w:tcPr>
            <w:tcW w:w="391" w:type="pct"/>
            <w:vMerge/>
            <w:tcBorders>
              <w:left w:val="single" w:sz="4" w:space="0" w:color="auto"/>
              <w:right w:val="single" w:sz="4" w:space="0" w:color="auto"/>
            </w:tcBorders>
          </w:tcPr>
          <w:p w14:paraId="7CDC0CD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20E6BBC1"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4EBD8E9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Área Urbana</w:t>
            </w:r>
          </w:p>
        </w:tc>
        <w:tc>
          <w:tcPr>
            <w:tcW w:w="493" w:type="pct"/>
            <w:tcBorders>
              <w:top w:val="nil"/>
              <w:left w:val="nil"/>
              <w:bottom w:val="nil"/>
              <w:right w:val="single" w:sz="4" w:space="0" w:color="auto"/>
            </w:tcBorders>
            <w:noWrap/>
            <w:vAlign w:val="center"/>
          </w:tcPr>
          <w:p w14:paraId="59140887"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8.7</w:t>
            </w:r>
          </w:p>
        </w:tc>
        <w:tc>
          <w:tcPr>
            <w:tcW w:w="493" w:type="pct"/>
            <w:tcBorders>
              <w:top w:val="nil"/>
              <w:left w:val="nil"/>
              <w:bottom w:val="nil"/>
              <w:right w:val="single" w:sz="4" w:space="0" w:color="auto"/>
            </w:tcBorders>
            <w:noWrap/>
            <w:vAlign w:val="center"/>
          </w:tcPr>
          <w:p w14:paraId="7097FC6E"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8.3</w:t>
            </w:r>
          </w:p>
        </w:tc>
        <w:tc>
          <w:tcPr>
            <w:tcW w:w="492" w:type="pct"/>
            <w:tcBorders>
              <w:right w:val="single" w:sz="2" w:space="0" w:color="auto"/>
            </w:tcBorders>
            <w:noWrap/>
            <w:vAlign w:val="center"/>
          </w:tcPr>
          <w:p w14:paraId="11BBFC8D"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8.2</w:t>
            </w:r>
          </w:p>
        </w:tc>
      </w:tr>
      <w:tr w:rsidR="000C171B" w:rsidRPr="0010306A" w14:paraId="7956B9FC" w14:textId="77777777" w:rsidTr="0049743F">
        <w:trPr>
          <w:trHeight w:val="60"/>
        </w:trPr>
        <w:tc>
          <w:tcPr>
            <w:tcW w:w="391" w:type="pct"/>
            <w:vMerge/>
            <w:tcBorders>
              <w:left w:val="single" w:sz="4" w:space="0" w:color="auto"/>
              <w:bottom w:val="single" w:sz="4" w:space="0" w:color="auto"/>
              <w:right w:val="single" w:sz="4" w:space="0" w:color="auto"/>
            </w:tcBorders>
          </w:tcPr>
          <w:p w14:paraId="3931DAC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48A3A524"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49033889"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Área Rural total</w:t>
            </w:r>
          </w:p>
        </w:tc>
        <w:tc>
          <w:tcPr>
            <w:tcW w:w="493" w:type="pct"/>
            <w:tcBorders>
              <w:top w:val="nil"/>
              <w:left w:val="nil"/>
              <w:bottom w:val="single" w:sz="4" w:space="0" w:color="auto"/>
              <w:right w:val="single" w:sz="4" w:space="0" w:color="auto"/>
            </w:tcBorders>
            <w:noWrap/>
            <w:vAlign w:val="center"/>
          </w:tcPr>
          <w:p w14:paraId="1B9CAD2C"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21.3</w:t>
            </w:r>
          </w:p>
        </w:tc>
        <w:tc>
          <w:tcPr>
            <w:tcW w:w="493" w:type="pct"/>
            <w:tcBorders>
              <w:top w:val="nil"/>
              <w:left w:val="nil"/>
              <w:bottom w:val="single" w:sz="4" w:space="0" w:color="auto"/>
              <w:right w:val="single" w:sz="4" w:space="0" w:color="auto"/>
            </w:tcBorders>
            <w:noWrap/>
            <w:vAlign w:val="center"/>
          </w:tcPr>
          <w:p w14:paraId="64AC3CCF"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20.4</w:t>
            </w:r>
          </w:p>
        </w:tc>
        <w:tc>
          <w:tcPr>
            <w:tcW w:w="492" w:type="pct"/>
            <w:tcBorders>
              <w:bottom w:val="single" w:sz="4" w:space="0" w:color="auto"/>
              <w:right w:val="single" w:sz="2" w:space="0" w:color="auto"/>
            </w:tcBorders>
            <w:noWrap/>
            <w:vAlign w:val="center"/>
          </w:tcPr>
          <w:p w14:paraId="3EA5CA82"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16.8</w:t>
            </w:r>
          </w:p>
        </w:tc>
      </w:tr>
      <w:tr w:rsidR="000C171B" w:rsidRPr="0010306A" w14:paraId="09D50BB6" w14:textId="77777777" w:rsidTr="0049743F">
        <w:trPr>
          <w:trHeight w:val="60"/>
        </w:trPr>
        <w:tc>
          <w:tcPr>
            <w:tcW w:w="391" w:type="pct"/>
            <w:vMerge w:val="restart"/>
            <w:tcBorders>
              <w:top w:val="single" w:sz="4" w:space="0" w:color="auto"/>
              <w:left w:val="single" w:sz="4" w:space="0" w:color="auto"/>
              <w:right w:val="single" w:sz="4" w:space="0" w:color="auto"/>
            </w:tcBorders>
          </w:tcPr>
          <w:p w14:paraId="0F29F3C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 xml:space="preserve">ODS 1 </w:t>
            </w:r>
          </w:p>
        </w:tc>
        <w:tc>
          <w:tcPr>
            <w:tcW w:w="1565" w:type="pct"/>
            <w:vMerge w:val="restart"/>
            <w:tcBorders>
              <w:top w:val="single" w:sz="4" w:space="0" w:color="auto"/>
              <w:left w:val="nil"/>
              <w:right w:val="single" w:sz="4" w:space="0" w:color="auto"/>
            </w:tcBorders>
          </w:tcPr>
          <w:p w14:paraId="577AF808"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Pobreza multidimensional</w:t>
            </w:r>
          </w:p>
        </w:tc>
        <w:tc>
          <w:tcPr>
            <w:tcW w:w="1566" w:type="pct"/>
            <w:tcBorders>
              <w:top w:val="single" w:sz="4" w:space="0" w:color="auto"/>
              <w:left w:val="nil"/>
              <w:bottom w:val="nil"/>
              <w:right w:val="single" w:sz="4" w:space="0" w:color="auto"/>
            </w:tcBorders>
            <w:vAlign w:val="center"/>
          </w:tcPr>
          <w:p w14:paraId="238A2EB6"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Total</w:t>
            </w:r>
          </w:p>
        </w:tc>
        <w:tc>
          <w:tcPr>
            <w:tcW w:w="493" w:type="pct"/>
            <w:tcBorders>
              <w:top w:val="single" w:sz="4" w:space="0" w:color="auto"/>
              <w:left w:val="nil"/>
              <w:bottom w:val="nil"/>
              <w:right w:val="single" w:sz="4" w:space="0" w:color="auto"/>
            </w:tcBorders>
            <w:noWrap/>
            <w:vAlign w:val="center"/>
          </w:tcPr>
          <w:p w14:paraId="072ED3DD"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p>
        </w:tc>
        <w:tc>
          <w:tcPr>
            <w:tcW w:w="493" w:type="pct"/>
            <w:tcBorders>
              <w:top w:val="single" w:sz="4" w:space="0" w:color="auto"/>
              <w:left w:val="nil"/>
              <w:bottom w:val="nil"/>
              <w:right w:val="single" w:sz="4" w:space="0" w:color="auto"/>
            </w:tcBorders>
            <w:noWrap/>
            <w:vAlign w:val="center"/>
          </w:tcPr>
          <w:p w14:paraId="2A826D4C"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p>
        </w:tc>
        <w:tc>
          <w:tcPr>
            <w:tcW w:w="492" w:type="pct"/>
            <w:tcBorders>
              <w:top w:val="single" w:sz="4" w:space="0" w:color="auto"/>
              <w:right w:val="single" w:sz="2" w:space="0" w:color="auto"/>
            </w:tcBorders>
            <w:noWrap/>
            <w:vAlign w:val="center"/>
          </w:tcPr>
          <w:p w14:paraId="68A7D64C"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19.1</w:t>
            </w:r>
          </w:p>
        </w:tc>
      </w:tr>
      <w:tr w:rsidR="000C171B" w:rsidRPr="0010306A" w14:paraId="26CADF28" w14:textId="77777777" w:rsidTr="0049743F">
        <w:trPr>
          <w:trHeight w:val="60"/>
        </w:trPr>
        <w:tc>
          <w:tcPr>
            <w:tcW w:w="391" w:type="pct"/>
            <w:vMerge/>
            <w:tcBorders>
              <w:left w:val="single" w:sz="4" w:space="0" w:color="auto"/>
              <w:right w:val="single" w:sz="4" w:space="0" w:color="auto"/>
            </w:tcBorders>
          </w:tcPr>
          <w:p w14:paraId="4D2F0063"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1F2EA371"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5B40F8D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Hombre</w:t>
            </w:r>
          </w:p>
        </w:tc>
        <w:tc>
          <w:tcPr>
            <w:tcW w:w="493" w:type="pct"/>
            <w:tcBorders>
              <w:top w:val="nil"/>
              <w:left w:val="nil"/>
              <w:bottom w:val="nil"/>
              <w:right w:val="single" w:sz="4" w:space="0" w:color="auto"/>
            </w:tcBorders>
            <w:noWrap/>
            <w:vAlign w:val="center"/>
          </w:tcPr>
          <w:p w14:paraId="66976BA8"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p>
        </w:tc>
        <w:tc>
          <w:tcPr>
            <w:tcW w:w="493" w:type="pct"/>
            <w:tcBorders>
              <w:top w:val="nil"/>
              <w:left w:val="nil"/>
              <w:bottom w:val="nil"/>
              <w:right w:val="single" w:sz="4" w:space="0" w:color="auto"/>
            </w:tcBorders>
            <w:noWrap/>
            <w:vAlign w:val="center"/>
          </w:tcPr>
          <w:p w14:paraId="5A09E92A"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p>
        </w:tc>
        <w:tc>
          <w:tcPr>
            <w:tcW w:w="492" w:type="pct"/>
            <w:tcBorders>
              <w:right w:val="single" w:sz="2" w:space="0" w:color="auto"/>
            </w:tcBorders>
            <w:noWrap/>
            <w:vAlign w:val="center"/>
          </w:tcPr>
          <w:p w14:paraId="4942E7FE"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19.7</w:t>
            </w:r>
          </w:p>
        </w:tc>
      </w:tr>
      <w:tr w:rsidR="000C171B" w:rsidRPr="0010306A" w14:paraId="1E0C1F7C" w14:textId="77777777" w:rsidTr="0049743F">
        <w:trPr>
          <w:trHeight w:val="60"/>
        </w:trPr>
        <w:tc>
          <w:tcPr>
            <w:tcW w:w="391" w:type="pct"/>
            <w:vMerge/>
            <w:tcBorders>
              <w:left w:val="single" w:sz="4" w:space="0" w:color="auto"/>
              <w:right w:val="single" w:sz="4" w:space="0" w:color="auto"/>
            </w:tcBorders>
          </w:tcPr>
          <w:p w14:paraId="4FDFB9E0"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54EAB6FE"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4B7B0856"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Mujer</w:t>
            </w:r>
          </w:p>
        </w:tc>
        <w:tc>
          <w:tcPr>
            <w:tcW w:w="493" w:type="pct"/>
            <w:tcBorders>
              <w:top w:val="nil"/>
              <w:left w:val="nil"/>
              <w:bottom w:val="nil"/>
              <w:right w:val="single" w:sz="4" w:space="0" w:color="auto"/>
            </w:tcBorders>
            <w:noWrap/>
            <w:vAlign w:val="center"/>
          </w:tcPr>
          <w:p w14:paraId="49FBB1D2"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p>
        </w:tc>
        <w:tc>
          <w:tcPr>
            <w:tcW w:w="493" w:type="pct"/>
            <w:tcBorders>
              <w:top w:val="nil"/>
              <w:left w:val="nil"/>
              <w:bottom w:val="nil"/>
              <w:right w:val="single" w:sz="4" w:space="0" w:color="auto"/>
            </w:tcBorders>
            <w:noWrap/>
            <w:vAlign w:val="center"/>
          </w:tcPr>
          <w:p w14:paraId="57E19250"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p>
        </w:tc>
        <w:tc>
          <w:tcPr>
            <w:tcW w:w="492" w:type="pct"/>
            <w:tcBorders>
              <w:right w:val="single" w:sz="2" w:space="0" w:color="auto"/>
            </w:tcBorders>
            <w:noWrap/>
            <w:vAlign w:val="center"/>
          </w:tcPr>
          <w:p w14:paraId="03B6FCC7"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18.5</w:t>
            </w:r>
          </w:p>
        </w:tc>
      </w:tr>
      <w:tr w:rsidR="000C171B" w:rsidRPr="0010306A" w14:paraId="221E0A7F" w14:textId="77777777" w:rsidTr="0049743F">
        <w:trPr>
          <w:trHeight w:val="60"/>
        </w:trPr>
        <w:tc>
          <w:tcPr>
            <w:tcW w:w="391" w:type="pct"/>
            <w:vMerge/>
            <w:tcBorders>
              <w:left w:val="single" w:sz="4" w:space="0" w:color="auto"/>
              <w:right w:val="single" w:sz="4" w:space="0" w:color="auto"/>
            </w:tcBorders>
          </w:tcPr>
          <w:p w14:paraId="52208C92"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45BDA38A"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1737D18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Área urbana</w:t>
            </w:r>
          </w:p>
        </w:tc>
        <w:tc>
          <w:tcPr>
            <w:tcW w:w="493" w:type="pct"/>
            <w:tcBorders>
              <w:top w:val="nil"/>
              <w:left w:val="nil"/>
              <w:bottom w:val="nil"/>
              <w:right w:val="single" w:sz="4" w:space="0" w:color="auto"/>
            </w:tcBorders>
            <w:noWrap/>
            <w:vAlign w:val="center"/>
          </w:tcPr>
          <w:p w14:paraId="536F080E"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p>
        </w:tc>
        <w:tc>
          <w:tcPr>
            <w:tcW w:w="493" w:type="pct"/>
            <w:tcBorders>
              <w:top w:val="nil"/>
              <w:left w:val="nil"/>
              <w:bottom w:val="nil"/>
              <w:right w:val="single" w:sz="4" w:space="0" w:color="auto"/>
            </w:tcBorders>
            <w:noWrap/>
            <w:vAlign w:val="center"/>
          </w:tcPr>
          <w:p w14:paraId="6594E843"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p>
        </w:tc>
        <w:tc>
          <w:tcPr>
            <w:tcW w:w="492" w:type="pct"/>
            <w:tcBorders>
              <w:right w:val="single" w:sz="2" w:space="0" w:color="auto"/>
            </w:tcBorders>
            <w:noWrap/>
            <w:vAlign w:val="center"/>
          </w:tcPr>
          <w:p w14:paraId="1C9F30C1"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9.3</w:t>
            </w:r>
          </w:p>
        </w:tc>
      </w:tr>
      <w:tr w:rsidR="000C171B" w:rsidRPr="0010306A" w14:paraId="7E2DF663" w14:textId="77777777" w:rsidTr="0049743F">
        <w:trPr>
          <w:trHeight w:val="60"/>
        </w:trPr>
        <w:tc>
          <w:tcPr>
            <w:tcW w:w="391" w:type="pct"/>
            <w:vMerge/>
            <w:tcBorders>
              <w:left w:val="single" w:sz="4" w:space="0" w:color="auto"/>
              <w:bottom w:val="single" w:sz="4" w:space="0" w:color="auto"/>
              <w:right w:val="single" w:sz="4" w:space="0" w:color="auto"/>
            </w:tcBorders>
          </w:tcPr>
          <w:p w14:paraId="75856E52"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1AE624DF"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0A2133D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Área  rural total</w:t>
            </w:r>
          </w:p>
        </w:tc>
        <w:tc>
          <w:tcPr>
            <w:tcW w:w="493" w:type="pct"/>
            <w:tcBorders>
              <w:top w:val="nil"/>
              <w:left w:val="nil"/>
              <w:bottom w:val="single" w:sz="4" w:space="0" w:color="auto"/>
              <w:right w:val="single" w:sz="4" w:space="0" w:color="auto"/>
            </w:tcBorders>
            <w:noWrap/>
            <w:vAlign w:val="center"/>
          </w:tcPr>
          <w:p w14:paraId="36CE74C1"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p>
        </w:tc>
        <w:tc>
          <w:tcPr>
            <w:tcW w:w="493" w:type="pct"/>
            <w:tcBorders>
              <w:top w:val="nil"/>
              <w:left w:val="nil"/>
              <w:bottom w:val="single" w:sz="4" w:space="0" w:color="auto"/>
              <w:right w:val="single" w:sz="4" w:space="0" w:color="auto"/>
            </w:tcBorders>
            <w:noWrap/>
            <w:vAlign w:val="center"/>
          </w:tcPr>
          <w:p w14:paraId="2961EC0D"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p>
        </w:tc>
        <w:tc>
          <w:tcPr>
            <w:tcW w:w="492" w:type="pct"/>
            <w:tcBorders>
              <w:bottom w:val="single" w:sz="4" w:space="0" w:color="auto"/>
              <w:right w:val="single" w:sz="2" w:space="0" w:color="auto"/>
            </w:tcBorders>
            <w:noWrap/>
            <w:vAlign w:val="center"/>
          </w:tcPr>
          <w:p w14:paraId="2CA983B1"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39.8</w:t>
            </w:r>
          </w:p>
        </w:tc>
      </w:tr>
      <w:tr w:rsidR="000C171B" w:rsidRPr="0010306A" w14:paraId="38A33805" w14:textId="77777777" w:rsidTr="0049743F">
        <w:trPr>
          <w:trHeight w:val="60"/>
        </w:trPr>
        <w:tc>
          <w:tcPr>
            <w:tcW w:w="391" w:type="pct"/>
            <w:vMerge w:val="restart"/>
            <w:tcBorders>
              <w:top w:val="single" w:sz="4" w:space="0" w:color="auto"/>
              <w:left w:val="single" w:sz="4" w:space="0" w:color="auto"/>
              <w:right w:val="single" w:sz="4" w:space="0" w:color="auto"/>
            </w:tcBorders>
          </w:tcPr>
          <w:p w14:paraId="4452330B"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1</w:t>
            </w:r>
          </w:p>
        </w:tc>
        <w:tc>
          <w:tcPr>
            <w:tcW w:w="1565" w:type="pct"/>
            <w:vMerge w:val="restart"/>
            <w:tcBorders>
              <w:top w:val="single" w:sz="4" w:space="0" w:color="auto"/>
              <w:left w:val="nil"/>
              <w:right w:val="single" w:sz="4" w:space="0" w:color="auto"/>
            </w:tcBorders>
          </w:tcPr>
          <w:p w14:paraId="207D093C"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 xml:space="preserve">Proporción de la población que vive en hogares con acceso a servicios básicos (agua, electricidad y servicios sanitarios).  </w:t>
            </w:r>
          </w:p>
        </w:tc>
        <w:tc>
          <w:tcPr>
            <w:tcW w:w="1566" w:type="pct"/>
            <w:tcBorders>
              <w:top w:val="single" w:sz="4" w:space="0" w:color="auto"/>
              <w:left w:val="nil"/>
              <w:bottom w:val="nil"/>
              <w:right w:val="single" w:sz="4" w:space="0" w:color="auto"/>
            </w:tcBorders>
            <w:vAlign w:val="center"/>
          </w:tcPr>
          <w:p w14:paraId="77D80D46"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Arial"/>
                <w:sz w:val="16"/>
                <w:szCs w:val="16"/>
                <w:lang w:eastAsia="es-PA"/>
              </w:rPr>
              <w:t>Total país</w:t>
            </w:r>
          </w:p>
        </w:tc>
        <w:tc>
          <w:tcPr>
            <w:tcW w:w="493" w:type="pct"/>
            <w:tcBorders>
              <w:top w:val="single" w:sz="4" w:space="0" w:color="auto"/>
              <w:left w:val="nil"/>
              <w:bottom w:val="nil"/>
              <w:right w:val="single" w:sz="4" w:space="0" w:color="auto"/>
            </w:tcBorders>
            <w:noWrap/>
            <w:vAlign w:val="center"/>
          </w:tcPr>
          <w:p w14:paraId="36822566"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Arial"/>
                <w:sz w:val="16"/>
                <w:szCs w:val="16"/>
                <w:lang w:eastAsia="es-PA"/>
              </w:rPr>
              <w:t>77.3</w:t>
            </w:r>
          </w:p>
        </w:tc>
        <w:tc>
          <w:tcPr>
            <w:tcW w:w="493" w:type="pct"/>
            <w:tcBorders>
              <w:top w:val="single" w:sz="4" w:space="0" w:color="auto"/>
              <w:left w:val="nil"/>
              <w:bottom w:val="nil"/>
              <w:right w:val="single" w:sz="4" w:space="0" w:color="auto"/>
            </w:tcBorders>
            <w:noWrap/>
            <w:vAlign w:val="center"/>
          </w:tcPr>
          <w:p w14:paraId="39E19458"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79.2</w:t>
            </w:r>
          </w:p>
        </w:tc>
        <w:tc>
          <w:tcPr>
            <w:tcW w:w="492" w:type="pct"/>
            <w:tcBorders>
              <w:top w:val="single" w:sz="4" w:space="0" w:color="auto"/>
              <w:right w:val="single" w:sz="2" w:space="0" w:color="auto"/>
            </w:tcBorders>
            <w:noWrap/>
            <w:vAlign w:val="center"/>
          </w:tcPr>
          <w:p w14:paraId="1E04C917"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80.2</w:t>
            </w:r>
          </w:p>
        </w:tc>
      </w:tr>
      <w:tr w:rsidR="000C171B" w:rsidRPr="0010306A" w14:paraId="6A17B83C" w14:textId="77777777" w:rsidTr="0049743F">
        <w:trPr>
          <w:trHeight w:val="60"/>
        </w:trPr>
        <w:tc>
          <w:tcPr>
            <w:tcW w:w="391" w:type="pct"/>
            <w:vMerge/>
            <w:tcBorders>
              <w:left w:val="single" w:sz="4" w:space="0" w:color="auto"/>
              <w:right w:val="single" w:sz="4" w:space="0" w:color="auto"/>
            </w:tcBorders>
          </w:tcPr>
          <w:p w14:paraId="68A8E84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32E43BDF"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78D99D72"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Hombre</w:t>
            </w:r>
          </w:p>
        </w:tc>
        <w:tc>
          <w:tcPr>
            <w:tcW w:w="493" w:type="pct"/>
            <w:tcBorders>
              <w:top w:val="nil"/>
              <w:left w:val="nil"/>
              <w:bottom w:val="nil"/>
              <w:right w:val="single" w:sz="4" w:space="0" w:color="auto"/>
            </w:tcBorders>
            <w:noWrap/>
            <w:vAlign w:val="center"/>
          </w:tcPr>
          <w:p w14:paraId="4F7A0A89"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76.4</w:t>
            </w:r>
          </w:p>
        </w:tc>
        <w:tc>
          <w:tcPr>
            <w:tcW w:w="493" w:type="pct"/>
            <w:tcBorders>
              <w:top w:val="nil"/>
              <w:left w:val="nil"/>
              <w:bottom w:val="nil"/>
              <w:right w:val="single" w:sz="4" w:space="0" w:color="auto"/>
            </w:tcBorders>
            <w:noWrap/>
            <w:vAlign w:val="center"/>
          </w:tcPr>
          <w:p w14:paraId="17F307CF"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78.6</w:t>
            </w:r>
          </w:p>
        </w:tc>
        <w:tc>
          <w:tcPr>
            <w:tcW w:w="492" w:type="pct"/>
            <w:tcBorders>
              <w:right w:val="single" w:sz="2" w:space="0" w:color="auto"/>
            </w:tcBorders>
            <w:noWrap/>
            <w:vAlign w:val="center"/>
          </w:tcPr>
          <w:p w14:paraId="617F421A"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79.5</w:t>
            </w:r>
          </w:p>
        </w:tc>
      </w:tr>
      <w:tr w:rsidR="000C171B" w:rsidRPr="0010306A" w14:paraId="1AB47279" w14:textId="77777777" w:rsidTr="0049743F">
        <w:trPr>
          <w:trHeight w:val="60"/>
        </w:trPr>
        <w:tc>
          <w:tcPr>
            <w:tcW w:w="391" w:type="pct"/>
            <w:vMerge/>
            <w:tcBorders>
              <w:left w:val="single" w:sz="4" w:space="0" w:color="auto"/>
              <w:right w:val="single" w:sz="4" w:space="0" w:color="auto"/>
            </w:tcBorders>
          </w:tcPr>
          <w:p w14:paraId="2B03B901"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48DD21B9"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66637F2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Mujer</w:t>
            </w:r>
          </w:p>
        </w:tc>
        <w:tc>
          <w:tcPr>
            <w:tcW w:w="493" w:type="pct"/>
            <w:tcBorders>
              <w:top w:val="nil"/>
              <w:left w:val="nil"/>
              <w:bottom w:val="nil"/>
              <w:right w:val="single" w:sz="4" w:space="0" w:color="auto"/>
            </w:tcBorders>
            <w:noWrap/>
            <w:vAlign w:val="center"/>
          </w:tcPr>
          <w:p w14:paraId="12132B22"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79.2</w:t>
            </w:r>
          </w:p>
        </w:tc>
        <w:tc>
          <w:tcPr>
            <w:tcW w:w="493" w:type="pct"/>
            <w:tcBorders>
              <w:top w:val="nil"/>
              <w:left w:val="nil"/>
              <w:bottom w:val="nil"/>
              <w:right w:val="single" w:sz="4" w:space="0" w:color="auto"/>
            </w:tcBorders>
            <w:noWrap/>
            <w:vAlign w:val="center"/>
          </w:tcPr>
          <w:p w14:paraId="046A70E7"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80.7</w:t>
            </w:r>
          </w:p>
        </w:tc>
        <w:tc>
          <w:tcPr>
            <w:tcW w:w="492" w:type="pct"/>
            <w:tcBorders>
              <w:right w:val="single" w:sz="2" w:space="0" w:color="auto"/>
            </w:tcBorders>
            <w:noWrap/>
            <w:vAlign w:val="center"/>
          </w:tcPr>
          <w:p w14:paraId="0279EE37"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81.7</w:t>
            </w:r>
          </w:p>
        </w:tc>
      </w:tr>
      <w:tr w:rsidR="000C171B" w:rsidRPr="0010306A" w14:paraId="0912B6DF" w14:textId="77777777" w:rsidTr="0049743F">
        <w:trPr>
          <w:trHeight w:val="60"/>
        </w:trPr>
        <w:tc>
          <w:tcPr>
            <w:tcW w:w="391" w:type="pct"/>
            <w:vMerge/>
            <w:tcBorders>
              <w:left w:val="single" w:sz="4" w:space="0" w:color="auto"/>
              <w:right w:val="single" w:sz="4" w:space="0" w:color="auto"/>
            </w:tcBorders>
          </w:tcPr>
          <w:p w14:paraId="1798522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49950DAB"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763A2EF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Área urbana</w:t>
            </w:r>
          </w:p>
        </w:tc>
        <w:tc>
          <w:tcPr>
            <w:tcW w:w="493" w:type="pct"/>
            <w:tcBorders>
              <w:top w:val="nil"/>
              <w:left w:val="nil"/>
              <w:bottom w:val="nil"/>
              <w:right w:val="single" w:sz="4" w:space="0" w:color="auto"/>
            </w:tcBorders>
            <w:noWrap/>
            <w:vAlign w:val="center"/>
          </w:tcPr>
          <w:p w14:paraId="31297FE5"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81.7</w:t>
            </w:r>
          </w:p>
        </w:tc>
        <w:tc>
          <w:tcPr>
            <w:tcW w:w="493" w:type="pct"/>
            <w:tcBorders>
              <w:top w:val="nil"/>
              <w:left w:val="nil"/>
              <w:bottom w:val="nil"/>
              <w:right w:val="single" w:sz="4" w:space="0" w:color="auto"/>
            </w:tcBorders>
            <w:noWrap/>
            <w:vAlign w:val="center"/>
          </w:tcPr>
          <w:p w14:paraId="201C41E5"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83.8</w:t>
            </w:r>
          </w:p>
        </w:tc>
        <w:tc>
          <w:tcPr>
            <w:tcW w:w="492" w:type="pct"/>
            <w:tcBorders>
              <w:right w:val="single" w:sz="2" w:space="0" w:color="auto"/>
            </w:tcBorders>
            <w:noWrap/>
            <w:vAlign w:val="center"/>
          </w:tcPr>
          <w:p w14:paraId="7718AF87"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83.9</w:t>
            </w:r>
          </w:p>
        </w:tc>
      </w:tr>
      <w:tr w:rsidR="000C171B" w:rsidRPr="0010306A" w14:paraId="1C9A89B9" w14:textId="77777777" w:rsidTr="0049743F">
        <w:trPr>
          <w:trHeight w:val="60"/>
        </w:trPr>
        <w:tc>
          <w:tcPr>
            <w:tcW w:w="391" w:type="pct"/>
            <w:vMerge/>
            <w:tcBorders>
              <w:left w:val="single" w:sz="4" w:space="0" w:color="auto"/>
              <w:bottom w:val="single" w:sz="4" w:space="0" w:color="auto"/>
              <w:right w:val="single" w:sz="4" w:space="0" w:color="auto"/>
            </w:tcBorders>
          </w:tcPr>
          <w:p w14:paraId="2DFE40F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0E0FD153"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0FDE2576"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Área rural total</w:t>
            </w:r>
          </w:p>
        </w:tc>
        <w:tc>
          <w:tcPr>
            <w:tcW w:w="493" w:type="pct"/>
            <w:tcBorders>
              <w:top w:val="nil"/>
              <w:left w:val="nil"/>
              <w:bottom w:val="single" w:sz="4" w:space="0" w:color="auto"/>
              <w:right w:val="single" w:sz="4" w:space="0" w:color="auto"/>
            </w:tcBorders>
            <w:noWrap/>
            <w:vAlign w:val="center"/>
          </w:tcPr>
          <w:p w14:paraId="584FDE35"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66.9</w:t>
            </w:r>
          </w:p>
        </w:tc>
        <w:tc>
          <w:tcPr>
            <w:tcW w:w="493" w:type="pct"/>
            <w:tcBorders>
              <w:top w:val="nil"/>
              <w:left w:val="nil"/>
              <w:bottom w:val="single" w:sz="4" w:space="0" w:color="auto"/>
              <w:right w:val="single" w:sz="4" w:space="0" w:color="auto"/>
            </w:tcBorders>
            <w:noWrap/>
            <w:vAlign w:val="center"/>
          </w:tcPr>
          <w:p w14:paraId="0B0C75E4"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68.4</w:t>
            </w:r>
          </w:p>
        </w:tc>
        <w:tc>
          <w:tcPr>
            <w:tcW w:w="492" w:type="pct"/>
            <w:tcBorders>
              <w:bottom w:val="single" w:sz="4" w:space="0" w:color="auto"/>
              <w:right w:val="single" w:sz="2" w:space="0" w:color="auto"/>
            </w:tcBorders>
            <w:noWrap/>
            <w:vAlign w:val="center"/>
          </w:tcPr>
          <w:p w14:paraId="78136F1C"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71.2</w:t>
            </w:r>
          </w:p>
        </w:tc>
      </w:tr>
      <w:tr w:rsidR="000C171B" w:rsidRPr="0010306A" w14:paraId="6E67ABF9" w14:textId="77777777" w:rsidTr="0049743F">
        <w:trPr>
          <w:trHeight w:val="60"/>
        </w:trPr>
        <w:tc>
          <w:tcPr>
            <w:tcW w:w="391" w:type="pct"/>
            <w:vMerge w:val="restart"/>
            <w:tcBorders>
              <w:top w:val="single" w:sz="4" w:space="0" w:color="auto"/>
              <w:left w:val="single" w:sz="4" w:space="0" w:color="auto"/>
              <w:right w:val="single" w:sz="4" w:space="0" w:color="auto"/>
            </w:tcBorders>
          </w:tcPr>
          <w:p w14:paraId="6FA23E1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 xml:space="preserve">ODS 1 </w:t>
            </w:r>
          </w:p>
        </w:tc>
        <w:tc>
          <w:tcPr>
            <w:tcW w:w="1565" w:type="pct"/>
            <w:vMerge w:val="restart"/>
            <w:tcBorders>
              <w:top w:val="single" w:sz="4" w:space="0" w:color="auto"/>
              <w:left w:val="nil"/>
              <w:right w:val="single" w:sz="4" w:space="0" w:color="auto"/>
            </w:tcBorders>
          </w:tcPr>
          <w:p w14:paraId="3E3602C7"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Proporción del gasto público total en servicios esenciales</w:t>
            </w:r>
          </w:p>
        </w:tc>
        <w:tc>
          <w:tcPr>
            <w:tcW w:w="1566" w:type="pct"/>
            <w:tcBorders>
              <w:top w:val="single" w:sz="4" w:space="0" w:color="auto"/>
              <w:left w:val="nil"/>
              <w:bottom w:val="nil"/>
              <w:right w:val="single" w:sz="4" w:space="0" w:color="auto"/>
            </w:tcBorders>
            <w:vAlign w:val="center"/>
          </w:tcPr>
          <w:p w14:paraId="39156C21" w14:textId="77777777" w:rsidR="000C171B" w:rsidRPr="00D336D1" w:rsidRDefault="000C171B" w:rsidP="002C49EF">
            <w:pPr>
              <w:spacing w:after="0" w:line="240" w:lineRule="auto"/>
              <w:rPr>
                <w:rFonts w:ascii="Arial Narrow" w:eastAsia="Times New Roman" w:hAnsi="Arial Narrow" w:cs="Arial"/>
                <w:color w:val="000000"/>
                <w:sz w:val="16"/>
                <w:szCs w:val="16"/>
                <w:lang w:eastAsia="es-PA"/>
              </w:rPr>
            </w:pPr>
            <w:r w:rsidRPr="00D336D1">
              <w:rPr>
                <w:rFonts w:ascii="Arial Narrow" w:eastAsia="Times New Roman" w:hAnsi="Arial Narrow" w:cs="Calibri"/>
                <w:color w:val="000000"/>
                <w:sz w:val="16"/>
                <w:szCs w:val="16"/>
                <w:lang w:eastAsia="es-PA"/>
              </w:rPr>
              <w:t>Salud</w:t>
            </w:r>
          </w:p>
        </w:tc>
        <w:tc>
          <w:tcPr>
            <w:tcW w:w="493" w:type="pct"/>
            <w:tcBorders>
              <w:top w:val="single" w:sz="4" w:space="0" w:color="auto"/>
              <w:left w:val="nil"/>
              <w:bottom w:val="nil"/>
              <w:right w:val="single" w:sz="4" w:space="0" w:color="auto"/>
            </w:tcBorders>
            <w:noWrap/>
            <w:vAlign w:val="center"/>
          </w:tcPr>
          <w:p w14:paraId="05E1EDAE"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13.9</w:t>
            </w:r>
          </w:p>
        </w:tc>
        <w:tc>
          <w:tcPr>
            <w:tcW w:w="493" w:type="pct"/>
            <w:tcBorders>
              <w:top w:val="single" w:sz="4" w:space="0" w:color="auto"/>
              <w:left w:val="nil"/>
              <w:bottom w:val="nil"/>
              <w:right w:val="single" w:sz="4" w:space="0" w:color="auto"/>
            </w:tcBorders>
            <w:noWrap/>
            <w:vAlign w:val="center"/>
          </w:tcPr>
          <w:p w14:paraId="4767EED2"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13.1</w:t>
            </w:r>
          </w:p>
        </w:tc>
        <w:tc>
          <w:tcPr>
            <w:tcW w:w="492" w:type="pct"/>
            <w:tcBorders>
              <w:top w:val="single" w:sz="4" w:space="0" w:color="auto"/>
              <w:right w:val="single" w:sz="2" w:space="0" w:color="auto"/>
            </w:tcBorders>
            <w:noWrap/>
            <w:vAlign w:val="center"/>
          </w:tcPr>
          <w:p w14:paraId="7941DA7B"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12.8</w:t>
            </w:r>
          </w:p>
        </w:tc>
      </w:tr>
      <w:tr w:rsidR="000C171B" w:rsidRPr="0010306A" w14:paraId="582168B5" w14:textId="77777777" w:rsidTr="0049743F">
        <w:trPr>
          <w:trHeight w:val="60"/>
        </w:trPr>
        <w:tc>
          <w:tcPr>
            <w:tcW w:w="391" w:type="pct"/>
            <w:vMerge/>
            <w:tcBorders>
              <w:left w:val="single" w:sz="4" w:space="0" w:color="auto"/>
              <w:right w:val="single" w:sz="4" w:space="0" w:color="auto"/>
            </w:tcBorders>
          </w:tcPr>
          <w:p w14:paraId="1A3D6313"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400E8DDE"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09655FCF" w14:textId="77777777" w:rsidR="000C171B" w:rsidRPr="00D336D1" w:rsidRDefault="000C171B" w:rsidP="002C49EF">
            <w:pPr>
              <w:spacing w:after="0" w:line="240" w:lineRule="auto"/>
              <w:rPr>
                <w:rFonts w:ascii="Arial Narrow" w:eastAsia="Times New Roman" w:hAnsi="Arial Narrow" w:cs="Arial"/>
                <w:color w:val="000000"/>
                <w:sz w:val="16"/>
                <w:szCs w:val="16"/>
                <w:lang w:eastAsia="es-PA"/>
              </w:rPr>
            </w:pPr>
            <w:r w:rsidRPr="00D336D1">
              <w:rPr>
                <w:rFonts w:ascii="Arial Narrow" w:eastAsia="Times New Roman" w:hAnsi="Arial Narrow" w:cs="Calibri"/>
                <w:color w:val="000000"/>
                <w:sz w:val="16"/>
                <w:szCs w:val="16"/>
                <w:lang w:eastAsia="es-PA"/>
              </w:rPr>
              <w:t>Educación</w:t>
            </w:r>
          </w:p>
        </w:tc>
        <w:tc>
          <w:tcPr>
            <w:tcW w:w="493" w:type="pct"/>
            <w:tcBorders>
              <w:top w:val="nil"/>
              <w:left w:val="nil"/>
              <w:bottom w:val="nil"/>
              <w:right w:val="single" w:sz="4" w:space="0" w:color="auto"/>
            </w:tcBorders>
            <w:noWrap/>
            <w:vAlign w:val="center"/>
          </w:tcPr>
          <w:p w14:paraId="111939BB"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10.3</w:t>
            </w:r>
          </w:p>
        </w:tc>
        <w:tc>
          <w:tcPr>
            <w:tcW w:w="493" w:type="pct"/>
            <w:tcBorders>
              <w:top w:val="nil"/>
              <w:left w:val="nil"/>
              <w:bottom w:val="nil"/>
              <w:right w:val="single" w:sz="4" w:space="0" w:color="auto"/>
            </w:tcBorders>
            <w:noWrap/>
            <w:vAlign w:val="center"/>
          </w:tcPr>
          <w:p w14:paraId="0FC870E3"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10.0</w:t>
            </w:r>
          </w:p>
        </w:tc>
        <w:tc>
          <w:tcPr>
            <w:tcW w:w="492" w:type="pct"/>
            <w:tcBorders>
              <w:right w:val="single" w:sz="2" w:space="0" w:color="auto"/>
            </w:tcBorders>
            <w:noWrap/>
            <w:vAlign w:val="center"/>
          </w:tcPr>
          <w:p w14:paraId="179F5F8D"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10.0</w:t>
            </w:r>
          </w:p>
        </w:tc>
      </w:tr>
      <w:tr w:rsidR="000C171B" w:rsidRPr="0010306A" w14:paraId="7225D180" w14:textId="77777777" w:rsidTr="0049743F">
        <w:trPr>
          <w:trHeight w:val="60"/>
        </w:trPr>
        <w:tc>
          <w:tcPr>
            <w:tcW w:w="391" w:type="pct"/>
            <w:vMerge/>
            <w:tcBorders>
              <w:left w:val="single" w:sz="4" w:space="0" w:color="auto"/>
              <w:bottom w:val="single" w:sz="4" w:space="0" w:color="auto"/>
              <w:right w:val="single" w:sz="4" w:space="0" w:color="auto"/>
            </w:tcBorders>
          </w:tcPr>
          <w:p w14:paraId="14BAC25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5BBE7499"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348BE820" w14:textId="77777777" w:rsidR="000C171B" w:rsidRPr="00D336D1" w:rsidRDefault="000C171B" w:rsidP="002C49EF">
            <w:pPr>
              <w:spacing w:after="0" w:line="240" w:lineRule="auto"/>
              <w:rPr>
                <w:rFonts w:ascii="Arial Narrow" w:eastAsia="Times New Roman" w:hAnsi="Arial Narrow" w:cs="Arial"/>
                <w:color w:val="000000"/>
                <w:sz w:val="16"/>
                <w:szCs w:val="16"/>
                <w:lang w:eastAsia="es-PA"/>
              </w:rPr>
            </w:pPr>
            <w:r w:rsidRPr="00D336D1">
              <w:rPr>
                <w:rFonts w:ascii="Arial Narrow" w:eastAsia="Times New Roman" w:hAnsi="Arial Narrow" w:cs="Calibri"/>
                <w:color w:val="000000"/>
                <w:sz w:val="16"/>
                <w:szCs w:val="16"/>
                <w:lang w:eastAsia="es-PA"/>
              </w:rPr>
              <w:t>Trabajo y seguridad social</w:t>
            </w:r>
          </w:p>
        </w:tc>
        <w:tc>
          <w:tcPr>
            <w:tcW w:w="493" w:type="pct"/>
            <w:tcBorders>
              <w:top w:val="nil"/>
              <w:left w:val="nil"/>
              <w:bottom w:val="single" w:sz="4" w:space="0" w:color="auto"/>
              <w:right w:val="single" w:sz="4" w:space="0" w:color="auto"/>
            </w:tcBorders>
            <w:noWrap/>
            <w:vAlign w:val="center"/>
          </w:tcPr>
          <w:p w14:paraId="7654E598"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8.5</w:t>
            </w:r>
          </w:p>
        </w:tc>
        <w:tc>
          <w:tcPr>
            <w:tcW w:w="493" w:type="pct"/>
            <w:tcBorders>
              <w:top w:val="nil"/>
              <w:left w:val="nil"/>
              <w:bottom w:val="single" w:sz="4" w:space="0" w:color="auto"/>
              <w:right w:val="single" w:sz="4" w:space="0" w:color="auto"/>
            </w:tcBorders>
            <w:noWrap/>
            <w:vAlign w:val="center"/>
          </w:tcPr>
          <w:p w14:paraId="31F8ED7C"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8.3</w:t>
            </w:r>
          </w:p>
        </w:tc>
        <w:tc>
          <w:tcPr>
            <w:tcW w:w="492" w:type="pct"/>
            <w:tcBorders>
              <w:bottom w:val="single" w:sz="4" w:space="0" w:color="auto"/>
              <w:right w:val="single" w:sz="2" w:space="0" w:color="auto"/>
            </w:tcBorders>
            <w:noWrap/>
            <w:vAlign w:val="center"/>
          </w:tcPr>
          <w:p w14:paraId="35BB6BDD"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8.5</w:t>
            </w:r>
          </w:p>
        </w:tc>
      </w:tr>
      <w:tr w:rsidR="000C171B" w:rsidRPr="0010306A" w14:paraId="4D85968A" w14:textId="77777777" w:rsidTr="0049743F">
        <w:trPr>
          <w:trHeight w:val="60"/>
        </w:trPr>
        <w:tc>
          <w:tcPr>
            <w:tcW w:w="391" w:type="pct"/>
            <w:vMerge w:val="restart"/>
            <w:tcBorders>
              <w:top w:val="single" w:sz="4" w:space="0" w:color="auto"/>
              <w:left w:val="single" w:sz="4" w:space="0" w:color="auto"/>
              <w:right w:val="single" w:sz="4" w:space="0" w:color="auto"/>
            </w:tcBorders>
          </w:tcPr>
          <w:p w14:paraId="2FE321F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2</w:t>
            </w:r>
          </w:p>
        </w:tc>
        <w:tc>
          <w:tcPr>
            <w:tcW w:w="1565" w:type="pct"/>
            <w:vMerge w:val="restart"/>
            <w:tcBorders>
              <w:top w:val="single" w:sz="4" w:space="0" w:color="auto"/>
              <w:left w:val="nil"/>
              <w:right w:val="single" w:sz="4" w:space="0" w:color="auto"/>
            </w:tcBorders>
          </w:tcPr>
          <w:p w14:paraId="379C0F46"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Índice del gasto público en infraestructura, investigación, servicios de extensión, desarrollo tecnológico y banco de genes de plantas y ganado</w:t>
            </w:r>
          </w:p>
        </w:tc>
        <w:tc>
          <w:tcPr>
            <w:tcW w:w="1566" w:type="pct"/>
            <w:tcBorders>
              <w:top w:val="single" w:sz="4" w:space="0" w:color="auto"/>
              <w:left w:val="nil"/>
              <w:bottom w:val="nil"/>
              <w:right w:val="single" w:sz="4" w:space="0" w:color="auto"/>
            </w:tcBorders>
            <w:vAlign w:val="center"/>
          </w:tcPr>
          <w:p w14:paraId="7902CFE3" w14:textId="77777777" w:rsidR="000C171B" w:rsidRPr="00D336D1" w:rsidRDefault="000C171B" w:rsidP="002C49EF">
            <w:pPr>
              <w:spacing w:after="0" w:line="240" w:lineRule="auto"/>
              <w:rPr>
                <w:rFonts w:ascii="Arial Narrow" w:eastAsia="Times New Roman" w:hAnsi="Arial Narrow" w:cs="Arial"/>
                <w:color w:val="000000"/>
                <w:sz w:val="16"/>
                <w:szCs w:val="16"/>
                <w:lang w:eastAsia="es-PA"/>
              </w:rPr>
            </w:pPr>
            <w:r w:rsidRPr="00D336D1">
              <w:rPr>
                <w:rFonts w:ascii="Arial Narrow" w:eastAsia="Times New Roman" w:hAnsi="Arial Narrow" w:cs="Arial"/>
                <w:color w:val="000000"/>
                <w:sz w:val="16"/>
                <w:szCs w:val="16"/>
                <w:lang w:eastAsia="es-PA"/>
              </w:rPr>
              <w:t>Total</w:t>
            </w:r>
          </w:p>
        </w:tc>
        <w:tc>
          <w:tcPr>
            <w:tcW w:w="493" w:type="pct"/>
            <w:tcBorders>
              <w:top w:val="single" w:sz="4" w:space="0" w:color="auto"/>
              <w:left w:val="nil"/>
              <w:bottom w:val="nil"/>
              <w:right w:val="single" w:sz="4" w:space="0" w:color="auto"/>
            </w:tcBorders>
            <w:noWrap/>
            <w:vAlign w:val="center"/>
          </w:tcPr>
          <w:p w14:paraId="7BEE2109"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69.4</w:t>
            </w:r>
          </w:p>
        </w:tc>
        <w:tc>
          <w:tcPr>
            <w:tcW w:w="493" w:type="pct"/>
            <w:tcBorders>
              <w:top w:val="single" w:sz="4" w:space="0" w:color="auto"/>
              <w:left w:val="nil"/>
              <w:bottom w:val="nil"/>
              <w:right w:val="single" w:sz="4" w:space="0" w:color="auto"/>
            </w:tcBorders>
            <w:noWrap/>
            <w:vAlign w:val="center"/>
          </w:tcPr>
          <w:p w14:paraId="797653EC"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74.3</w:t>
            </w:r>
          </w:p>
        </w:tc>
        <w:tc>
          <w:tcPr>
            <w:tcW w:w="492" w:type="pct"/>
            <w:tcBorders>
              <w:top w:val="single" w:sz="4" w:space="0" w:color="auto"/>
              <w:right w:val="single" w:sz="2" w:space="0" w:color="auto"/>
            </w:tcBorders>
            <w:noWrap/>
            <w:vAlign w:val="center"/>
          </w:tcPr>
          <w:p w14:paraId="4B7E761A"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71.2</w:t>
            </w:r>
          </w:p>
        </w:tc>
      </w:tr>
      <w:tr w:rsidR="000C171B" w:rsidRPr="0010306A" w14:paraId="636CD050" w14:textId="77777777" w:rsidTr="0049743F">
        <w:trPr>
          <w:trHeight w:val="60"/>
        </w:trPr>
        <w:tc>
          <w:tcPr>
            <w:tcW w:w="391" w:type="pct"/>
            <w:vMerge/>
            <w:tcBorders>
              <w:left w:val="single" w:sz="4" w:space="0" w:color="auto"/>
              <w:right w:val="single" w:sz="4" w:space="0" w:color="auto"/>
            </w:tcBorders>
          </w:tcPr>
          <w:p w14:paraId="18ED16D5"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5A91B607"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230123C7" w14:textId="77777777" w:rsidR="000C171B" w:rsidRPr="00D336D1" w:rsidRDefault="000C171B" w:rsidP="002C49EF">
            <w:pPr>
              <w:spacing w:after="0" w:line="240" w:lineRule="auto"/>
              <w:rPr>
                <w:rFonts w:ascii="Arial Narrow" w:eastAsia="Times New Roman" w:hAnsi="Arial Narrow" w:cs="Arial"/>
                <w:color w:val="000000"/>
                <w:sz w:val="16"/>
                <w:szCs w:val="16"/>
                <w:lang w:eastAsia="es-PA"/>
              </w:rPr>
            </w:pPr>
            <w:r w:rsidRPr="00D336D1">
              <w:rPr>
                <w:rFonts w:ascii="Arial Narrow" w:eastAsia="Times New Roman" w:hAnsi="Arial Narrow" w:cs="Calibri"/>
                <w:color w:val="000000"/>
                <w:sz w:val="16"/>
                <w:szCs w:val="16"/>
                <w:lang w:eastAsia="es-PA"/>
              </w:rPr>
              <w:t>Infraestructura rural</w:t>
            </w:r>
          </w:p>
        </w:tc>
        <w:tc>
          <w:tcPr>
            <w:tcW w:w="493" w:type="pct"/>
            <w:tcBorders>
              <w:top w:val="nil"/>
              <w:left w:val="nil"/>
              <w:bottom w:val="nil"/>
              <w:right w:val="single" w:sz="4" w:space="0" w:color="auto"/>
            </w:tcBorders>
            <w:noWrap/>
            <w:vAlign w:val="center"/>
          </w:tcPr>
          <w:p w14:paraId="7DC65F15"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50.5</w:t>
            </w:r>
          </w:p>
        </w:tc>
        <w:tc>
          <w:tcPr>
            <w:tcW w:w="493" w:type="pct"/>
            <w:tcBorders>
              <w:top w:val="nil"/>
              <w:left w:val="nil"/>
              <w:bottom w:val="nil"/>
              <w:right w:val="single" w:sz="4" w:space="0" w:color="auto"/>
            </w:tcBorders>
            <w:noWrap/>
            <w:vAlign w:val="center"/>
          </w:tcPr>
          <w:p w14:paraId="3E3AA802"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40.6</w:t>
            </w:r>
          </w:p>
        </w:tc>
        <w:tc>
          <w:tcPr>
            <w:tcW w:w="492" w:type="pct"/>
            <w:tcBorders>
              <w:right w:val="single" w:sz="2" w:space="0" w:color="auto"/>
            </w:tcBorders>
            <w:noWrap/>
            <w:vAlign w:val="center"/>
          </w:tcPr>
          <w:p w14:paraId="6B4C2679"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32.5</w:t>
            </w:r>
          </w:p>
        </w:tc>
      </w:tr>
      <w:tr w:rsidR="000C171B" w:rsidRPr="0010306A" w14:paraId="1E9FF3C3" w14:textId="77777777" w:rsidTr="0049743F">
        <w:trPr>
          <w:trHeight w:val="60"/>
        </w:trPr>
        <w:tc>
          <w:tcPr>
            <w:tcW w:w="391" w:type="pct"/>
            <w:vMerge/>
            <w:tcBorders>
              <w:left w:val="single" w:sz="4" w:space="0" w:color="auto"/>
              <w:right w:val="single" w:sz="4" w:space="0" w:color="auto"/>
            </w:tcBorders>
          </w:tcPr>
          <w:p w14:paraId="60807DA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3C625646"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2394A202" w14:textId="77777777" w:rsidR="000C171B" w:rsidRPr="00D336D1" w:rsidRDefault="000C171B" w:rsidP="002C49EF">
            <w:pPr>
              <w:spacing w:after="0" w:line="240" w:lineRule="auto"/>
              <w:rPr>
                <w:rFonts w:ascii="Arial Narrow" w:eastAsia="Times New Roman" w:hAnsi="Arial Narrow" w:cs="Arial"/>
                <w:color w:val="000000"/>
                <w:sz w:val="16"/>
                <w:szCs w:val="16"/>
                <w:lang w:eastAsia="es-PA"/>
              </w:rPr>
            </w:pPr>
            <w:r w:rsidRPr="00D336D1">
              <w:rPr>
                <w:rFonts w:ascii="Arial Narrow" w:eastAsia="Times New Roman" w:hAnsi="Arial Narrow" w:cs="Calibri"/>
                <w:color w:val="000000"/>
                <w:sz w:val="16"/>
                <w:szCs w:val="16"/>
                <w:lang w:eastAsia="es-PA"/>
              </w:rPr>
              <w:t>Investigación</w:t>
            </w:r>
          </w:p>
        </w:tc>
        <w:tc>
          <w:tcPr>
            <w:tcW w:w="493" w:type="pct"/>
            <w:tcBorders>
              <w:top w:val="nil"/>
              <w:left w:val="nil"/>
              <w:bottom w:val="nil"/>
              <w:right w:val="single" w:sz="4" w:space="0" w:color="auto"/>
            </w:tcBorders>
            <w:noWrap/>
            <w:vAlign w:val="center"/>
          </w:tcPr>
          <w:p w14:paraId="1817F3C1"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107.5</w:t>
            </w:r>
          </w:p>
        </w:tc>
        <w:tc>
          <w:tcPr>
            <w:tcW w:w="493" w:type="pct"/>
            <w:tcBorders>
              <w:top w:val="nil"/>
              <w:left w:val="nil"/>
              <w:bottom w:val="nil"/>
              <w:right w:val="single" w:sz="4" w:space="0" w:color="auto"/>
            </w:tcBorders>
            <w:noWrap/>
            <w:vAlign w:val="center"/>
          </w:tcPr>
          <w:p w14:paraId="69EF0276"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140.9</w:t>
            </w:r>
          </w:p>
        </w:tc>
        <w:tc>
          <w:tcPr>
            <w:tcW w:w="492" w:type="pct"/>
            <w:tcBorders>
              <w:right w:val="single" w:sz="2" w:space="0" w:color="auto"/>
            </w:tcBorders>
            <w:noWrap/>
            <w:vAlign w:val="center"/>
          </w:tcPr>
          <w:p w14:paraId="113E506C"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142.5</w:t>
            </w:r>
          </w:p>
        </w:tc>
      </w:tr>
      <w:tr w:rsidR="000C171B" w:rsidRPr="0010306A" w14:paraId="5B718CA0" w14:textId="77777777" w:rsidTr="0049743F">
        <w:trPr>
          <w:trHeight w:val="60"/>
        </w:trPr>
        <w:tc>
          <w:tcPr>
            <w:tcW w:w="391" w:type="pct"/>
            <w:vMerge/>
            <w:tcBorders>
              <w:left w:val="single" w:sz="4" w:space="0" w:color="auto"/>
              <w:right w:val="single" w:sz="4" w:space="0" w:color="auto"/>
            </w:tcBorders>
          </w:tcPr>
          <w:p w14:paraId="79573FF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233E463E"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27198C12" w14:textId="77777777" w:rsidR="000C171B" w:rsidRPr="00D336D1" w:rsidRDefault="000C171B" w:rsidP="002C49EF">
            <w:pPr>
              <w:spacing w:after="0" w:line="240" w:lineRule="auto"/>
              <w:rPr>
                <w:rFonts w:ascii="Arial Narrow" w:eastAsia="Times New Roman" w:hAnsi="Arial Narrow" w:cs="Arial"/>
                <w:color w:val="000000"/>
                <w:sz w:val="16"/>
                <w:szCs w:val="16"/>
                <w:lang w:eastAsia="es-PA"/>
              </w:rPr>
            </w:pPr>
            <w:r w:rsidRPr="00D336D1">
              <w:rPr>
                <w:rFonts w:ascii="Arial Narrow" w:eastAsia="Times New Roman" w:hAnsi="Arial Narrow" w:cs="Calibri"/>
                <w:color w:val="000000"/>
                <w:sz w:val="16"/>
                <w:szCs w:val="16"/>
                <w:lang w:eastAsia="es-PA"/>
              </w:rPr>
              <w:t>Servicios de extensión agrícola</w:t>
            </w:r>
          </w:p>
        </w:tc>
        <w:tc>
          <w:tcPr>
            <w:tcW w:w="493" w:type="pct"/>
            <w:tcBorders>
              <w:top w:val="nil"/>
              <w:left w:val="nil"/>
              <w:bottom w:val="nil"/>
              <w:right w:val="single" w:sz="4" w:space="0" w:color="auto"/>
            </w:tcBorders>
            <w:noWrap/>
            <w:vAlign w:val="center"/>
          </w:tcPr>
          <w:p w14:paraId="1A1F5653"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23.0</w:t>
            </w:r>
          </w:p>
        </w:tc>
        <w:tc>
          <w:tcPr>
            <w:tcW w:w="493" w:type="pct"/>
            <w:tcBorders>
              <w:top w:val="nil"/>
              <w:left w:val="nil"/>
              <w:bottom w:val="nil"/>
              <w:right w:val="single" w:sz="4" w:space="0" w:color="auto"/>
            </w:tcBorders>
            <w:noWrap/>
            <w:vAlign w:val="center"/>
          </w:tcPr>
          <w:p w14:paraId="3F3F6214"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15.5</w:t>
            </w:r>
          </w:p>
        </w:tc>
        <w:tc>
          <w:tcPr>
            <w:tcW w:w="492" w:type="pct"/>
            <w:tcBorders>
              <w:right w:val="single" w:sz="2" w:space="0" w:color="auto"/>
            </w:tcBorders>
            <w:noWrap/>
            <w:vAlign w:val="center"/>
          </w:tcPr>
          <w:p w14:paraId="7DA26E61"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25.1</w:t>
            </w:r>
          </w:p>
        </w:tc>
      </w:tr>
      <w:tr w:rsidR="000C171B" w:rsidRPr="0010306A" w14:paraId="47EF2372" w14:textId="77777777" w:rsidTr="0049743F">
        <w:trPr>
          <w:trHeight w:val="60"/>
        </w:trPr>
        <w:tc>
          <w:tcPr>
            <w:tcW w:w="391" w:type="pct"/>
            <w:vMerge/>
            <w:tcBorders>
              <w:left w:val="single" w:sz="4" w:space="0" w:color="auto"/>
              <w:right w:val="single" w:sz="4" w:space="0" w:color="auto"/>
            </w:tcBorders>
          </w:tcPr>
          <w:p w14:paraId="2E2CCD0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07C2B63A"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53D58E62" w14:textId="77777777" w:rsidR="000C171B" w:rsidRPr="00D336D1" w:rsidRDefault="000C171B" w:rsidP="002C49EF">
            <w:pPr>
              <w:spacing w:after="0" w:line="240" w:lineRule="auto"/>
              <w:rPr>
                <w:rFonts w:ascii="Arial Narrow" w:eastAsia="Times New Roman" w:hAnsi="Arial Narrow" w:cs="Arial"/>
                <w:color w:val="000000"/>
                <w:sz w:val="16"/>
                <w:szCs w:val="16"/>
                <w:lang w:eastAsia="es-PA"/>
              </w:rPr>
            </w:pPr>
            <w:r w:rsidRPr="00D336D1">
              <w:rPr>
                <w:rFonts w:ascii="Arial Narrow" w:eastAsia="Times New Roman" w:hAnsi="Arial Narrow" w:cs="Calibri"/>
                <w:color w:val="000000"/>
                <w:sz w:val="16"/>
                <w:szCs w:val="16"/>
                <w:lang w:eastAsia="es-PA"/>
              </w:rPr>
              <w:t>Desarrollo tecnológico</w:t>
            </w:r>
          </w:p>
        </w:tc>
        <w:tc>
          <w:tcPr>
            <w:tcW w:w="493" w:type="pct"/>
            <w:tcBorders>
              <w:top w:val="nil"/>
              <w:left w:val="nil"/>
              <w:bottom w:val="nil"/>
              <w:right w:val="single" w:sz="4" w:space="0" w:color="auto"/>
            </w:tcBorders>
            <w:noWrap/>
            <w:vAlign w:val="center"/>
          </w:tcPr>
          <w:p w14:paraId="42C43219"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67.0</w:t>
            </w:r>
          </w:p>
        </w:tc>
        <w:tc>
          <w:tcPr>
            <w:tcW w:w="493" w:type="pct"/>
            <w:tcBorders>
              <w:top w:val="nil"/>
              <w:left w:val="nil"/>
              <w:bottom w:val="nil"/>
              <w:right w:val="single" w:sz="4" w:space="0" w:color="auto"/>
            </w:tcBorders>
            <w:noWrap/>
            <w:vAlign w:val="center"/>
          </w:tcPr>
          <w:p w14:paraId="7BC2C384"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102.7</w:t>
            </w:r>
          </w:p>
        </w:tc>
        <w:tc>
          <w:tcPr>
            <w:tcW w:w="492" w:type="pct"/>
            <w:tcBorders>
              <w:right w:val="single" w:sz="2" w:space="0" w:color="auto"/>
            </w:tcBorders>
            <w:noWrap/>
            <w:vAlign w:val="center"/>
          </w:tcPr>
          <w:p w14:paraId="79D3A85E"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43.0</w:t>
            </w:r>
          </w:p>
        </w:tc>
      </w:tr>
      <w:tr w:rsidR="000C171B" w:rsidRPr="0010306A" w14:paraId="0D2A1FB8" w14:textId="77777777" w:rsidTr="0049743F">
        <w:trPr>
          <w:trHeight w:val="60"/>
        </w:trPr>
        <w:tc>
          <w:tcPr>
            <w:tcW w:w="391" w:type="pct"/>
            <w:vMerge/>
            <w:tcBorders>
              <w:left w:val="single" w:sz="4" w:space="0" w:color="auto"/>
              <w:bottom w:val="single" w:sz="4" w:space="0" w:color="auto"/>
              <w:right w:val="single" w:sz="4" w:space="0" w:color="auto"/>
            </w:tcBorders>
          </w:tcPr>
          <w:p w14:paraId="3C2FABA6"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0BD8D3FA"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1848DB0A" w14:textId="77777777" w:rsidR="000C171B" w:rsidRPr="00D336D1" w:rsidRDefault="000C171B" w:rsidP="002C49EF">
            <w:pPr>
              <w:spacing w:after="0" w:line="240" w:lineRule="auto"/>
              <w:rPr>
                <w:rFonts w:ascii="Arial Narrow" w:eastAsia="Times New Roman" w:hAnsi="Arial Narrow" w:cs="Arial"/>
                <w:color w:val="000000"/>
                <w:sz w:val="16"/>
                <w:szCs w:val="16"/>
                <w:lang w:eastAsia="es-PA"/>
              </w:rPr>
            </w:pPr>
            <w:r w:rsidRPr="00D336D1">
              <w:rPr>
                <w:rFonts w:ascii="Arial Narrow" w:eastAsia="Times New Roman" w:hAnsi="Arial Narrow" w:cs="Calibri"/>
                <w:color w:val="000000"/>
                <w:sz w:val="16"/>
                <w:szCs w:val="16"/>
                <w:lang w:eastAsia="es-PA"/>
              </w:rPr>
              <w:t>Banco de genes (plantas y ganado)</w:t>
            </w:r>
          </w:p>
        </w:tc>
        <w:tc>
          <w:tcPr>
            <w:tcW w:w="493" w:type="pct"/>
            <w:tcBorders>
              <w:top w:val="nil"/>
              <w:left w:val="nil"/>
              <w:bottom w:val="single" w:sz="4" w:space="0" w:color="auto"/>
              <w:right w:val="single" w:sz="4" w:space="0" w:color="auto"/>
            </w:tcBorders>
            <w:noWrap/>
            <w:vAlign w:val="center"/>
          </w:tcPr>
          <w:p w14:paraId="3E07D178"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230.7</w:t>
            </w:r>
          </w:p>
        </w:tc>
        <w:tc>
          <w:tcPr>
            <w:tcW w:w="493" w:type="pct"/>
            <w:tcBorders>
              <w:top w:val="nil"/>
              <w:left w:val="nil"/>
              <w:bottom w:val="single" w:sz="4" w:space="0" w:color="auto"/>
              <w:right w:val="single" w:sz="4" w:space="0" w:color="auto"/>
            </w:tcBorders>
            <w:noWrap/>
            <w:vAlign w:val="center"/>
          </w:tcPr>
          <w:p w14:paraId="4CFBC355"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105.5</w:t>
            </w:r>
          </w:p>
        </w:tc>
        <w:tc>
          <w:tcPr>
            <w:tcW w:w="492" w:type="pct"/>
            <w:tcBorders>
              <w:bottom w:val="single" w:sz="4" w:space="0" w:color="auto"/>
              <w:right w:val="single" w:sz="2" w:space="0" w:color="auto"/>
            </w:tcBorders>
            <w:noWrap/>
            <w:vAlign w:val="center"/>
          </w:tcPr>
          <w:p w14:paraId="71816C71"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91.9</w:t>
            </w:r>
          </w:p>
        </w:tc>
      </w:tr>
      <w:tr w:rsidR="000C171B" w:rsidRPr="0010306A" w14:paraId="0D567F2C" w14:textId="77777777" w:rsidTr="0049743F">
        <w:trPr>
          <w:trHeight w:val="60"/>
        </w:trPr>
        <w:tc>
          <w:tcPr>
            <w:tcW w:w="391" w:type="pct"/>
            <w:vMerge w:val="restart"/>
            <w:tcBorders>
              <w:top w:val="single" w:sz="4" w:space="0" w:color="auto"/>
              <w:left w:val="single" w:sz="4" w:space="0" w:color="auto"/>
              <w:right w:val="single" w:sz="4" w:space="0" w:color="auto"/>
            </w:tcBorders>
          </w:tcPr>
          <w:p w14:paraId="240F824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2</w:t>
            </w:r>
          </w:p>
        </w:tc>
        <w:tc>
          <w:tcPr>
            <w:tcW w:w="1565" w:type="pct"/>
            <w:vMerge w:val="restart"/>
            <w:tcBorders>
              <w:top w:val="single" w:sz="4" w:space="0" w:color="auto"/>
              <w:left w:val="nil"/>
              <w:right w:val="single" w:sz="4" w:space="0" w:color="auto"/>
            </w:tcBorders>
          </w:tcPr>
          <w:p w14:paraId="0205AC9F"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Estimación de la ayuda al productor (en miles de balboas).</w:t>
            </w:r>
          </w:p>
        </w:tc>
        <w:tc>
          <w:tcPr>
            <w:tcW w:w="1566" w:type="pct"/>
            <w:tcBorders>
              <w:top w:val="single" w:sz="4" w:space="0" w:color="auto"/>
              <w:left w:val="nil"/>
              <w:bottom w:val="nil"/>
              <w:right w:val="single" w:sz="4" w:space="0" w:color="auto"/>
            </w:tcBorders>
            <w:vAlign w:val="center"/>
          </w:tcPr>
          <w:p w14:paraId="2EBC0689" w14:textId="77777777" w:rsidR="000C171B" w:rsidRPr="00D336D1" w:rsidRDefault="000C171B" w:rsidP="002C49EF">
            <w:pPr>
              <w:spacing w:after="0" w:line="240" w:lineRule="auto"/>
              <w:rPr>
                <w:rFonts w:ascii="Arial Narrow" w:eastAsia="Times New Roman" w:hAnsi="Arial Narrow" w:cs="Arial"/>
                <w:color w:val="000000"/>
                <w:sz w:val="16"/>
                <w:szCs w:val="16"/>
                <w:lang w:eastAsia="es-PA"/>
              </w:rPr>
            </w:pPr>
            <w:r w:rsidRPr="00D336D1">
              <w:rPr>
                <w:rFonts w:ascii="Arial Narrow" w:hAnsi="Arial Narrow" w:cs="Arial Narrow"/>
                <w:color w:val="000000"/>
                <w:sz w:val="16"/>
                <w:szCs w:val="16"/>
              </w:rPr>
              <w:t>Total</w:t>
            </w:r>
          </w:p>
        </w:tc>
        <w:tc>
          <w:tcPr>
            <w:tcW w:w="493" w:type="pct"/>
            <w:tcBorders>
              <w:top w:val="single" w:sz="4" w:space="0" w:color="auto"/>
              <w:left w:val="nil"/>
              <w:bottom w:val="nil"/>
              <w:right w:val="single" w:sz="4" w:space="0" w:color="auto"/>
            </w:tcBorders>
            <w:noWrap/>
            <w:vAlign w:val="center"/>
          </w:tcPr>
          <w:p w14:paraId="7E538724"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6,749.1</w:t>
            </w:r>
          </w:p>
        </w:tc>
        <w:tc>
          <w:tcPr>
            <w:tcW w:w="493" w:type="pct"/>
            <w:tcBorders>
              <w:top w:val="single" w:sz="4" w:space="0" w:color="auto"/>
              <w:left w:val="nil"/>
              <w:bottom w:val="nil"/>
              <w:right w:val="single" w:sz="4" w:space="0" w:color="auto"/>
            </w:tcBorders>
            <w:noWrap/>
            <w:vAlign w:val="center"/>
          </w:tcPr>
          <w:p w14:paraId="65746AF5"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6,146.1</w:t>
            </w:r>
          </w:p>
        </w:tc>
        <w:tc>
          <w:tcPr>
            <w:tcW w:w="492" w:type="pct"/>
            <w:tcBorders>
              <w:top w:val="single" w:sz="4" w:space="0" w:color="auto"/>
              <w:right w:val="single" w:sz="2" w:space="0" w:color="auto"/>
            </w:tcBorders>
            <w:noWrap/>
            <w:vAlign w:val="center"/>
          </w:tcPr>
          <w:p w14:paraId="3E383503"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3,428.6</w:t>
            </w:r>
          </w:p>
        </w:tc>
      </w:tr>
      <w:tr w:rsidR="000C171B" w:rsidRPr="0010306A" w14:paraId="79C63213" w14:textId="77777777" w:rsidTr="0049743F">
        <w:trPr>
          <w:trHeight w:val="60"/>
        </w:trPr>
        <w:tc>
          <w:tcPr>
            <w:tcW w:w="391" w:type="pct"/>
            <w:vMerge/>
            <w:tcBorders>
              <w:left w:val="single" w:sz="4" w:space="0" w:color="auto"/>
              <w:right w:val="single" w:sz="4" w:space="0" w:color="auto"/>
            </w:tcBorders>
          </w:tcPr>
          <w:p w14:paraId="4A596E9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63F53647"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5130394E" w14:textId="77777777" w:rsidR="000C171B" w:rsidRPr="00D336D1" w:rsidRDefault="000C171B" w:rsidP="002C49EF">
            <w:pPr>
              <w:spacing w:after="0" w:line="240" w:lineRule="auto"/>
              <w:rPr>
                <w:rFonts w:ascii="Arial Narrow" w:eastAsia="Times New Roman" w:hAnsi="Arial Narrow" w:cs="Arial"/>
                <w:color w:val="000000"/>
                <w:sz w:val="16"/>
                <w:szCs w:val="16"/>
                <w:lang w:eastAsia="es-PA"/>
              </w:rPr>
            </w:pPr>
            <w:r w:rsidRPr="00D336D1">
              <w:rPr>
                <w:rFonts w:ascii="Arial Narrow" w:hAnsi="Arial Narrow" w:cs="Arial Narrow"/>
                <w:color w:val="000000"/>
                <w:sz w:val="16"/>
                <w:szCs w:val="16"/>
              </w:rPr>
              <w:t>Política nacional para la transformación agropecuaria ley 25 de 4 de junio de 2001</w:t>
            </w:r>
          </w:p>
        </w:tc>
        <w:tc>
          <w:tcPr>
            <w:tcW w:w="493" w:type="pct"/>
            <w:tcBorders>
              <w:top w:val="nil"/>
              <w:left w:val="nil"/>
              <w:bottom w:val="nil"/>
              <w:right w:val="single" w:sz="4" w:space="0" w:color="auto"/>
            </w:tcBorders>
            <w:noWrap/>
            <w:vAlign w:val="center"/>
          </w:tcPr>
          <w:p w14:paraId="42133450"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5,700.0</w:t>
            </w:r>
          </w:p>
        </w:tc>
        <w:tc>
          <w:tcPr>
            <w:tcW w:w="493" w:type="pct"/>
            <w:tcBorders>
              <w:top w:val="nil"/>
              <w:left w:val="nil"/>
              <w:bottom w:val="nil"/>
              <w:right w:val="single" w:sz="4" w:space="0" w:color="auto"/>
            </w:tcBorders>
            <w:noWrap/>
            <w:vAlign w:val="center"/>
          </w:tcPr>
          <w:p w14:paraId="75CAA5C5"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5,880.0</w:t>
            </w:r>
          </w:p>
        </w:tc>
        <w:tc>
          <w:tcPr>
            <w:tcW w:w="492" w:type="pct"/>
            <w:tcBorders>
              <w:right w:val="single" w:sz="2" w:space="0" w:color="auto"/>
            </w:tcBorders>
            <w:noWrap/>
            <w:vAlign w:val="center"/>
          </w:tcPr>
          <w:p w14:paraId="7A46660E"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1,050.0</w:t>
            </w:r>
          </w:p>
        </w:tc>
      </w:tr>
      <w:tr w:rsidR="000C171B" w:rsidRPr="0010306A" w14:paraId="789D8476" w14:textId="77777777" w:rsidTr="0049743F">
        <w:trPr>
          <w:trHeight w:val="60"/>
        </w:trPr>
        <w:tc>
          <w:tcPr>
            <w:tcW w:w="391" w:type="pct"/>
            <w:vMerge/>
            <w:tcBorders>
              <w:left w:val="single" w:sz="4" w:space="0" w:color="auto"/>
              <w:bottom w:val="single" w:sz="4" w:space="0" w:color="auto"/>
              <w:right w:val="single" w:sz="4" w:space="0" w:color="auto"/>
            </w:tcBorders>
          </w:tcPr>
          <w:p w14:paraId="437C0102"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073F782E"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28F23702" w14:textId="77777777" w:rsidR="000C171B" w:rsidRPr="00D336D1" w:rsidRDefault="000C171B" w:rsidP="002C49EF">
            <w:pPr>
              <w:spacing w:after="0" w:line="240" w:lineRule="auto"/>
              <w:rPr>
                <w:rFonts w:ascii="Arial Narrow" w:eastAsia="Times New Roman" w:hAnsi="Arial Narrow" w:cs="Arial"/>
                <w:color w:val="000000"/>
                <w:sz w:val="16"/>
                <w:szCs w:val="16"/>
                <w:lang w:eastAsia="es-PA"/>
              </w:rPr>
            </w:pPr>
            <w:r w:rsidRPr="00D336D1">
              <w:rPr>
                <w:rFonts w:ascii="Arial Narrow" w:hAnsi="Arial Narrow" w:cs="Arial Narrow"/>
                <w:color w:val="000000"/>
                <w:sz w:val="16"/>
                <w:szCs w:val="16"/>
              </w:rPr>
              <w:t>Fondo especial para crédito de contingencias ley 24 de 4 de junio de 2001</w:t>
            </w:r>
          </w:p>
        </w:tc>
        <w:tc>
          <w:tcPr>
            <w:tcW w:w="493" w:type="pct"/>
            <w:tcBorders>
              <w:top w:val="nil"/>
              <w:left w:val="nil"/>
              <w:bottom w:val="single" w:sz="4" w:space="0" w:color="auto"/>
              <w:right w:val="single" w:sz="4" w:space="0" w:color="auto"/>
            </w:tcBorders>
            <w:noWrap/>
            <w:vAlign w:val="center"/>
          </w:tcPr>
          <w:p w14:paraId="6F350757"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1,049.1</w:t>
            </w:r>
          </w:p>
        </w:tc>
        <w:tc>
          <w:tcPr>
            <w:tcW w:w="493" w:type="pct"/>
            <w:tcBorders>
              <w:top w:val="nil"/>
              <w:left w:val="nil"/>
              <w:bottom w:val="single" w:sz="4" w:space="0" w:color="auto"/>
              <w:right w:val="single" w:sz="4" w:space="0" w:color="auto"/>
            </w:tcBorders>
            <w:noWrap/>
            <w:vAlign w:val="center"/>
          </w:tcPr>
          <w:p w14:paraId="6067769C"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266.1</w:t>
            </w:r>
          </w:p>
        </w:tc>
        <w:tc>
          <w:tcPr>
            <w:tcW w:w="492" w:type="pct"/>
            <w:tcBorders>
              <w:bottom w:val="single" w:sz="4" w:space="0" w:color="auto"/>
              <w:right w:val="single" w:sz="2" w:space="0" w:color="auto"/>
            </w:tcBorders>
            <w:noWrap/>
            <w:vAlign w:val="center"/>
          </w:tcPr>
          <w:p w14:paraId="7C3E2EFC" w14:textId="77777777" w:rsidR="000C171B" w:rsidRPr="00D336D1" w:rsidRDefault="000C171B" w:rsidP="002C49EF">
            <w:pPr>
              <w:spacing w:after="0" w:line="240" w:lineRule="auto"/>
              <w:jc w:val="center"/>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2,378.6</w:t>
            </w:r>
          </w:p>
        </w:tc>
      </w:tr>
      <w:tr w:rsidR="000C171B" w:rsidRPr="0010306A" w14:paraId="2A5765C8" w14:textId="77777777" w:rsidTr="0049743F">
        <w:trPr>
          <w:trHeight w:val="60"/>
        </w:trPr>
        <w:tc>
          <w:tcPr>
            <w:tcW w:w="391" w:type="pct"/>
            <w:tcBorders>
              <w:top w:val="single" w:sz="4" w:space="0" w:color="auto"/>
              <w:left w:val="single" w:sz="4" w:space="0" w:color="auto"/>
              <w:bottom w:val="single" w:sz="4" w:space="0" w:color="auto"/>
              <w:right w:val="single" w:sz="4" w:space="0" w:color="auto"/>
            </w:tcBorders>
          </w:tcPr>
          <w:p w14:paraId="4DEF9A14"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2</w:t>
            </w:r>
          </w:p>
        </w:tc>
        <w:tc>
          <w:tcPr>
            <w:tcW w:w="1565" w:type="pct"/>
            <w:tcBorders>
              <w:top w:val="single" w:sz="4" w:space="0" w:color="auto"/>
              <w:left w:val="nil"/>
              <w:bottom w:val="single" w:sz="4" w:space="0" w:color="auto"/>
              <w:right w:val="single" w:sz="4" w:space="0" w:color="auto"/>
            </w:tcBorders>
          </w:tcPr>
          <w:p w14:paraId="7BF6CACD"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Subsidios a la exportación de productos agropecuarios (en millones de balboas).</w:t>
            </w:r>
          </w:p>
        </w:tc>
        <w:tc>
          <w:tcPr>
            <w:tcW w:w="1566" w:type="pct"/>
            <w:tcBorders>
              <w:top w:val="single" w:sz="4" w:space="0" w:color="auto"/>
              <w:left w:val="nil"/>
              <w:bottom w:val="single" w:sz="4" w:space="0" w:color="auto"/>
              <w:right w:val="single" w:sz="4" w:space="0" w:color="auto"/>
            </w:tcBorders>
          </w:tcPr>
          <w:p w14:paraId="45CF1CFF"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Certificado de fomento a la agroexportación (</w:t>
            </w:r>
            <w:proofErr w:type="spellStart"/>
            <w:r w:rsidRPr="00D336D1">
              <w:rPr>
                <w:rFonts w:ascii="Arial Narrow" w:hAnsi="Arial Narrow" w:cs="Arial Narrow"/>
                <w:color w:val="000000"/>
                <w:sz w:val="16"/>
                <w:szCs w:val="16"/>
              </w:rPr>
              <w:t>CeFA</w:t>
            </w:r>
            <w:proofErr w:type="spellEnd"/>
            <w:r w:rsidRPr="00D336D1">
              <w:rPr>
                <w:rFonts w:ascii="Arial Narrow" w:hAnsi="Arial Narrow" w:cs="Arial Narrow"/>
                <w:color w:val="000000"/>
                <w:sz w:val="16"/>
                <w:szCs w:val="16"/>
              </w:rPr>
              <w:t xml:space="preserve">) </w:t>
            </w:r>
          </w:p>
        </w:tc>
        <w:tc>
          <w:tcPr>
            <w:tcW w:w="493" w:type="pct"/>
            <w:tcBorders>
              <w:top w:val="single" w:sz="4" w:space="0" w:color="auto"/>
              <w:left w:val="nil"/>
              <w:bottom w:val="single" w:sz="4" w:space="0" w:color="auto"/>
              <w:right w:val="single" w:sz="4" w:space="0" w:color="auto"/>
            </w:tcBorders>
            <w:noWrap/>
            <w:vAlign w:val="center"/>
          </w:tcPr>
          <w:p w14:paraId="35984CA9"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hAnsi="Arial Narrow" w:cs="Arial Narrow"/>
                <w:color w:val="000000"/>
                <w:sz w:val="16"/>
                <w:szCs w:val="16"/>
              </w:rPr>
              <w:t>4.8</w:t>
            </w:r>
          </w:p>
        </w:tc>
        <w:tc>
          <w:tcPr>
            <w:tcW w:w="493" w:type="pct"/>
            <w:tcBorders>
              <w:top w:val="single" w:sz="4" w:space="0" w:color="auto"/>
              <w:left w:val="nil"/>
              <w:bottom w:val="single" w:sz="4" w:space="0" w:color="auto"/>
              <w:right w:val="single" w:sz="4" w:space="0" w:color="auto"/>
            </w:tcBorders>
            <w:noWrap/>
            <w:vAlign w:val="center"/>
          </w:tcPr>
          <w:p w14:paraId="2EC1CA0F"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hAnsi="Arial Narrow" w:cs="Arial Narrow"/>
                <w:color w:val="000000"/>
                <w:sz w:val="16"/>
                <w:szCs w:val="16"/>
              </w:rPr>
              <w:t>10.9</w:t>
            </w:r>
          </w:p>
        </w:tc>
        <w:tc>
          <w:tcPr>
            <w:tcW w:w="492" w:type="pct"/>
            <w:tcBorders>
              <w:top w:val="single" w:sz="4" w:space="0" w:color="auto"/>
              <w:bottom w:val="single" w:sz="4" w:space="0" w:color="auto"/>
              <w:right w:val="single" w:sz="2" w:space="0" w:color="auto"/>
            </w:tcBorders>
            <w:noWrap/>
            <w:vAlign w:val="center"/>
          </w:tcPr>
          <w:p w14:paraId="5B71730B"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hAnsi="Arial Narrow" w:cs="Arial Narrow"/>
                <w:color w:val="000000"/>
                <w:sz w:val="16"/>
                <w:szCs w:val="16"/>
              </w:rPr>
              <w:t>6.9</w:t>
            </w:r>
          </w:p>
        </w:tc>
      </w:tr>
      <w:tr w:rsidR="000C171B" w:rsidRPr="0010306A" w14:paraId="1BCCFF25" w14:textId="77777777" w:rsidTr="0049743F">
        <w:trPr>
          <w:trHeight w:val="60"/>
        </w:trPr>
        <w:tc>
          <w:tcPr>
            <w:tcW w:w="391" w:type="pct"/>
            <w:tcBorders>
              <w:top w:val="single" w:sz="4" w:space="0" w:color="auto"/>
              <w:left w:val="single" w:sz="4" w:space="0" w:color="auto"/>
              <w:bottom w:val="single" w:sz="4" w:space="0" w:color="auto"/>
              <w:right w:val="single" w:sz="4" w:space="0" w:color="auto"/>
            </w:tcBorders>
          </w:tcPr>
          <w:p w14:paraId="75E87C00"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 xml:space="preserve">ODS 3 </w:t>
            </w:r>
          </w:p>
        </w:tc>
        <w:tc>
          <w:tcPr>
            <w:tcW w:w="1565" w:type="pct"/>
            <w:tcBorders>
              <w:top w:val="single" w:sz="4" w:space="0" w:color="auto"/>
              <w:left w:val="nil"/>
              <w:bottom w:val="single" w:sz="4" w:space="0" w:color="auto"/>
              <w:right w:val="single" w:sz="4" w:space="0" w:color="auto"/>
            </w:tcBorders>
          </w:tcPr>
          <w:p w14:paraId="72E9FDBD"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Índice de mortalidad materna</w:t>
            </w:r>
          </w:p>
        </w:tc>
        <w:tc>
          <w:tcPr>
            <w:tcW w:w="1566" w:type="pct"/>
            <w:tcBorders>
              <w:top w:val="single" w:sz="4" w:space="0" w:color="auto"/>
              <w:left w:val="nil"/>
              <w:bottom w:val="single" w:sz="4" w:space="0" w:color="auto"/>
              <w:right w:val="single" w:sz="4" w:space="0" w:color="auto"/>
            </w:tcBorders>
          </w:tcPr>
          <w:p w14:paraId="15B831AD"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Total</w:t>
            </w:r>
          </w:p>
        </w:tc>
        <w:tc>
          <w:tcPr>
            <w:tcW w:w="493" w:type="pct"/>
            <w:tcBorders>
              <w:top w:val="single" w:sz="4" w:space="0" w:color="auto"/>
              <w:left w:val="nil"/>
              <w:bottom w:val="single" w:sz="4" w:space="0" w:color="auto"/>
              <w:right w:val="single" w:sz="4" w:space="0" w:color="auto"/>
            </w:tcBorders>
            <w:noWrap/>
            <w:vAlign w:val="center"/>
          </w:tcPr>
          <w:p w14:paraId="5656709F"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52.7</w:t>
            </w:r>
          </w:p>
        </w:tc>
        <w:tc>
          <w:tcPr>
            <w:tcW w:w="493" w:type="pct"/>
            <w:tcBorders>
              <w:top w:val="single" w:sz="4" w:space="0" w:color="auto"/>
              <w:left w:val="nil"/>
              <w:bottom w:val="single" w:sz="4" w:space="0" w:color="auto"/>
              <w:right w:val="single" w:sz="4" w:space="0" w:color="auto"/>
            </w:tcBorders>
            <w:noWrap/>
            <w:vAlign w:val="center"/>
          </w:tcPr>
          <w:p w14:paraId="4D2B5522"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49.2</w:t>
            </w:r>
          </w:p>
        </w:tc>
        <w:tc>
          <w:tcPr>
            <w:tcW w:w="492" w:type="pct"/>
            <w:tcBorders>
              <w:top w:val="single" w:sz="4" w:space="0" w:color="auto"/>
              <w:bottom w:val="single" w:sz="4" w:space="0" w:color="auto"/>
              <w:right w:val="single" w:sz="2" w:space="0" w:color="auto"/>
            </w:tcBorders>
            <w:noWrap/>
            <w:vAlign w:val="center"/>
          </w:tcPr>
          <w:p w14:paraId="126DDD3C"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eastAsia="Times New Roman" w:hAnsi="Arial Narrow" w:cs="Calibri"/>
                <w:color w:val="0D0D0D"/>
                <w:sz w:val="16"/>
                <w:szCs w:val="16"/>
                <w:lang w:eastAsia="es-PA"/>
              </w:rPr>
              <w:t>35.4</w:t>
            </w:r>
          </w:p>
        </w:tc>
      </w:tr>
      <w:tr w:rsidR="000C171B" w:rsidRPr="0010306A" w14:paraId="4AFA1705" w14:textId="77777777" w:rsidTr="0049743F">
        <w:trPr>
          <w:trHeight w:val="60"/>
        </w:trPr>
        <w:tc>
          <w:tcPr>
            <w:tcW w:w="391" w:type="pct"/>
            <w:tcBorders>
              <w:top w:val="single" w:sz="4" w:space="0" w:color="auto"/>
              <w:left w:val="single" w:sz="4" w:space="0" w:color="auto"/>
              <w:bottom w:val="single" w:sz="4" w:space="0" w:color="auto"/>
              <w:right w:val="single" w:sz="4" w:space="0" w:color="auto"/>
            </w:tcBorders>
          </w:tcPr>
          <w:p w14:paraId="2264F8B3"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3</w:t>
            </w:r>
          </w:p>
        </w:tc>
        <w:tc>
          <w:tcPr>
            <w:tcW w:w="1565" w:type="pct"/>
            <w:tcBorders>
              <w:top w:val="single" w:sz="4" w:space="0" w:color="auto"/>
              <w:left w:val="nil"/>
              <w:bottom w:val="single" w:sz="4" w:space="0" w:color="auto"/>
              <w:right w:val="single" w:sz="4" w:space="0" w:color="auto"/>
            </w:tcBorders>
          </w:tcPr>
          <w:p w14:paraId="16A59EBB"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Proporción de partos con asistencia de personal sanitario especializado</w:t>
            </w:r>
          </w:p>
        </w:tc>
        <w:tc>
          <w:tcPr>
            <w:tcW w:w="1566" w:type="pct"/>
            <w:tcBorders>
              <w:top w:val="single" w:sz="4" w:space="0" w:color="auto"/>
              <w:left w:val="nil"/>
              <w:bottom w:val="single" w:sz="4" w:space="0" w:color="auto"/>
              <w:right w:val="single" w:sz="4" w:space="0" w:color="auto"/>
            </w:tcBorders>
          </w:tcPr>
          <w:p w14:paraId="6AC72C25"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Total</w:t>
            </w:r>
          </w:p>
        </w:tc>
        <w:tc>
          <w:tcPr>
            <w:tcW w:w="493" w:type="pct"/>
            <w:tcBorders>
              <w:top w:val="single" w:sz="4" w:space="0" w:color="auto"/>
              <w:left w:val="nil"/>
              <w:bottom w:val="single" w:sz="4" w:space="0" w:color="auto"/>
              <w:right w:val="single" w:sz="4" w:space="0" w:color="auto"/>
            </w:tcBorders>
            <w:noWrap/>
            <w:vAlign w:val="center"/>
          </w:tcPr>
          <w:p w14:paraId="75F57AD4"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95.0</w:t>
            </w:r>
          </w:p>
        </w:tc>
        <w:tc>
          <w:tcPr>
            <w:tcW w:w="493" w:type="pct"/>
            <w:tcBorders>
              <w:top w:val="single" w:sz="4" w:space="0" w:color="auto"/>
              <w:left w:val="nil"/>
              <w:bottom w:val="single" w:sz="4" w:space="0" w:color="auto"/>
              <w:right w:val="single" w:sz="4" w:space="0" w:color="auto"/>
            </w:tcBorders>
            <w:noWrap/>
            <w:vAlign w:val="center"/>
          </w:tcPr>
          <w:p w14:paraId="65760CBA"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94.6</w:t>
            </w:r>
          </w:p>
        </w:tc>
        <w:tc>
          <w:tcPr>
            <w:tcW w:w="492" w:type="pct"/>
            <w:tcBorders>
              <w:top w:val="single" w:sz="4" w:space="0" w:color="auto"/>
              <w:bottom w:val="single" w:sz="4" w:space="0" w:color="auto"/>
              <w:right w:val="single" w:sz="2" w:space="0" w:color="auto"/>
            </w:tcBorders>
            <w:noWrap/>
            <w:vAlign w:val="center"/>
          </w:tcPr>
          <w:p w14:paraId="7CD32331"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94.2</w:t>
            </w:r>
          </w:p>
        </w:tc>
      </w:tr>
      <w:tr w:rsidR="000C171B" w:rsidRPr="0010306A" w14:paraId="378D2D4F" w14:textId="77777777" w:rsidTr="0049743F">
        <w:trPr>
          <w:trHeight w:val="60"/>
        </w:trPr>
        <w:tc>
          <w:tcPr>
            <w:tcW w:w="391" w:type="pct"/>
            <w:tcBorders>
              <w:top w:val="single" w:sz="4" w:space="0" w:color="auto"/>
              <w:left w:val="single" w:sz="4" w:space="0" w:color="auto"/>
              <w:bottom w:val="single" w:sz="4" w:space="0" w:color="auto"/>
              <w:right w:val="single" w:sz="4" w:space="0" w:color="auto"/>
            </w:tcBorders>
          </w:tcPr>
          <w:p w14:paraId="7751FD5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3</w:t>
            </w:r>
          </w:p>
        </w:tc>
        <w:tc>
          <w:tcPr>
            <w:tcW w:w="1565" w:type="pct"/>
            <w:tcBorders>
              <w:top w:val="single" w:sz="4" w:space="0" w:color="auto"/>
              <w:left w:val="nil"/>
              <w:bottom w:val="single" w:sz="4" w:space="0" w:color="auto"/>
              <w:right w:val="single" w:sz="4" w:space="0" w:color="auto"/>
            </w:tcBorders>
          </w:tcPr>
          <w:p w14:paraId="1F7113B4"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Tasa de mortalidad neonatal</w:t>
            </w:r>
          </w:p>
        </w:tc>
        <w:tc>
          <w:tcPr>
            <w:tcW w:w="1566" w:type="pct"/>
            <w:tcBorders>
              <w:top w:val="single" w:sz="4" w:space="0" w:color="auto"/>
              <w:left w:val="nil"/>
              <w:bottom w:val="single" w:sz="4" w:space="0" w:color="auto"/>
              <w:right w:val="single" w:sz="4" w:space="0" w:color="auto"/>
            </w:tcBorders>
          </w:tcPr>
          <w:p w14:paraId="500DA83F"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Total</w:t>
            </w:r>
          </w:p>
        </w:tc>
        <w:tc>
          <w:tcPr>
            <w:tcW w:w="493" w:type="pct"/>
            <w:tcBorders>
              <w:top w:val="single" w:sz="4" w:space="0" w:color="auto"/>
              <w:left w:val="nil"/>
              <w:bottom w:val="single" w:sz="4" w:space="0" w:color="auto"/>
              <w:right w:val="single" w:sz="4" w:space="0" w:color="auto"/>
            </w:tcBorders>
            <w:noWrap/>
            <w:vAlign w:val="center"/>
          </w:tcPr>
          <w:p w14:paraId="36FC5A25"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7.2</w:t>
            </w:r>
          </w:p>
        </w:tc>
        <w:tc>
          <w:tcPr>
            <w:tcW w:w="493" w:type="pct"/>
            <w:tcBorders>
              <w:top w:val="single" w:sz="4" w:space="0" w:color="auto"/>
              <w:left w:val="nil"/>
              <w:bottom w:val="single" w:sz="4" w:space="0" w:color="auto"/>
              <w:right w:val="single" w:sz="4" w:space="0" w:color="auto"/>
            </w:tcBorders>
            <w:noWrap/>
            <w:vAlign w:val="center"/>
          </w:tcPr>
          <w:p w14:paraId="0A1B0E71"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7.7</w:t>
            </w:r>
          </w:p>
        </w:tc>
        <w:tc>
          <w:tcPr>
            <w:tcW w:w="492" w:type="pct"/>
            <w:tcBorders>
              <w:top w:val="single" w:sz="4" w:space="0" w:color="auto"/>
              <w:bottom w:val="single" w:sz="4" w:space="0" w:color="auto"/>
              <w:right w:val="single" w:sz="2" w:space="0" w:color="auto"/>
            </w:tcBorders>
            <w:noWrap/>
            <w:vAlign w:val="center"/>
          </w:tcPr>
          <w:p w14:paraId="4B05C617"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7.7</w:t>
            </w:r>
          </w:p>
        </w:tc>
      </w:tr>
      <w:tr w:rsidR="000C171B" w:rsidRPr="0010306A" w14:paraId="29F332BC" w14:textId="77777777" w:rsidTr="0049743F">
        <w:trPr>
          <w:trHeight w:val="60"/>
        </w:trPr>
        <w:tc>
          <w:tcPr>
            <w:tcW w:w="391" w:type="pct"/>
            <w:tcBorders>
              <w:top w:val="single" w:sz="4" w:space="0" w:color="auto"/>
              <w:left w:val="single" w:sz="4" w:space="0" w:color="auto"/>
              <w:bottom w:val="single" w:sz="4" w:space="0" w:color="auto"/>
              <w:right w:val="single" w:sz="4" w:space="0" w:color="auto"/>
            </w:tcBorders>
          </w:tcPr>
          <w:p w14:paraId="3E0FF815"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3</w:t>
            </w:r>
          </w:p>
        </w:tc>
        <w:tc>
          <w:tcPr>
            <w:tcW w:w="1565" w:type="pct"/>
            <w:tcBorders>
              <w:top w:val="single" w:sz="4" w:space="0" w:color="auto"/>
              <w:left w:val="nil"/>
              <w:bottom w:val="single" w:sz="4" w:space="0" w:color="auto"/>
              <w:right w:val="single" w:sz="4" w:space="0" w:color="auto"/>
            </w:tcBorders>
          </w:tcPr>
          <w:p w14:paraId="05AD02F1"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Tasa de mortalidad de niños menores de 5 años</w:t>
            </w:r>
          </w:p>
        </w:tc>
        <w:tc>
          <w:tcPr>
            <w:tcW w:w="1566" w:type="pct"/>
            <w:tcBorders>
              <w:top w:val="single" w:sz="4" w:space="0" w:color="auto"/>
              <w:left w:val="nil"/>
              <w:bottom w:val="single" w:sz="4" w:space="0" w:color="auto"/>
              <w:right w:val="single" w:sz="4" w:space="0" w:color="auto"/>
            </w:tcBorders>
          </w:tcPr>
          <w:p w14:paraId="59568BB3"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Total</w:t>
            </w:r>
          </w:p>
        </w:tc>
        <w:tc>
          <w:tcPr>
            <w:tcW w:w="493" w:type="pct"/>
            <w:tcBorders>
              <w:top w:val="single" w:sz="4" w:space="0" w:color="auto"/>
              <w:left w:val="nil"/>
              <w:bottom w:val="single" w:sz="4" w:space="0" w:color="auto"/>
              <w:right w:val="single" w:sz="4" w:space="0" w:color="auto"/>
            </w:tcBorders>
            <w:noWrap/>
            <w:vAlign w:val="center"/>
          </w:tcPr>
          <w:p w14:paraId="683A3C0C"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16.2</w:t>
            </w:r>
          </w:p>
        </w:tc>
        <w:tc>
          <w:tcPr>
            <w:tcW w:w="493" w:type="pct"/>
            <w:tcBorders>
              <w:top w:val="single" w:sz="4" w:space="0" w:color="auto"/>
              <w:left w:val="nil"/>
              <w:bottom w:val="single" w:sz="4" w:space="0" w:color="auto"/>
              <w:right w:val="single" w:sz="4" w:space="0" w:color="auto"/>
            </w:tcBorders>
            <w:noWrap/>
            <w:vAlign w:val="center"/>
          </w:tcPr>
          <w:p w14:paraId="1D1E9963"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17.8</w:t>
            </w:r>
          </w:p>
        </w:tc>
        <w:tc>
          <w:tcPr>
            <w:tcW w:w="492" w:type="pct"/>
            <w:tcBorders>
              <w:top w:val="single" w:sz="4" w:space="0" w:color="auto"/>
              <w:bottom w:val="single" w:sz="4" w:space="0" w:color="auto"/>
              <w:right w:val="single" w:sz="2" w:space="0" w:color="auto"/>
            </w:tcBorders>
            <w:noWrap/>
            <w:vAlign w:val="center"/>
          </w:tcPr>
          <w:p w14:paraId="39EF3C90"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17.4</w:t>
            </w:r>
          </w:p>
        </w:tc>
      </w:tr>
      <w:tr w:rsidR="000C171B" w:rsidRPr="0010306A" w14:paraId="3287CAF5" w14:textId="77777777" w:rsidTr="0049743F">
        <w:trPr>
          <w:trHeight w:val="60"/>
        </w:trPr>
        <w:tc>
          <w:tcPr>
            <w:tcW w:w="391" w:type="pct"/>
            <w:tcBorders>
              <w:top w:val="single" w:sz="4" w:space="0" w:color="auto"/>
              <w:left w:val="single" w:sz="4" w:space="0" w:color="auto"/>
              <w:bottom w:val="single" w:sz="4" w:space="0" w:color="auto"/>
              <w:right w:val="single" w:sz="4" w:space="0" w:color="auto"/>
            </w:tcBorders>
          </w:tcPr>
          <w:p w14:paraId="71EE28A4"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3</w:t>
            </w:r>
          </w:p>
        </w:tc>
        <w:tc>
          <w:tcPr>
            <w:tcW w:w="1565" w:type="pct"/>
            <w:tcBorders>
              <w:top w:val="single" w:sz="4" w:space="0" w:color="auto"/>
              <w:left w:val="nil"/>
              <w:bottom w:val="single" w:sz="4" w:space="0" w:color="auto"/>
              <w:right w:val="single" w:sz="4" w:space="0" w:color="auto"/>
            </w:tcBorders>
          </w:tcPr>
          <w:p w14:paraId="589A0D51"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Tasa de fecundidad de las adolescentes (de 10 a 14 años; de 15 a 19 años) por cada 1.000 mujeres de ese grupo de edad</w:t>
            </w:r>
          </w:p>
        </w:tc>
        <w:tc>
          <w:tcPr>
            <w:tcW w:w="1566" w:type="pct"/>
            <w:tcBorders>
              <w:top w:val="single" w:sz="4" w:space="0" w:color="auto"/>
              <w:left w:val="nil"/>
              <w:bottom w:val="single" w:sz="4" w:space="0" w:color="auto"/>
              <w:right w:val="single" w:sz="4" w:space="0" w:color="auto"/>
            </w:tcBorders>
          </w:tcPr>
          <w:p w14:paraId="28FDD271"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Total</w:t>
            </w:r>
          </w:p>
        </w:tc>
        <w:tc>
          <w:tcPr>
            <w:tcW w:w="493" w:type="pct"/>
            <w:tcBorders>
              <w:top w:val="single" w:sz="4" w:space="0" w:color="auto"/>
              <w:left w:val="nil"/>
              <w:bottom w:val="single" w:sz="4" w:space="0" w:color="auto"/>
              <w:right w:val="single" w:sz="4" w:space="0" w:color="auto"/>
            </w:tcBorders>
            <w:noWrap/>
            <w:vAlign w:val="center"/>
          </w:tcPr>
          <w:p w14:paraId="2C7EEFC0"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hAnsi="Arial Narrow" w:cs="Arial Narrow"/>
                <w:color w:val="000000"/>
                <w:sz w:val="16"/>
                <w:szCs w:val="16"/>
              </w:rPr>
              <w:t>43.0</w:t>
            </w:r>
          </w:p>
        </w:tc>
        <w:tc>
          <w:tcPr>
            <w:tcW w:w="493" w:type="pct"/>
            <w:tcBorders>
              <w:top w:val="single" w:sz="4" w:space="0" w:color="auto"/>
              <w:left w:val="nil"/>
              <w:bottom w:val="single" w:sz="4" w:space="0" w:color="auto"/>
              <w:right w:val="single" w:sz="4" w:space="0" w:color="auto"/>
            </w:tcBorders>
            <w:noWrap/>
            <w:vAlign w:val="center"/>
          </w:tcPr>
          <w:p w14:paraId="1CC06328"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hAnsi="Arial Narrow" w:cs="Arial Narrow"/>
                <w:color w:val="000000"/>
                <w:sz w:val="16"/>
                <w:szCs w:val="16"/>
              </w:rPr>
              <w:t>40.3</w:t>
            </w:r>
          </w:p>
        </w:tc>
        <w:tc>
          <w:tcPr>
            <w:tcW w:w="492" w:type="pct"/>
            <w:tcBorders>
              <w:top w:val="single" w:sz="4" w:space="0" w:color="auto"/>
              <w:bottom w:val="single" w:sz="4" w:space="0" w:color="auto"/>
              <w:right w:val="single" w:sz="2" w:space="0" w:color="auto"/>
            </w:tcBorders>
            <w:noWrap/>
            <w:vAlign w:val="center"/>
          </w:tcPr>
          <w:p w14:paraId="1BA8B72C" w14:textId="77777777" w:rsidR="000C171B" w:rsidRPr="00D336D1" w:rsidRDefault="000C171B" w:rsidP="002C49EF">
            <w:pPr>
              <w:spacing w:after="0" w:line="240" w:lineRule="auto"/>
              <w:jc w:val="center"/>
              <w:rPr>
                <w:rFonts w:ascii="Arial Narrow" w:hAnsi="Arial Narrow" w:cs="Arial Narrow"/>
                <w:color w:val="000000"/>
                <w:sz w:val="16"/>
                <w:szCs w:val="16"/>
              </w:rPr>
            </w:pPr>
          </w:p>
        </w:tc>
      </w:tr>
      <w:tr w:rsidR="000C171B" w:rsidRPr="0010306A" w14:paraId="1DFE6679" w14:textId="77777777" w:rsidTr="0049743F">
        <w:trPr>
          <w:trHeight w:val="60"/>
        </w:trPr>
        <w:tc>
          <w:tcPr>
            <w:tcW w:w="391" w:type="pct"/>
            <w:tcBorders>
              <w:top w:val="single" w:sz="4" w:space="0" w:color="auto"/>
              <w:left w:val="single" w:sz="4" w:space="0" w:color="auto"/>
              <w:bottom w:val="single" w:sz="4" w:space="0" w:color="auto"/>
              <w:right w:val="single" w:sz="4" w:space="0" w:color="auto"/>
            </w:tcBorders>
          </w:tcPr>
          <w:p w14:paraId="1E81E6C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3</w:t>
            </w:r>
          </w:p>
        </w:tc>
        <w:tc>
          <w:tcPr>
            <w:tcW w:w="1565" w:type="pct"/>
            <w:tcBorders>
              <w:top w:val="single" w:sz="4" w:space="0" w:color="auto"/>
              <w:left w:val="nil"/>
              <w:bottom w:val="single" w:sz="4" w:space="0" w:color="auto"/>
              <w:right w:val="single" w:sz="4" w:space="0" w:color="auto"/>
            </w:tcBorders>
          </w:tcPr>
          <w:p w14:paraId="787F4EF5"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Incidencia de la tuberculosis por cada 100.000 habitantes</w:t>
            </w:r>
          </w:p>
        </w:tc>
        <w:tc>
          <w:tcPr>
            <w:tcW w:w="1566" w:type="pct"/>
            <w:tcBorders>
              <w:top w:val="single" w:sz="4" w:space="0" w:color="auto"/>
              <w:left w:val="nil"/>
              <w:bottom w:val="single" w:sz="4" w:space="0" w:color="auto"/>
              <w:right w:val="single" w:sz="4" w:space="0" w:color="auto"/>
            </w:tcBorders>
          </w:tcPr>
          <w:p w14:paraId="47051812"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cs="Calibri"/>
                <w:color w:val="000000"/>
                <w:sz w:val="16"/>
                <w:szCs w:val="16"/>
              </w:rPr>
              <w:t>Total</w:t>
            </w:r>
          </w:p>
        </w:tc>
        <w:tc>
          <w:tcPr>
            <w:tcW w:w="493" w:type="pct"/>
            <w:tcBorders>
              <w:top w:val="single" w:sz="4" w:space="0" w:color="auto"/>
              <w:left w:val="nil"/>
              <w:bottom w:val="single" w:sz="4" w:space="0" w:color="auto"/>
              <w:right w:val="single" w:sz="4" w:space="0" w:color="auto"/>
            </w:tcBorders>
            <w:noWrap/>
            <w:vAlign w:val="center"/>
          </w:tcPr>
          <w:p w14:paraId="2979492D"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hAnsi="Arial Narrow" w:cs="Calibri"/>
                <w:color w:val="000000"/>
                <w:sz w:val="16"/>
                <w:szCs w:val="16"/>
              </w:rPr>
              <w:t>42.2</w:t>
            </w:r>
          </w:p>
        </w:tc>
        <w:tc>
          <w:tcPr>
            <w:tcW w:w="493" w:type="pct"/>
            <w:tcBorders>
              <w:top w:val="single" w:sz="4" w:space="0" w:color="auto"/>
              <w:left w:val="nil"/>
              <w:bottom w:val="single" w:sz="4" w:space="0" w:color="auto"/>
              <w:right w:val="single" w:sz="4" w:space="0" w:color="auto"/>
            </w:tcBorders>
            <w:noWrap/>
            <w:vAlign w:val="center"/>
          </w:tcPr>
          <w:p w14:paraId="2CF906A2"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hAnsi="Arial Narrow" w:cs="Calibri"/>
                <w:color w:val="000000"/>
                <w:sz w:val="16"/>
                <w:szCs w:val="16"/>
              </w:rPr>
              <w:t>34.9</w:t>
            </w:r>
          </w:p>
        </w:tc>
        <w:tc>
          <w:tcPr>
            <w:tcW w:w="492" w:type="pct"/>
            <w:tcBorders>
              <w:top w:val="single" w:sz="4" w:space="0" w:color="auto"/>
              <w:bottom w:val="single" w:sz="4" w:space="0" w:color="auto"/>
              <w:right w:val="single" w:sz="2" w:space="0" w:color="auto"/>
            </w:tcBorders>
            <w:noWrap/>
            <w:vAlign w:val="center"/>
          </w:tcPr>
          <w:p w14:paraId="68805309" w14:textId="77777777" w:rsidR="000C171B" w:rsidRPr="00D336D1" w:rsidRDefault="000C171B" w:rsidP="002C49EF">
            <w:pPr>
              <w:spacing w:after="0" w:line="240" w:lineRule="auto"/>
              <w:jc w:val="center"/>
              <w:rPr>
                <w:rFonts w:ascii="Arial Narrow" w:hAnsi="Arial Narrow" w:cs="Arial Narrow"/>
                <w:color w:val="000000"/>
                <w:sz w:val="16"/>
                <w:szCs w:val="16"/>
              </w:rPr>
            </w:pPr>
          </w:p>
        </w:tc>
      </w:tr>
      <w:tr w:rsidR="000C171B" w:rsidRPr="0010306A" w14:paraId="38B6AA2A" w14:textId="77777777" w:rsidTr="0049743F">
        <w:trPr>
          <w:trHeight w:val="60"/>
        </w:trPr>
        <w:tc>
          <w:tcPr>
            <w:tcW w:w="391" w:type="pct"/>
            <w:tcBorders>
              <w:top w:val="single" w:sz="4" w:space="0" w:color="auto"/>
              <w:left w:val="single" w:sz="4" w:space="0" w:color="auto"/>
              <w:bottom w:val="single" w:sz="4" w:space="0" w:color="auto"/>
              <w:right w:val="single" w:sz="4" w:space="0" w:color="auto"/>
            </w:tcBorders>
          </w:tcPr>
          <w:p w14:paraId="43AE0081"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3</w:t>
            </w:r>
          </w:p>
        </w:tc>
        <w:tc>
          <w:tcPr>
            <w:tcW w:w="1565" w:type="pct"/>
            <w:tcBorders>
              <w:top w:val="single" w:sz="4" w:space="0" w:color="auto"/>
              <w:left w:val="nil"/>
              <w:bottom w:val="single" w:sz="4" w:space="0" w:color="auto"/>
              <w:right w:val="single" w:sz="4" w:space="0" w:color="auto"/>
            </w:tcBorders>
          </w:tcPr>
          <w:p w14:paraId="055638D2"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Incidencia de la malaria por cada 1.000 habitantes</w:t>
            </w:r>
          </w:p>
        </w:tc>
        <w:tc>
          <w:tcPr>
            <w:tcW w:w="1566" w:type="pct"/>
            <w:tcBorders>
              <w:top w:val="single" w:sz="4" w:space="0" w:color="auto"/>
              <w:left w:val="nil"/>
              <w:bottom w:val="single" w:sz="4" w:space="0" w:color="auto"/>
              <w:right w:val="single" w:sz="4" w:space="0" w:color="auto"/>
            </w:tcBorders>
            <w:vAlign w:val="center"/>
          </w:tcPr>
          <w:p w14:paraId="57CE8F9A"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Total</w:t>
            </w:r>
          </w:p>
        </w:tc>
        <w:tc>
          <w:tcPr>
            <w:tcW w:w="493" w:type="pct"/>
            <w:tcBorders>
              <w:top w:val="single" w:sz="4" w:space="0" w:color="auto"/>
              <w:left w:val="nil"/>
              <w:bottom w:val="single" w:sz="4" w:space="0" w:color="auto"/>
              <w:right w:val="single" w:sz="4" w:space="0" w:color="auto"/>
            </w:tcBorders>
            <w:noWrap/>
            <w:vAlign w:val="center"/>
          </w:tcPr>
          <w:p w14:paraId="2A67F371"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hAnsi="Arial Narrow" w:cs="Calibri"/>
                <w:color w:val="000000"/>
                <w:sz w:val="16"/>
                <w:szCs w:val="16"/>
              </w:rPr>
              <w:t>0.14</w:t>
            </w:r>
          </w:p>
        </w:tc>
        <w:tc>
          <w:tcPr>
            <w:tcW w:w="493" w:type="pct"/>
            <w:tcBorders>
              <w:top w:val="single" w:sz="4" w:space="0" w:color="auto"/>
              <w:left w:val="nil"/>
              <w:bottom w:val="single" w:sz="4" w:space="0" w:color="auto"/>
              <w:right w:val="single" w:sz="4" w:space="0" w:color="auto"/>
            </w:tcBorders>
            <w:noWrap/>
            <w:vAlign w:val="center"/>
          </w:tcPr>
          <w:p w14:paraId="70F3107D"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hAnsi="Arial Narrow" w:cs="Calibri"/>
                <w:color w:val="000000"/>
                <w:sz w:val="16"/>
                <w:szCs w:val="16"/>
              </w:rPr>
              <w:t>0.20</w:t>
            </w:r>
          </w:p>
        </w:tc>
        <w:tc>
          <w:tcPr>
            <w:tcW w:w="492" w:type="pct"/>
            <w:tcBorders>
              <w:top w:val="single" w:sz="4" w:space="0" w:color="auto"/>
              <w:bottom w:val="single" w:sz="4" w:space="0" w:color="auto"/>
              <w:right w:val="single" w:sz="2" w:space="0" w:color="auto"/>
            </w:tcBorders>
            <w:noWrap/>
            <w:vAlign w:val="center"/>
          </w:tcPr>
          <w:p w14:paraId="37CC6E77" w14:textId="77777777" w:rsidR="000C171B" w:rsidRPr="00D336D1" w:rsidRDefault="000C171B" w:rsidP="002C49EF">
            <w:pPr>
              <w:spacing w:after="0" w:line="240" w:lineRule="auto"/>
              <w:jc w:val="center"/>
              <w:rPr>
                <w:rFonts w:ascii="Arial Narrow" w:hAnsi="Arial Narrow" w:cs="Arial Narrow"/>
                <w:color w:val="000000"/>
                <w:sz w:val="16"/>
                <w:szCs w:val="16"/>
              </w:rPr>
            </w:pPr>
          </w:p>
        </w:tc>
      </w:tr>
      <w:tr w:rsidR="000C171B" w:rsidRPr="0010306A" w14:paraId="77773115" w14:textId="77777777" w:rsidTr="0049743F">
        <w:trPr>
          <w:trHeight w:val="60"/>
        </w:trPr>
        <w:tc>
          <w:tcPr>
            <w:tcW w:w="391" w:type="pct"/>
            <w:tcBorders>
              <w:top w:val="single" w:sz="4" w:space="0" w:color="auto"/>
              <w:left w:val="single" w:sz="4" w:space="0" w:color="auto"/>
              <w:bottom w:val="single" w:sz="4" w:space="0" w:color="auto"/>
              <w:right w:val="single" w:sz="4" w:space="0" w:color="auto"/>
            </w:tcBorders>
          </w:tcPr>
          <w:p w14:paraId="52AAEC6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lastRenderedPageBreak/>
              <w:t>ODS 3</w:t>
            </w:r>
          </w:p>
        </w:tc>
        <w:tc>
          <w:tcPr>
            <w:tcW w:w="1565" w:type="pct"/>
            <w:tcBorders>
              <w:top w:val="single" w:sz="4" w:space="0" w:color="auto"/>
              <w:left w:val="nil"/>
              <w:bottom w:val="single" w:sz="4" w:space="0" w:color="auto"/>
              <w:right w:val="single" w:sz="4" w:space="0" w:color="auto"/>
            </w:tcBorders>
          </w:tcPr>
          <w:p w14:paraId="023C9293"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Densidad y distribución de los trabajadores sanitarios</w:t>
            </w:r>
          </w:p>
        </w:tc>
        <w:tc>
          <w:tcPr>
            <w:tcW w:w="1566" w:type="pct"/>
            <w:tcBorders>
              <w:top w:val="single" w:sz="4" w:space="0" w:color="auto"/>
              <w:left w:val="nil"/>
              <w:bottom w:val="single" w:sz="4" w:space="0" w:color="auto"/>
              <w:right w:val="single" w:sz="4" w:space="0" w:color="auto"/>
            </w:tcBorders>
            <w:vAlign w:val="center"/>
          </w:tcPr>
          <w:p w14:paraId="68CFD2BD"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Total</w:t>
            </w:r>
          </w:p>
        </w:tc>
        <w:tc>
          <w:tcPr>
            <w:tcW w:w="493" w:type="pct"/>
            <w:tcBorders>
              <w:top w:val="single" w:sz="4" w:space="0" w:color="auto"/>
              <w:left w:val="nil"/>
              <w:bottom w:val="single" w:sz="4" w:space="0" w:color="auto"/>
              <w:right w:val="single" w:sz="4" w:space="0" w:color="auto"/>
            </w:tcBorders>
            <w:noWrap/>
            <w:vAlign w:val="center"/>
          </w:tcPr>
          <w:p w14:paraId="07D4857E" w14:textId="77777777" w:rsidR="000C171B" w:rsidRPr="00D336D1" w:rsidRDefault="000C171B" w:rsidP="002C49EF">
            <w:pPr>
              <w:spacing w:after="0" w:line="240" w:lineRule="auto"/>
              <w:jc w:val="center"/>
              <w:rPr>
                <w:rFonts w:ascii="Arial Narrow" w:hAnsi="Arial Narrow" w:cs="Calibri"/>
                <w:color w:val="000000"/>
                <w:sz w:val="16"/>
                <w:szCs w:val="16"/>
              </w:rPr>
            </w:pPr>
            <w:r w:rsidRPr="00D336D1">
              <w:rPr>
                <w:rFonts w:ascii="Arial Narrow" w:hAnsi="Arial Narrow" w:cs="Arial Narrow"/>
                <w:color w:val="000000"/>
                <w:sz w:val="16"/>
                <w:szCs w:val="16"/>
              </w:rPr>
              <w:t>636.00</w:t>
            </w:r>
          </w:p>
        </w:tc>
        <w:tc>
          <w:tcPr>
            <w:tcW w:w="493" w:type="pct"/>
            <w:tcBorders>
              <w:top w:val="single" w:sz="4" w:space="0" w:color="auto"/>
              <w:left w:val="nil"/>
              <w:bottom w:val="single" w:sz="4" w:space="0" w:color="auto"/>
              <w:right w:val="single" w:sz="4" w:space="0" w:color="auto"/>
            </w:tcBorders>
            <w:noWrap/>
            <w:vAlign w:val="center"/>
          </w:tcPr>
          <w:p w14:paraId="7F11DB4E" w14:textId="77777777" w:rsidR="000C171B" w:rsidRPr="00D336D1" w:rsidRDefault="000C171B" w:rsidP="002C49EF">
            <w:pPr>
              <w:spacing w:after="0" w:line="240" w:lineRule="auto"/>
              <w:jc w:val="center"/>
              <w:rPr>
                <w:rFonts w:ascii="Arial Narrow" w:hAnsi="Arial Narrow" w:cs="Calibri"/>
                <w:color w:val="000000"/>
                <w:sz w:val="16"/>
                <w:szCs w:val="16"/>
              </w:rPr>
            </w:pPr>
            <w:r w:rsidRPr="00D336D1">
              <w:rPr>
                <w:rFonts w:ascii="Arial Narrow" w:hAnsi="Arial Narrow" w:cs="Arial Narrow"/>
                <w:color w:val="000000"/>
                <w:sz w:val="16"/>
                <w:szCs w:val="16"/>
              </w:rPr>
              <w:t>637.00</w:t>
            </w:r>
          </w:p>
        </w:tc>
        <w:tc>
          <w:tcPr>
            <w:tcW w:w="492" w:type="pct"/>
            <w:tcBorders>
              <w:top w:val="single" w:sz="4" w:space="0" w:color="auto"/>
              <w:bottom w:val="single" w:sz="4" w:space="0" w:color="auto"/>
              <w:right w:val="single" w:sz="2" w:space="0" w:color="auto"/>
            </w:tcBorders>
            <w:noWrap/>
            <w:vAlign w:val="center"/>
          </w:tcPr>
          <w:p w14:paraId="6B1749CD"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hAnsi="Arial Narrow" w:cs="Arial Narrow"/>
                <w:color w:val="000000"/>
                <w:sz w:val="16"/>
                <w:szCs w:val="16"/>
              </w:rPr>
              <w:t>629.00</w:t>
            </w:r>
          </w:p>
        </w:tc>
      </w:tr>
      <w:tr w:rsidR="000C171B" w:rsidRPr="0010306A" w14:paraId="7F722793" w14:textId="77777777" w:rsidTr="0049743F">
        <w:trPr>
          <w:trHeight w:val="60"/>
        </w:trPr>
        <w:tc>
          <w:tcPr>
            <w:tcW w:w="391" w:type="pct"/>
            <w:tcBorders>
              <w:top w:val="single" w:sz="4" w:space="0" w:color="auto"/>
              <w:left w:val="single" w:sz="4" w:space="0" w:color="auto"/>
              <w:bottom w:val="single" w:sz="4" w:space="0" w:color="auto"/>
              <w:right w:val="single" w:sz="4" w:space="0" w:color="auto"/>
            </w:tcBorders>
          </w:tcPr>
          <w:p w14:paraId="32A2FD53"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3</w:t>
            </w:r>
          </w:p>
        </w:tc>
        <w:tc>
          <w:tcPr>
            <w:tcW w:w="1565" w:type="pct"/>
            <w:tcBorders>
              <w:top w:val="single" w:sz="4" w:space="0" w:color="auto"/>
              <w:left w:val="nil"/>
              <w:bottom w:val="single" w:sz="4" w:space="0" w:color="auto"/>
              <w:right w:val="single" w:sz="4" w:space="0" w:color="auto"/>
            </w:tcBorders>
          </w:tcPr>
          <w:p w14:paraId="31DD1505"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Calibri"/>
                <w:color w:val="000000"/>
                <w:sz w:val="16"/>
                <w:szCs w:val="16"/>
              </w:rPr>
              <w:t>Casos de sida reportados según región de salud</w:t>
            </w:r>
          </w:p>
        </w:tc>
        <w:tc>
          <w:tcPr>
            <w:tcW w:w="1566" w:type="pct"/>
            <w:tcBorders>
              <w:top w:val="single" w:sz="4" w:space="0" w:color="auto"/>
              <w:left w:val="nil"/>
              <w:bottom w:val="single" w:sz="4" w:space="0" w:color="auto"/>
              <w:right w:val="single" w:sz="4" w:space="0" w:color="auto"/>
            </w:tcBorders>
            <w:vAlign w:val="center"/>
          </w:tcPr>
          <w:p w14:paraId="097C3FAE"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cs="Calibri"/>
                <w:color w:val="000000"/>
                <w:sz w:val="16"/>
                <w:szCs w:val="16"/>
              </w:rPr>
              <w:t>Total</w:t>
            </w:r>
          </w:p>
        </w:tc>
        <w:tc>
          <w:tcPr>
            <w:tcW w:w="493" w:type="pct"/>
            <w:tcBorders>
              <w:top w:val="single" w:sz="4" w:space="0" w:color="auto"/>
              <w:left w:val="nil"/>
              <w:bottom w:val="single" w:sz="4" w:space="0" w:color="auto"/>
              <w:right w:val="single" w:sz="4" w:space="0" w:color="auto"/>
            </w:tcBorders>
            <w:noWrap/>
            <w:vAlign w:val="center"/>
          </w:tcPr>
          <w:p w14:paraId="7EA3A809"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hAnsi="Arial Narrow" w:cs="Calibri"/>
                <w:color w:val="000000"/>
                <w:sz w:val="16"/>
                <w:szCs w:val="16"/>
              </w:rPr>
              <w:t>724</w:t>
            </w:r>
          </w:p>
        </w:tc>
        <w:tc>
          <w:tcPr>
            <w:tcW w:w="493" w:type="pct"/>
            <w:tcBorders>
              <w:top w:val="single" w:sz="4" w:space="0" w:color="auto"/>
              <w:left w:val="nil"/>
              <w:bottom w:val="single" w:sz="4" w:space="0" w:color="auto"/>
              <w:right w:val="single" w:sz="4" w:space="0" w:color="auto"/>
            </w:tcBorders>
            <w:noWrap/>
            <w:vAlign w:val="center"/>
          </w:tcPr>
          <w:p w14:paraId="67725974"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hAnsi="Arial Narrow" w:cs="Calibri"/>
                <w:color w:val="000000"/>
                <w:sz w:val="16"/>
                <w:szCs w:val="16"/>
              </w:rPr>
              <w:t>613</w:t>
            </w:r>
          </w:p>
        </w:tc>
        <w:tc>
          <w:tcPr>
            <w:tcW w:w="492" w:type="pct"/>
            <w:tcBorders>
              <w:top w:val="single" w:sz="4" w:space="0" w:color="auto"/>
              <w:bottom w:val="single" w:sz="4" w:space="0" w:color="auto"/>
              <w:right w:val="single" w:sz="2" w:space="0" w:color="auto"/>
            </w:tcBorders>
            <w:noWrap/>
            <w:vAlign w:val="center"/>
          </w:tcPr>
          <w:p w14:paraId="28DE9E78" w14:textId="77777777" w:rsidR="000C171B" w:rsidRPr="00D336D1" w:rsidRDefault="000C171B" w:rsidP="002C49EF">
            <w:pPr>
              <w:spacing w:after="0" w:line="240" w:lineRule="auto"/>
              <w:jc w:val="center"/>
              <w:rPr>
                <w:rFonts w:ascii="Arial Narrow" w:hAnsi="Arial Narrow" w:cs="Arial Narrow"/>
                <w:color w:val="000000"/>
                <w:sz w:val="16"/>
                <w:szCs w:val="16"/>
              </w:rPr>
            </w:pPr>
          </w:p>
        </w:tc>
      </w:tr>
      <w:tr w:rsidR="000C171B" w:rsidRPr="0010306A" w14:paraId="225290CC" w14:textId="77777777" w:rsidTr="0049743F">
        <w:trPr>
          <w:trHeight w:val="60"/>
        </w:trPr>
        <w:tc>
          <w:tcPr>
            <w:tcW w:w="391" w:type="pct"/>
            <w:vMerge w:val="restart"/>
            <w:tcBorders>
              <w:top w:val="single" w:sz="4" w:space="0" w:color="auto"/>
              <w:left w:val="single" w:sz="4" w:space="0" w:color="auto"/>
              <w:right w:val="single" w:sz="4" w:space="0" w:color="auto"/>
            </w:tcBorders>
          </w:tcPr>
          <w:p w14:paraId="59652544"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3</w:t>
            </w:r>
          </w:p>
        </w:tc>
        <w:tc>
          <w:tcPr>
            <w:tcW w:w="1565" w:type="pct"/>
            <w:vMerge w:val="restart"/>
            <w:tcBorders>
              <w:top w:val="single" w:sz="4" w:space="0" w:color="auto"/>
              <w:left w:val="nil"/>
              <w:right w:val="single" w:sz="4" w:space="0" w:color="auto"/>
            </w:tcBorders>
          </w:tcPr>
          <w:p w14:paraId="18538D14"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Calibri"/>
                <w:color w:val="000000"/>
                <w:sz w:val="16"/>
                <w:szCs w:val="16"/>
              </w:rPr>
              <w:t>Número de defunciones según enfermedades prevenibles</w:t>
            </w:r>
          </w:p>
        </w:tc>
        <w:tc>
          <w:tcPr>
            <w:tcW w:w="1566" w:type="pct"/>
            <w:tcBorders>
              <w:top w:val="single" w:sz="4" w:space="0" w:color="auto"/>
              <w:left w:val="nil"/>
              <w:bottom w:val="nil"/>
              <w:right w:val="single" w:sz="4" w:space="0" w:color="auto"/>
            </w:tcBorders>
            <w:vAlign w:val="center"/>
          </w:tcPr>
          <w:p w14:paraId="5857F6E8"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cs="Calibri"/>
                <w:color w:val="000000"/>
                <w:sz w:val="16"/>
                <w:szCs w:val="16"/>
              </w:rPr>
              <w:t>Total</w:t>
            </w:r>
          </w:p>
        </w:tc>
        <w:tc>
          <w:tcPr>
            <w:tcW w:w="493" w:type="pct"/>
            <w:tcBorders>
              <w:top w:val="single" w:sz="4" w:space="0" w:color="auto"/>
              <w:left w:val="nil"/>
              <w:bottom w:val="nil"/>
              <w:right w:val="single" w:sz="4" w:space="0" w:color="auto"/>
            </w:tcBorders>
            <w:noWrap/>
            <w:vAlign w:val="center"/>
          </w:tcPr>
          <w:p w14:paraId="41A7F66D"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hAnsi="Arial Narrow" w:cs="Arial"/>
                <w:color w:val="000000"/>
                <w:sz w:val="16"/>
                <w:szCs w:val="16"/>
              </w:rPr>
              <w:t>10,048</w:t>
            </w:r>
          </w:p>
        </w:tc>
        <w:tc>
          <w:tcPr>
            <w:tcW w:w="493" w:type="pct"/>
            <w:tcBorders>
              <w:top w:val="single" w:sz="4" w:space="0" w:color="auto"/>
              <w:left w:val="nil"/>
              <w:bottom w:val="nil"/>
              <w:right w:val="single" w:sz="4" w:space="0" w:color="auto"/>
            </w:tcBorders>
            <w:noWrap/>
            <w:vAlign w:val="center"/>
          </w:tcPr>
          <w:p w14:paraId="63A58CC3"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hAnsi="Arial Narrow" w:cs="Arial"/>
                <w:color w:val="000000"/>
                <w:sz w:val="16"/>
                <w:szCs w:val="16"/>
              </w:rPr>
              <w:t>10,249</w:t>
            </w:r>
          </w:p>
        </w:tc>
        <w:tc>
          <w:tcPr>
            <w:tcW w:w="492" w:type="pct"/>
            <w:tcBorders>
              <w:top w:val="single" w:sz="4" w:space="0" w:color="auto"/>
              <w:right w:val="single" w:sz="2" w:space="0" w:color="auto"/>
            </w:tcBorders>
            <w:noWrap/>
            <w:vAlign w:val="center"/>
          </w:tcPr>
          <w:p w14:paraId="6115F486" w14:textId="77777777" w:rsidR="000C171B" w:rsidRPr="00D336D1" w:rsidRDefault="000C171B" w:rsidP="002C49EF">
            <w:pPr>
              <w:spacing w:after="0" w:line="240" w:lineRule="auto"/>
              <w:jc w:val="center"/>
              <w:rPr>
                <w:rFonts w:ascii="Arial Narrow" w:hAnsi="Arial Narrow" w:cs="Arial Narrow"/>
                <w:color w:val="000000"/>
                <w:sz w:val="16"/>
                <w:szCs w:val="16"/>
              </w:rPr>
            </w:pPr>
          </w:p>
        </w:tc>
      </w:tr>
      <w:tr w:rsidR="000C171B" w:rsidRPr="0010306A" w14:paraId="7704B415" w14:textId="77777777" w:rsidTr="0049743F">
        <w:trPr>
          <w:trHeight w:val="60"/>
        </w:trPr>
        <w:tc>
          <w:tcPr>
            <w:tcW w:w="391" w:type="pct"/>
            <w:vMerge/>
            <w:tcBorders>
              <w:left w:val="single" w:sz="4" w:space="0" w:color="auto"/>
              <w:right w:val="single" w:sz="4" w:space="0" w:color="auto"/>
            </w:tcBorders>
          </w:tcPr>
          <w:p w14:paraId="5489ACF6"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40BD44D1"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3805CB89"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cs="Calibri"/>
                <w:color w:val="000000"/>
                <w:sz w:val="16"/>
                <w:szCs w:val="16"/>
              </w:rPr>
              <w:t>Hombre</w:t>
            </w:r>
          </w:p>
        </w:tc>
        <w:tc>
          <w:tcPr>
            <w:tcW w:w="493" w:type="pct"/>
            <w:tcBorders>
              <w:top w:val="nil"/>
              <w:left w:val="nil"/>
              <w:bottom w:val="nil"/>
              <w:right w:val="single" w:sz="4" w:space="0" w:color="auto"/>
            </w:tcBorders>
            <w:noWrap/>
            <w:vAlign w:val="center"/>
          </w:tcPr>
          <w:p w14:paraId="515E16CB"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hAnsi="Arial Narrow" w:cs="Arial"/>
                <w:color w:val="000000"/>
                <w:sz w:val="16"/>
                <w:szCs w:val="16"/>
              </w:rPr>
              <w:t>5,384</w:t>
            </w:r>
          </w:p>
        </w:tc>
        <w:tc>
          <w:tcPr>
            <w:tcW w:w="493" w:type="pct"/>
            <w:tcBorders>
              <w:top w:val="nil"/>
              <w:left w:val="nil"/>
              <w:bottom w:val="nil"/>
              <w:right w:val="single" w:sz="4" w:space="0" w:color="auto"/>
            </w:tcBorders>
            <w:noWrap/>
            <w:vAlign w:val="center"/>
          </w:tcPr>
          <w:p w14:paraId="219D434A"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hAnsi="Arial Narrow" w:cs="Arial"/>
                <w:color w:val="000000"/>
                <w:sz w:val="16"/>
                <w:szCs w:val="16"/>
              </w:rPr>
              <w:t>5,431</w:t>
            </w:r>
          </w:p>
        </w:tc>
        <w:tc>
          <w:tcPr>
            <w:tcW w:w="492" w:type="pct"/>
            <w:tcBorders>
              <w:right w:val="single" w:sz="2" w:space="0" w:color="auto"/>
            </w:tcBorders>
            <w:noWrap/>
            <w:vAlign w:val="center"/>
          </w:tcPr>
          <w:p w14:paraId="292B23AF" w14:textId="77777777" w:rsidR="000C171B" w:rsidRPr="00D336D1" w:rsidRDefault="000C171B" w:rsidP="002C49EF">
            <w:pPr>
              <w:spacing w:after="0" w:line="240" w:lineRule="auto"/>
              <w:jc w:val="center"/>
              <w:rPr>
                <w:rFonts w:ascii="Arial Narrow" w:hAnsi="Arial Narrow" w:cs="Arial Narrow"/>
                <w:color w:val="000000"/>
                <w:sz w:val="16"/>
                <w:szCs w:val="16"/>
              </w:rPr>
            </w:pPr>
          </w:p>
        </w:tc>
      </w:tr>
      <w:tr w:rsidR="000C171B" w:rsidRPr="0010306A" w14:paraId="668C3304" w14:textId="77777777" w:rsidTr="0049743F">
        <w:trPr>
          <w:trHeight w:val="60"/>
        </w:trPr>
        <w:tc>
          <w:tcPr>
            <w:tcW w:w="391" w:type="pct"/>
            <w:vMerge/>
            <w:tcBorders>
              <w:left w:val="single" w:sz="4" w:space="0" w:color="auto"/>
              <w:bottom w:val="single" w:sz="4" w:space="0" w:color="auto"/>
              <w:right w:val="single" w:sz="4" w:space="0" w:color="auto"/>
            </w:tcBorders>
          </w:tcPr>
          <w:p w14:paraId="0A7D7CB9"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0B2678B0"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single" w:sz="4" w:space="0" w:color="auto"/>
              <w:right w:val="single" w:sz="4" w:space="0" w:color="auto"/>
            </w:tcBorders>
            <w:vAlign w:val="center"/>
          </w:tcPr>
          <w:p w14:paraId="5DF0A33F"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cs="Calibri"/>
                <w:color w:val="000000"/>
                <w:sz w:val="16"/>
                <w:szCs w:val="16"/>
              </w:rPr>
              <w:t>Mujer</w:t>
            </w:r>
          </w:p>
        </w:tc>
        <w:tc>
          <w:tcPr>
            <w:tcW w:w="493" w:type="pct"/>
            <w:tcBorders>
              <w:top w:val="nil"/>
              <w:left w:val="nil"/>
              <w:bottom w:val="single" w:sz="4" w:space="0" w:color="auto"/>
              <w:right w:val="single" w:sz="4" w:space="0" w:color="auto"/>
            </w:tcBorders>
            <w:noWrap/>
            <w:vAlign w:val="center"/>
          </w:tcPr>
          <w:p w14:paraId="73B38146"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hAnsi="Arial Narrow" w:cs="Arial"/>
                <w:color w:val="000000"/>
                <w:sz w:val="16"/>
                <w:szCs w:val="16"/>
              </w:rPr>
              <w:t>4,664</w:t>
            </w:r>
          </w:p>
        </w:tc>
        <w:tc>
          <w:tcPr>
            <w:tcW w:w="493" w:type="pct"/>
            <w:tcBorders>
              <w:top w:val="nil"/>
              <w:left w:val="nil"/>
              <w:bottom w:val="single" w:sz="4" w:space="0" w:color="auto"/>
              <w:right w:val="single" w:sz="4" w:space="0" w:color="auto"/>
            </w:tcBorders>
            <w:noWrap/>
            <w:vAlign w:val="center"/>
          </w:tcPr>
          <w:p w14:paraId="48734F05"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hAnsi="Arial Narrow" w:cs="Arial"/>
                <w:color w:val="000000"/>
                <w:sz w:val="16"/>
                <w:szCs w:val="16"/>
              </w:rPr>
              <w:t>4,818</w:t>
            </w:r>
          </w:p>
        </w:tc>
        <w:tc>
          <w:tcPr>
            <w:tcW w:w="492" w:type="pct"/>
            <w:tcBorders>
              <w:bottom w:val="single" w:sz="4" w:space="0" w:color="auto"/>
              <w:right w:val="single" w:sz="2" w:space="0" w:color="auto"/>
            </w:tcBorders>
            <w:noWrap/>
            <w:vAlign w:val="center"/>
          </w:tcPr>
          <w:p w14:paraId="0AAB3E93" w14:textId="77777777" w:rsidR="000C171B" w:rsidRPr="00D336D1" w:rsidRDefault="000C171B" w:rsidP="002C49EF">
            <w:pPr>
              <w:spacing w:after="0" w:line="240" w:lineRule="auto"/>
              <w:jc w:val="center"/>
              <w:rPr>
                <w:rFonts w:ascii="Arial Narrow" w:hAnsi="Arial Narrow" w:cs="Arial Narrow"/>
                <w:color w:val="000000"/>
                <w:sz w:val="16"/>
                <w:szCs w:val="16"/>
              </w:rPr>
            </w:pPr>
          </w:p>
        </w:tc>
      </w:tr>
      <w:tr w:rsidR="000C171B" w:rsidRPr="0010306A" w14:paraId="774B8344" w14:textId="77777777" w:rsidTr="0049743F">
        <w:trPr>
          <w:trHeight w:val="60"/>
        </w:trPr>
        <w:tc>
          <w:tcPr>
            <w:tcW w:w="391" w:type="pct"/>
            <w:vMerge w:val="restart"/>
            <w:tcBorders>
              <w:top w:val="single" w:sz="4" w:space="0" w:color="auto"/>
              <w:left w:val="single" w:sz="4" w:space="0" w:color="auto"/>
              <w:right w:val="single" w:sz="4" w:space="0" w:color="auto"/>
            </w:tcBorders>
          </w:tcPr>
          <w:p w14:paraId="2B8E0156"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3</w:t>
            </w:r>
          </w:p>
        </w:tc>
        <w:tc>
          <w:tcPr>
            <w:tcW w:w="1565" w:type="pct"/>
            <w:vMerge w:val="restart"/>
            <w:tcBorders>
              <w:top w:val="single" w:sz="4" w:space="0" w:color="auto"/>
              <w:left w:val="nil"/>
              <w:right w:val="single" w:sz="4" w:space="0" w:color="auto"/>
            </w:tcBorders>
          </w:tcPr>
          <w:p w14:paraId="01D614C4"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Calibri"/>
                <w:color w:val="000000"/>
                <w:sz w:val="16"/>
                <w:szCs w:val="16"/>
              </w:rPr>
              <w:t>Tasa de mortalidad por 100,000 habitantes atribuida a las enfermedades prevenibles</w:t>
            </w:r>
          </w:p>
        </w:tc>
        <w:tc>
          <w:tcPr>
            <w:tcW w:w="1566" w:type="pct"/>
            <w:tcBorders>
              <w:top w:val="single" w:sz="4" w:space="0" w:color="auto"/>
              <w:left w:val="nil"/>
              <w:bottom w:val="nil"/>
              <w:right w:val="single" w:sz="4" w:space="0" w:color="auto"/>
            </w:tcBorders>
            <w:vAlign w:val="center"/>
          </w:tcPr>
          <w:p w14:paraId="0CE7527C"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cs="Calibri"/>
                <w:color w:val="000000"/>
                <w:sz w:val="16"/>
                <w:szCs w:val="16"/>
              </w:rPr>
              <w:t>Total</w:t>
            </w:r>
          </w:p>
        </w:tc>
        <w:tc>
          <w:tcPr>
            <w:tcW w:w="493" w:type="pct"/>
            <w:tcBorders>
              <w:top w:val="single" w:sz="4" w:space="0" w:color="auto"/>
              <w:left w:val="nil"/>
              <w:bottom w:val="nil"/>
              <w:right w:val="single" w:sz="4" w:space="0" w:color="auto"/>
            </w:tcBorders>
            <w:noWrap/>
            <w:vAlign w:val="center"/>
          </w:tcPr>
          <w:p w14:paraId="21542A21"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hAnsi="Arial Narrow" w:cs="Calibri"/>
                <w:color w:val="000000"/>
                <w:sz w:val="16"/>
                <w:szCs w:val="16"/>
              </w:rPr>
              <w:t>252.8</w:t>
            </w:r>
          </w:p>
        </w:tc>
        <w:tc>
          <w:tcPr>
            <w:tcW w:w="493" w:type="pct"/>
            <w:tcBorders>
              <w:top w:val="single" w:sz="4" w:space="0" w:color="auto"/>
              <w:left w:val="nil"/>
              <w:bottom w:val="nil"/>
              <w:right w:val="single" w:sz="4" w:space="0" w:color="auto"/>
            </w:tcBorders>
            <w:noWrap/>
            <w:vAlign w:val="center"/>
          </w:tcPr>
          <w:p w14:paraId="34E0FE9C"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hAnsi="Arial Narrow" w:cs="Calibri"/>
                <w:color w:val="000000"/>
                <w:sz w:val="16"/>
                <w:szCs w:val="16"/>
              </w:rPr>
              <w:t>253.9</w:t>
            </w:r>
          </w:p>
        </w:tc>
        <w:tc>
          <w:tcPr>
            <w:tcW w:w="492" w:type="pct"/>
            <w:tcBorders>
              <w:top w:val="single" w:sz="4" w:space="0" w:color="auto"/>
              <w:right w:val="single" w:sz="2" w:space="0" w:color="auto"/>
            </w:tcBorders>
            <w:noWrap/>
            <w:vAlign w:val="center"/>
          </w:tcPr>
          <w:p w14:paraId="36946DF8" w14:textId="77777777" w:rsidR="000C171B" w:rsidRPr="00D336D1" w:rsidRDefault="000C171B" w:rsidP="002C49EF">
            <w:pPr>
              <w:spacing w:after="0" w:line="240" w:lineRule="auto"/>
              <w:jc w:val="center"/>
              <w:rPr>
                <w:rFonts w:ascii="Arial Narrow" w:hAnsi="Arial Narrow" w:cs="Arial Narrow"/>
                <w:color w:val="000000"/>
                <w:sz w:val="16"/>
                <w:szCs w:val="16"/>
              </w:rPr>
            </w:pPr>
          </w:p>
        </w:tc>
      </w:tr>
      <w:tr w:rsidR="000C171B" w:rsidRPr="0010306A" w14:paraId="58EFD9BD" w14:textId="77777777" w:rsidTr="0049743F">
        <w:trPr>
          <w:trHeight w:val="60"/>
        </w:trPr>
        <w:tc>
          <w:tcPr>
            <w:tcW w:w="391" w:type="pct"/>
            <w:vMerge/>
            <w:tcBorders>
              <w:left w:val="single" w:sz="4" w:space="0" w:color="auto"/>
              <w:right w:val="single" w:sz="4" w:space="0" w:color="auto"/>
            </w:tcBorders>
          </w:tcPr>
          <w:p w14:paraId="26F7CAD4"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0B2CFC10"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57CEAB82"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cs="Calibri"/>
                <w:color w:val="000000"/>
                <w:sz w:val="16"/>
                <w:szCs w:val="16"/>
              </w:rPr>
              <w:t>Hombre</w:t>
            </w:r>
          </w:p>
        </w:tc>
        <w:tc>
          <w:tcPr>
            <w:tcW w:w="493" w:type="pct"/>
            <w:tcBorders>
              <w:top w:val="nil"/>
              <w:left w:val="nil"/>
              <w:bottom w:val="nil"/>
              <w:right w:val="single" w:sz="4" w:space="0" w:color="auto"/>
            </w:tcBorders>
            <w:noWrap/>
            <w:vAlign w:val="center"/>
          </w:tcPr>
          <w:p w14:paraId="2E966ED2"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hAnsi="Arial Narrow" w:cs="Calibri"/>
                <w:color w:val="000000"/>
                <w:sz w:val="16"/>
                <w:szCs w:val="16"/>
              </w:rPr>
              <w:t>269.8</w:t>
            </w:r>
          </w:p>
        </w:tc>
        <w:tc>
          <w:tcPr>
            <w:tcW w:w="493" w:type="pct"/>
            <w:tcBorders>
              <w:top w:val="nil"/>
              <w:left w:val="nil"/>
              <w:bottom w:val="nil"/>
              <w:right w:val="single" w:sz="4" w:space="0" w:color="auto"/>
            </w:tcBorders>
            <w:noWrap/>
            <w:vAlign w:val="center"/>
          </w:tcPr>
          <w:p w14:paraId="5C264AE6" w14:textId="77777777" w:rsidR="000C171B" w:rsidRPr="00D336D1" w:rsidRDefault="000C171B" w:rsidP="002C49EF">
            <w:pPr>
              <w:spacing w:after="0" w:line="240" w:lineRule="auto"/>
              <w:jc w:val="center"/>
              <w:rPr>
                <w:rFonts w:ascii="Arial Narrow" w:hAnsi="Arial Narrow" w:cs="Arial Narrow"/>
                <w:color w:val="000000"/>
                <w:sz w:val="16"/>
                <w:szCs w:val="16"/>
              </w:rPr>
            </w:pPr>
            <w:r w:rsidRPr="00D336D1">
              <w:rPr>
                <w:rFonts w:ascii="Arial Narrow" w:hAnsi="Arial Narrow" w:cs="Calibri"/>
                <w:color w:val="000000"/>
                <w:sz w:val="16"/>
                <w:szCs w:val="16"/>
              </w:rPr>
              <w:t>268.1</w:t>
            </w:r>
          </w:p>
        </w:tc>
        <w:tc>
          <w:tcPr>
            <w:tcW w:w="492" w:type="pct"/>
            <w:tcBorders>
              <w:right w:val="single" w:sz="2" w:space="0" w:color="auto"/>
            </w:tcBorders>
            <w:noWrap/>
            <w:vAlign w:val="center"/>
          </w:tcPr>
          <w:p w14:paraId="441446E0" w14:textId="77777777" w:rsidR="000C171B" w:rsidRPr="00D336D1" w:rsidRDefault="000C171B" w:rsidP="002C49EF">
            <w:pPr>
              <w:spacing w:after="0" w:line="240" w:lineRule="auto"/>
              <w:jc w:val="center"/>
              <w:rPr>
                <w:rFonts w:ascii="Arial Narrow" w:hAnsi="Arial Narrow" w:cs="Arial Narrow"/>
                <w:color w:val="000000"/>
                <w:sz w:val="16"/>
                <w:szCs w:val="16"/>
              </w:rPr>
            </w:pPr>
          </w:p>
        </w:tc>
      </w:tr>
      <w:tr w:rsidR="000C171B" w:rsidRPr="0010306A" w14:paraId="2192B262" w14:textId="77777777" w:rsidTr="0049743F">
        <w:trPr>
          <w:trHeight w:val="60"/>
        </w:trPr>
        <w:tc>
          <w:tcPr>
            <w:tcW w:w="391" w:type="pct"/>
            <w:vMerge/>
            <w:tcBorders>
              <w:left w:val="single" w:sz="4" w:space="0" w:color="auto"/>
              <w:bottom w:val="single" w:sz="4" w:space="0" w:color="auto"/>
              <w:right w:val="single" w:sz="4" w:space="0" w:color="auto"/>
            </w:tcBorders>
          </w:tcPr>
          <w:p w14:paraId="048103C0"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6479994A"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single" w:sz="4" w:space="0" w:color="auto"/>
              <w:right w:val="single" w:sz="4" w:space="0" w:color="auto"/>
            </w:tcBorders>
            <w:vAlign w:val="center"/>
          </w:tcPr>
          <w:p w14:paraId="27FAA318"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cs="Calibri"/>
                <w:color w:val="000000"/>
                <w:sz w:val="16"/>
                <w:szCs w:val="16"/>
              </w:rPr>
              <w:t>Mujer</w:t>
            </w:r>
          </w:p>
        </w:tc>
        <w:tc>
          <w:tcPr>
            <w:tcW w:w="493" w:type="pct"/>
            <w:tcBorders>
              <w:top w:val="nil"/>
              <w:left w:val="nil"/>
              <w:bottom w:val="single" w:sz="4" w:space="0" w:color="auto"/>
              <w:right w:val="single" w:sz="4" w:space="0" w:color="auto"/>
            </w:tcBorders>
            <w:noWrap/>
            <w:vAlign w:val="center"/>
          </w:tcPr>
          <w:p w14:paraId="554FA92F"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235.6</w:t>
            </w:r>
          </w:p>
        </w:tc>
        <w:tc>
          <w:tcPr>
            <w:tcW w:w="493" w:type="pct"/>
            <w:tcBorders>
              <w:top w:val="nil"/>
              <w:left w:val="nil"/>
              <w:bottom w:val="single" w:sz="4" w:space="0" w:color="auto"/>
              <w:right w:val="single" w:sz="4" w:space="0" w:color="auto"/>
            </w:tcBorders>
            <w:noWrap/>
            <w:vAlign w:val="center"/>
          </w:tcPr>
          <w:p w14:paraId="6C1A4544"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239.6</w:t>
            </w:r>
          </w:p>
        </w:tc>
        <w:tc>
          <w:tcPr>
            <w:tcW w:w="492" w:type="pct"/>
            <w:tcBorders>
              <w:bottom w:val="single" w:sz="4" w:space="0" w:color="auto"/>
              <w:right w:val="single" w:sz="2" w:space="0" w:color="auto"/>
            </w:tcBorders>
            <w:noWrap/>
            <w:vAlign w:val="center"/>
          </w:tcPr>
          <w:p w14:paraId="46E02FB3"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1A29D676" w14:textId="77777777" w:rsidTr="0049743F">
        <w:trPr>
          <w:trHeight w:val="60"/>
        </w:trPr>
        <w:tc>
          <w:tcPr>
            <w:tcW w:w="391" w:type="pct"/>
            <w:vMerge w:val="restart"/>
            <w:tcBorders>
              <w:top w:val="single" w:sz="4" w:space="0" w:color="auto"/>
              <w:left w:val="single" w:sz="4" w:space="0" w:color="auto"/>
              <w:right w:val="single" w:sz="4" w:space="0" w:color="auto"/>
            </w:tcBorders>
          </w:tcPr>
          <w:p w14:paraId="13D2109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3</w:t>
            </w:r>
          </w:p>
        </w:tc>
        <w:tc>
          <w:tcPr>
            <w:tcW w:w="1565" w:type="pct"/>
            <w:vMerge w:val="restart"/>
            <w:tcBorders>
              <w:top w:val="single" w:sz="4" w:space="0" w:color="auto"/>
              <w:left w:val="nil"/>
              <w:right w:val="single" w:sz="4" w:space="0" w:color="auto"/>
            </w:tcBorders>
          </w:tcPr>
          <w:p w14:paraId="7CD3A3DB"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Defunciones en la república por accidentes de transito</w:t>
            </w:r>
          </w:p>
        </w:tc>
        <w:tc>
          <w:tcPr>
            <w:tcW w:w="1566" w:type="pct"/>
            <w:tcBorders>
              <w:top w:val="single" w:sz="4" w:space="0" w:color="auto"/>
              <w:left w:val="nil"/>
              <w:bottom w:val="nil"/>
              <w:right w:val="single" w:sz="4" w:space="0" w:color="auto"/>
            </w:tcBorders>
            <w:vAlign w:val="center"/>
          </w:tcPr>
          <w:p w14:paraId="5E420670"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Arial Narrow"/>
                <w:color w:val="000000"/>
                <w:sz w:val="16"/>
                <w:szCs w:val="16"/>
              </w:rPr>
              <w:t>Total</w:t>
            </w:r>
          </w:p>
        </w:tc>
        <w:tc>
          <w:tcPr>
            <w:tcW w:w="493" w:type="pct"/>
            <w:tcBorders>
              <w:top w:val="single" w:sz="4" w:space="0" w:color="auto"/>
              <w:left w:val="nil"/>
              <w:bottom w:val="nil"/>
              <w:right w:val="single" w:sz="4" w:space="0" w:color="auto"/>
            </w:tcBorders>
            <w:noWrap/>
            <w:vAlign w:val="center"/>
          </w:tcPr>
          <w:p w14:paraId="25FDD686"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Narrow"/>
                <w:sz w:val="16"/>
                <w:szCs w:val="16"/>
              </w:rPr>
              <w:t>476</w:t>
            </w:r>
          </w:p>
        </w:tc>
        <w:tc>
          <w:tcPr>
            <w:tcW w:w="493" w:type="pct"/>
            <w:tcBorders>
              <w:top w:val="single" w:sz="4" w:space="0" w:color="auto"/>
              <w:left w:val="nil"/>
              <w:bottom w:val="nil"/>
              <w:right w:val="single" w:sz="4" w:space="0" w:color="auto"/>
            </w:tcBorders>
            <w:noWrap/>
            <w:vAlign w:val="center"/>
          </w:tcPr>
          <w:p w14:paraId="161B925F"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Narrow"/>
                <w:sz w:val="16"/>
                <w:szCs w:val="16"/>
              </w:rPr>
              <w:t>475</w:t>
            </w:r>
          </w:p>
        </w:tc>
        <w:tc>
          <w:tcPr>
            <w:tcW w:w="492" w:type="pct"/>
            <w:tcBorders>
              <w:top w:val="single" w:sz="4" w:space="0" w:color="auto"/>
              <w:right w:val="single" w:sz="2" w:space="0" w:color="auto"/>
            </w:tcBorders>
            <w:noWrap/>
            <w:vAlign w:val="center"/>
          </w:tcPr>
          <w:p w14:paraId="3ACB0920"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6FE1C7D9" w14:textId="77777777" w:rsidTr="0049743F">
        <w:trPr>
          <w:trHeight w:val="60"/>
        </w:trPr>
        <w:tc>
          <w:tcPr>
            <w:tcW w:w="391" w:type="pct"/>
            <w:vMerge/>
            <w:tcBorders>
              <w:left w:val="single" w:sz="4" w:space="0" w:color="auto"/>
              <w:right w:val="single" w:sz="4" w:space="0" w:color="auto"/>
            </w:tcBorders>
          </w:tcPr>
          <w:p w14:paraId="52152B6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11300E81"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7BA921C8"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Arial Narrow"/>
                <w:color w:val="000000"/>
                <w:sz w:val="16"/>
                <w:szCs w:val="16"/>
              </w:rPr>
              <w:t>Hombre</w:t>
            </w:r>
          </w:p>
        </w:tc>
        <w:tc>
          <w:tcPr>
            <w:tcW w:w="493" w:type="pct"/>
            <w:tcBorders>
              <w:top w:val="nil"/>
              <w:left w:val="nil"/>
              <w:bottom w:val="nil"/>
              <w:right w:val="single" w:sz="4" w:space="0" w:color="auto"/>
            </w:tcBorders>
            <w:noWrap/>
            <w:vAlign w:val="center"/>
          </w:tcPr>
          <w:p w14:paraId="2281FB55"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Narrow"/>
                <w:sz w:val="16"/>
                <w:szCs w:val="16"/>
              </w:rPr>
              <w:t>387</w:t>
            </w:r>
          </w:p>
        </w:tc>
        <w:tc>
          <w:tcPr>
            <w:tcW w:w="493" w:type="pct"/>
            <w:tcBorders>
              <w:top w:val="nil"/>
              <w:left w:val="nil"/>
              <w:bottom w:val="nil"/>
              <w:right w:val="single" w:sz="4" w:space="0" w:color="auto"/>
            </w:tcBorders>
            <w:noWrap/>
            <w:vAlign w:val="center"/>
          </w:tcPr>
          <w:p w14:paraId="6F93A126"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Narrow"/>
                <w:sz w:val="16"/>
                <w:szCs w:val="16"/>
              </w:rPr>
              <w:t>394</w:t>
            </w:r>
          </w:p>
        </w:tc>
        <w:tc>
          <w:tcPr>
            <w:tcW w:w="492" w:type="pct"/>
            <w:tcBorders>
              <w:right w:val="single" w:sz="2" w:space="0" w:color="auto"/>
            </w:tcBorders>
            <w:noWrap/>
            <w:vAlign w:val="center"/>
          </w:tcPr>
          <w:p w14:paraId="0D9A34A1"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73813740" w14:textId="77777777" w:rsidTr="0049743F">
        <w:trPr>
          <w:trHeight w:val="60"/>
        </w:trPr>
        <w:tc>
          <w:tcPr>
            <w:tcW w:w="391" w:type="pct"/>
            <w:vMerge/>
            <w:tcBorders>
              <w:left w:val="single" w:sz="4" w:space="0" w:color="auto"/>
              <w:bottom w:val="single" w:sz="4" w:space="0" w:color="auto"/>
              <w:right w:val="single" w:sz="4" w:space="0" w:color="auto"/>
            </w:tcBorders>
          </w:tcPr>
          <w:p w14:paraId="43BCB4F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397809C7"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single" w:sz="4" w:space="0" w:color="auto"/>
              <w:right w:val="single" w:sz="4" w:space="0" w:color="auto"/>
            </w:tcBorders>
            <w:vAlign w:val="center"/>
          </w:tcPr>
          <w:p w14:paraId="4D1BF627"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Arial Narrow"/>
                <w:color w:val="000000"/>
                <w:sz w:val="16"/>
                <w:szCs w:val="16"/>
              </w:rPr>
              <w:t>Mujer</w:t>
            </w:r>
          </w:p>
        </w:tc>
        <w:tc>
          <w:tcPr>
            <w:tcW w:w="493" w:type="pct"/>
            <w:tcBorders>
              <w:top w:val="nil"/>
              <w:left w:val="nil"/>
              <w:bottom w:val="single" w:sz="4" w:space="0" w:color="auto"/>
              <w:right w:val="single" w:sz="4" w:space="0" w:color="auto"/>
            </w:tcBorders>
            <w:noWrap/>
            <w:vAlign w:val="center"/>
          </w:tcPr>
          <w:p w14:paraId="44BF0E5C"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Narrow"/>
                <w:sz w:val="16"/>
                <w:szCs w:val="16"/>
              </w:rPr>
              <w:t>89</w:t>
            </w:r>
          </w:p>
        </w:tc>
        <w:tc>
          <w:tcPr>
            <w:tcW w:w="493" w:type="pct"/>
            <w:tcBorders>
              <w:top w:val="nil"/>
              <w:left w:val="nil"/>
              <w:bottom w:val="single" w:sz="4" w:space="0" w:color="auto"/>
              <w:right w:val="single" w:sz="4" w:space="0" w:color="auto"/>
            </w:tcBorders>
            <w:noWrap/>
            <w:vAlign w:val="center"/>
          </w:tcPr>
          <w:p w14:paraId="7096B13E"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Narrow"/>
                <w:sz w:val="16"/>
                <w:szCs w:val="16"/>
              </w:rPr>
              <w:t>81</w:t>
            </w:r>
          </w:p>
        </w:tc>
        <w:tc>
          <w:tcPr>
            <w:tcW w:w="492" w:type="pct"/>
            <w:tcBorders>
              <w:bottom w:val="single" w:sz="4" w:space="0" w:color="auto"/>
              <w:right w:val="single" w:sz="2" w:space="0" w:color="auto"/>
            </w:tcBorders>
            <w:noWrap/>
            <w:vAlign w:val="center"/>
          </w:tcPr>
          <w:p w14:paraId="601A7ED9"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4CB4588E" w14:textId="77777777" w:rsidTr="0049743F">
        <w:trPr>
          <w:trHeight w:val="60"/>
        </w:trPr>
        <w:tc>
          <w:tcPr>
            <w:tcW w:w="391" w:type="pct"/>
            <w:vMerge w:val="restart"/>
            <w:tcBorders>
              <w:top w:val="single" w:sz="4" w:space="0" w:color="auto"/>
              <w:left w:val="single" w:sz="4" w:space="0" w:color="auto"/>
              <w:right w:val="single" w:sz="4" w:space="0" w:color="auto"/>
            </w:tcBorders>
          </w:tcPr>
          <w:p w14:paraId="3F318C15"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3</w:t>
            </w:r>
          </w:p>
        </w:tc>
        <w:tc>
          <w:tcPr>
            <w:tcW w:w="1565" w:type="pct"/>
            <w:vMerge w:val="restart"/>
            <w:tcBorders>
              <w:top w:val="single" w:sz="4" w:space="0" w:color="auto"/>
              <w:left w:val="nil"/>
              <w:right w:val="single" w:sz="4" w:space="0" w:color="auto"/>
            </w:tcBorders>
          </w:tcPr>
          <w:p w14:paraId="6AD7E8F4"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Tasa de mortalidad por 100.000 habitantes por lesiones debidas a accidentes de tráfico.</w:t>
            </w:r>
          </w:p>
        </w:tc>
        <w:tc>
          <w:tcPr>
            <w:tcW w:w="1566" w:type="pct"/>
            <w:tcBorders>
              <w:top w:val="single" w:sz="4" w:space="0" w:color="auto"/>
              <w:left w:val="nil"/>
              <w:bottom w:val="nil"/>
              <w:right w:val="single" w:sz="4" w:space="0" w:color="auto"/>
            </w:tcBorders>
            <w:vAlign w:val="center"/>
          </w:tcPr>
          <w:p w14:paraId="7810C4FC"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Arial Narrow"/>
                <w:color w:val="000000"/>
                <w:sz w:val="16"/>
                <w:szCs w:val="16"/>
              </w:rPr>
              <w:t>Total</w:t>
            </w:r>
          </w:p>
        </w:tc>
        <w:tc>
          <w:tcPr>
            <w:tcW w:w="493" w:type="pct"/>
            <w:tcBorders>
              <w:top w:val="single" w:sz="4" w:space="0" w:color="auto"/>
              <w:left w:val="nil"/>
              <w:bottom w:val="nil"/>
              <w:right w:val="single" w:sz="4" w:space="0" w:color="auto"/>
            </w:tcBorders>
            <w:noWrap/>
            <w:vAlign w:val="center"/>
          </w:tcPr>
          <w:p w14:paraId="3661EA90"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Narrow"/>
                <w:sz w:val="16"/>
                <w:szCs w:val="16"/>
              </w:rPr>
              <w:t>12.0</w:t>
            </w:r>
          </w:p>
        </w:tc>
        <w:tc>
          <w:tcPr>
            <w:tcW w:w="493" w:type="pct"/>
            <w:tcBorders>
              <w:top w:val="single" w:sz="4" w:space="0" w:color="auto"/>
              <w:left w:val="nil"/>
              <w:bottom w:val="nil"/>
              <w:right w:val="single" w:sz="4" w:space="0" w:color="auto"/>
            </w:tcBorders>
            <w:noWrap/>
            <w:vAlign w:val="center"/>
          </w:tcPr>
          <w:p w14:paraId="65706942"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Narrow"/>
                <w:sz w:val="16"/>
                <w:szCs w:val="16"/>
              </w:rPr>
              <w:t>11.8</w:t>
            </w:r>
          </w:p>
        </w:tc>
        <w:tc>
          <w:tcPr>
            <w:tcW w:w="492" w:type="pct"/>
            <w:tcBorders>
              <w:top w:val="single" w:sz="4" w:space="0" w:color="auto"/>
              <w:right w:val="single" w:sz="2" w:space="0" w:color="auto"/>
            </w:tcBorders>
            <w:noWrap/>
            <w:vAlign w:val="center"/>
          </w:tcPr>
          <w:p w14:paraId="2482E5BD"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21D22DE0" w14:textId="77777777" w:rsidTr="0049743F">
        <w:trPr>
          <w:trHeight w:val="60"/>
        </w:trPr>
        <w:tc>
          <w:tcPr>
            <w:tcW w:w="391" w:type="pct"/>
            <w:vMerge/>
            <w:tcBorders>
              <w:left w:val="single" w:sz="4" w:space="0" w:color="auto"/>
              <w:right w:val="single" w:sz="4" w:space="0" w:color="auto"/>
            </w:tcBorders>
          </w:tcPr>
          <w:p w14:paraId="3DB611B5"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0CD22998"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759261B7"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Arial Narrow"/>
                <w:color w:val="000000"/>
                <w:sz w:val="16"/>
                <w:szCs w:val="16"/>
              </w:rPr>
              <w:t>Hombre</w:t>
            </w:r>
          </w:p>
        </w:tc>
        <w:tc>
          <w:tcPr>
            <w:tcW w:w="493" w:type="pct"/>
            <w:tcBorders>
              <w:top w:val="nil"/>
              <w:left w:val="nil"/>
              <w:bottom w:val="nil"/>
              <w:right w:val="single" w:sz="4" w:space="0" w:color="auto"/>
            </w:tcBorders>
            <w:noWrap/>
            <w:vAlign w:val="center"/>
          </w:tcPr>
          <w:p w14:paraId="0BBB9DD9"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Narrow"/>
                <w:sz w:val="16"/>
                <w:szCs w:val="16"/>
              </w:rPr>
              <w:t>19.4</w:t>
            </w:r>
          </w:p>
        </w:tc>
        <w:tc>
          <w:tcPr>
            <w:tcW w:w="493" w:type="pct"/>
            <w:tcBorders>
              <w:top w:val="nil"/>
              <w:left w:val="nil"/>
              <w:bottom w:val="nil"/>
              <w:right w:val="single" w:sz="4" w:space="0" w:color="auto"/>
            </w:tcBorders>
            <w:noWrap/>
            <w:vAlign w:val="center"/>
          </w:tcPr>
          <w:p w14:paraId="37A344C1"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Narrow"/>
                <w:sz w:val="16"/>
                <w:szCs w:val="16"/>
              </w:rPr>
              <w:t>19.4</w:t>
            </w:r>
          </w:p>
        </w:tc>
        <w:tc>
          <w:tcPr>
            <w:tcW w:w="492" w:type="pct"/>
            <w:tcBorders>
              <w:right w:val="single" w:sz="2" w:space="0" w:color="auto"/>
            </w:tcBorders>
            <w:noWrap/>
            <w:vAlign w:val="center"/>
          </w:tcPr>
          <w:p w14:paraId="0D917F6D"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19BFDE1F" w14:textId="77777777" w:rsidTr="0049743F">
        <w:trPr>
          <w:trHeight w:val="60"/>
        </w:trPr>
        <w:tc>
          <w:tcPr>
            <w:tcW w:w="391" w:type="pct"/>
            <w:vMerge/>
            <w:tcBorders>
              <w:left w:val="single" w:sz="4" w:space="0" w:color="auto"/>
              <w:bottom w:val="single" w:sz="4" w:space="0" w:color="auto"/>
              <w:right w:val="single" w:sz="4" w:space="0" w:color="auto"/>
            </w:tcBorders>
          </w:tcPr>
          <w:p w14:paraId="1736A379"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262A1C2B"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single" w:sz="4" w:space="0" w:color="auto"/>
              <w:right w:val="single" w:sz="4" w:space="0" w:color="auto"/>
            </w:tcBorders>
            <w:vAlign w:val="center"/>
          </w:tcPr>
          <w:p w14:paraId="388774D7"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Arial Narrow"/>
                <w:color w:val="000000"/>
                <w:sz w:val="16"/>
                <w:szCs w:val="16"/>
              </w:rPr>
              <w:t>Mujer</w:t>
            </w:r>
          </w:p>
        </w:tc>
        <w:tc>
          <w:tcPr>
            <w:tcW w:w="493" w:type="pct"/>
            <w:tcBorders>
              <w:top w:val="nil"/>
              <w:left w:val="nil"/>
              <w:bottom w:val="single" w:sz="4" w:space="0" w:color="auto"/>
              <w:right w:val="single" w:sz="4" w:space="0" w:color="auto"/>
            </w:tcBorders>
            <w:noWrap/>
            <w:vAlign w:val="center"/>
          </w:tcPr>
          <w:p w14:paraId="3F9A2011"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Narrow"/>
                <w:sz w:val="16"/>
                <w:szCs w:val="16"/>
              </w:rPr>
              <w:t>4.5</w:t>
            </w:r>
          </w:p>
        </w:tc>
        <w:tc>
          <w:tcPr>
            <w:tcW w:w="493" w:type="pct"/>
            <w:tcBorders>
              <w:top w:val="nil"/>
              <w:left w:val="nil"/>
              <w:bottom w:val="single" w:sz="4" w:space="0" w:color="auto"/>
              <w:right w:val="single" w:sz="4" w:space="0" w:color="auto"/>
            </w:tcBorders>
            <w:noWrap/>
            <w:vAlign w:val="center"/>
          </w:tcPr>
          <w:p w14:paraId="16CCFC5A"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Narrow"/>
                <w:sz w:val="16"/>
                <w:szCs w:val="16"/>
              </w:rPr>
              <w:t>4.0</w:t>
            </w:r>
          </w:p>
        </w:tc>
        <w:tc>
          <w:tcPr>
            <w:tcW w:w="492" w:type="pct"/>
            <w:tcBorders>
              <w:bottom w:val="single" w:sz="4" w:space="0" w:color="auto"/>
              <w:right w:val="single" w:sz="2" w:space="0" w:color="auto"/>
            </w:tcBorders>
            <w:noWrap/>
            <w:vAlign w:val="center"/>
          </w:tcPr>
          <w:p w14:paraId="50F9C9CF"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30784A0A" w14:textId="77777777" w:rsidTr="0049743F">
        <w:trPr>
          <w:trHeight w:val="60"/>
        </w:trPr>
        <w:tc>
          <w:tcPr>
            <w:tcW w:w="391" w:type="pct"/>
            <w:vMerge w:val="restart"/>
            <w:tcBorders>
              <w:top w:val="single" w:sz="4" w:space="0" w:color="auto"/>
              <w:left w:val="single" w:sz="4" w:space="0" w:color="auto"/>
              <w:right w:val="single" w:sz="4" w:space="0" w:color="auto"/>
            </w:tcBorders>
          </w:tcPr>
          <w:p w14:paraId="70B90F85"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3</w:t>
            </w:r>
          </w:p>
        </w:tc>
        <w:tc>
          <w:tcPr>
            <w:tcW w:w="1565" w:type="pct"/>
            <w:vMerge w:val="restart"/>
            <w:tcBorders>
              <w:top w:val="single" w:sz="4" w:space="0" w:color="auto"/>
              <w:left w:val="nil"/>
              <w:right w:val="single" w:sz="4" w:space="0" w:color="auto"/>
            </w:tcBorders>
          </w:tcPr>
          <w:p w14:paraId="06954D5E"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Calibri"/>
                <w:color w:val="000000"/>
                <w:sz w:val="16"/>
                <w:szCs w:val="16"/>
              </w:rPr>
              <w:t xml:space="preserve">Defunciones por lesiones autoinfligidas intencionalmente (suicidio).  </w:t>
            </w:r>
          </w:p>
        </w:tc>
        <w:tc>
          <w:tcPr>
            <w:tcW w:w="1566" w:type="pct"/>
            <w:tcBorders>
              <w:top w:val="single" w:sz="4" w:space="0" w:color="auto"/>
              <w:left w:val="nil"/>
              <w:bottom w:val="nil"/>
              <w:right w:val="single" w:sz="4" w:space="0" w:color="auto"/>
            </w:tcBorders>
            <w:vAlign w:val="center"/>
          </w:tcPr>
          <w:p w14:paraId="28C5BFEE"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Total</w:t>
            </w:r>
          </w:p>
        </w:tc>
        <w:tc>
          <w:tcPr>
            <w:tcW w:w="493" w:type="pct"/>
            <w:tcBorders>
              <w:top w:val="single" w:sz="4" w:space="0" w:color="auto"/>
              <w:left w:val="nil"/>
              <w:bottom w:val="nil"/>
              <w:right w:val="single" w:sz="4" w:space="0" w:color="auto"/>
            </w:tcBorders>
            <w:noWrap/>
            <w:vAlign w:val="center"/>
          </w:tcPr>
          <w:p w14:paraId="4560CA74"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w:sz w:val="16"/>
                <w:szCs w:val="16"/>
              </w:rPr>
              <w:t>110</w:t>
            </w:r>
          </w:p>
        </w:tc>
        <w:tc>
          <w:tcPr>
            <w:tcW w:w="493" w:type="pct"/>
            <w:tcBorders>
              <w:top w:val="single" w:sz="4" w:space="0" w:color="auto"/>
              <w:left w:val="nil"/>
              <w:bottom w:val="nil"/>
              <w:right w:val="single" w:sz="4" w:space="0" w:color="auto"/>
            </w:tcBorders>
            <w:noWrap/>
            <w:vAlign w:val="center"/>
          </w:tcPr>
          <w:p w14:paraId="2D439870"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w:sz w:val="16"/>
                <w:szCs w:val="16"/>
              </w:rPr>
              <w:t>123</w:t>
            </w:r>
          </w:p>
        </w:tc>
        <w:tc>
          <w:tcPr>
            <w:tcW w:w="492" w:type="pct"/>
            <w:tcBorders>
              <w:top w:val="single" w:sz="4" w:space="0" w:color="auto"/>
              <w:right w:val="single" w:sz="2" w:space="0" w:color="auto"/>
            </w:tcBorders>
            <w:noWrap/>
            <w:vAlign w:val="center"/>
          </w:tcPr>
          <w:p w14:paraId="153BC16E"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396F6521" w14:textId="77777777" w:rsidTr="0049743F">
        <w:trPr>
          <w:trHeight w:val="60"/>
        </w:trPr>
        <w:tc>
          <w:tcPr>
            <w:tcW w:w="391" w:type="pct"/>
            <w:vMerge/>
            <w:tcBorders>
              <w:left w:val="single" w:sz="4" w:space="0" w:color="auto"/>
              <w:right w:val="single" w:sz="4" w:space="0" w:color="auto"/>
            </w:tcBorders>
          </w:tcPr>
          <w:p w14:paraId="11BD3A80"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237A0450"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1B04334D"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Hombre</w:t>
            </w:r>
          </w:p>
        </w:tc>
        <w:tc>
          <w:tcPr>
            <w:tcW w:w="493" w:type="pct"/>
            <w:tcBorders>
              <w:top w:val="nil"/>
              <w:left w:val="nil"/>
              <w:bottom w:val="nil"/>
              <w:right w:val="single" w:sz="4" w:space="0" w:color="auto"/>
            </w:tcBorders>
            <w:noWrap/>
            <w:vAlign w:val="center"/>
          </w:tcPr>
          <w:p w14:paraId="0B30DA55"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w:sz w:val="16"/>
                <w:szCs w:val="16"/>
              </w:rPr>
              <w:t>91</w:t>
            </w:r>
          </w:p>
        </w:tc>
        <w:tc>
          <w:tcPr>
            <w:tcW w:w="493" w:type="pct"/>
            <w:tcBorders>
              <w:top w:val="nil"/>
              <w:left w:val="nil"/>
              <w:bottom w:val="nil"/>
              <w:right w:val="single" w:sz="4" w:space="0" w:color="auto"/>
            </w:tcBorders>
            <w:noWrap/>
            <w:vAlign w:val="center"/>
          </w:tcPr>
          <w:p w14:paraId="6C349BAF"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w:sz w:val="16"/>
                <w:szCs w:val="16"/>
              </w:rPr>
              <w:t>107</w:t>
            </w:r>
          </w:p>
        </w:tc>
        <w:tc>
          <w:tcPr>
            <w:tcW w:w="492" w:type="pct"/>
            <w:tcBorders>
              <w:right w:val="single" w:sz="2" w:space="0" w:color="auto"/>
            </w:tcBorders>
            <w:noWrap/>
            <w:vAlign w:val="center"/>
          </w:tcPr>
          <w:p w14:paraId="39457A3E"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6E2EFC86" w14:textId="77777777" w:rsidTr="0049743F">
        <w:trPr>
          <w:trHeight w:val="60"/>
        </w:trPr>
        <w:tc>
          <w:tcPr>
            <w:tcW w:w="391" w:type="pct"/>
            <w:vMerge/>
            <w:tcBorders>
              <w:left w:val="single" w:sz="4" w:space="0" w:color="auto"/>
              <w:bottom w:val="single" w:sz="4" w:space="0" w:color="auto"/>
              <w:right w:val="single" w:sz="4" w:space="0" w:color="auto"/>
            </w:tcBorders>
          </w:tcPr>
          <w:p w14:paraId="01877D35"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45DB020A"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single" w:sz="4" w:space="0" w:color="auto"/>
              <w:right w:val="single" w:sz="4" w:space="0" w:color="auto"/>
            </w:tcBorders>
            <w:vAlign w:val="center"/>
          </w:tcPr>
          <w:p w14:paraId="7DEA24C7"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Mujer</w:t>
            </w:r>
          </w:p>
        </w:tc>
        <w:tc>
          <w:tcPr>
            <w:tcW w:w="493" w:type="pct"/>
            <w:tcBorders>
              <w:top w:val="nil"/>
              <w:left w:val="nil"/>
              <w:bottom w:val="single" w:sz="4" w:space="0" w:color="auto"/>
              <w:right w:val="single" w:sz="4" w:space="0" w:color="auto"/>
            </w:tcBorders>
            <w:noWrap/>
            <w:vAlign w:val="center"/>
          </w:tcPr>
          <w:p w14:paraId="1A91E839"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w:sz w:val="16"/>
                <w:szCs w:val="16"/>
              </w:rPr>
              <w:t>19</w:t>
            </w:r>
          </w:p>
        </w:tc>
        <w:tc>
          <w:tcPr>
            <w:tcW w:w="493" w:type="pct"/>
            <w:tcBorders>
              <w:top w:val="nil"/>
              <w:left w:val="nil"/>
              <w:bottom w:val="single" w:sz="4" w:space="0" w:color="auto"/>
              <w:right w:val="single" w:sz="4" w:space="0" w:color="auto"/>
            </w:tcBorders>
            <w:noWrap/>
            <w:vAlign w:val="center"/>
          </w:tcPr>
          <w:p w14:paraId="6A8684FB"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w:sz w:val="16"/>
                <w:szCs w:val="16"/>
              </w:rPr>
              <w:t>16</w:t>
            </w:r>
          </w:p>
        </w:tc>
        <w:tc>
          <w:tcPr>
            <w:tcW w:w="492" w:type="pct"/>
            <w:tcBorders>
              <w:bottom w:val="single" w:sz="4" w:space="0" w:color="auto"/>
              <w:right w:val="single" w:sz="2" w:space="0" w:color="auto"/>
            </w:tcBorders>
            <w:noWrap/>
            <w:vAlign w:val="center"/>
          </w:tcPr>
          <w:p w14:paraId="45A88CD1"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3201FA05" w14:textId="77777777" w:rsidTr="0049743F">
        <w:trPr>
          <w:trHeight w:val="60"/>
        </w:trPr>
        <w:tc>
          <w:tcPr>
            <w:tcW w:w="391" w:type="pct"/>
            <w:vMerge w:val="restart"/>
            <w:tcBorders>
              <w:top w:val="single" w:sz="4" w:space="0" w:color="auto"/>
              <w:left w:val="single" w:sz="4" w:space="0" w:color="auto"/>
              <w:right w:val="single" w:sz="4" w:space="0" w:color="auto"/>
            </w:tcBorders>
          </w:tcPr>
          <w:p w14:paraId="1B9A8F4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3</w:t>
            </w:r>
          </w:p>
        </w:tc>
        <w:tc>
          <w:tcPr>
            <w:tcW w:w="1565" w:type="pct"/>
            <w:vMerge w:val="restart"/>
            <w:tcBorders>
              <w:top w:val="single" w:sz="4" w:space="0" w:color="auto"/>
              <w:left w:val="nil"/>
              <w:right w:val="single" w:sz="4" w:space="0" w:color="auto"/>
            </w:tcBorders>
          </w:tcPr>
          <w:p w14:paraId="13774E2B"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Calibri"/>
                <w:color w:val="000000"/>
                <w:sz w:val="16"/>
                <w:szCs w:val="16"/>
              </w:rPr>
              <w:t>Tasa de mortalidad por suicidio</w:t>
            </w:r>
          </w:p>
        </w:tc>
        <w:tc>
          <w:tcPr>
            <w:tcW w:w="1566" w:type="pct"/>
            <w:tcBorders>
              <w:top w:val="single" w:sz="4" w:space="0" w:color="auto"/>
              <w:left w:val="nil"/>
              <w:bottom w:val="nil"/>
              <w:right w:val="single" w:sz="4" w:space="0" w:color="auto"/>
            </w:tcBorders>
            <w:vAlign w:val="center"/>
          </w:tcPr>
          <w:p w14:paraId="62FE8403"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Total</w:t>
            </w:r>
          </w:p>
        </w:tc>
        <w:tc>
          <w:tcPr>
            <w:tcW w:w="493" w:type="pct"/>
            <w:tcBorders>
              <w:top w:val="single" w:sz="4" w:space="0" w:color="auto"/>
              <w:left w:val="nil"/>
              <w:bottom w:val="nil"/>
              <w:right w:val="single" w:sz="4" w:space="0" w:color="auto"/>
            </w:tcBorders>
            <w:noWrap/>
            <w:vAlign w:val="center"/>
          </w:tcPr>
          <w:p w14:paraId="591B505D" w14:textId="77777777" w:rsidR="000C171B" w:rsidRPr="00D336D1" w:rsidRDefault="000C171B" w:rsidP="002C49EF">
            <w:pPr>
              <w:spacing w:after="0" w:line="240" w:lineRule="auto"/>
              <w:jc w:val="center"/>
              <w:rPr>
                <w:rFonts w:ascii="Arial Narrow" w:hAnsi="Arial Narrow" w:cs="Arial"/>
                <w:sz w:val="16"/>
                <w:szCs w:val="16"/>
              </w:rPr>
            </w:pPr>
            <w:r w:rsidRPr="00D336D1">
              <w:rPr>
                <w:rFonts w:ascii="Arial Narrow" w:hAnsi="Arial Narrow" w:cs="Arial"/>
                <w:sz w:val="16"/>
                <w:szCs w:val="16"/>
              </w:rPr>
              <w:t>2.8</w:t>
            </w:r>
          </w:p>
        </w:tc>
        <w:tc>
          <w:tcPr>
            <w:tcW w:w="493" w:type="pct"/>
            <w:tcBorders>
              <w:top w:val="single" w:sz="4" w:space="0" w:color="auto"/>
              <w:left w:val="nil"/>
              <w:bottom w:val="nil"/>
              <w:right w:val="single" w:sz="4" w:space="0" w:color="auto"/>
            </w:tcBorders>
            <w:noWrap/>
            <w:vAlign w:val="center"/>
          </w:tcPr>
          <w:p w14:paraId="07E6E17F" w14:textId="77777777" w:rsidR="000C171B" w:rsidRPr="00D336D1" w:rsidRDefault="000C171B" w:rsidP="002C49EF">
            <w:pPr>
              <w:spacing w:after="0" w:line="240" w:lineRule="auto"/>
              <w:jc w:val="center"/>
              <w:rPr>
                <w:rFonts w:ascii="Arial Narrow" w:hAnsi="Arial Narrow" w:cs="Arial"/>
                <w:sz w:val="16"/>
                <w:szCs w:val="16"/>
              </w:rPr>
            </w:pPr>
            <w:r w:rsidRPr="00D336D1">
              <w:rPr>
                <w:rFonts w:ascii="Arial Narrow" w:hAnsi="Arial Narrow" w:cs="Arial"/>
                <w:sz w:val="16"/>
                <w:szCs w:val="16"/>
              </w:rPr>
              <w:t>3.0</w:t>
            </w:r>
          </w:p>
        </w:tc>
        <w:tc>
          <w:tcPr>
            <w:tcW w:w="492" w:type="pct"/>
            <w:tcBorders>
              <w:top w:val="single" w:sz="4" w:space="0" w:color="auto"/>
              <w:right w:val="single" w:sz="2" w:space="0" w:color="auto"/>
            </w:tcBorders>
            <w:noWrap/>
            <w:vAlign w:val="center"/>
          </w:tcPr>
          <w:p w14:paraId="3F65733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3.0</w:t>
            </w:r>
          </w:p>
        </w:tc>
      </w:tr>
      <w:tr w:rsidR="000C171B" w:rsidRPr="0010306A" w14:paraId="5EA149A6" w14:textId="77777777" w:rsidTr="0049743F">
        <w:trPr>
          <w:trHeight w:val="60"/>
        </w:trPr>
        <w:tc>
          <w:tcPr>
            <w:tcW w:w="391" w:type="pct"/>
            <w:vMerge/>
            <w:tcBorders>
              <w:left w:val="single" w:sz="4" w:space="0" w:color="auto"/>
              <w:right w:val="single" w:sz="4" w:space="0" w:color="auto"/>
            </w:tcBorders>
          </w:tcPr>
          <w:p w14:paraId="10E16105"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3153B012"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72965F4E"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Hombre</w:t>
            </w:r>
          </w:p>
        </w:tc>
        <w:tc>
          <w:tcPr>
            <w:tcW w:w="493" w:type="pct"/>
            <w:tcBorders>
              <w:top w:val="nil"/>
              <w:left w:val="nil"/>
              <w:bottom w:val="nil"/>
              <w:right w:val="single" w:sz="4" w:space="0" w:color="auto"/>
            </w:tcBorders>
            <w:noWrap/>
            <w:vAlign w:val="center"/>
          </w:tcPr>
          <w:p w14:paraId="0DD31918" w14:textId="77777777" w:rsidR="000C171B" w:rsidRPr="00D336D1" w:rsidRDefault="000C171B" w:rsidP="002C49EF">
            <w:pPr>
              <w:spacing w:after="0" w:line="240" w:lineRule="auto"/>
              <w:jc w:val="center"/>
              <w:rPr>
                <w:rFonts w:ascii="Arial Narrow" w:hAnsi="Arial Narrow" w:cs="Arial"/>
                <w:sz w:val="16"/>
                <w:szCs w:val="16"/>
              </w:rPr>
            </w:pPr>
            <w:r w:rsidRPr="00D336D1">
              <w:rPr>
                <w:rFonts w:ascii="Arial Narrow" w:hAnsi="Arial Narrow" w:cs="Arial"/>
                <w:sz w:val="16"/>
                <w:szCs w:val="16"/>
              </w:rPr>
              <w:t>4.6</w:t>
            </w:r>
          </w:p>
        </w:tc>
        <w:tc>
          <w:tcPr>
            <w:tcW w:w="493" w:type="pct"/>
            <w:tcBorders>
              <w:top w:val="nil"/>
              <w:left w:val="nil"/>
              <w:bottom w:val="nil"/>
              <w:right w:val="single" w:sz="4" w:space="0" w:color="auto"/>
            </w:tcBorders>
            <w:noWrap/>
            <w:vAlign w:val="center"/>
          </w:tcPr>
          <w:p w14:paraId="7676549B" w14:textId="77777777" w:rsidR="000C171B" w:rsidRPr="00D336D1" w:rsidRDefault="000C171B" w:rsidP="002C49EF">
            <w:pPr>
              <w:spacing w:after="0" w:line="240" w:lineRule="auto"/>
              <w:jc w:val="center"/>
              <w:rPr>
                <w:rFonts w:ascii="Arial Narrow" w:hAnsi="Arial Narrow" w:cs="Arial"/>
                <w:sz w:val="16"/>
                <w:szCs w:val="16"/>
              </w:rPr>
            </w:pPr>
            <w:r w:rsidRPr="00D336D1">
              <w:rPr>
                <w:rFonts w:ascii="Arial Narrow" w:hAnsi="Arial Narrow" w:cs="Arial"/>
                <w:sz w:val="16"/>
                <w:szCs w:val="16"/>
              </w:rPr>
              <w:t>5.3</w:t>
            </w:r>
          </w:p>
        </w:tc>
        <w:tc>
          <w:tcPr>
            <w:tcW w:w="492" w:type="pct"/>
            <w:tcBorders>
              <w:right w:val="single" w:sz="2" w:space="0" w:color="auto"/>
            </w:tcBorders>
            <w:noWrap/>
            <w:vAlign w:val="center"/>
          </w:tcPr>
          <w:p w14:paraId="3498A290"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18C97B97" w14:textId="77777777" w:rsidTr="0049743F">
        <w:trPr>
          <w:trHeight w:val="60"/>
        </w:trPr>
        <w:tc>
          <w:tcPr>
            <w:tcW w:w="391" w:type="pct"/>
            <w:vMerge/>
            <w:tcBorders>
              <w:left w:val="single" w:sz="4" w:space="0" w:color="auto"/>
              <w:bottom w:val="single" w:sz="4" w:space="0" w:color="auto"/>
              <w:right w:val="single" w:sz="4" w:space="0" w:color="auto"/>
            </w:tcBorders>
          </w:tcPr>
          <w:p w14:paraId="6C934F40"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6A54444E"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single" w:sz="4" w:space="0" w:color="auto"/>
              <w:right w:val="single" w:sz="4" w:space="0" w:color="auto"/>
            </w:tcBorders>
            <w:vAlign w:val="center"/>
          </w:tcPr>
          <w:p w14:paraId="3DCD607E"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Mujer</w:t>
            </w:r>
          </w:p>
        </w:tc>
        <w:tc>
          <w:tcPr>
            <w:tcW w:w="493" w:type="pct"/>
            <w:tcBorders>
              <w:top w:val="nil"/>
              <w:left w:val="nil"/>
              <w:bottom w:val="single" w:sz="4" w:space="0" w:color="auto"/>
              <w:right w:val="single" w:sz="4" w:space="0" w:color="auto"/>
            </w:tcBorders>
            <w:noWrap/>
            <w:vAlign w:val="center"/>
          </w:tcPr>
          <w:p w14:paraId="0AFB9ACB" w14:textId="77777777" w:rsidR="000C171B" w:rsidRPr="00D336D1" w:rsidRDefault="000C171B" w:rsidP="002C49EF">
            <w:pPr>
              <w:spacing w:after="0" w:line="240" w:lineRule="auto"/>
              <w:jc w:val="center"/>
              <w:rPr>
                <w:rFonts w:ascii="Arial Narrow" w:hAnsi="Arial Narrow" w:cs="Arial"/>
                <w:sz w:val="16"/>
                <w:szCs w:val="16"/>
              </w:rPr>
            </w:pPr>
            <w:r w:rsidRPr="00D336D1">
              <w:rPr>
                <w:rFonts w:ascii="Arial Narrow" w:hAnsi="Arial Narrow" w:cs="Arial"/>
                <w:sz w:val="16"/>
                <w:szCs w:val="16"/>
              </w:rPr>
              <w:t>1.0</w:t>
            </w:r>
          </w:p>
        </w:tc>
        <w:tc>
          <w:tcPr>
            <w:tcW w:w="493" w:type="pct"/>
            <w:tcBorders>
              <w:top w:val="nil"/>
              <w:left w:val="nil"/>
              <w:bottom w:val="single" w:sz="4" w:space="0" w:color="auto"/>
              <w:right w:val="single" w:sz="4" w:space="0" w:color="auto"/>
            </w:tcBorders>
            <w:noWrap/>
            <w:vAlign w:val="center"/>
          </w:tcPr>
          <w:p w14:paraId="716E0920" w14:textId="77777777" w:rsidR="000C171B" w:rsidRPr="00D336D1" w:rsidRDefault="000C171B" w:rsidP="002C49EF">
            <w:pPr>
              <w:spacing w:after="0" w:line="240" w:lineRule="auto"/>
              <w:jc w:val="center"/>
              <w:rPr>
                <w:rFonts w:ascii="Arial Narrow" w:hAnsi="Arial Narrow" w:cs="Arial"/>
                <w:sz w:val="16"/>
                <w:szCs w:val="16"/>
              </w:rPr>
            </w:pPr>
            <w:r w:rsidRPr="00D336D1">
              <w:rPr>
                <w:rFonts w:ascii="Arial Narrow" w:hAnsi="Arial Narrow" w:cs="Arial"/>
                <w:sz w:val="16"/>
                <w:szCs w:val="16"/>
              </w:rPr>
              <w:t>0.8</w:t>
            </w:r>
          </w:p>
        </w:tc>
        <w:tc>
          <w:tcPr>
            <w:tcW w:w="492" w:type="pct"/>
            <w:tcBorders>
              <w:bottom w:val="single" w:sz="4" w:space="0" w:color="auto"/>
              <w:right w:val="single" w:sz="2" w:space="0" w:color="auto"/>
            </w:tcBorders>
            <w:noWrap/>
            <w:vAlign w:val="center"/>
          </w:tcPr>
          <w:p w14:paraId="25611759"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39AEAC03" w14:textId="77777777" w:rsidTr="0049743F">
        <w:trPr>
          <w:trHeight w:val="60"/>
        </w:trPr>
        <w:tc>
          <w:tcPr>
            <w:tcW w:w="391" w:type="pct"/>
            <w:tcBorders>
              <w:top w:val="single" w:sz="4" w:space="0" w:color="auto"/>
              <w:left w:val="single" w:sz="4" w:space="0" w:color="auto"/>
              <w:bottom w:val="single" w:sz="4" w:space="0" w:color="auto"/>
              <w:right w:val="single" w:sz="4" w:space="0" w:color="auto"/>
            </w:tcBorders>
          </w:tcPr>
          <w:p w14:paraId="0497038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3</w:t>
            </w:r>
          </w:p>
        </w:tc>
        <w:tc>
          <w:tcPr>
            <w:tcW w:w="1565" w:type="pct"/>
            <w:tcBorders>
              <w:top w:val="single" w:sz="4" w:space="0" w:color="auto"/>
              <w:left w:val="nil"/>
              <w:bottom w:val="single" w:sz="4" w:space="0" w:color="auto"/>
              <w:right w:val="single" w:sz="4" w:space="0" w:color="auto"/>
            </w:tcBorders>
          </w:tcPr>
          <w:p w14:paraId="3070452A"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 xml:space="preserve">Consumo nocivo de alcohol, definido según el contexto del consumo per cápita de alcohol (15 años y mayores) en un año civil en litros de alcohol puro.  </w:t>
            </w:r>
          </w:p>
        </w:tc>
        <w:tc>
          <w:tcPr>
            <w:tcW w:w="1566" w:type="pct"/>
            <w:tcBorders>
              <w:top w:val="single" w:sz="4" w:space="0" w:color="auto"/>
              <w:left w:val="nil"/>
              <w:bottom w:val="single" w:sz="4" w:space="0" w:color="auto"/>
              <w:right w:val="single" w:sz="4" w:space="0" w:color="auto"/>
            </w:tcBorders>
            <w:vAlign w:val="center"/>
          </w:tcPr>
          <w:p w14:paraId="5E1A2948"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Total</w:t>
            </w:r>
          </w:p>
        </w:tc>
        <w:tc>
          <w:tcPr>
            <w:tcW w:w="493" w:type="pct"/>
            <w:tcBorders>
              <w:top w:val="single" w:sz="4" w:space="0" w:color="auto"/>
              <w:left w:val="nil"/>
              <w:bottom w:val="single" w:sz="4" w:space="0" w:color="auto"/>
              <w:right w:val="single" w:sz="4" w:space="0" w:color="auto"/>
            </w:tcBorders>
            <w:noWrap/>
            <w:vAlign w:val="center"/>
          </w:tcPr>
          <w:p w14:paraId="2CAEA4DF" w14:textId="77777777" w:rsidR="000C171B" w:rsidRPr="00D336D1" w:rsidRDefault="000C171B" w:rsidP="002C49EF">
            <w:pPr>
              <w:spacing w:after="0" w:line="240" w:lineRule="auto"/>
              <w:jc w:val="center"/>
              <w:rPr>
                <w:rFonts w:ascii="Arial Narrow" w:hAnsi="Arial Narrow" w:cs="Arial"/>
                <w:sz w:val="16"/>
                <w:szCs w:val="16"/>
              </w:rPr>
            </w:pPr>
            <w:r w:rsidRPr="00D336D1">
              <w:rPr>
                <w:rFonts w:ascii="Arial Narrow" w:hAnsi="Arial Narrow" w:cs="Arial"/>
                <w:sz w:val="16"/>
                <w:szCs w:val="16"/>
              </w:rPr>
              <w:t>6.9</w:t>
            </w:r>
          </w:p>
        </w:tc>
        <w:tc>
          <w:tcPr>
            <w:tcW w:w="493" w:type="pct"/>
            <w:tcBorders>
              <w:top w:val="single" w:sz="4" w:space="0" w:color="auto"/>
              <w:left w:val="nil"/>
              <w:bottom w:val="single" w:sz="4" w:space="0" w:color="auto"/>
              <w:right w:val="single" w:sz="4" w:space="0" w:color="auto"/>
            </w:tcBorders>
            <w:noWrap/>
            <w:vAlign w:val="center"/>
          </w:tcPr>
          <w:p w14:paraId="42F7C033" w14:textId="77777777" w:rsidR="000C171B" w:rsidRPr="00D336D1" w:rsidRDefault="000C171B" w:rsidP="002C49EF">
            <w:pPr>
              <w:spacing w:after="0" w:line="240" w:lineRule="auto"/>
              <w:jc w:val="center"/>
              <w:rPr>
                <w:rFonts w:ascii="Arial Narrow" w:hAnsi="Arial Narrow" w:cs="Arial"/>
                <w:sz w:val="16"/>
                <w:szCs w:val="16"/>
              </w:rPr>
            </w:pPr>
            <w:r w:rsidRPr="00D336D1">
              <w:rPr>
                <w:rFonts w:ascii="Arial Narrow" w:hAnsi="Arial Narrow" w:cs="Arial"/>
                <w:sz w:val="16"/>
                <w:szCs w:val="16"/>
              </w:rPr>
              <w:t>6.7</w:t>
            </w:r>
          </w:p>
        </w:tc>
        <w:tc>
          <w:tcPr>
            <w:tcW w:w="492" w:type="pct"/>
            <w:tcBorders>
              <w:top w:val="single" w:sz="4" w:space="0" w:color="auto"/>
              <w:bottom w:val="single" w:sz="4" w:space="0" w:color="auto"/>
              <w:right w:val="single" w:sz="2" w:space="0" w:color="auto"/>
            </w:tcBorders>
            <w:noWrap/>
            <w:vAlign w:val="center"/>
          </w:tcPr>
          <w:p w14:paraId="35953F6B"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03D6DDA8" w14:textId="77777777" w:rsidTr="0049743F">
        <w:trPr>
          <w:trHeight w:val="60"/>
        </w:trPr>
        <w:tc>
          <w:tcPr>
            <w:tcW w:w="391" w:type="pct"/>
            <w:vMerge w:val="restart"/>
            <w:tcBorders>
              <w:top w:val="single" w:sz="4" w:space="0" w:color="auto"/>
              <w:left w:val="single" w:sz="4" w:space="0" w:color="auto"/>
              <w:right w:val="single" w:sz="4" w:space="0" w:color="auto"/>
            </w:tcBorders>
          </w:tcPr>
          <w:p w14:paraId="7D09B525"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3</w:t>
            </w:r>
          </w:p>
        </w:tc>
        <w:tc>
          <w:tcPr>
            <w:tcW w:w="1565" w:type="pct"/>
            <w:vMerge w:val="restart"/>
            <w:tcBorders>
              <w:top w:val="single" w:sz="4" w:space="0" w:color="auto"/>
              <w:left w:val="nil"/>
              <w:right w:val="single" w:sz="4" w:space="0" w:color="auto"/>
            </w:tcBorders>
          </w:tcPr>
          <w:p w14:paraId="78774646"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Defunciones por  envenenamiento accidental por  exposición a sustancias nocivas</w:t>
            </w:r>
          </w:p>
        </w:tc>
        <w:tc>
          <w:tcPr>
            <w:tcW w:w="1566" w:type="pct"/>
            <w:tcBorders>
              <w:top w:val="single" w:sz="4" w:space="0" w:color="auto"/>
              <w:left w:val="nil"/>
              <w:bottom w:val="nil"/>
              <w:right w:val="single" w:sz="4" w:space="0" w:color="auto"/>
            </w:tcBorders>
            <w:vAlign w:val="center"/>
          </w:tcPr>
          <w:p w14:paraId="12CFD2C2"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Total</w:t>
            </w:r>
          </w:p>
        </w:tc>
        <w:tc>
          <w:tcPr>
            <w:tcW w:w="493" w:type="pct"/>
            <w:tcBorders>
              <w:top w:val="single" w:sz="4" w:space="0" w:color="auto"/>
              <w:left w:val="nil"/>
              <w:bottom w:val="nil"/>
              <w:right w:val="single" w:sz="4" w:space="0" w:color="auto"/>
            </w:tcBorders>
            <w:noWrap/>
            <w:vAlign w:val="center"/>
          </w:tcPr>
          <w:p w14:paraId="49D52289" w14:textId="77777777" w:rsidR="000C171B" w:rsidRPr="00D336D1" w:rsidRDefault="000C171B" w:rsidP="002C49EF">
            <w:pPr>
              <w:spacing w:after="0" w:line="240" w:lineRule="auto"/>
              <w:jc w:val="center"/>
              <w:rPr>
                <w:rFonts w:ascii="Arial Narrow" w:hAnsi="Arial Narrow" w:cs="Arial"/>
                <w:sz w:val="16"/>
                <w:szCs w:val="16"/>
              </w:rPr>
            </w:pPr>
            <w:r w:rsidRPr="00D336D1">
              <w:rPr>
                <w:rFonts w:ascii="Arial Narrow" w:hAnsi="Arial Narrow" w:cs="Calibri"/>
                <w:sz w:val="16"/>
                <w:szCs w:val="16"/>
              </w:rPr>
              <w:t>4</w:t>
            </w:r>
          </w:p>
        </w:tc>
        <w:tc>
          <w:tcPr>
            <w:tcW w:w="493" w:type="pct"/>
            <w:tcBorders>
              <w:top w:val="single" w:sz="4" w:space="0" w:color="auto"/>
              <w:left w:val="nil"/>
              <w:bottom w:val="nil"/>
              <w:right w:val="single" w:sz="4" w:space="0" w:color="auto"/>
            </w:tcBorders>
            <w:noWrap/>
            <w:vAlign w:val="center"/>
          </w:tcPr>
          <w:p w14:paraId="109AB53E" w14:textId="77777777" w:rsidR="000C171B" w:rsidRPr="00D336D1" w:rsidRDefault="000C171B" w:rsidP="002C49EF">
            <w:pPr>
              <w:spacing w:after="0" w:line="240" w:lineRule="auto"/>
              <w:jc w:val="center"/>
              <w:rPr>
                <w:rFonts w:ascii="Arial Narrow" w:hAnsi="Arial Narrow" w:cs="Arial"/>
                <w:sz w:val="16"/>
                <w:szCs w:val="16"/>
              </w:rPr>
            </w:pPr>
            <w:r w:rsidRPr="00D336D1">
              <w:rPr>
                <w:rFonts w:ascii="Arial Narrow" w:hAnsi="Arial Narrow" w:cs="Calibri"/>
                <w:sz w:val="16"/>
                <w:szCs w:val="16"/>
              </w:rPr>
              <w:t>5</w:t>
            </w:r>
          </w:p>
        </w:tc>
        <w:tc>
          <w:tcPr>
            <w:tcW w:w="492" w:type="pct"/>
            <w:tcBorders>
              <w:top w:val="single" w:sz="4" w:space="0" w:color="auto"/>
              <w:right w:val="single" w:sz="2" w:space="0" w:color="auto"/>
            </w:tcBorders>
            <w:noWrap/>
            <w:vAlign w:val="center"/>
          </w:tcPr>
          <w:p w14:paraId="1A27CC57"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41CC8B4F" w14:textId="77777777" w:rsidTr="0049743F">
        <w:trPr>
          <w:trHeight w:val="60"/>
        </w:trPr>
        <w:tc>
          <w:tcPr>
            <w:tcW w:w="391" w:type="pct"/>
            <w:vMerge/>
            <w:tcBorders>
              <w:left w:val="single" w:sz="4" w:space="0" w:color="auto"/>
              <w:right w:val="single" w:sz="4" w:space="0" w:color="auto"/>
            </w:tcBorders>
          </w:tcPr>
          <w:p w14:paraId="65022469"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1E3BBAB2"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7475FD60"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Hombre</w:t>
            </w:r>
          </w:p>
        </w:tc>
        <w:tc>
          <w:tcPr>
            <w:tcW w:w="493" w:type="pct"/>
            <w:tcBorders>
              <w:top w:val="nil"/>
              <w:left w:val="nil"/>
              <w:bottom w:val="nil"/>
              <w:right w:val="single" w:sz="4" w:space="0" w:color="auto"/>
            </w:tcBorders>
            <w:noWrap/>
            <w:vAlign w:val="center"/>
          </w:tcPr>
          <w:p w14:paraId="6D864D59" w14:textId="77777777" w:rsidR="000C171B" w:rsidRPr="00D336D1" w:rsidRDefault="000C171B" w:rsidP="002C49EF">
            <w:pPr>
              <w:spacing w:after="0" w:line="240" w:lineRule="auto"/>
              <w:jc w:val="center"/>
              <w:rPr>
                <w:rFonts w:ascii="Arial Narrow" w:hAnsi="Arial Narrow" w:cs="Arial"/>
                <w:sz w:val="16"/>
                <w:szCs w:val="16"/>
              </w:rPr>
            </w:pPr>
            <w:r w:rsidRPr="00D336D1">
              <w:rPr>
                <w:rFonts w:ascii="Arial Narrow" w:hAnsi="Arial Narrow" w:cs="Calibri"/>
                <w:sz w:val="16"/>
                <w:szCs w:val="16"/>
              </w:rPr>
              <w:t>3</w:t>
            </w:r>
          </w:p>
        </w:tc>
        <w:tc>
          <w:tcPr>
            <w:tcW w:w="493" w:type="pct"/>
            <w:tcBorders>
              <w:top w:val="nil"/>
              <w:left w:val="nil"/>
              <w:bottom w:val="nil"/>
              <w:right w:val="single" w:sz="4" w:space="0" w:color="auto"/>
            </w:tcBorders>
            <w:noWrap/>
            <w:vAlign w:val="center"/>
          </w:tcPr>
          <w:p w14:paraId="54524ABD" w14:textId="77777777" w:rsidR="000C171B" w:rsidRPr="00D336D1" w:rsidRDefault="000C171B" w:rsidP="002C49EF">
            <w:pPr>
              <w:spacing w:after="0" w:line="240" w:lineRule="auto"/>
              <w:jc w:val="center"/>
              <w:rPr>
                <w:rFonts w:ascii="Arial Narrow" w:hAnsi="Arial Narrow" w:cs="Arial"/>
                <w:sz w:val="16"/>
                <w:szCs w:val="16"/>
              </w:rPr>
            </w:pPr>
            <w:r w:rsidRPr="00D336D1">
              <w:rPr>
                <w:rFonts w:ascii="Arial Narrow" w:hAnsi="Arial Narrow" w:cs="Calibri"/>
                <w:sz w:val="16"/>
                <w:szCs w:val="16"/>
              </w:rPr>
              <w:t>1</w:t>
            </w:r>
          </w:p>
        </w:tc>
        <w:tc>
          <w:tcPr>
            <w:tcW w:w="492" w:type="pct"/>
            <w:tcBorders>
              <w:right w:val="single" w:sz="2" w:space="0" w:color="auto"/>
            </w:tcBorders>
            <w:noWrap/>
            <w:vAlign w:val="center"/>
          </w:tcPr>
          <w:p w14:paraId="740A14CA"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6A7D92C0" w14:textId="77777777" w:rsidTr="0049743F">
        <w:trPr>
          <w:trHeight w:val="60"/>
        </w:trPr>
        <w:tc>
          <w:tcPr>
            <w:tcW w:w="391" w:type="pct"/>
            <w:vMerge/>
            <w:tcBorders>
              <w:left w:val="single" w:sz="4" w:space="0" w:color="auto"/>
              <w:bottom w:val="single" w:sz="4" w:space="0" w:color="auto"/>
              <w:right w:val="single" w:sz="4" w:space="0" w:color="auto"/>
            </w:tcBorders>
          </w:tcPr>
          <w:p w14:paraId="5F092E56"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7E4394DF"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single" w:sz="4" w:space="0" w:color="auto"/>
              <w:right w:val="single" w:sz="4" w:space="0" w:color="auto"/>
            </w:tcBorders>
            <w:vAlign w:val="center"/>
          </w:tcPr>
          <w:p w14:paraId="01B323FB"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Mujer</w:t>
            </w:r>
          </w:p>
        </w:tc>
        <w:tc>
          <w:tcPr>
            <w:tcW w:w="493" w:type="pct"/>
            <w:tcBorders>
              <w:top w:val="nil"/>
              <w:left w:val="nil"/>
              <w:bottom w:val="single" w:sz="4" w:space="0" w:color="auto"/>
              <w:right w:val="single" w:sz="4" w:space="0" w:color="auto"/>
            </w:tcBorders>
            <w:noWrap/>
            <w:vAlign w:val="center"/>
          </w:tcPr>
          <w:p w14:paraId="5077F620" w14:textId="77777777" w:rsidR="000C171B" w:rsidRPr="00D336D1" w:rsidRDefault="000C171B" w:rsidP="002C49EF">
            <w:pPr>
              <w:spacing w:after="0" w:line="240" w:lineRule="auto"/>
              <w:jc w:val="center"/>
              <w:rPr>
                <w:rFonts w:ascii="Arial Narrow" w:hAnsi="Arial Narrow" w:cs="Arial"/>
                <w:sz w:val="16"/>
                <w:szCs w:val="16"/>
              </w:rPr>
            </w:pPr>
            <w:r w:rsidRPr="00D336D1">
              <w:rPr>
                <w:rFonts w:ascii="Arial Narrow" w:hAnsi="Arial Narrow" w:cs="Calibri"/>
                <w:sz w:val="16"/>
                <w:szCs w:val="16"/>
              </w:rPr>
              <w:t>1</w:t>
            </w:r>
          </w:p>
        </w:tc>
        <w:tc>
          <w:tcPr>
            <w:tcW w:w="493" w:type="pct"/>
            <w:tcBorders>
              <w:top w:val="nil"/>
              <w:left w:val="nil"/>
              <w:bottom w:val="single" w:sz="4" w:space="0" w:color="auto"/>
              <w:right w:val="single" w:sz="4" w:space="0" w:color="auto"/>
            </w:tcBorders>
            <w:noWrap/>
            <w:vAlign w:val="center"/>
          </w:tcPr>
          <w:p w14:paraId="252A0E55" w14:textId="77777777" w:rsidR="000C171B" w:rsidRPr="00D336D1" w:rsidRDefault="000C171B" w:rsidP="002C49EF">
            <w:pPr>
              <w:spacing w:after="0" w:line="240" w:lineRule="auto"/>
              <w:jc w:val="center"/>
              <w:rPr>
                <w:rFonts w:ascii="Arial Narrow" w:hAnsi="Arial Narrow" w:cs="Arial"/>
                <w:sz w:val="16"/>
                <w:szCs w:val="16"/>
              </w:rPr>
            </w:pPr>
            <w:r w:rsidRPr="00D336D1">
              <w:rPr>
                <w:rFonts w:ascii="Arial Narrow" w:hAnsi="Arial Narrow" w:cs="Calibri"/>
                <w:sz w:val="16"/>
                <w:szCs w:val="16"/>
              </w:rPr>
              <w:t>4</w:t>
            </w:r>
          </w:p>
        </w:tc>
        <w:tc>
          <w:tcPr>
            <w:tcW w:w="492" w:type="pct"/>
            <w:tcBorders>
              <w:bottom w:val="single" w:sz="4" w:space="0" w:color="auto"/>
              <w:right w:val="single" w:sz="2" w:space="0" w:color="auto"/>
            </w:tcBorders>
            <w:noWrap/>
            <w:vAlign w:val="center"/>
          </w:tcPr>
          <w:p w14:paraId="5974A227"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18E28E65" w14:textId="77777777" w:rsidTr="0049743F">
        <w:trPr>
          <w:trHeight w:val="60"/>
        </w:trPr>
        <w:tc>
          <w:tcPr>
            <w:tcW w:w="391" w:type="pct"/>
            <w:vMerge w:val="restart"/>
            <w:tcBorders>
              <w:top w:val="single" w:sz="4" w:space="0" w:color="auto"/>
              <w:left w:val="single" w:sz="4" w:space="0" w:color="auto"/>
              <w:right w:val="single" w:sz="4" w:space="0" w:color="auto"/>
            </w:tcBorders>
          </w:tcPr>
          <w:p w14:paraId="6E73AEC2"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3</w:t>
            </w:r>
          </w:p>
        </w:tc>
        <w:tc>
          <w:tcPr>
            <w:tcW w:w="1565" w:type="pct"/>
            <w:vMerge w:val="restart"/>
            <w:tcBorders>
              <w:top w:val="single" w:sz="4" w:space="0" w:color="auto"/>
              <w:left w:val="nil"/>
              <w:right w:val="single" w:sz="4" w:space="0" w:color="auto"/>
            </w:tcBorders>
          </w:tcPr>
          <w:p w14:paraId="67042E9A" w14:textId="77777777" w:rsidR="000C171B" w:rsidRPr="00D336D1" w:rsidRDefault="000C171B" w:rsidP="0049743F">
            <w:pPr>
              <w:autoSpaceDE w:val="0"/>
              <w:autoSpaceDN w:val="0"/>
              <w:adjustRightInd w:val="0"/>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Tasa mortalidad por 100,000 habitantes atribuida a la intoxicación accidental</w:t>
            </w:r>
          </w:p>
          <w:p w14:paraId="267CB9F7"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single" w:sz="4" w:space="0" w:color="auto"/>
              <w:left w:val="nil"/>
              <w:bottom w:val="nil"/>
              <w:right w:val="single" w:sz="4" w:space="0" w:color="auto"/>
            </w:tcBorders>
            <w:vAlign w:val="center"/>
          </w:tcPr>
          <w:p w14:paraId="19F7016A"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Total</w:t>
            </w:r>
          </w:p>
        </w:tc>
        <w:tc>
          <w:tcPr>
            <w:tcW w:w="493" w:type="pct"/>
            <w:tcBorders>
              <w:top w:val="single" w:sz="4" w:space="0" w:color="auto"/>
              <w:left w:val="nil"/>
              <w:bottom w:val="nil"/>
              <w:right w:val="single" w:sz="4" w:space="0" w:color="auto"/>
            </w:tcBorders>
            <w:noWrap/>
            <w:vAlign w:val="center"/>
          </w:tcPr>
          <w:p w14:paraId="33FDFA54"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Calibri"/>
                <w:sz w:val="16"/>
                <w:szCs w:val="16"/>
              </w:rPr>
              <w:t>0.10</w:t>
            </w:r>
          </w:p>
        </w:tc>
        <w:tc>
          <w:tcPr>
            <w:tcW w:w="493" w:type="pct"/>
            <w:tcBorders>
              <w:top w:val="single" w:sz="4" w:space="0" w:color="auto"/>
              <w:left w:val="nil"/>
              <w:bottom w:val="nil"/>
              <w:right w:val="single" w:sz="4" w:space="0" w:color="auto"/>
            </w:tcBorders>
            <w:noWrap/>
            <w:vAlign w:val="center"/>
          </w:tcPr>
          <w:p w14:paraId="3179328C"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Calibri"/>
                <w:sz w:val="16"/>
                <w:szCs w:val="16"/>
              </w:rPr>
              <w:t>0.12</w:t>
            </w:r>
          </w:p>
        </w:tc>
        <w:tc>
          <w:tcPr>
            <w:tcW w:w="492" w:type="pct"/>
            <w:tcBorders>
              <w:top w:val="single" w:sz="4" w:space="0" w:color="auto"/>
              <w:right w:val="single" w:sz="2" w:space="0" w:color="auto"/>
            </w:tcBorders>
            <w:noWrap/>
            <w:vAlign w:val="center"/>
          </w:tcPr>
          <w:p w14:paraId="1194EA05"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28B93ACD" w14:textId="77777777" w:rsidTr="0049743F">
        <w:trPr>
          <w:trHeight w:val="60"/>
        </w:trPr>
        <w:tc>
          <w:tcPr>
            <w:tcW w:w="391" w:type="pct"/>
            <w:vMerge/>
            <w:tcBorders>
              <w:left w:val="single" w:sz="4" w:space="0" w:color="auto"/>
              <w:right w:val="single" w:sz="4" w:space="0" w:color="auto"/>
            </w:tcBorders>
          </w:tcPr>
          <w:p w14:paraId="467D849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58549522"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3FEA11FE"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Hombre</w:t>
            </w:r>
          </w:p>
        </w:tc>
        <w:tc>
          <w:tcPr>
            <w:tcW w:w="493" w:type="pct"/>
            <w:tcBorders>
              <w:top w:val="nil"/>
              <w:left w:val="nil"/>
              <w:bottom w:val="nil"/>
              <w:right w:val="single" w:sz="4" w:space="0" w:color="auto"/>
            </w:tcBorders>
            <w:noWrap/>
            <w:vAlign w:val="center"/>
          </w:tcPr>
          <w:p w14:paraId="11C1128C"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Calibri"/>
                <w:sz w:val="16"/>
                <w:szCs w:val="16"/>
              </w:rPr>
              <w:t>0.15</w:t>
            </w:r>
          </w:p>
        </w:tc>
        <w:tc>
          <w:tcPr>
            <w:tcW w:w="493" w:type="pct"/>
            <w:tcBorders>
              <w:top w:val="nil"/>
              <w:left w:val="nil"/>
              <w:bottom w:val="nil"/>
              <w:right w:val="single" w:sz="4" w:space="0" w:color="auto"/>
            </w:tcBorders>
            <w:noWrap/>
            <w:vAlign w:val="center"/>
          </w:tcPr>
          <w:p w14:paraId="36F12D19"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Calibri"/>
                <w:sz w:val="16"/>
                <w:szCs w:val="16"/>
              </w:rPr>
              <w:t>0.05</w:t>
            </w:r>
          </w:p>
        </w:tc>
        <w:tc>
          <w:tcPr>
            <w:tcW w:w="492" w:type="pct"/>
            <w:tcBorders>
              <w:right w:val="single" w:sz="2" w:space="0" w:color="auto"/>
            </w:tcBorders>
            <w:noWrap/>
            <w:vAlign w:val="center"/>
          </w:tcPr>
          <w:p w14:paraId="5D5BE050"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0AC2175C" w14:textId="77777777" w:rsidTr="0049743F">
        <w:trPr>
          <w:trHeight w:val="60"/>
        </w:trPr>
        <w:tc>
          <w:tcPr>
            <w:tcW w:w="391" w:type="pct"/>
            <w:vMerge/>
            <w:tcBorders>
              <w:left w:val="single" w:sz="4" w:space="0" w:color="auto"/>
              <w:bottom w:val="single" w:sz="4" w:space="0" w:color="auto"/>
              <w:right w:val="single" w:sz="4" w:space="0" w:color="auto"/>
            </w:tcBorders>
          </w:tcPr>
          <w:p w14:paraId="651186DD"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6C6FB58F"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single" w:sz="4" w:space="0" w:color="auto"/>
              <w:right w:val="single" w:sz="4" w:space="0" w:color="auto"/>
            </w:tcBorders>
            <w:vAlign w:val="center"/>
          </w:tcPr>
          <w:p w14:paraId="149510A9"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Mujer</w:t>
            </w:r>
          </w:p>
        </w:tc>
        <w:tc>
          <w:tcPr>
            <w:tcW w:w="493" w:type="pct"/>
            <w:tcBorders>
              <w:top w:val="nil"/>
              <w:left w:val="nil"/>
              <w:bottom w:val="single" w:sz="4" w:space="0" w:color="auto"/>
              <w:right w:val="single" w:sz="4" w:space="0" w:color="auto"/>
            </w:tcBorders>
            <w:noWrap/>
            <w:vAlign w:val="center"/>
          </w:tcPr>
          <w:p w14:paraId="35ACD17A"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Calibri"/>
                <w:sz w:val="16"/>
                <w:szCs w:val="16"/>
              </w:rPr>
              <w:t>0.05</w:t>
            </w:r>
          </w:p>
        </w:tc>
        <w:tc>
          <w:tcPr>
            <w:tcW w:w="493" w:type="pct"/>
            <w:tcBorders>
              <w:top w:val="nil"/>
              <w:left w:val="nil"/>
              <w:bottom w:val="single" w:sz="4" w:space="0" w:color="auto"/>
              <w:right w:val="single" w:sz="4" w:space="0" w:color="auto"/>
            </w:tcBorders>
            <w:noWrap/>
            <w:vAlign w:val="center"/>
          </w:tcPr>
          <w:p w14:paraId="41ED03FF"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Calibri"/>
                <w:sz w:val="16"/>
                <w:szCs w:val="16"/>
              </w:rPr>
              <w:t>0.20</w:t>
            </w:r>
          </w:p>
        </w:tc>
        <w:tc>
          <w:tcPr>
            <w:tcW w:w="492" w:type="pct"/>
            <w:tcBorders>
              <w:bottom w:val="single" w:sz="4" w:space="0" w:color="auto"/>
              <w:right w:val="single" w:sz="2" w:space="0" w:color="auto"/>
            </w:tcBorders>
            <w:noWrap/>
            <w:vAlign w:val="center"/>
          </w:tcPr>
          <w:p w14:paraId="3CBF1CD6"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677410DB" w14:textId="77777777" w:rsidTr="0049743F">
        <w:trPr>
          <w:trHeight w:val="60"/>
        </w:trPr>
        <w:tc>
          <w:tcPr>
            <w:tcW w:w="391" w:type="pct"/>
            <w:tcBorders>
              <w:top w:val="single" w:sz="4" w:space="0" w:color="auto"/>
              <w:left w:val="single" w:sz="4" w:space="0" w:color="auto"/>
              <w:bottom w:val="single" w:sz="4" w:space="0" w:color="auto"/>
              <w:right w:val="single" w:sz="4" w:space="0" w:color="auto"/>
            </w:tcBorders>
          </w:tcPr>
          <w:p w14:paraId="5306E130"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4</w:t>
            </w:r>
          </w:p>
        </w:tc>
        <w:tc>
          <w:tcPr>
            <w:tcW w:w="1565" w:type="pct"/>
            <w:tcBorders>
              <w:top w:val="single" w:sz="4" w:space="0" w:color="auto"/>
              <w:left w:val="nil"/>
              <w:bottom w:val="single" w:sz="4" w:space="0" w:color="auto"/>
              <w:right w:val="single" w:sz="4" w:space="0" w:color="auto"/>
            </w:tcBorders>
          </w:tcPr>
          <w:p w14:paraId="49F9D431"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eastAsia="Times New Roman" w:hAnsi="Arial Narrow" w:cs="Calibri"/>
                <w:sz w:val="16"/>
                <w:szCs w:val="16"/>
                <w:lang w:eastAsia="es-PA"/>
              </w:rPr>
              <w:t>Tasa de participación en la enseñanza organizada (un año antes de la edad oficial de ingreso en la enseñanza primaria),</w:t>
            </w:r>
          </w:p>
        </w:tc>
        <w:tc>
          <w:tcPr>
            <w:tcW w:w="1566" w:type="pct"/>
            <w:tcBorders>
              <w:top w:val="single" w:sz="4" w:space="0" w:color="auto"/>
              <w:left w:val="nil"/>
              <w:bottom w:val="single" w:sz="4" w:space="0" w:color="auto"/>
              <w:right w:val="single" w:sz="4" w:space="0" w:color="auto"/>
            </w:tcBorders>
            <w:vAlign w:val="center"/>
          </w:tcPr>
          <w:p w14:paraId="104E28E8"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Total</w:t>
            </w:r>
          </w:p>
        </w:tc>
        <w:tc>
          <w:tcPr>
            <w:tcW w:w="493" w:type="pct"/>
            <w:tcBorders>
              <w:top w:val="single" w:sz="4" w:space="0" w:color="auto"/>
              <w:left w:val="nil"/>
              <w:bottom w:val="single" w:sz="4" w:space="0" w:color="auto"/>
              <w:right w:val="single" w:sz="4" w:space="0" w:color="auto"/>
            </w:tcBorders>
            <w:noWrap/>
            <w:vAlign w:val="center"/>
          </w:tcPr>
          <w:p w14:paraId="2183FC3D"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0.75</w:t>
            </w:r>
          </w:p>
        </w:tc>
        <w:tc>
          <w:tcPr>
            <w:tcW w:w="493" w:type="pct"/>
            <w:tcBorders>
              <w:top w:val="single" w:sz="4" w:space="0" w:color="auto"/>
              <w:left w:val="nil"/>
              <w:bottom w:val="single" w:sz="4" w:space="0" w:color="auto"/>
              <w:right w:val="single" w:sz="4" w:space="0" w:color="auto"/>
            </w:tcBorders>
            <w:noWrap/>
            <w:vAlign w:val="center"/>
          </w:tcPr>
          <w:p w14:paraId="5F706D3A"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0.76</w:t>
            </w:r>
          </w:p>
        </w:tc>
        <w:tc>
          <w:tcPr>
            <w:tcW w:w="492" w:type="pct"/>
            <w:tcBorders>
              <w:top w:val="single" w:sz="4" w:space="0" w:color="auto"/>
              <w:bottom w:val="single" w:sz="4" w:space="0" w:color="auto"/>
              <w:right w:val="single" w:sz="2" w:space="0" w:color="auto"/>
            </w:tcBorders>
            <w:noWrap/>
            <w:vAlign w:val="center"/>
          </w:tcPr>
          <w:p w14:paraId="771B2554"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15F0940F" w14:textId="77777777" w:rsidTr="0049743F">
        <w:trPr>
          <w:trHeight w:val="60"/>
        </w:trPr>
        <w:tc>
          <w:tcPr>
            <w:tcW w:w="391" w:type="pct"/>
            <w:tcBorders>
              <w:top w:val="single" w:sz="4" w:space="0" w:color="auto"/>
              <w:left w:val="single" w:sz="4" w:space="0" w:color="auto"/>
              <w:bottom w:val="single" w:sz="4" w:space="0" w:color="auto"/>
              <w:right w:val="single" w:sz="4" w:space="0" w:color="auto"/>
            </w:tcBorders>
          </w:tcPr>
          <w:p w14:paraId="6AB79FC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4</w:t>
            </w:r>
          </w:p>
        </w:tc>
        <w:tc>
          <w:tcPr>
            <w:tcW w:w="1565" w:type="pct"/>
            <w:tcBorders>
              <w:top w:val="single" w:sz="4" w:space="0" w:color="auto"/>
              <w:left w:val="nil"/>
              <w:bottom w:val="single" w:sz="4" w:space="0" w:color="auto"/>
              <w:right w:val="single" w:sz="4" w:space="0" w:color="auto"/>
            </w:tcBorders>
          </w:tcPr>
          <w:p w14:paraId="217ACAE0"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Estimación y proyección de la población de 5 años de edad de niños y niñas de 5 años de edad en preescolar en la república</w:t>
            </w:r>
          </w:p>
        </w:tc>
        <w:tc>
          <w:tcPr>
            <w:tcW w:w="1566" w:type="pct"/>
            <w:tcBorders>
              <w:top w:val="single" w:sz="4" w:space="0" w:color="auto"/>
              <w:left w:val="nil"/>
              <w:bottom w:val="single" w:sz="4" w:space="0" w:color="auto"/>
              <w:right w:val="single" w:sz="4" w:space="0" w:color="auto"/>
            </w:tcBorders>
            <w:vAlign w:val="center"/>
          </w:tcPr>
          <w:p w14:paraId="7EC5C4D2"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Total</w:t>
            </w:r>
          </w:p>
        </w:tc>
        <w:tc>
          <w:tcPr>
            <w:tcW w:w="493" w:type="pct"/>
            <w:tcBorders>
              <w:top w:val="single" w:sz="4" w:space="0" w:color="auto"/>
              <w:left w:val="nil"/>
              <w:bottom w:val="single" w:sz="4" w:space="0" w:color="auto"/>
              <w:right w:val="single" w:sz="4" w:space="0" w:color="auto"/>
            </w:tcBorders>
            <w:noWrap/>
            <w:vAlign w:val="center"/>
          </w:tcPr>
          <w:p w14:paraId="041C9724"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72,748</w:t>
            </w:r>
          </w:p>
        </w:tc>
        <w:tc>
          <w:tcPr>
            <w:tcW w:w="493" w:type="pct"/>
            <w:tcBorders>
              <w:top w:val="single" w:sz="4" w:space="0" w:color="auto"/>
              <w:left w:val="nil"/>
              <w:bottom w:val="single" w:sz="4" w:space="0" w:color="auto"/>
              <w:right w:val="single" w:sz="4" w:space="0" w:color="auto"/>
            </w:tcBorders>
            <w:noWrap/>
            <w:vAlign w:val="center"/>
          </w:tcPr>
          <w:p w14:paraId="57DEF474"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73,173</w:t>
            </w:r>
          </w:p>
        </w:tc>
        <w:tc>
          <w:tcPr>
            <w:tcW w:w="492" w:type="pct"/>
            <w:tcBorders>
              <w:top w:val="single" w:sz="4" w:space="0" w:color="auto"/>
              <w:bottom w:val="single" w:sz="4" w:space="0" w:color="auto"/>
              <w:right w:val="single" w:sz="2" w:space="0" w:color="auto"/>
            </w:tcBorders>
            <w:noWrap/>
            <w:vAlign w:val="center"/>
          </w:tcPr>
          <w:p w14:paraId="1F54DEB5"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52C5909B" w14:textId="77777777" w:rsidTr="0049743F">
        <w:trPr>
          <w:trHeight w:val="60"/>
        </w:trPr>
        <w:tc>
          <w:tcPr>
            <w:tcW w:w="391" w:type="pct"/>
            <w:tcBorders>
              <w:top w:val="single" w:sz="4" w:space="0" w:color="auto"/>
              <w:left w:val="single" w:sz="4" w:space="0" w:color="auto"/>
              <w:bottom w:val="single" w:sz="4" w:space="0" w:color="auto"/>
              <w:right w:val="single" w:sz="4" w:space="0" w:color="auto"/>
            </w:tcBorders>
          </w:tcPr>
          <w:p w14:paraId="496CAFC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4</w:t>
            </w:r>
          </w:p>
        </w:tc>
        <w:tc>
          <w:tcPr>
            <w:tcW w:w="1565" w:type="pct"/>
            <w:tcBorders>
              <w:top w:val="single" w:sz="4" w:space="0" w:color="auto"/>
              <w:left w:val="nil"/>
              <w:bottom w:val="single" w:sz="4" w:space="0" w:color="auto"/>
              <w:right w:val="single" w:sz="4" w:space="0" w:color="auto"/>
            </w:tcBorders>
          </w:tcPr>
          <w:p w14:paraId="69A1600E"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Matrícula de educación de niños y niñas de 5 años de edad en preescolar en la república</w:t>
            </w:r>
          </w:p>
        </w:tc>
        <w:tc>
          <w:tcPr>
            <w:tcW w:w="1566" w:type="pct"/>
            <w:tcBorders>
              <w:top w:val="single" w:sz="4" w:space="0" w:color="auto"/>
              <w:left w:val="nil"/>
              <w:bottom w:val="single" w:sz="4" w:space="0" w:color="auto"/>
              <w:right w:val="single" w:sz="4" w:space="0" w:color="auto"/>
            </w:tcBorders>
            <w:vAlign w:val="center"/>
          </w:tcPr>
          <w:p w14:paraId="6EEEDA57"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Total</w:t>
            </w:r>
          </w:p>
        </w:tc>
        <w:tc>
          <w:tcPr>
            <w:tcW w:w="493" w:type="pct"/>
            <w:tcBorders>
              <w:top w:val="single" w:sz="4" w:space="0" w:color="auto"/>
              <w:left w:val="nil"/>
              <w:bottom w:val="single" w:sz="4" w:space="0" w:color="auto"/>
              <w:right w:val="single" w:sz="4" w:space="0" w:color="auto"/>
            </w:tcBorders>
            <w:noWrap/>
            <w:vAlign w:val="center"/>
          </w:tcPr>
          <w:p w14:paraId="5C3B32F7"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54,817</w:t>
            </w:r>
          </w:p>
        </w:tc>
        <w:tc>
          <w:tcPr>
            <w:tcW w:w="493" w:type="pct"/>
            <w:tcBorders>
              <w:top w:val="single" w:sz="4" w:space="0" w:color="auto"/>
              <w:left w:val="nil"/>
              <w:bottom w:val="single" w:sz="4" w:space="0" w:color="auto"/>
              <w:right w:val="single" w:sz="4" w:space="0" w:color="auto"/>
            </w:tcBorders>
            <w:noWrap/>
            <w:vAlign w:val="center"/>
          </w:tcPr>
          <w:p w14:paraId="661F1534"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55,265</w:t>
            </w:r>
          </w:p>
        </w:tc>
        <w:tc>
          <w:tcPr>
            <w:tcW w:w="492" w:type="pct"/>
            <w:tcBorders>
              <w:top w:val="single" w:sz="4" w:space="0" w:color="auto"/>
              <w:bottom w:val="single" w:sz="4" w:space="0" w:color="auto"/>
              <w:right w:val="single" w:sz="2" w:space="0" w:color="auto"/>
            </w:tcBorders>
            <w:noWrap/>
            <w:vAlign w:val="center"/>
          </w:tcPr>
          <w:p w14:paraId="517D662C"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72093C6B" w14:textId="77777777" w:rsidTr="0049743F">
        <w:trPr>
          <w:trHeight w:val="60"/>
        </w:trPr>
        <w:tc>
          <w:tcPr>
            <w:tcW w:w="391" w:type="pct"/>
            <w:vMerge w:val="restart"/>
            <w:tcBorders>
              <w:top w:val="single" w:sz="4" w:space="0" w:color="auto"/>
              <w:left w:val="single" w:sz="4" w:space="0" w:color="auto"/>
              <w:right w:val="single" w:sz="4" w:space="0" w:color="auto"/>
            </w:tcBorders>
          </w:tcPr>
          <w:p w14:paraId="0049765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4</w:t>
            </w:r>
          </w:p>
        </w:tc>
        <w:tc>
          <w:tcPr>
            <w:tcW w:w="1565" w:type="pct"/>
            <w:vMerge w:val="restart"/>
            <w:tcBorders>
              <w:top w:val="single" w:sz="4" w:space="0" w:color="auto"/>
              <w:left w:val="nil"/>
              <w:right w:val="single" w:sz="4" w:space="0" w:color="auto"/>
            </w:tcBorders>
          </w:tcPr>
          <w:p w14:paraId="1D4E580E" w14:textId="77777777" w:rsidR="000C171B" w:rsidRPr="00D336D1" w:rsidRDefault="000C171B" w:rsidP="0049743F">
            <w:pPr>
              <w:rPr>
                <w:rFonts w:ascii="Arial Narrow" w:hAnsi="Arial Narrow" w:cs="Arial Narrow"/>
                <w:color w:val="000000"/>
                <w:sz w:val="16"/>
                <w:szCs w:val="16"/>
              </w:rPr>
            </w:pPr>
            <w:r w:rsidRPr="00D336D1">
              <w:rPr>
                <w:rFonts w:ascii="Arial Narrow" w:hAnsi="Arial Narrow" w:cs="Arial Narrow"/>
                <w:color w:val="000000"/>
                <w:sz w:val="16"/>
                <w:szCs w:val="16"/>
              </w:rPr>
              <w:t>Tasas netas de asistencia de niños y niñas de edad 6-12</w:t>
            </w:r>
          </w:p>
        </w:tc>
        <w:tc>
          <w:tcPr>
            <w:tcW w:w="1566" w:type="pct"/>
            <w:tcBorders>
              <w:top w:val="single" w:sz="4" w:space="0" w:color="auto"/>
              <w:left w:val="nil"/>
              <w:bottom w:val="nil"/>
              <w:right w:val="single" w:sz="4" w:space="0" w:color="auto"/>
            </w:tcBorders>
            <w:vAlign w:val="center"/>
          </w:tcPr>
          <w:p w14:paraId="6194C024"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Hombre</w:t>
            </w:r>
          </w:p>
        </w:tc>
        <w:tc>
          <w:tcPr>
            <w:tcW w:w="493" w:type="pct"/>
            <w:tcBorders>
              <w:top w:val="single" w:sz="4" w:space="0" w:color="auto"/>
              <w:left w:val="nil"/>
              <w:bottom w:val="nil"/>
              <w:right w:val="single" w:sz="4" w:space="0" w:color="auto"/>
            </w:tcBorders>
            <w:noWrap/>
            <w:vAlign w:val="center"/>
          </w:tcPr>
          <w:p w14:paraId="229C1001"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94.1</w:t>
            </w:r>
          </w:p>
        </w:tc>
        <w:tc>
          <w:tcPr>
            <w:tcW w:w="493" w:type="pct"/>
            <w:tcBorders>
              <w:top w:val="single" w:sz="4" w:space="0" w:color="auto"/>
              <w:left w:val="nil"/>
              <w:bottom w:val="nil"/>
              <w:right w:val="single" w:sz="4" w:space="0" w:color="auto"/>
            </w:tcBorders>
            <w:noWrap/>
            <w:vAlign w:val="center"/>
          </w:tcPr>
          <w:p w14:paraId="581EB18E"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95.2</w:t>
            </w:r>
          </w:p>
        </w:tc>
        <w:tc>
          <w:tcPr>
            <w:tcW w:w="492" w:type="pct"/>
            <w:tcBorders>
              <w:top w:val="single" w:sz="4" w:space="0" w:color="auto"/>
              <w:right w:val="single" w:sz="2" w:space="0" w:color="auto"/>
            </w:tcBorders>
            <w:noWrap/>
            <w:vAlign w:val="center"/>
          </w:tcPr>
          <w:p w14:paraId="2C8E8175"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95.3</w:t>
            </w:r>
          </w:p>
        </w:tc>
      </w:tr>
      <w:tr w:rsidR="000C171B" w:rsidRPr="0010306A" w14:paraId="2C417288" w14:textId="77777777" w:rsidTr="0049743F">
        <w:trPr>
          <w:trHeight w:val="50"/>
        </w:trPr>
        <w:tc>
          <w:tcPr>
            <w:tcW w:w="391" w:type="pct"/>
            <w:vMerge/>
            <w:tcBorders>
              <w:left w:val="single" w:sz="4" w:space="0" w:color="auto"/>
              <w:right w:val="single" w:sz="4" w:space="0" w:color="auto"/>
            </w:tcBorders>
          </w:tcPr>
          <w:p w14:paraId="675FC9A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60C91F4E"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1EC2E049"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Mujer</w:t>
            </w:r>
          </w:p>
        </w:tc>
        <w:tc>
          <w:tcPr>
            <w:tcW w:w="493" w:type="pct"/>
            <w:tcBorders>
              <w:top w:val="nil"/>
              <w:left w:val="nil"/>
              <w:bottom w:val="nil"/>
              <w:right w:val="single" w:sz="4" w:space="0" w:color="auto"/>
            </w:tcBorders>
            <w:noWrap/>
            <w:vAlign w:val="center"/>
          </w:tcPr>
          <w:p w14:paraId="3523080B"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94.9</w:t>
            </w:r>
          </w:p>
        </w:tc>
        <w:tc>
          <w:tcPr>
            <w:tcW w:w="493" w:type="pct"/>
            <w:tcBorders>
              <w:top w:val="nil"/>
              <w:left w:val="nil"/>
              <w:bottom w:val="nil"/>
              <w:right w:val="single" w:sz="4" w:space="0" w:color="auto"/>
            </w:tcBorders>
            <w:noWrap/>
            <w:vAlign w:val="center"/>
          </w:tcPr>
          <w:p w14:paraId="1BF85854"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95.1</w:t>
            </w:r>
          </w:p>
        </w:tc>
        <w:tc>
          <w:tcPr>
            <w:tcW w:w="492" w:type="pct"/>
            <w:tcBorders>
              <w:right w:val="single" w:sz="2" w:space="0" w:color="auto"/>
            </w:tcBorders>
            <w:noWrap/>
            <w:vAlign w:val="center"/>
          </w:tcPr>
          <w:p w14:paraId="21614930"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95.0</w:t>
            </w:r>
          </w:p>
        </w:tc>
      </w:tr>
      <w:tr w:rsidR="000C171B" w:rsidRPr="0010306A" w14:paraId="71403FEF" w14:textId="77777777" w:rsidTr="0049743F">
        <w:trPr>
          <w:trHeight w:val="60"/>
        </w:trPr>
        <w:tc>
          <w:tcPr>
            <w:tcW w:w="391" w:type="pct"/>
            <w:vMerge/>
            <w:tcBorders>
              <w:left w:val="single" w:sz="4" w:space="0" w:color="auto"/>
              <w:right w:val="single" w:sz="4" w:space="0" w:color="auto"/>
            </w:tcBorders>
          </w:tcPr>
          <w:p w14:paraId="65D398C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019A0908"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0D59247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Área Urbana</w:t>
            </w:r>
          </w:p>
        </w:tc>
        <w:tc>
          <w:tcPr>
            <w:tcW w:w="493" w:type="pct"/>
            <w:tcBorders>
              <w:top w:val="nil"/>
              <w:left w:val="nil"/>
              <w:bottom w:val="nil"/>
              <w:right w:val="single" w:sz="4" w:space="0" w:color="auto"/>
            </w:tcBorders>
            <w:noWrap/>
            <w:vAlign w:val="center"/>
          </w:tcPr>
          <w:p w14:paraId="2FD9AC2D"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94.8</w:t>
            </w:r>
          </w:p>
        </w:tc>
        <w:tc>
          <w:tcPr>
            <w:tcW w:w="493" w:type="pct"/>
            <w:tcBorders>
              <w:top w:val="nil"/>
              <w:left w:val="nil"/>
              <w:bottom w:val="nil"/>
              <w:right w:val="single" w:sz="4" w:space="0" w:color="auto"/>
            </w:tcBorders>
            <w:noWrap/>
            <w:vAlign w:val="center"/>
          </w:tcPr>
          <w:p w14:paraId="4CAEF461"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95.8</w:t>
            </w:r>
          </w:p>
        </w:tc>
        <w:tc>
          <w:tcPr>
            <w:tcW w:w="492" w:type="pct"/>
            <w:tcBorders>
              <w:right w:val="single" w:sz="2" w:space="0" w:color="auto"/>
            </w:tcBorders>
            <w:noWrap/>
            <w:vAlign w:val="center"/>
          </w:tcPr>
          <w:p w14:paraId="6EE20E01"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95.1</w:t>
            </w:r>
          </w:p>
        </w:tc>
      </w:tr>
      <w:tr w:rsidR="000C171B" w:rsidRPr="0010306A" w14:paraId="728D8CBE" w14:textId="77777777" w:rsidTr="0049743F">
        <w:trPr>
          <w:trHeight w:val="60"/>
        </w:trPr>
        <w:tc>
          <w:tcPr>
            <w:tcW w:w="391" w:type="pct"/>
            <w:vMerge/>
            <w:tcBorders>
              <w:left w:val="single" w:sz="4" w:space="0" w:color="auto"/>
              <w:bottom w:val="single" w:sz="4" w:space="0" w:color="auto"/>
              <w:right w:val="single" w:sz="4" w:space="0" w:color="auto"/>
            </w:tcBorders>
          </w:tcPr>
          <w:p w14:paraId="48E1B28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158AC4E1"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single" w:sz="4" w:space="0" w:color="auto"/>
              <w:right w:val="single" w:sz="4" w:space="0" w:color="auto"/>
            </w:tcBorders>
            <w:vAlign w:val="center"/>
          </w:tcPr>
          <w:p w14:paraId="07AFAB6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Área Rural total</w:t>
            </w:r>
          </w:p>
        </w:tc>
        <w:tc>
          <w:tcPr>
            <w:tcW w:w="493" w:type="pct"/>
            <w:tcBorders>
              <w:top w:val="nil"/>
              <w:left w:val="nil"/>
              <w:bottom w:val="single" w:sz="4" w:space="0" w:color="auto"/>
              <w:right w:val="single" w:sz="4" w:space="0" w:color="auto"/>
            </w:tcBorders>
            <w:noWrap/>
            <w:vAlign w:val="center"/>
          </w:tcPr>
          <w:p w14:paraId="79505D92"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Calibri"/>
                <w:sz w:val="16"/>
                <w:szCs w:val="16"/>
              </w:rPr>
              <w:t>94.0</w:t>
            </w:r>
          </w:p>
        </w:tc>
        <w:tc>
          <w:tcPr>
            <w:tcW w:w="493" w:type="pct"/>
            <w:tcBorders>
              <w:top w:val="nil"/>
              <w:left w:val="nil"/>
              <w:bottom w:val="single" w:sz="4" w:space="0" w:color="auto"/>
              <w:right w:val="single" w:sz="4" w:space="0" w:color="auto"/>
            </w:tcBorders>
            <w:noWrap/>
            <w:vAlign w:val="center"/>
          </w:tcPr>
          <w:p w14:paraId="1B22963D"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95.8</w:t>
            </w:r>
          </w:p>
        </w:tc>
        <w:tc>
          <w:tcPr>
            <w:tcW w:w="492" w:type="pct"/>
            <w:tcBorders>
              <w:bottom w:val="single" w:sz="4" w:space="0" w:color="auto"/>
              <w:right w:val="single" w:sz="2" w:space="0" w:color="auto"/>
            </w:tcBorders>
            <w:noWrap/>
            <w:vAlign w:val="center"/>
          </w:tcPr>
          <w:p w14:paraId="18EA60BA"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Calibri"/>
                <w:sz w:val="16"/>
                <w:szCs w:val="16"/>
              </w:rPr>
              <w:t>95.3</w:t>
            </w:r>
          </w:p>
        </w:tc>
      </w:tr>
      <w:tr w:rsidR="000C171B" w:rsidRPr="0010306A" w14:paraId="327244EC" w14:textId="77777777" w:rsidTr="0049743F">
        <w:trPr>
          <w:trHeight w:val="60"/>
        </w:trPr>
        <w:tc>
          <w:tcPr>
            <w:tcW w:w="391" w:type="pct"/>
            <w:vMerge w:val="restart"/>
            <w:tcBorders>
              <w:top w:val="single" w:sz="4" w:space="0" w:color="auto"/>
              <w:left w:val="single" w:sz="4" w:space="0" w:color="auto"/>
              <w:right w:val="single" w:sz="4" w:space="0" w:color="auto"/>
            </w:tcBorders>
          </w:tcPr>
          <w:p w14:paraId="3B5D58A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4</w:t>
            </w:r>
          </w:p>
        </w:tc>
        <w:tc>
          <w:tcPr>
            <w:tcW w:w="1565" w:type="pct"/>
            <w:vMerge w:val="restart"/>
            <w:tcBorders>
              <w:top w:val="single" w:sz="4" w:space="0" w:color="auto"/>
              <w:left w:val="nil"/>
              <w:right w:val="single" w:sz="4" w:space="0" w:color="auto"/>
            </w:tcBorders>
          </w:tcPr>
          <w:p w14:paraId="071F9DDF"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Tasas netas de asistencia de niños y niñas de edad 12-14</w:t>
            </w:r>
          </w:p>
        </w:tc>
        <w:tc>
          <w:tcPr>
            <w:tcW w:w="1566" w:type="pct"/>
            <w:tcBorders>
              <w:top w:val="single" w:sz="4" w:space="0" w:color="auto"/>
              <w:left w:val="nil"/>
              <w:bottom w:val="nil"/>
              <w:right w:val="single" w:sz="4" w:space="0" w:color="auto"/>
            </w:tcBorders>
            <w:vAlign w:val="center"/>
          </w:tcPr>
          <w:p w14:paraId="62F83041"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Hombre</w:t>
            </w:r>
          </w:p>
        </w:tc>
        <w:tc>
          <w:tcPr>
            <w:tcW w:w="493" w:type="pct"/>
            <w:tcBorders>
              <w:top w:val="single" w:sz="4" w:space="0" w:color="auto"/>
              <w:left w:val="nil"/>
              <w:bottom w:val="nil"/>
              <w:right w:val="single" w:sz="4" w:space="0" w:color="auto"/>
            </w:tcBorders>
            <w:noWrap/>
            <w:vAlign w:val="center"/>
          </w:tcPr>
          <w:p w14:paraId="666008F3"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74.4</w:t>
            </w:r>
          </w:p>
        </w:tc>
        <w:tc>
          <w:tcPr>
            <w:tcW w:w="493" w:type="pct"/>
            <w:tcBorders>
              <w:top w:val="single" w:sz="4" w:space="0" w:color="auto"/>
              <w:left w:val="nil"/>
              <w:bottom w:val="nil"/>
              <w:right w:val="single" w:sz="4" w:space="0" w:color="auto"/>
            </w:tcBorders>
            <w:noWrap/>
            <w:vAlign w:val="center"/>
          </w:tcPr>
          <w:p w14:paraId="0D443C3B"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81.0</w:t>
            </w:r>
          </w:p>
        </w:tc>
        <w:tc>
          <w:tcPr>
            <w:tcW w:w="492" w:type="pct"/>
            <w:tcBorders>
              <w:top w:val="single" w:sz="4" w:space="0" w:color="auto"/>
              <w:right w:val="single" w:sz="2" w:space="0" w:color="auto"/>
            </w:tcBorders>
            <w:noWrap/>
            <w:vAlign w:val="center"/>
          </w:tcPr>
          <w:p w14:paraId="0DC750C5"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82.2</w:t>
            </w:r>
          </w:p>
        </w:tc>
      </w:tr>
      <w:tr w:rsidR="000C171B" w:rsidRPr="0010306A" w14:paraId="69FC6989" w14:textId="77777777" w:rsidTr="0049743F">
        <w:trPr>
          <w:trHeight w:val="60"/>
        </w:trPr>
        <w:tc>
          <w:tcPr>
            <w:tcW w:w="391" w:type="pct"/>
            <w:vMerge/>
            <w:tcBorders>
              <w:left w:val="single" w:sz="4" w:space="0" w:color="auto"/>
              <w:right w:val="single" w:sz="4" w:space="0" w:color="auto"/>
            </w:tcBorders>
          </w:tcPr>
          <w:p w14:paraId="64CAE3C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56914586"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1E2505AA"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Mujer</w:t>
            </w:r>
          </w:p>
        </w:tc>
        <w:tc>
          <w:tcPr>
            <w:tcW w:w="493" w:type="pct"/>
            <w:tcBorders>
              <w:top w:val="nil"/>
              <w:left w:val="nil"/>
              <w:bottom w:val="nil"/>
              <w:right w:val="single" w:sz="4" w:space="0" w:color="auto"/>
            </w:tcBorders>
            <w:noWrap/>
            <w:vAlign w:val="center"/>
          </w:tcPr>
          <w:p w14:paraId="0D571863"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75.8</w:t>
            </w:r>
          </w:p>
        </w:tc>
        <w:tc>
          <w:tcPr>
            <w:tcW w:w="493" w:type="pct"/>
            <w:tcBorders>
              <w:top w:val="nil"/>
              <w:left w:val="nil"/>
              <w:bottom w:val="nil"/>
              <w:right w:val="single" w:sz="4" w:space="0" w:color="auto"/>
            </w:tcBorders>
            <w:noWrap/>
            <w:vAlign w:val="center"/>
          </w:tcPr>
          <w:p w14:paraId="614F4855"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83.3</w:t>
            </w:r>
          </w:p>
        </w:tc>
        <w:tc>
          <w:tcPr>
            <w:tcW w:w="492" w:type="pct"/>
            <w:tcBorders>
              <w:right w:val="single" w:sz="2" w:space="0" w:color="auto"/>
            </w:tcBorders>
            <w:noWrap/>
            <w:vAlign w:val="center"/>
          </w:tcPr>
          <w:p w14:paraId="3996D1D3"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85.1</w:t>
            </w:r>
          </w:p>
        </w:tc>
      </w:tr>
      <w:tr w:rsidR="000C171B" w:rsidRPr="0010306A" w14:paraId="3144DC97" w14:textId="77777777" w:rsidTr="0049743F">
        <w:trPr>
          <w:trHeight w:val="60"/>
        </w:trPr>
        <w:tc>
          <w:tcPr>
            <w:tcW w:w="391" w:type="pct"/>
            <w:vMerge/>
            <w:tcBorders>
              <w:left w:val="single" w:sz="4" w:space="0" w:color="auto"/>
              <w:right w:val="single" w:sz="4" w:space="0" w:color="auto"/>
            </w:tcBorders>
          </w:tcPr>
          <w:p w14:paraId="13699D7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55CA98E6"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58589202"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Área Urbana</w:t>
            </w:r>
          </w:p>
        </w:tc>
        <w:tc>
          <w:tcPr>
            <w:tcW w:w="493" w:type="pct"/>
            <w:tcBorders>
              <w:top w:val="nil"/>
              <w:left w:val="nil"/>
              <w:bottom w:val="nil"/>
              <w:right w:val="single" w:sz="4" w:space="0" w:color="auto"/>
            </w:tcBorders>
            <w:noWrap/>
            <w:vAlign w:val="center"/>
          </w:tcPr>
          <w:p w14:paraId="58E64A7D"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81.6</w:t>
            </w:r>
          </w:p>
        </w:tc>
        <w:tc>
          <w:tcPr>
            <w:tcW w:w="493" w:type="pct"/>
            <w:tcBorders>
              <w:top w:val="nil"/>
              <w:left w:val="nil"/>
              <w:bottom w:val="nil"/>
              <w:right w:val="single" w:sz="4" w:space="0" w:color="auto"/>
            </w:tcBorders>
            <w:noWrap/>
            <w:vAlign w:val="center"/>
          </w:tcPr>
          <w:p w14:paraId="15C48F9B"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86.8</w:t>
            </w:r>
          </w:p>
        </w:tc>
        <w:tc>
          <w:tcPr>
            <w:tcW w:w="492" w:type="pct"/>
            <w:tcBorders>
              <w:right w:val="single" w:sz="2" w:space="0" w:color="auto"/>
            </w:tcBorders>
            <w:noWrap/>
            <w:vAlign w:val="center"/>
          </w:tcPr>
          <w:p w14:paraId="30C5D9E4"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88.4</w:t>
            </w:r>
          </w:p>
        </w:tc>
      </w:tr>
      <w:tr w:rsidR="000C171B" w:rsidRPr="0010306A" w14:paraId="4F179DCE" w14:textId="77777777" w:rsidTr="0049743F">
        <w:trPr>
          <w:trHeight w:val="60"/>
        </w:trPr>
        <w:tc>
          <w:tcPr>
            <w:tcW w:w="391" w:type="pct"/>
            <w:vMerge/>
            <w:tcBorders>
              <w:left w:val="single" w:sz="4" w:space="0" w:color="auto"/>
              <w:bottom w:val="single" w:sz="4" w:space="0" w:color="auto"/>
              <w:right w:val="single" w:sz="4" w:space="0" w:color="auto"/>
            </w:tcBorders>
          </w:tcPr>
          <w:p w14:paraId="39CF61C0"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63E5D4DF"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single" w:sz="4" w:space="0" w:color="auto"/>
              <w:right w:val="single" w:sz="4" w:space="0" w:color="auto"/>
            </w:tcBorders>
            <w:vAlign w:val="center"/>
          </w:tcPr>
          <w:p w14:paraId="03244BDA"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Área Rural total</w:t>
            </w:r>
          </w:p>
        </w:tc>
        <w:tc>
          <w:tcPr>
            <w:tcW w:w="493" w:type="pct"/>
            <w:tcBorders>
              <w:top w:val="nil"/>
              <w:left w:val="nil"/>
              <w:bottom w:val="single" w:sz="4" w:space="0" w:color="auto"/>
              <w:right w:val="single" w:sz="4" w:space="0" w:color="auto"/>
            </w:tcBorders>
            <w:noWrap/>
            <w:vAlign w:val="center"/>
          </w:tcPr>
          <w:p w14:paraId="227E9FB2"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65.3</w:t>
            </w:r>
          </w:p>
        </w:tc>
        <w:tc>
          <w:tcPr>
            <w:tcW w:w="493" w:type="pct"/>
            <w:tcBorders>
              <w:top w:val="nil"/>
              <w:left w:val="nil"/>
              <w:bottom w:val="single" w:sz="4" w:space="0" w:color="auto"/>
              <w:right w:val="single" w:sz="4" w:space="0" w:color="auto"/>
            </w:tcBorders>
            <w:noWrap/>
            <w:vAlign w:val="center"/>
          </w:tcPr>
          <w:p w14:paraId="6EC13DAA"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75.3</w:t>
            </w:r>
          </w:p>
        </w:tc>
        <w:tc>
          <w:tcPr>
            <w:tcW w:w="492" w:type="pct"/>
            <w:tcBorders>
              <w:bottom w:val="single" w:sz="4" w:space="0" w:color="auto"/>
              <w:right w:val="single" w:sz="2" w:space="0" w:color="auto"/>
            </w:tcBorders>
            <w:noWrap/>
            <w:vAlign w:val="center"/>
          </w:tcPr>
          <w:p w14:paraId="066796FA"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76.6</w:t>
            </w:r>
          </w:p>
        </w:tc>
      </w:tr>
      <w:tr w:rsidR="000C171B" w:rsidRPr="0010306A" w14:paraId="693DDE67" w14:textId="77777777" w:rsidTr="0049743F">
        <w:trPr>
          <w:trHeight w:val="60"/>
        </w:trPr>
        <w:tc>
          <w:tcPr>
            <w:tcW w:w="391" w:type="pct"/>
            <w:vMerge w:val="restart"/>
            <w:tcBorders>
              <w:top w:val="single" w:sz="4" w:space="0" w:color="auto"/>
              <w:left w:val="single" w:sz="4" w:space="0" w:color="auto"/>
              <w:right w:val="single" w:sz="4" w:space="0" w:color="auto"/>
            </w:tcBorders>
          </w:tcPr>
          <w:p w14:paraId="580DCF63"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4</w:t>
            </w:r>
          </w:p>
        </w:tc>
        <w:tc>
          <w:tcPr>
            <w:tcW w:w="1565" w:type="pct"/>
            <w:vMerge w:val="restart"/>
            <w:tcBorders>
              <w:top w:val="single" w:sz="4" w:space="0" w:color="auto"/>
              <w:left w:val="nil"/>
              <w:right w:val="single" w:sz="4" w:space="0" w:color="auto"/>
            </w:tcBorders>
          </w:tcPr>
          <w:p w14:paraId="24D9E3DB"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Tasas netas de asistencia de niños y niñas de edad 15-17</w:t>
            </w:r>
          </w:p>
        </w:tc>
        <w:tc>
          <w:tcPr>
            <w:tcW w:w="1566" w:type="pct"/>
            <w:tcBorders>
              <w:top w:val="single" w:sz="4" w:space="0" w:color="auto"/>
              <w:left w:val="nil"/>
              <w:bottom w:val="nil"/>
              <w:right w:val="single" w:sz="4" w:space="0" w:color="auto"/>
            </w:tcBorders>
            <w:vAlign w:val="center"/>
          </w:tcPr>
          <w:p w14:paraId="560708B2"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Hombre</w:t>
            </w:r>
          </w:p>
        </w:tc>
        <w:tc>
          <w:tcPr>
            <w:tcW w:w="493" w:type="pct"/>
            <w:tcBorders>
              <w:top w:val="single" w:sz="4" w:space="0" w:color="auto"/>
              <w:left w:val="nil"/>
              <w:bottom w:val="nil"/>
              <w:right w:val="single" w:sz="4" w:space="0" w:color="auto"/>
            </w:tcBorders>
            <w:noWrap/>
            <w:vAlign w:val="center"/>
          </w:tcPr>
          <w:p w14:paraId="66E58115"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54.5</w:t>
            </w:r>
          </w:p>
        </w:tc>
        <w:tc>
          <w:tcPr>
            <w:tcW w:w="493" w:type="pct"/>
            <w:tcBorders>
              <w:top w:val="single" w:sz="4" w:space="0" w:color="auto"/>
              <w:left w:val="nil"/>
              <w:bottom w:val="nil"/>
              <w:right w:val="single" w:sz="4" w:space="0" w:color="auto"/>
            </w:tcBorders>
            <w:noWrap/>
            <w:vAlign w:val="center"/>
          </w:tcPr>
          <w:p w14:paraId="0D95FC77"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63.0</w:t>
            </w:r>
          </w:p>
        </w:tc>
        <w:tc>
          <w:tcPr>
            <w:tcW w:w="492" w:type="pct"/>
            <w:tcBorders>
              <w:top w:val="single" w:sz="4" w:space="0" w:color="auto"/>
              <w:right w:val="single" w:sz="2" w:space="0" w:color="auto"/>
            </w:tcBorders>
            <w:noWrap/>
            <w:vAlign w:val="center"/>
          </w:tcPr>
          <w:p w14:paraId="4E03220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63.7</w:t>
            </w:r>
          </w:p>
        </w:tc>
      </w:tr>
      <w:tr w:rsidR="000C171B" w:rsidRPr="0010306A" w14:paraId="25F84A46" w14:textId="77777777" w:rsidTr="0049743F">
        <w:trPr>
          <w:trHeight w:val="60"/>
        </w:trPr>
        <w:tc>
          <w:tcPr>
            <w:tcW w:w="391" w:type="pct"/>
            <w:vMerge/>
            <w:tcBorders>
              <w:left w:val="single" w:sz="4" w:space="0" w:color="auto"/>
              <w:right w:val="single" w:sz="4" w:space="0" w:color="auto"/>
            </w:tcBorders>
            <w:vAlign w:val="center"/>
          </w:tcPr>
          <w:p w14:paraId="058A108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1CA8CF3B"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1322C927"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Mujer</w:t>
            </w:r>
          </w:p>
        </w:tc>
        <w:tc>
          <w:tcPr>
            <w:tcW w:w="493" w:type="pct"/>
            <w:tcBorders>
              <w:top w:val="nil"/>
              <w:left w:val="nil"/>
              <w:bottom w:val="nil"/>
              <w:right w:val="single" w:sz="4" w:space="0" w:color="auto"/>
            </w:tcBorders>
            <w:noWrap/>
            <w:vAlign w:val="center"/>
          </w:tcPr>
          <w:p w14:paraId="388B91EB"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65.1</w:t>
            </w:r>
          </w:p>
        </w:tc>
        <w:tc>
          <w:tcPr>
            <w:tcW w:w="493" w:type="pct"/>
            <w:tcBorders>
              <w:top w:val="nil"/>
              <w:left w:val="nil"/>
              <w:bottom w:val="nil"/>
              <w:right w:val="single" w:sz="4" w:space="0" w:color="auto"/>
            </w:tcBorders>
            <w:noWrap/>
            <w:vAlign w:val="center"/>
          </w:tcPr>
          <w:p w14:paraId="5D69B96A"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72.0</w:t>
            </w:r>
          </w:p>
        </w:tc>
        <w:tc>
          <w:tcPr>
            <w:tcW w:w="492" w:type="pct"/>
            <w:tcBorders>
              <w:right w:val="single" w:sz="2" w:space="0" w:color="auto"/>
            </w:tcBorders>
            <w:noWrap/>
            <w:vAlign w:val="center"/>
          </w:tcPr>
          <w:p w14:paraId="3BFAF79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72.4</w:t>
            </w:r>
          </w:p>
        </w:tc>
      </w:tr>
      <w:tr w:rsidR="000C171B" w:rsidRPr="0010306A" w14:paraId="778F269D" w14:textId="77777777" w:rsidTr="0049743F">
        <w:trPr>
          <w:trHeight w:val="60"/>
        </w:trPr>
        <w:tc>
          <w:tcPr>
            <w:tcW w:w="391" w:type="pct"/>
            <w:vMerge/>
            <w:tcBorders>
              <w:left w:val="single" w:sz="4" w:space="0" w:color="auto"/>
              <w:right w:val="single" w:sz="4" w:space="0" w:color="auto"/>
            </w:tcBorders>
            <w:vAlign w:val="center"/>
          </w:tcPr>
          <w:p w14:paraId="414615A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38BA7B2B"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6513FAFC"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Área Urbana</w:t>
            </w:r>
          </w:p>
        </w:tc>
        <w:tc>
          <w:tcPr>
            <w:tcW w:w="493" w:type="pct"/>
            <w:tcBorders>
              <w:top w:val="nil"/>
              <w:left w:val="nil"/>
              <w:bottom w:val="nil"/>
              <w:right w:val="single" w:sz="4" w:space="0" w:color="auto"/>
            </w:tcBorders>
            <w:noWrap/>
            <w:vAlign w:val="center"/>
          </w:tcPr>
          <w:p w14:paraId="4A9071A2"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65.9</w:t>
            </w:r>
          </w:p>
        </w:tc>
        <w:tc>
          <w:tcPr>
            <w:tcW w:w="493" w:type="pct"/>
            <w:tcBorders>
              <w:top w:val="nil"/>
              <w:left w:val="nil"/>
              <w:bottom w:val="nil"/>
              <w:right w:val="single" w:sz="4" w:space="0" w:color="auto"/>
            </w:tcBorders>
            <w:noWrap/>
            <w:vAlign w:val="center"/>
          </w:tcPr>
          <w:p w14:paraId="226436C2"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73.9</w:t>
            </w:r>
          </w:p>
        </w:tc>
        <w:tc>
          <w:tcPr>
            <w:tcW w:w="492" w:type="pct"/>
            <w:tcBorders>
              <w:right w:val="single" w:sz="2" w:space="0" w:color="auto"/>
            </w:tcBorders>
            <w:noWrap/>
            <w:vAlign w:val="center"/>
          </w:tcPr>
          <w:p w14:paraId="79958152"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73.8</w:t>
            </w:r>
          </w:p>
        </w:tc>
      </w:tr>
      <w:tr w:rsidR="000C171B" w:rsidRPr="0010306A" w14:paraId="49F824D7" w14:textId="77777777" w:rsidTr="0049743F">
        <w:trPr>
          <w:trHeight w:val="60"/>
        </w:trPr>
        <w:tc>
          <w:tcPr>
            <w:tcW w:w="391" w:type="pct"/>
            <w:vMerge/>
            <w:tcBorders>
              <w:left w:val="single" w:sz="4" w:space="0" w:color="auto"/>
              <w:bottom w:val="single" w:sz="4" w:space="0" w:color="auto"/>
              <w:right w:val="single" w:sz="4" w:space="0" w:color="auto"/>
            </w:tcBorders>
            <w:vAlign w:val="center"/>
          </w:tcPr>
          <w:p w14:paraId="49C950B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4B2B5EAB"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single" w:sz="4" w:space="0" w:color="auto"/>
              <w:right w:val="single" w:sz="4" w:space="0" w:color="auto"/>
            </w:tcBorders>
            <w:vAlign w:val="center"/>
          </w:tcPr>
          <w:p w14:paraId="59DB9133"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Área Rural total</w:t>
            </w:r>
          </w:p>
        </w:tc>
        <w:tc>
          <w:tcPr>
            <w:tcW w:w="493" w:type="pct"/>
            <w:tcBorders>
              <w:top w:val="nil"/>
              <w:left w:val="nil"/>
              <w:bottom w:val="single" w:sz="4" w:space="0" w:color="auto"/>
              <w:right w:val="single" w:sz="4" w:space="0" w:color="auto"/>
            </w:tcBorders>
            <w:noWrap/>
            <w:vAlign w:val="center"/>
          </w:tcPr>
          <w:p w14:paraId="575E2B84"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48.4</w:t>
            </w:r>
          </w:p>
        </w:tc>
        <w:tc>
          <w:tcPr>
            <w:tcW w:w="493" w:type="pct"/>
            <w:tcBorders>
              <w:top w:val="nil"/>
              <w:left w:val="nil"/>
              <w:bottom w:val="single" w:sz="4" w:space="0" w:color="auto"/>
              <w:right w:val="single" w:sz="4" w:space="0" w:color="auto"/>
            </w:tcBorders>
            <w:noWrap/>
            <w:vAlign w:val="center"/>
          </w:tcPr>
          <w:p w14:paraId="52B84690"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55.5</w:t>
            </w:r>
          </w:p>
        </w:tc>
        <w:tc>
          <w:tcPr>
            <w:tcW w:w="492" w:type="pct"/>
            <w:tcBorders>
              <w:bottom w:val="single" w:sz="4" w:space="0" w:color="auto"/>
              <w:right w:val="single" w:sz="2" w:space="0" w:color="auto"/>
            </w:tcBorders>
            <w:noWrap/>
            <w:vAlign w:val="center"/>
          </w:tcPr>
          <w:p w14:paraId="0277D377"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56.5</w:t>
            </w:r>
          </w:p>
        </w:tc>
      </w:tr>
      <w:tr w:rsidR="000C171B" w:rsidRPr="0010306A" w14:paraId="28463CC2" w14:textId="77777777" w:rsidTr="0049743F">
        <w:trPr>
          <w:trHeight w:val="60"/>
        </w:trPr>
        <w:tc>
          <w:tcPr>
            <w:tcW w:w="391" w:type="pct"/>
            <w:vMerge w:val="restart"/>
            <w:tcBorders>
              <w:top w:val="single" w:sz="4" w:space="0" w:color="auto"/>
              <w:left w:val="single" w:sz="4" w:space="0" w:color="auto"/>
              <w:right w:val="single" w:sz="4" w:space="0" w:color="auto"/>
            </w:tcBorders>
          </w:tcPr>
          <w:p w14:paraId="4FAA372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4</w:t>
            </w:r>
          </w:p>
        </w:tc>
        <w:tc>
          <w:tcPr>
            <w:tcW w:w="1565" w:type="pct"/>
            <w:vMerge w:val="restart"/>
            <w:tcBorders>
              <w:top w:val="single" w:sz="4" w:space="0" w:color="auto"/>
              <w:left w:val="nil"/>
              <w:right w:val="single" w:sz="4" w:space="0" w:color="auto"/>
            </w:tcBorders>
          </w:tcPr>
          <w:p w14:paraId="5013BFD8"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Tasas netas de asistencia de niños y niñas de edad 18-25</w:t>
            </w:r>
          </w:p>
        </w:tc>
        <w:tc>
          <w:tcPr>
            <w:tcW w:w="1566" w:type="pct"/>
            <w:tcBorders>
              <w:top w:val="single" w:sz="4" w:space="0" w:color="auto"/>
              <w:left w:val="nil"/>
              <w:bottom w:val="nil"/>
              <w:right w:val="single" w:sz="4" w:space="0" w:color="auto"/>
            </w:tcBorders>
            <w:vAlign w:val="center"/>
          </w:tcPr>
          <w:p w14:paraId="20B39D09"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Hombre</w:t>
            </w:r>
          </w:p>
        </w:tc>
        <w:tc>
          <w:tcPr>
            <w:tcW w:w="493" w:type="pct"/>
            <w:tcBorders>
              <w:top w:val="single" w:sz="4" w:space="0" w:color="auto"/>
              <w:left w:val="nil"/>
              <w:bottom w:val="nil"/>
              <w:right w:val="single" w:sz="4" w:space="0" w:color="auto"/>
            </w:tcBorders>
            <w:noWrap/>
            <w:vAlign w:val="center"/>
          </w:tcPr>
          <w:p w14:paraId="259C1466"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22.3</w:t>
            </w:r>
          </w:p>
        </w:tc>
        <w:tc>
          <w:tcPr>
            <w:tcW w:w="493" w:type="pct"/>
            <w:tcBorders>
              <w:top w:val="single" w:sz="4" w:space="0" w:color="auto"/>
              <w:left w:val="nil"/>
              <w:bottom w:val="nil"/>
              <w:right w:val="single" w:sz="4" w:space="0" w:color="auto"/>
            </w:tcBorders>
            <w:noWrap/>
            <w:vAlign w:val="center"/>
          </w:tcPr>
          <w:p w14:paraId="6FC75462"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24.9</w:t>
            </w:r>
          </w:p>
        </w:tc>
        <w:tc>
          <w:tcPr>
            <w:tcW w:w="492" w:type="pct"/>
            <w:tcBorders>
              <w:top w:val="single" w:sz="4" w:space="0" w:color="auto"/>
              <w:right w:val="single" w:sz="2" w:space="0" w:color="auto"/>
            </w:tcBorders>
            <w:noWrap/>
            <w:vAlign w:val="center"/>
          </w:tcPr>
          <w:p w14:paraId="4CFD30CE"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25.4</w:t>
            </w:r>
          </w:p>
        </w:tc>
      </w:tr>
      <w:tr w:rsidR="000C171B" w:rsidRPr="0010306A" w14:paraId="6E27EDFD" w14:textId="77777777" w:rsidTr="0049743F">
        <w:trPr>
          <w:trHeight w:val="60"/>
        </w:trPr>
        <w:tc>
          <w:tcPr>
            <w:tcW w:w="391" w:type="pct"/>
            <w:vMerge/>
            <w:tcBorders>
              <w:left w:val="single" w:sz="4" w:space="0" w:color="auto"/>
              <w:right w:val="single" w:sz="4" w:space="0" w:color="auto"/>
            </w:tcBorders>
          </w:tcPr>
          <w:p w14:paraId="2995A3DD"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6CBC1067"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05CE2553"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Mujer</w:t>
            </w:r>
          </w:p>
        </w:tc>
        <w:tc>
          <w:tcPr>
            <w:tcW w:w="493" w:type="pct"/>
            <w:tcBorders>
              <w:top w:val="nil"/>
              <w:left w:val="nil"/>
              <w:bottom w:val="nil"/>
              <w:right w:val="single" w:sz="4" w:space="0" w:color="auto"/>
            </w:tcBorders>
            <w:noWrap/>
            <w:vAlign w:val="center"/>
          </w:tcPr>
          <w:p w14:paraId="507A95D4"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28.8</w:t>
            </w:r>
          </w:p>
        </w:tc>
        <w:tc>
          <w:tcPr>
            <w:tcW w:w="493" w:type="pct"/>
            <w:tcBorders>
              <w:top w:val="nil"/>
              <w:left w:val="nil"/>
              <w:bottom w:val="nil"/>
              <w:right w:val="single" w:sz="4" w:space="0" w:color="auto"/>
            </w:tcBorders>
            <w:noWrap/>
            <w:vAlign w:val="center"/>
          </w:tcPr>
          <w:p w14:paraId="09D2B418"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32.4</w:t>
            </w:r>
          </w:p>
        </w:tc>
        <w:tc>
          <w:tcPr>
            <w:tcW w:w="492" w:type="pct"/>
            <w:tcBorders>
              <w:right w:val="single" w:sz="2" w:space="0" w:color="auto"/>
            </w:tcBorders>
            <w:noWrap/>
            <w:vAlign w:val="center"/>
          </w:tcPr>
          <w:p w14:paraId="7353BA8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35.0</w:t>
            </w:r>
          </w:p>
        </w:tc>
      </w:tr>
      <w:tr w:rsidR="000C171B" w:rsidRPr="0010306A" w14:paraId="4C32F261" w14:textId="77777777" w:rsidTr="0049743F">
        <w:trPr>
          <w:trHeight w:val="60"/>
        </w:trPr>
        <w:tc>
          <w:tcPr>
            <w:tcW w:w="391" w:type="pct"/>
            <w:vMerge/>
            <w:tcBorders>
              <w:left w:val="single" w:sz="4" w:space="0" w:color="auto"/>
              <w:right w:val="single" w:sz="4" w:space="0" w:color="auto"/>
            </w:tcBorders>
          </w:tcPr>
          <w:p w14:paraId="0CE1E30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50CFF8A2"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55823E4F"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Área Urbana</w:t>
            </w:r>
          </w:p>
        </w:tc>
        <w:tc>
          <w:tcPr>
            <w:tcW w:w="493" w:type="pct"/>
            <w:tcBorders>
              <w:top w:val="nil"/>
              <w:left w:val="nil"/>
              <w:bottom w:val="nil"/>
              <w:right w:val="single" w:sz="4" w:space="0" w:color="auto"/>
            </w:tcBorders>
            <w:noWrap/>
            <w:vAlign w:val="center"/>
          </w:tcPr>
          <w:p w14:paraId="009D4647"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30.8</w:t>
            </w:r>
          </w:p>
        </w:tc>
        <w:tc>
          <w:tcPr>
            <w:tcW w:w="493" w:type="pct"/>
            <w:tcBorders>
              <w:top w:val="nil"/>
              <w:left w:val="nil"/>
              <w:bottom w:val="nil"/>
              <w:right w:val="single" w:sz="4" w:space="0" w:color="auto"/>
            </w:tcBorders>
            <w:noWrap/>
            <w:vAlign w:val="center"/>
          </w:tcPr>
          <w:p w14:paraId="2C9DC2A6"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34.0</w:t>
            </w:r>
          </w:p>
        </w:tc>
        <w:tc>
          <w:tcPr>
            <w:tcW w:w="492" w:type="pct"/>
            <w:tcBorders>
              <w:right w:val="single" w:sz="2" w:space="0" w:color="auto"/>
            </w:tcBorders>
            <w:noWrap/>
            <w:vAlign w:val="center"/>
          </w:tcPr>
          <w:p w14:paraId="3B411E44"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0.49</w:t>
            </w:r>
          </w:p>
        </w:tc>
      </w:tr>
      <w:tr w:rsidR="000C171B" w:rsidRPr="0010306A" w14:paraId="4ABF76C8" w14:textId="77777777" w:rsidTr="0049743F">
        <w:trPr>
          <w:trHeight w:val="60"/>
        </w:trPr>
        <w:tc>
          <w:tcPr>
            <w:tcW w:w="391" w:type="pct"/>
            <w:vMerge/>
            <w:tcBorders>
              <w:left w:val="single" w:sz="4" w:space="0" w:color="auto"/>
              <w:bottom w:val="single" w:sz="4" w:space="0" w:color="auto"/>
              <w:right w:val="single" w:sz="4" w:space="0" w:color="auto"/>
            </w:tcBorders>
          </w:tcPr>
          <w:p w14:paraId="598942F6"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01DABB67"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single" w:sz="4" w:space="0" w:color="auto"/>
              <w:right w:val="single" w:sz="4" w:space="0" w:color="auto"/>
            </w:tcBorders>
            <w:vAlign w:val="center"/>
          </w:tcPr>
          <w:p w14:paraId="3F53FE56"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Área Rural total</w:t>
            </w:r>
          </w:p>
        </w:tc>
        <w:tc>
          <w:tcPr>
            <w:tcW w:w="493" w:type="pct"/>
            <w:tcBorders>
              <w:top w:val="nil"/>
              <w:left w:val="nil"/>
              <w:bottom w:val="single" w:sz="4" w:space="0" w:color="auto"/>
              <w:right w:val="single" w:sz="4" w:space="0" w:color="auto"/>
            </w:tcBorders>
            <w:noWrap/>
            <w:vAlign w:val="center"/>
          </w:tcPr>
          <w:p w14:paraId="1451119F"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13.0</w:t>
            </w:r>
          </w:p>
        </w:tc>
        <w:tc>
          <w:tcPr>
            <w:tcW w:w="493" w:type="pct"/>
            <w:tcBorders>
              <w:top w:val="nil"/>
              <w:left w:val="nil"/>
              <w:bottom w:val="single" w:sz="4" w:space="0" w:color="auto"/>
              <w:right w:val="single" w:sz="4" w:space="0" w:color="auto"/>
            </w:tcBorders>
            <w:noWrap/>
            <w:vAlign w:val="center"/>
          </w:tcPr>
          <w:p w14:paraId="051DCC38"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15.7</w:t>
            </w:r>
          </w:p>
        </w:tc>
        <w:tc>
          <w:tcPr>
            <w:tcW w:w="492" w:type="pct"/>
            <w:tcBorders>
              <w:bottom w:val="single" w:sz="4" w:space="0" w:color="auto"/>
              <w:right w:val="single" w:sz="2" w:space="0" w:color="auto"/>
            </w:tcBorders>
            <w:noWrap/>
            <w:vAlign w:val="center"/>
          </w:tcPr>
          <w:p w14:paraId="63303072"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17.3</w:t>
            </w:r>
          </w:p>
        </w:tc>
      </w:tr>
      <w:tr w:rsidR="000C171B" w:rsidRPr="0010306A" w14:paraId="24C22698" w14:textId="77777777" w:rsidTr="0049743F">
        <w:trPr>
          <w:trHeight w:val="60"/>
        </w:trPr>
        <w:tc>
          <w:tcPr>
            <w:tcW w:w="391" w:type="pct"/>
            <w:vMerge w:val="restart"/>
            <w:tcBorders>
              <w:top w:val="single" w:sz="4" w:space="0" w:color="auto"/>
              <w:left w:val="single" w:sz="4" w:space="0" w:color="auto"/>
              <w:right w:val="single" w:sz="4" w:space="0" w:color="auto"/>
            </w:tcBorders>
          </w:tcPr>
          <w:p w14:paraId="2E3CA9A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4</w:t>
            </w:r>
          </w:p>
        </w:tc>
        <w:tc>
          <w:tcPr>
            <w:tcW w:w="1565" w:type="pct"/>
            <w:vMerge w:val="restart"/>
            <w:tcBorders>
              <w:top w:val="single" w:sz="4" w:space="0" w:color="auto"/>
              <w:left w:val="nil"/>
              <w:right w:val="single" w:sz="4" w:space="0" w:color="auto"/>
            </w:tcBorders>
          </w:tcPr>
          <w:p w14:paraId="68463593"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 xml:space="preserve">Porcentaje de población en un grupo de edad determinado que alcanza por lo menos un nivel fijo de competencia funcional en a) alfabetización. </w:t>
            </w:r>
          </w:p>
        </w:tc>
        <w:tc>
          <w:tcPr>
            <w:tcW w:w="1566" w:type="pct"/>
            <w:tcBorders>
              <w:top w:val="single" w:sz="4" w:space="0" w:color="auto"/>
              <w:left w:val="nil"/>
              <w:bottom w:val="nil"/>
              <w:right w:val="single" w:sz="4" w:space="0" w:color="auto"/>
            </w:tcBorders>
            <w:vAlign w:val="center"/>
          </w:tcPr>
          <w:p w14:paraId="68823F89"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Total</w:t>
            </w:r>
          </w:p>
        </w:tc>
        <w:tc>
          <w:tcPr>
            <w:tcW w:w="493" w:type="pct"/>
            <w:tcBorders>
              <w:top w:val="single" w:sz="4" w:space="0" w:color="auto"/>
              <w:left w:val="nil"/>
              <w:bottom w:val="nil"/>
              <w:right w:val="single" w:sz="4" w:space="0" w:color="auto"/>
            </w:tcBorders>
            <w:noWrap/>
            <w:vAlign w:val="center"/>
          </w:tcPr>
          <w:p w14:paraId="67CC63A0"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98.2</w:t>
            </w:r>
          </w:p>
        </w:tc>
        <w:tc>
          <w:tcPr>
            <w:tcW w:w="493" w:type="pct"/>
            <w:tcBorders>
              <w:top w:val="single" w:sz="4" w:space="0" w:color="auto"/>
              <w:left w:val="nil"/>
              <w:bottom w:val="nil"/>
              <w:right w:val="single" w:sz="4" w:space="0" w:color="auto"/>
            </w:tcBorders>
            <w:noWrap/>
            <w:vAlign w:val="center"/>
          </w:tcPr>
          <w:p w14:paraId="2716F0CE"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98.8</w:t>
            </w:r>
          </w:p>
        </w:tc>
        <w:tc>
          <w:tcPr>
            <w:tcW w:w="492" w:type="pct"/>
            <w:tcBorders>
              <w:top w:val="single" w:sz="4" w:space="0" w:color="auto"/>
              <w:right w:val="single" w:sz="2" w:space="0" w:color="auto"/>
            </w:tcBorders>
            <w:noWrap/>
            <w:vAlign w:val="center"/>
          </w:tcPr>
          <w:p w14:paraId="3620D61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99.1</w:t>
            </w:r>
          </w:p>
        </w:tc>
      </w:tr>
      <w:tr w:rsidR="000C171B" w:rsidRPr="0010306A" w14:paraId="7A35735C" w14:textId="77777777" w:rsidTr="0049743F">
        <w:trPr>
          <w:trHeight w:val="60"/>
        </w:trPr>
        <w:tc>
          <w:tcPr>
            <w:tcW w:w="391" w:type="pct"/>
            <w:vMerge/>
            <w:tcBorders>
              <w:left w:val="single" w:sz="4" w:space="0" w:color="auto"/>
              <w:right w:val="single" w:sz="4" w:space="0" w:color="auto"/>
            </w:tcBorders>
          </w:tcPr>
          <w:p w14:paraId="474F60D2"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4B423CB1"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471F3B6D"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Hombre</w:t>
            </w:r>
          </w:p>
        </w:tc>
        <w:tc>
          <w:tcPr>
            <w:tcW w:w="493" w:type="pct"/>
            <w:tcBorders>
              <w:top w:val="nil"/>
              <w:left w:val="nil"/>
              <w:bottom w:val="nil"/>
              <w:right w:val="single" w:sz="4" w:space="0" w:color="auto"/>
            </w:tcBorders>
            <w:noWrap/>
            <w:vAlign w:val="center"/>
          </w:tcPr>
          <w:p w14:paraId="1437985F"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98.4</w:t>
            </w:r>
          </w:p>
        </w:tc>
        <w:tc>
          <w:tcPr>
            <w:tcW w:w="493" w:type="pct"/>
            <w:tcBorders>
              <w:top w:val="nil"/>
              <w:left w:val="nil"/>
              <w:bottom w:val="nil"/>
              <w:right w:val="single" w:sz="4" w:space="0" w:color="auto"/>
            </w:tcBorders>
            <w:noWrap/>
            <w:vAlign w:val="center"/>
          </w:tcPr>
          <w:p w14:paraId="33DD2AD6"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99.1</w:t>
            </w:r>
          </w:p>
        </w:tc>
        <w:tc>
          <w:tcPr>
            <w:tcW w:w="492" w:type="pct"/>
            <w:tcBorders>
              <w:right w:val="single" w:sz="2" w:space="0" w:color="auto"/>
            </w:tcBorders>
            <w:noWrap/>
            <w:vAlign w:val="center"/>
          </w:tcPr>
          <w:p w14:paraId="46C121A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99.3</w:t>
            </w:r>
          </w:p>
        </w:tc>
      </w:tr>
      <w:tr w:rsidR="000C171B" w:rsidRPr="0010306A" w14:paraId="22157E30" w14:textId="77777777" w:rsidTr="0049743F">
        <w:trPr>
          <w:trHeight w:val="60"/>
        </w:trPr>
        <w:tc>
          <w:tcPr>
            <w:tcW w:w="391" w:type="pct"/>
            <w:vMerge/>
            <w:tcBorders>
              <w:left w:val="single" w:sz="4" w:space="0" w:color="auto"/>
              <w:right w:val="single" w:sz="4" w:space="0" w:color="auto"/>
            </w:tcBorders>
          </w:tcPr>
          <w:p w14:paraId="6F97933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24F8B76C"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74A1747C"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Mujer</w:t>
            </w:r>
          </w:p>
        </w:tc>
        <w:tc>
          <w:tcPr>
            <w:tcW w:w="493" w:type="pct"/>
            <w:tcBorders>
              <w:top w:val="nil"/>
              <w:left w:val="nil"/>
              <w:bottom w:val="nil"/>
              <w:right w:val="single" w:sz="4" w:space="0" w:color="auto"/>
            </w:tcBorders>
            <w:noWrap/>
            <w:vAlign w:val="center"/>
          </w:tcPr>
          <w:p w14:paraId="70FEB979"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98.1</w:t>
            </w:r>
          </w:p>
        </w:tc>
        <w:tc>
          <w:tcPr>
            <w:tcW w:w="493" w:type="pct"/>
            <w:tcBorders>
              <w:top w:val="nil"/>
              <w:left w:val="nil"/>
              <w:bottom w:val="nil"/>
              <w:right w:val="single" w:sz="4" w:space="0" w:color="auto"/>
            </w:tcBorders>
            <w:noWrap/>
            <w:vAlign w:val="center"/>
          </w:tcPr>
          <w:p w14:paraId="771E3DAE"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98.4</w:t>
            </w:r>
          </w:p>
        </w:tc>
        <w:tc>
          <w:tcPr>
            <w:tcW w:w="492" w:type="pct"/>
            <w:tcBorders>
              <w:right w:val="single" w:sz="2" w:space="0" w:color="auto"/>
            </w:tcBorders>
            <w:noWrap/>
            <w:vAlign w:val="center"/>
          </w:tcPr>
          <w:p w14:paraId="5E313D9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98.8</w:t>
            </w:r>
          </w:p>
        </w:tc>
      </w:tr>
      <w:tr w:rsidR="000C171B" w:rsidRPr="0010306A" w14:paraId="4BF9A6AB" w14:textId="77777777" w:rsidTr="0049743F">
        <w:trPr>
          <w:trHeight w:val="60"/>
        </w:trPr>
        <w:tc>
          <w:tcPr>
            <w:tcW w:w="391" w:type="pct"/>
            <w:vMerge/>
            <w:tcBorders>
              <w:left w:val="single" w:sz="4" w:space="0" w:color="auto"/>
              <w:right w:val="single" w:sz="4" w:space="0" w:color="auto"/>
            </w:tcBorders>
          </w:tcPr>
          <w:p w14:paraId="2D96BC39"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0ABFA6CF"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756F0D57"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Área Urbana</w:t>
            </w:r>
          </w:p>
        </w:tc>
        <w:tc>
          <w:tcPr>
            <w:tcW w:w="493" w:type="pct"/>
            <w:tcBorders>
              <w:top w:val="nil"/>
              <w:left w:val="nil"/>
              <w:bottom w:val="nil"/>
              <w:right w:val="single" w:sz="4" w:space="0" w:color="auto"/>
            </w:tcBorders>
            <w:noWrap/>
            <w:vAlign w:val="center"/>
          </w:tcPr>
          <w:p w14:paraId="405FC103"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99.3</w:t>
            </w:r>
          </w:p>
        </w:tc>
        <w:tc>
          <w:tcPr>
            <w:tcW w:w="493" w:type="pct"/>
            <w:tcBorders>
              <w:top w:val="nil"/>
              <w:left w:val="nil"/>
              <w:bottom w:val="nil"/>
              <w:right w:val="single" w:sz="4" w:space="0" w:color="auto"/>
            </w:tcBorders>
            <w:noWrap/>
            <w:vAlign w:val="center"/>
          </w:tcPr>
          <w:p w14:paraId="347C540D"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99.7</w:t>
            </w:r>
          </w:p>
        </w:tc>
        <w:tc>
          <w:tcPr>
            <w:tcW w:w="492" w:type="pct"/>
            <w:tcBorders>
              <w:right w:val="single" w:sz="2" w:space="0" w:color="auto"/>
            </w:tcBorders>
            <w:noWrap/>
            <w:vAlign w:val="center"/>
          </w:tcPr>
          <w:p w14:paraId="20B146E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99.7</w:t>
            </w:r>
          </w:p>
        </w:tc>
      </w:tr>
      <w:tr w:rsidR="000C171B" w:rsidRPr="0010306A" w14:paraId="4B60C379" w14:textId="77777777" w:rsidTr="0049743F">
        <w:trPr>
          <w:trHeight w:val="60"/>
        </w:trPr>
        <w:tc>
          <w:tcPr>
            <w:tcW w:w="391" w:type="pct"/>
            <w:vMerge/>
            <w:tcBorders>
              <w:left w:val="single" w:sz="4" w:space="0" w:color="auto"/>
              <w:bottom w:val="single" w:sz="4" w:space="0" w:color="auto"/>
              <w:right w:val="single" w:sz="4" w:space="0" w:color="auto"/>
            </w:tcBorders>
          </w:tcPr>
          <w:p w14:paraId="437BC20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7DCFE441"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single" w:sz="4" w:space="0" w:color="auto"/>
              <w:right w:val="single" w:sz="4" w:space="0" w:color="auto"/>
            </w:tcBorders>
            <w:vAlign w:val="center"/>
          </w:tcPr>
          <w:p w14:paraId="2B747DA9"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Área Rural total</w:t>
            </w:r>
          </w:p>
        </w:tc>
        <w:tc>
          <w:tcPr>
            <w:tcW w:w="493" w:type="pct"/>
            <w:tcBorders>
              <w:top w:val="nil"/>
              <w:left w:val="nil"/>
              <w:bottom w:val="single" w:sz="4" w:space="0" w:color="auto"/>
              <w:right w:val="single" w:sz="4" w:space="0" w:color="auto"/>
            </w:tcBorders>
            <w:noWrap/>
            <w:vAlign w:val="center"/>
          </w:tcPr>
          <w:p w14:paraId="2F05938A"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95.9</w:t>
            </w:r>
          </w:p>
        </w:tc>
        <w:tc>
          <w:tcPr>
            <w:tcW w:w="493" w:type="pct"/>
            <w:tcBorders>
              <w:top w:val="nil"/>
              <w:left w:val="nil"/>
              <w:bottom w:val="single" w:sz="4" w:space="0" w:color="auto"/>
              <w:right w:val="single" w:sz="4" w:space="0" w:color="auto"/>
            </w:tcBorders>
            <w:noWrap/>
            <w:vAlign w:val="center"/>
          </w:tcPr>
          <w:p w14:paraId="03F9D221"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96.8</w:t>
            </w:r>
          </w:p>
        </w:tc>
        <w:tc>
          <w:tcPr>
            <w:tcW w:w="492" w:type="pct"/>
            <w:tcBorders>
              <w:bottom w:val="single" w:sz="4" w:space="0" w:color="auto"/>
              <w:right w:val="single" w:sz="2" w:space="0" w:color="auto"/>
            </w:tcBorders>
            <w:noWrap/>
            <w:vAlign w:val="center"/>
          </w:tcPr>
          <w:p w14:paraId="21FEE9E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97.7</w:t>
            </w:r>
          </w:p>
        </w:tc>
      </w:tr>
      <w:tr w:rsidR="000C171B" w:rsidRPr="0010306A" w14:paraId="07F0593B" w14:textId="77777777" w:rsidTr="0049743F">
        <w:trPr>
          <w:trHeight w:val="60"/>
        </w:trPr>
        <w:tc>
          <w:tcPr>
            <w:tcW w:w="391" w:type="pct"/>
            <w:vMerge w:val="restart"/>
            <w:tcBorders>
              <w:top w:val="single" w:sz="4" w:space="0" w:color="auto"/>
              <w:left w:val="single" w:sz="4" w:space="0" w:color="auto"/>
              <w:bottom w:val="single" w:sz="4" w:space="0" w:color="auto"/>
              <w:right w:val="single" w:sz="4" w:space="0" w:color="auto"/>
            </w:tcBorders>
          </w:tcPr>
          <w:p w14:paraId="5A37D066"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4</w:t>
            </w:r>
          </w:p>
        </w:tc>
        <w:tc>
          <w:tcPr>
            <w:tcW w:w="1565" w:type="pct"/>
            <w:vMerge w:val="restart"/>
            <w:tcBorders>
              <w:top w:val="single" w:sz="4" w:space="0" w:color="auto"/>
              <w:left w:val="nil"/>
              <w:right w:val="single" w:sz="4" w:space="0" w:color="auto"/>
            </w:tcBorders>
          </w:tcPr>
          <w:p w14:paraId="2A42B1EC"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 xml:space="preserve">Porcentaje de población en un grupo de edad determinado que alcanza por lo menos un </w:t>
            </w:r>
            <w:r w:rsidRPr="00D336D1">
              <w:rPr>
                <w:rFonts w:ascii="Arial Narrow" w:hAnsi="Arial Narrow" w:cs="Arial Narrow"/>
                <w:color w:val="000000"/>
                <w:sz w:val="16"/>
                <w:szCs w:val="16"/>
              </w:rPr>
              <w:lastRenderedPageBreak/>
              <w:t>nivel fijo de competencia funcional en aritmética elemental</w:t>
            </w:r>
          </w:p>
        </w:tc>
        <w:tc>
          <w:tcPr>
            <w:tcW w:w="1566" w:type="pct"/>
            <w:tcBorders>
              <w:top w:val="single" w:sz="4" w:space="0" w:color="auto"/>
              <w:left w:val="nil"/>
              <w:bottom w:val="nil"/>
              <w:right w:val="single" w:sz="4" w:space="0" w:color="auto"/>
            </w:tcBorders>
            <w:vAlign w:val="center"/>
          </w:tcPr>
          <w:p w14:paraId="5BB06E8B"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lastRenderedPageBreak/>
              <w:t>Total</w:t>
            </w:r>
          </w:p>
        </w:tc>
        <w:tc>
          <w:tcPr>
            <w:tcW w:w="493" w:type="pct"/>
            <w:tcBorders>
              <w:top w:val="single" w:sz="4" w:space="0" w:color="auto"/>
              <w:left w:val="nil"/>
              <w:bottom w:val="nil"/>
              <w:right w:val="single" w:sz="4" w:space="0" w:color="auto"/>
            </w:tcBorders>
            <w:noWrap/>
            <w:vAlign w:val="center"/>
          </w:tcPr>
          <w:p w14:paraId="1A8DB319"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95.8</w:t>
            </w:r>
          </w:p>
        </w:tc>
        <w:tc>
          <w:tcPr>
            <w:tcW w:w="493" w:type="pct"/>
            <w:tcBorders>
              <w:top w:val="single" w:sz="4" w:space="0" w:color="auto"/>
              <w:left w:val="nil"/>
              <w:bottom w:val="nil"/>
              <w:right w:val="single" w:sz="4" w:space="0" w:color="auto"/>
            </w:tcBorders>
            <w:noWrap/>
            <w:vAlign w:val="center"/>
          </w:tcPr>
          <w:p w14:paraId="491C8F70"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96.6</w:t>
            </w:r>
          </w:p>
        </w:tc>
        <w:tc>
          <w:tcPr>
            <w:tcW w:w="492" w:type="pct"/>
            <w:tcBorders>
              <w:top w:val="single" w:sz="4" w:space="0" w:color="auto"/>
              <w:right w:val="single" w:sz="2" w:space="0" w:color="auto"/>
            </w:tcBorders>
            <w:noWrap/>
            <w:vAlign w:val="center"/>
          </w:tcPr>
          <w:p w14:paraId="67B78ED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97.2</w:t>
            </w:r>
          </w:p>
        </w:tc>
      </w:tr>
      <w:tr w:rsidR="000C171B" w:rsidRPr="0010306A" w14:paraId="59961C28" w14:textId="77777777" w:rsidTr="0049743F">
        <w:trPr>
          <w:trHeight w:val="60"/>
        </w:trPr>
        <w:tc>
          <w:tcPr>
            <w:tcW w:w="391" w:type="pct"/>
            <w:vMerge/>
            <w:tcBorders>
              <w:left w:val="single" w:sz="4" w:space="0" w:color="auto"/>
              <w:bottom w:val="single" w:sz="4" w:space="0" w:color="auto"/>
              <w:right w:val="single" w:sz="4" w:space="0" w:color="auto"/>
            </w:tcBorders>
          </w:tcPr>
          <w:p w14:paraId="2A9BCE9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3651BD31"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78D3D312"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Hombre</w:t>
            </w:r>
          </w:p>
        </w:tc>
        <w:tc>
          <w:tcPr>
            <w:tcW w:w="493" w:type="pct"/>
            <w:tcBorders>
              <w:top w:val="nil"/>
              <w:left w:val="nil"/>
              <w:bottom w:val="nil"/>
              <w:right w:val="single" w:sz="4" w:space="0" w:color="auto"/>
            </w:tcBorders>
            <w:noWrap/>
            <w:vAlign w:val="center"/>
          </w:tcPr>
          <w:p w14:paraId="7155444F"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95.7</w:t>
            </w:r>
          </w:p>
        </w:tc>
        <w:tc>
          <w:tcPr>
            <w:tcW w:w="493" w:type="pct"/>
            <w:tcBorders>
              <w:top w:val="nil"/>
              <w:left w:val="nil"/>
              <w:bottom w:val="nil"/>
              <w:right w:val="single" w:sz="4" w:space="0" w:color="auto"/>
            </w:tcBorders>
            <w:noWrap/>
            <w:vAlign w:val="center"/>
          </w:tcPr>
          <w:p w14:paraId="6F2A84C1"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96.7</w:t>
            </w:r>
          </w:p>
        </w:tc>
        <w:tc>
          <w:tcPr>
            <w:tcW w:w="492" w:type="pct"/>
            <w:tcBorders>
              <w:right w:val="single" w:sz="2" w:space="0" w:color="auto"/>
            </w:tcBorders>
            <w:noWrap/>
            <w:vAlign w:val="center"/>
          </w:tcPr>
          <w:p w14:paraId="4D33DC45"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97.1</w:t>
            </w:r>
          </w:p>
        </w:tc>
      </w:tr>
      <w:tr w:rsidR="000C171B" w:rsidRPr="0010306A" w14:paraId="16BD0E5C" w14:textId="77777777" w:rsidTr="0049743F">
        <w:trPr>
          <w:trHeight w:val="60"/>
        </w:trPr>
        <w:tc>
          <w:tcPr>
            <w:tcW w:w="391" w:type="pct"/>
            <w:vMerge/>
            <w:tcBorders>
              <w:left w:val="single" w:sz="4" w:space="0" w:color="auto"/>
              <w:bottom w:val="single" w:sz="4" w:space="0" w:color="auto"/>
              <w:right w:val="single" w:sz="4" w:space="0" w:color="auto"/>
            </w:tcBorders>
          </w:tcPr>
          <w:p w14:paraId="6EC3033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4A606420"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6EEDEA2D"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Mujer</w:t>
            </w:r>
          </w:p>
        </w:tc>
        <w:tc>
          <w:tcPr>
            <w:tcW w:w="493" w:type="pct"/>
            <w:tcBorders>
              <w:top w:val="nil"/>
              <w:left w:val="nil"/>
              <w:bottom w:val="nil"/>
              <w:right w:val="single" w:sz="4" w:space="0" w:color="auto"/>
            </w:tcBorders>
            <w:noWrap/>
            <w:vAlign w:val="center"/>
          </w:tcPr>
          <w:p w14:paraId="383DB649"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96.0</w:t>
            </w:r>
          </w:p>
        </w:tc>
        <w:tc>
          <w:tcPr>
            <w:tcW w:w="493" w:type="pct"/>
            <w:tcBorders>
              <w:top w:val="nil"/>
              <w:left w:val="nil"/>
              <w:bottom w:val="nil"/>
              <w:right w:val="single" w:sz="4" w:space="0" w:color="auto"/>
            </w:tcBorders>
            <w:noWrap/>
            <w:vAlign w:val="center"/>
          </w:tcPr>
          <w:p w14:paraId="3286E4C3"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96.4</w:t>
            </w:r>
          </w:p>
        </w:tc>
        <w:tc>
          <w:tcPr>
            <w:tcW w:w="492" w:type="pct"/>
            <w:tcBorders>
              <w:right w:val="single" w:sz="2" w:space="0" w:color="auto"/>
            </w:tcBorders>
            <w:noWrap/>
            <w:vAlign w:val="center"/>
          </w:tcPr>
          <w:p w14:paraId="7C02E94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97.3</w:t>
            </w:r>
          </w:p>
        </w:tc>
      </w:tr>
      <w:tr w:rsidR="000C171B" w:rsidRPr="0010306A" w14:paraId="72C6D2EE" w14:textId="77777777" w:rsidTr="0049743F">
        <w:trPr>
          <w:trHeight w:val="60"/>
        </w:trPr>
        <w:tc>
          <w:tcPr>
            <w:tcW w:w="391" w:type="pct"/>
            <w:vMerge/>
            <w:tcBorders>
              <w:left w:val="single" w:sz="4" w:space="0" w:color="auto"/>
              <w:bottom w:val="single" w:sz="4" w:space="0" w:color="auto"/>
              <w:right w:val="single" w:sz="4" w:space="0" w:color="auto"/>
            </w:tcBorders>
          </w:tcPr>
          <w:p w14:paraId="6DDC9BBD"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434F83F7"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5C86808E"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Área Urbana</w:t>
            </w:r>
          </w:p>
        </w:tc>
        <w:tc>
          <w:tcPr>
            <w:tcW w:w="493" w:type="pct"/>
            <w:tcBorders>
              <w:top w:val="nil"/>
              <w:left w:val="nil"/>
              <w:bottom w:val="nil"/>
              <w:right w:val="single" w:sz="4" w:space="0" w:color="auto"/>
            </w:tcBorders>
            <w:noWrap/>
            <w:vAlign w:val="center"/>
          </w:tcPr>
          <w:p w14:paraId="2EFEC205"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98.6</w:t>
            </w:r>
          </w:p>
        </w:tc>
        <w:tc>
          <w:tcPr>
            <w:tcW w:w="493" w:type="pct"/>
            <w:tcBorders>
              <w:top w:val="nil"/>
              <w:left w:val="nil"/>
              <w:bottom w:val="nil"/>
              <w:right w:val="single" w:sz="4" w:space="0" w:color="auto"/>
            </w:tcBorders>
            <w:noWrap/>
            <w:vAlign w:val="center"/>
          </w:tcPr>
          <w:p w14:paraId="7E660C02"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98.6</w:t>
            </w:r>
          </w:p>
        </w:tc>
        <w:tc>
          <w:tcPr>
            <w:tcW w:w="492" w:type="pct"/>
            <w:tcBorders>
              <w:right w:val="single" w:sz="2" w:space="0" w:color="auto"/>
            </w:tcBorders>
            <w:noWrap/>
            <w:vAlign w:val="center"/>
          </w:tcPr>
          <w:p w14:paraId="2BE7B2E5"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98.8</w:t>
            </w:r>
          </w:p>
        </w:tc>
      </w:tr>
      <w:tr w:rsidR="000C171B" w:rsidRPr="0010306A" w14:paraId="4712BB07" w14:textId="77777777" w:rsidTr="0049743F">
        <w:trPr>
          <w:trHeight w:val="60"/>
        </w:trPr>
        <w:tc>
          <w:tcPr>
            <w:tcW w:w="391" w:type="pct"/>
            <w:vMerge/>
            <w:tcBorders>
              <w:left w:val="single" w:sz="4" w:space="0" w:color="auto"/>
              <w:bottom w:val="single" w:sz="4" w:space="0" w:color="auto"/>
              <w:right w:val="single" w:sz="4" w:space="0" w:color="auto"/>
            </w:tcBorders>
          </w:tcPr>
          <w:p w14:paraId="5096E933"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487D235E"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single" w:sz="4" w:space="0" w:color="auto"/>
              <w:right w:val="single" w:sz="4" w:space="0" w:color="auto"/>
            </w:tcBorders>
            <w:vAlign w:val="center"/>
          </w:tcPr>
          <w:p w14:paraId="03C29ED3"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Área Rural total</w:t>
            </w:r>
          </w:p>
        </w:tc>
        <w:tc>
          <w:tcPr>
            <w:tcW w:w="493" w:type="pct"/>
            <w:tcBorders>
              <w:top w:val="nil"/>
              <w:left w:val="nil"/>
              <w:bottom w:val="single" w:sz="4" w:space="0" w:color="auto"/>
              <w:right w:val="single" w:sz="4" w:space="0" w:color="auto"/>
            </w:tcBorders>
            <w:noWrap/>
            <w:vAlign w:val="center"/>
          </w:tcPr>
          <w:p w14:paraId="5C53B7AD"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90.1</w:t>
            </w:r>
          </w:p>
        </w:tc>
        <w:tc>
          <w:tcPr>
            <w:tcW w:w="493" w:type="pct"/>
            <w:tcBorders>
              <w:top w:val="nil"/>
              <w:left w:val="nil"/>
              <w:bottom w:val="single" w:sz="4" w:space="0" w:color="auto"/>
              <w:right w:val="single" w:sz="4" w:space="0" w:color="auto"/>
            </w:tcBorders>
            <w:noWrap/>
            <w:vAlign w:val="center"/>
          </w:tcPr>
          <w:p w14:paraId="12BA5C70"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92.2</w:t>
            </w:r>
          </w:p>
        </w:tc>
        <w:tc>
          <w:tcPr>
            <w:tcW w:w="492" w:type="pct"/>
            <w:tcBorders>
              <w:bottom w:val="single" w:sz="4" w:space="0" w:color="auto"/>
              <w:right w:val="single" w:sz="2" w:space="0" w:color="auto"/>
            </w:tcBorders>
            <w:noWrap/>
            <w:vAlign w:val="center"/>
          </w:tcPr>
          <w:p w14:paraId="1279007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93.7</w:t>
            </w:r>
          </w:p>
        </w:tc>
      </w:tr>
      <w:tr w:rsidR="000C171B" w:rsidRPr="0010306A" w14:paraId="32250D56" w14:textId="77777777" w:rsidTr="0049743F">
        <w:trPr>
          <w:trHeight w:val="60"/>
        </w:trPr>
        <w:tc>
          <w:tcPr>
            <w:tcW w:w="391" w:type="pct"/>
            <w:vMerge w:val="restart"/>
            <w:tcBorders>
              <w:top w:val="single" w:sz="4" w:space="0" w:color="auto"/>
              <w:left w:val="single" w:sz="4" w:space="0" w:color="auto"/>
              <w:right w:val="single" w:sz="4" w:space="0" w:color="auto"/>
            </w:tcBorders>
          </w:tcPr>
          <w:p w14:paraId="349DDC6D"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4</w:t>
            </w:r>
          </w:p>
        </w:tc>
        <w:tc>
          <w:tcPr>
            <w:tcW w:w="1565" w:type="pct"/>
            <w:vMerge w:val="restart"/>
            <w:tcBorders>
              <w:top w:val="single" w:sz="4" w:space="0" w:color="auto"/>
              <w:left w:val="nil"/>
              <w:right w:val="single" w:sz="4" w:space="0" w:color="auto"/>
            </w:tcBorders>
          </w:tcPr>
          <w:p w14:paraId="271E161E"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Maestros en la enseñanza que han recibido al menos el mínimo de formación docente previa a la docencia o durante su ejercicio para la enseñanza a un nivel dado en un país determinado.</w:t>
            </w:r>
          </w:p>
        </w:tc>
        <w:tc>
          <w:tcPr>
            <w:tcW w:w="1566" w:type="pct"/>
            <w:tcBorders>
              <w:top w:val="single" w:sz="4" w:space="0" w:color="auto"/>
              <w:left w:val="nil"/>
              <w:bottom w:val="nil"/>
              <w:right w:val="single" w:sz="4" w:space="0" w:color="auto"/>
            </w:tcBorders>
            <w:vAlign w:val="center"/>
          </w:tcPr>
          <w:p w14:paraId="4843528B" w14:textId="77777777" w:rsidR="000C171B" w:rsidRPr="00D336D1" w:rsidRDefault="000C171B" w:rsidP="002C49EF">
            <w:pPr>
              <w:spacing w:after="0" w:line="240" w:lineRule="auto"/>
              <w:rPr>
                <w:rFonts w:ascii="Arial Narrow" w:eastAsia="Times New Roman" w:hAnsi="Arial Narrow" w:cs="Calibri"/>
                <w:color w:val="0D0D0D"/>
                <w:sz w:val="16"/>
                <w:szCs w:val="16"/>
                <w:lang w:eastAsia="es-PA"/>
              </w:rPr>
            </w:pPr>
            <w:r w:rsidRPr="00D336D1">
              <w:rPr>
                <w:rFonts w:ascii="Arial Narrow" w:eastAsia="Times New Roman" w:hAnsi="Arial Narrow" w:cs="Calibri"/>
                <w:color w:val="0D0D0D"/>
                <w:sz w:val="16"/>
                <w:szCs w:val="16"/>
                <w:lang w:eastAsia="es-PA"/>
              </w:rPr>
              <w:t>Total</w:t>
            </w:r>
          </w:p>
        </w:tc>
        <w:tc>
          <w:tcPr>
            <w:tcW w:w="493" w:type="pct"/>
            <w:tcBorders>
              <w:top w:val="single" w:sz="4" w:space="0" w:color="auto"/>
              <w:left w:val="nil"/>
              <w:bottom w:val="nil"/>
              <w:right w:val="single" w:sz="4" w:space="0" w:color="auto"/>
            </w:tcBorders>
            <w:noWrap/>
            <w:vAlign w:val="center"/>
          </w:tcPr>
          <w:p w14:paraId="59C26993"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49,591</w:t>
            </w:r>
          </w:p>
        </w:tc>
        <w:tc>
          <w:tcPr>
            <w:tcW w:w="493" w:type="pct"/>
            <w:tcBorders>
              <w:top w:val="single" w:sz="4" w:space="0" w:color="auto"/>
              <w:left w:val="nil"/>
              <w:bottom w:val="nil"/>
              <w:right w:val="single" w:sz="4" w:space="0" w:color="auto"/>
            </w:tcBorders>
            <w:noWrap/>
            <w:vAlign w:val="center"/>
          </w:tcPr>
          <w:p w14:paraId="12590665" w14:textId="77777777" w:rsidR="000C171B" w:rsidRPr="00D336D1" w:rsidRDefault="000C171B" w:rsidP="002C49EF">
            <w:pPr>
              <w:spacing w:after="0" w:line="240" w:lineRule="auto"/>
              <w:jc w:val="center"/>
              <w:rPr>
                <w:rFonts w:ascii="Arial Narrow" w:hAnsi="Arial Narrow" w:cs="Calibri"/>
                <w:sz w:val="16"/>
                <w:szCs w:val="16"/>
              </w:rPr>
            </w:pPr>
          </w:p>
        </w:tc>
        <w:tc>
          <w:tcPr>
            <w:tcW w:w="492" w:type="pct"/>
            <w:tcBorders>
              <w:top w:val="single" w:sz="4" w:space="0" w:color="auto"/>
              <w:right w:val="single" w:sz="2" w:space="0" w:color="auto"/>
            </w:tcBorders>
            <w:noWrap/>
            <w:vAlign w:val="center"/>
          </w:tcPr>
          <w:p w14:paraId="7C5709EF"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03446A01" w14:textId="77777777" w:rsidTr="0049743F">
        <w:trPr>
          <w:trHeight w:val="60"/>
        </w:trPr>
        <w:tc>
          <w:tcPr>
            <w:tcW w:w="391" w:type="pct"/>
            <w:vMerge/>
            <w:tcBorders>
              <w:left w:val="single" w:sz="4" w:space="0" w:color="auto"/>
              <w:right w:val="single" w:sz="4" w:space="0" w:color="auto"/>
            </w:tcBorders>
          </w:tcPr>
          <w:p w14:paraId="527D6B4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3089E7ED"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3593341C"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D0D0D"/>
                <w:sz w:val="16"/>
                <w:szCs w:val="16"/>
                <w:lang w:eastAsia="es-PA"/>
              </w:rPr>
              <w:t>Preescolar</w:t>
            </w:r>
          </w:p>
        </w:tc>
        <w:tc>
          <w:tcPr>
            <w:tcW w:w="493" w:type="pct"/>
            <w:tcBorders>
              <w:top w:val="nil"/>
              <w:left w:val="nil"/>
              <w:bottom w:val="nil"/>
              <w:right w:val="single" w:sz="4" w:space="0" w:color="auto"/>
            </w:tcBorders>
            <w:noWrap/>
            <w:vAlign w:val="center"/>
          </w:tcPr>
          <w:p w14:paraId="6B42D4CF"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7,141</w:t>
            </w:r>
          </w:p>
        </w:tc>
        <w:tc>
          <w:tcPr>
            <w:tcW w:w="493" w:type="pct"/>
            <w:tcBorders>
              <w:top w:val="nil"/>
              <w:left w:val="nil"/>
              <w:bottom w:val="nil"/>
              <w:right w:val="single" w:sz="4" w:space="0" w:color="auto"/>
            </w:tcBorders>
            <w:noWrap/>
            <w:vAlign w:val="center"/>
          </w:tcPr>
          <w:p w14:paraId="7DEB03B4" w14:textId="77777777" w:rsidR="000C171B" w:rsidRPr="00D336D1" w:rsidRDefault="000C171B" w:rsidP="002C49EF">
            <w:pPr>
              <w:spacing w:after="0" w:line="240" w:lineRule="auto"/>
              <w:jc w:val="center"/>
              <w:rPr>
                <w:rFonts w:ascii="Arial Narrow" w:hAnsi="Arial Narrow" w:cs="Calibri"/>
                <w:sz w:val="16"/>
                <w:szCs w:val="16"/>
              </w:rPr>
            </w:pPr>
          </w:p>
        </w:tc>
        <w:tc>
          <w:tcPr>
            <w:tcW w:w="492" w:type="pct"/>
            <w:tcBorders>
              <w:right w:val="single" w:sz="2" w:space="0" w:color="auto"/>
            </w:tcBorders>
            <w:noWrap/>
            <w:vAlign w:val="center"/>
          </w:tcPr>
          <w:p w14:paraId="3BFA0FFE"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0101A3DA" w14:textId="77777777" w:rsidTr="0049743F">
        <w:trPr>
          <w:trHeight w:val="60"/>
        </w:trPr>
        <w:tc>
          <w:tcPr>
            <w:tcW w:w="391" w:type="pct"/>
            <w:vMerge/>
            <w:tcBorders>
              <w:left w:val="single" w:sz="4" w:space="0" w:color="auto"/>
              <w:right w:val="single" w:sz="4" w:space="0" w:color="auto"/>
            </w:tcBorders>
          </w:tcPr>
          <w:p w14:paraId="72A35CF6"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003236D8"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216EAF0C"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Primaria</w:t>
            </w:r>
          </w:p>
        </w:tc>
        <w:tc>
          <w:tcPr>
            <w:tcW w:w="493" w:type="pct"/>
            <w:tcBorders>
              <w:top w:val="nil"/>
              <w:left w:val="nil"/>
              <w:bottom w:val="nil"/>
              <w:right w:val="single" w:sz="4" w:space="0" w:color="auto"/>
            </w:tcBorders>
            <w:noWrap/>
            <w:vAlign w:val="center"/>
          </w:tcPr>
          <w:p w14:paraId="2E3E2A24"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19,073</w:t>
            </w:r>
          </w:p>
        </w:tc>
        <w:tc>
          <w:tcPr>
            <w:tcW w:w="493" w:type="pct"/>
            <w:tcBorders>
              <w:top w:val="nil"/>
              <w:left w:val="nil"/>
              <w:bottom w:val="nil"/>
              <w:right w:val="single" w:sz="4" w:space="0" w:color="auto"/>
            </w:tcBorders>
            <w:noWrap/>
            <w:vAlign w:val="center"/>
          </w:tcPr>
          <w:p w14:paraId="21E37395" w14:textId="77777777" w:rsidR="000C171B" w:rsidRPr="00D336D1" w:rsidRDefault="000C171B" w:rsidP="002C49EF">
            <w:pPr>
              <w:spacing w:after="0" w:line="240" w:lineRule="auto"/>
              <w:jc w:val="center"/>
              <w:rPr>
                <w:rFonts w:ascii="Arial Narrow" w:hAnsi="Arial Narrow" w:cs="Calibri"/>
                <w:sz w:val="16"/>
                <w:szCs w:val="16"/>
              </w:rPr>
            </w:pPr>
          </w:p>
        </w:tc>
        <w:tc>
          <w:tcPr>
            <w:tcW w:w="492" w:type="pct"/>
            <w:tcBorders>
              <w:right w:val="single" w:sz="2" w:space="0" w:color="auto"/>
            </w:tcBorders>
            <w:noWrap/>
            <w:vAlign w:val="center"/>
          </w:tcPr>
          <w:p w14:paraId="2DD5E010"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63683A20" w14:textId="77777777" w:rsidTr="0049743F">
        <w:trPr>
          <w:trHeight w:val="60"/>
        </w:trPr>
        <w:tc>
          <w:tcPr>
            <w:tcW w:w="391" w:type="pct"/>
            <w:vMerge/>
            <w:tcBorders>
              <w:left w:val="single" w:sz="4" w:space="0" w:color="auto"/>
              <w:bottom w:val="single" w:sz="4" w:space="0" w:color="auto"/>
              <w:right w:val="single" w:sz="4" w:space="0" w:color="auto"/>
            </w:tcBorders>
          </w:tcPr>
          <w:p w14:paraId="36F79419"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52F95BDF"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single" w:sz="4" w:space="0" w:color="auto"/>
              <w:right w:val="single" w:sz="4" w:space="0" w:color="auto"/>
            </w:tcBorders>
            <w:vAlign w:val="center"/>
          </w:tcPr>
          <w:p w14:paraId="434668AE"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Premedia y media</w:t>
            </w:r>
          </w:p>
        </w:tc>
        <w:tc>
          <w:tcPr>
            <w:tcW w:w="493" w:type="pct"/>
            <w:tcBorders>
              <w:top w:val="nil"/>
              <w:left w:val="nil"/>
              <w:bottom w:val="single" w:sz="4" w:space="0" w:color="auto"/>
              <w:right w:val="single" w:sz="4" w:space="0" w:color="auto"/>
            </w:tcBorders>
            <w:noWrap/>
            <w:vAlign w:val="center"/>
          </w:tcPr>
          <w:p w14:paraId="7F2ABFE9"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23,377</w:t>
            </w:r>
          </w:p>
        </w:tc>
        <w:tc>
          <w:tcPr>
            <w:tcW w:w="493" w:type="pct"/>
            <w:tcBorders>
              <w:top w:val="nil"/>
              <w:left w:val="nil"/>
              <w:bottom w:val="single" w:sz="4" w:space="0" w:color="auto"/>
              <w:right w:val="single" w:sz="4" w:space="0" w:color="auto"/>
            </w:tcBorders>
            <w:noWrap/>
            <w:vAlign w:val="center"/>
          </w:tcPr>
          <w:p w14:paraId="261152A5" w14:textId="77777777" w:rsidR="000C171B" w:rsidRPr="00D336D1" w:rsidRDefault="000C171B" w:rsidP="002C49EF">
            <w:pPr>
              <w:spacing w:after="0" w:line="240" w:lineRule="auto"/>
              <w:jc w:val="center"/>
              <w:rPr>
                <w:rFonts w:ascii="Arial Narrow" w:hAnsi="Arial Narrow" w:cs="Calibri"/>
                <w:sz w:val="16"/>
                <w:szCs w:val="16"/>
              </w:rPr>
            </w:pPr>
          </w:p>
        </w:tc>
        <w:tc>
          <w:tcPr>
            <w:tcW w:w="492" w:type="pct"/>
            <w:tcBorders>
              <w:bottom w:val="single" w:sz="4" w:space="0" w:color="auto"/>
              <w:right w:val="single" w:sz="2" w:space="0" w:color="auto"/>
            </w:tcBorders>
            <w:noWrap/>
            <w:vAlign w:val="center"/>
          </w:tcPr>
          <w:p w14:paraId="019C474E"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59919A6F" w14:textId="77777777" w:rsidTr="0049743F">
        <w:trPr>
          <w:trHeight w:val="60"/>
        </w:trPr>
        <w:tc>
          <w:tcPr>
            <w:tcW w:w="391" w:type="pct"/>
            <w:vMerge w:val="restart"/>
            <w:tcBorders>
              <w:top w:val="single" w:sz="4" w:space="0" w:color="auto"/>
              <w:left w:val="single" w:sz="4" w:space="0" w:color="auto"/>
              <w:right w:val="single" w:sz="4" w:space="0" w:color="auto"/>
            </w:tcBorders>
          </w:tcPr>
          <w:p w14:paraId="308ABFB5"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4</w:t>
            </w:r>
          </w:p>
        </w:tc>
        <w:tc>
          <w:tcPr>
            <w:tcW w:w="1565" w:type="pct"/>
            <w:vMerge w:val="restart"/>
            <w:tcBorders>
              <w:top w:val="single" w:sz="4" w:space="0" w:color="auto"/>
              <w:left w:val="nil"/>
              <w:right w:val="single" w:sz="4" w:space="0" w:color="auto"/>
            </w:tcBorders>
          </w:tcPr>
          <w:p w14:paraId="55E95F24"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Volumen de la asistencia oficial para el desarrollo destinada a becas por sector y por tipo de estudio</w:t>
            </w:r>
          </w:p>
        </w:tc>
        <w:tc>
          <w:tcPr>
            <w:tcW w:w="1566" w:type="pct"/>
            <w:tcBorders>
              <w:top w:val="single" w:sz="4" w:space="0" w:color="auto"/>
              <w:left w:val="nil"/>
              <w:bottom w:val="nil"/>
              <w:right w:val="single" w:sz="4" w:space="0" w:color="auto"/>
            </w:tcBorders>
            <w:vAlign w:val="center"/>
          </w:tcPr>
          <w:p w14:paraId="74F3C07E"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Total</w:t>
            </w:r>
          </w:p>
        </w:tc>
        <w:tc>
          <w:tcPr>
            <w:tcW w:w="493" w:type="pct"/>
            <w:tcBorders>
              <w:top w:val="single" w:sz="4" w:space="0" w:color="auto"/>
              <w:left w:val="nil"/>
              <w:bottom w:val="nil"/>
              <w:right w:val="single" w:sz="4" w:space="0" w:color="auto"/>
            </w:tcBorders>
            <w:noWrap/>
            <w:vAlign w:val="center"/>
          </w:tcPr>
          <w:p w14:paraId="462C8880"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268,283,124</w:t>
            </w:r>
          </w:p>
        </w:tc>
        <w:tc>
          <w:tcPr>
            <w:tcW w:w="493" w:type="pct"/>
            <w:tcBorders>
              <w:top w:val="single" w:sz="4" w:space="0" w:color="auto"/>
              <w:left w:val="nil"/>
              <w:bottom w:val="nil"/>
              <w:right w:val="single" w:sz="4" w:space="0" w:color="auto"/>
            </w:tcBorders>
            <w:noWrap/>
            <w:vAlign w:val="center"/>
          </w:tcPr>
          <w:p w14:paraId="357D718A"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229,831,995</w:t>
            </w:r>
          </w:p>
        </w:tc>
        <w:tc>
          <w:tcPr>
            <w:tcW w:w="492" w:type="pct"/>
            <w:tcBorders>
              <w:top w:val="single" w:sz="4" w:space="0" w:color="auto"/>
              <w:right w:val="single" w:sz="2" w:space="0" w:color="auto"/>
            </w:tcBorders>
            <w:noWrap/>
            <w:vAlign w:val="center"/>
          </w:tcPr>
          <w:p w14:paraId="2879893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246,906,058</w:t>
            </w:r>
          </w:p>
        </w:tc>
      </w:tr>
      <w:tr w:rsidR="000C171B" w:rsidRPr="0010306A" w14:paraId="671208A7" w14:textId="77777777" w:rsidTr="0049743F">
        <w:trPr>
          <w:trHeight w:val="60"/>
        </w:trPr>
        <w:tc>
          <w:tcPr>
            <w:tcW w:w="391" w:type="pct"/>
            <w:vMerge/>
            <w:tcBorders>
              <w:left w:val="single" w:sz="4" w:space="0" w:color="auto"/>
              <w:right w:val="single" w:sz="4" w:space="0" w:color="auto"/>
            </w:tcBorders>
            <w:vAlign w:val="center"/>
          </w:tcPr>
          <w:p w14:paraId="41DE688B"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0C5D7CA2"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7983080C"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Becas</w:t>
            </w:r>
          </w:p>
        </w:tc>
        <w:tc>
          <w:tcPr>
            <w:tcW w:w="493" w:type="pct"/>
            <w:tcBorders>
              <w:top w:val="nil"/>
              <w:left w:val="nil"/>
              <w:bottom w:val="nil"/>
              <w:right w:val="single" w:sz="4" w:space="0" w:color="auto"/>
            </w:tcBorders>
            <w:noWrap/>
            <w:vAlign w:val="center"/>
          </w:tcPr>
          <w:p w14:paraId="32D8B337"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14,549,764</w:t>
            </w:r>
          </w:p>
        </w:tc>
        <w:tc>
          <w:tcPr>
            <w:tcW w:w="493" w:type="pct"/>
            <w:tcBorders>
              <w:top w:val="nil"/>
              <w:left w:val="nil"/>
              <w:bottom w:val="nil"/>
              <w:right w:val="single" w:sz="4" w:space="0" w:color="auto"/>
            </w:tcBorders>
            <w:noWrap/>
            <w:vAlign w:val="center"/>
          </w:tcPr>
          <w:p w14:paraId="3E600C63"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20,073,912</w:t>
            </w:r>
          </w:p>
        </w:tc>
        <w:tc>
          <w:tcPr>
            <w:tcW w:w="492" w:type="pct"/>
            <w:tcBorders>
              <w:right w:val="single" w:sz="2" w:space="0" w:color="auto"/>
            </w:tcBorders>
            <w:noWrap/>
            <w:vAlign w:val="center"/>
          </w:tcPr>
          <w:p w14:paraId="05C80FC7"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21,200,025</w:t>
            </w:r>
          </w:p>
        </w:tc>
      </w:tr>
      <w:tr w:rsidR="000C171B" w:rsidRPr="0010306A" w14:paraId="72AF5401" w14:textId="77777777" w:rsidTr="0049743F">
        <w:trPr>
          <w:trHeight w:val="60"/>
        </w:trPr>
        <w:tc>
          <w:tcPr>
            <w:tcW w:w="391" w:type="pct"/>
            <w:vMerge/>
            <w:tcBorders>
              <w:left w:val="single" w:sz="4" w:space="0" w:color="auto"/>
              <w:right w:val="single" w:sz="4" w:space="0" w:color="auto"/>
            </w:tcBorders>
            <w:vAlign w:val="center"/>
          </w:tcPr>
          <w:p w14:paraId="39E2D3D2"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4DE5015F"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65726A6F"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Programa de asistencia para la población en situación de vulnerabilidad y riesgo</w:t>
            </w:r>
          </w:p>
        </w:tc>
        <w:tc>
          <w:tcPr>
            <w:tcW w:w="493" w:type="pct"/>
            <w:tcBorders>
              <w:top w:val="nil"/>
              <w:left w:val="nil"/>
              <w:bottom w:val="nil"/>
              <w:right w:val="single" w:sz="4" w:space="0" w:color="auto"/>
            </w:tcBorders>
            <w:noWrap/>
            <w:vAlign w:val="center"/>
          </w:tcPr>
          <w:p w14:paraId="716A04C1"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5,176,507</w:t>
            </w:r>
          </w:p>
        </w:tc>
        <w:tc>
          <w:tcPr>
            <w:tcW w:w="493" w:type="pct"/>
            <w:tcBorders>
              <w:top w:val="nil"/>
              <w:left w:val="nil"/>
              <w:bottom w:val="nil"/>
              <w:right w:val="single" w:sz="4" w:space="0" w:color="auto"/>
            </w:tcBorders>
            <w:noWrap/>
            <w:vAlign w:val="center"/>
          </w:tcPr>
          <w:p w14:paraId="0B45578D"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7,397,193</w:t>
            </w:r>
          </w:p>
        </w:tc>
        <w:tc>
          <w:tcPr>
            <w:tcW w:w="492" w:type="pct"/>
            <w:tcBorders>
              <w:right w:val="single" w:sz="2" w:space="0" w:color="auto"/>
            </w:tcBorders>
            <w:noWrap/>
            <w:vAlign w:val="center"/>
          </w:tcPr>
          <w:p w14:paraId="7E3C8460"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10,593,414</w:t>
            </w:r>
          </w:p>
        </w:tc>
      </w:tr>
      <w:tr w:rsidR="000C171B" w:rsidRPr="0010306A" w14:paraId="553E8F6A" w14:textId="77777777" w:rsidTr="0049743F">
        <w:trPr>
          <w:trHeight w:val="60"/>
        </w:trPr>
        <w:tc>
          <w:tcPr>
            <w:tcW w:w="391" w:type="pct"/>
            <w:vMerge/>
            <w:tcBorders>
              <w:left w:val="single" w:sz="4" w:space="0" w:color="auto"/>
              <w:right w:val="single" w:sz="4" w:space="0" w:color="auto"/>
            </w:tcBorders>
            <w:vAlign w:val="center"/>
          </w:tcPr>
          <w:p w14:paraId="4B369164"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077479E1"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1A746A55"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Programa de auxilios económicos</w:t>
            </w:r>
          </w:p>
        </w:tc>
        <w:tc>
          <w:tcPr>
            <w:tcW w:w="493" w:type="pct"/>
            <w:tcBorders>
              <w:top w:val="nil"/>
              <w:left w:val="nil"/>
              <w:bottom w:val="nil"/>
              <w:right w:val="single" w:sz="4" w:space="0" w:color="auto"/>
            </w:tcBorders>
            <w:noWrap/>
            <w:vAlign w:val="center"/>
          </w:tcPr>
          <w:p w14:paraId="7F1FFE31"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9,343,762</w:t>
            </w:r>
          </w:p>
        </w:tc>
        <w:tc>
          <w:tcPr>
            <w:tcW w:w="493" w:type="pct"/>
            <w:tcBorders>
              <w:top w:val="nil"/>
              <w:left w:val="nil"/>
              <w:bottom w:val="nil"/>
              <w:right w:val="single" w:sz="4" w:space="0" w:color="auto"/>
            </w:tcBorders>
            <w:noWrap/>
            <w:vAlign w:val="center"/>
          </w:tcPr>
          <w:p w14:paraId="09678A4D"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13,770,669</w:t>
            </w:r>
          </w:p>
        </w:tc>
        <w:tc>
          <w:tcPr>
            <w:tcW w:w="492" w:type="pct"/>
            <w:tcBorders>
              <w:right w:val="single" w:sz="2" w:space="0" w:color="auto"/>
            </w:tcBorders>
            <w:noWrap/>
            <w:vAlign w:val="center"/>
          </w:tcPr>
          <w:p w14:paraId="6431600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23,125,412</w:t>
            </w:r>
          </w:p>
        </w:tc>
      </w:tr>
      <w:tr w:rsidR="000C171B" w:rsidRPr="0010306A" w14:paraId="550FD5E9" w14:textId="77777777" w:rsidTr="0049743F">
        <w:trPr>
          <w:trHeight w:val="60"/>
        </w:trPr>
        <w:tc>
          <w:tcPr>
            <w:tcW w:w="391" w:type="pct"/>
            <w:vMerge/>
            <w:tcBorders>
              <w:left w:val="single" w:sz="4" w:space="0" w:color="auto"/>
              <w:right w:val="single" w:sz="4" w:space="0" w:color="auto"/>
            </w:tcBorders>
            <w:vAlign w:val="center"/>
          </w:tcPr>
          <w:p w14:paraId="5C10B44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07E17279"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6EF13B89"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Beca universal</w:t>
            </w:r>
          </w:p>
        </w:tc>
        <w:tc>
          <w:tcPr>
            <w:tcW w:w="493" w:type="pct"/>
            <w:tcBorders>
              <w:top w:val="nil"/>
              <w:left w:val="nil"/>
              <w:bottom w:val="nil"/>
              <w:right w:val="single" w:sz="4" w:space="0" w:color="auto"/>
            </w:tcBorders>
            <w:noWrap/>
            <w:vAlign w:val="center"/>
          </w:tcPr>
          <w:p w14:paraId="3785DDB9"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223,640,700</w:t>
            </w:r>
          </w:p>
        </w:tc>
        <w:tc>
          <w:tcPr>
            <w:tcW w:w="493" w:type="pct"/>
            <w:tcBorders>
              <w:top w:val="nil"/>
              <w:left w:val="nil"/>
              <w:bottom w:val="nil"/>
              <w:right w:val="single" w:sz="4" w:space="0" w:color="auto"/>
            </w:tcBorders>
            <w:noWrap/>
            <w:vAlign w:val="center"/>
          </w:tcPr>
          <w:p w14:paraId="2597CBDD"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182,998,964</w:t>
            </w:r>
          </w:p>
        </w:tc>
        <w:tc>
          <w:tcPr>
            <w:tcW w:w="492" w:type="pct"/>
            <w:tcBorders>
              <w:right w:val="single" w:sz="2" w:space="0" w:color="auto"/>
            </w:tcBorders>
            <w:noWrap/>
            <w:vAlign w:val="center"/>
          </w:tcPr>
          <w:p w14:paraId="4B74A5F7"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187,134,311</w:t>
            </w:r>
          </w:p>
        </w:tc>
      </w:tr>
      <w:tr w:rsidR="000C171B" w:rsidRPr="0010306A" w14:paraId="22940041" w14:textId="77777777" w:rsidTr="0049743F">
        <w:trPr>
          <w:trHeight w:val="60"/>
        </w:trPr>
        <w:tc>
          <w:tcPr>
            <w:tcW w:w="391" w:type="pct"/>
            <w:vMerge/>
            <w:tcBorders>
              <w:left w:val="single" w:sz="4" w:space="0" w:color="auto"/>
              <w:bottom w:val="single" w:sz="4" w:space="0" w:color="auto"/>
              <w:right w:val="single" w:sz="4" w:space="0" w:color="auto"/>
            </w:tcBorders>
            <w:vAlign w:val="center"/>
          </w:tcPr>
          <w:p w14:paraId="5B8E3C09"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7AA210CA"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single" w:sz="4" w:space="0" w:color="auto"/>
              <w:right w:val="single" w:sz="4" w:space="0" w:color="auto"/>
            </w:tcBorders>
            <w:vAlign w:val="center"/>
          </w:tcPr>
          <w:p w14:paraId="366B0853"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Otros fondos</w:t>
            </w:r>
          </w:p>
        </w:tc>
        <w:tc>
          <w:tcPr>
            <w:tcW w:w="493" w:type="pct"/>
            <w:tcBorders>
              <w:top w:val="nil"/>
              <w:left w:val="nil"/>
              <w:bottom w:val="single" w:sz="4" w:space="0" w:color="auto"/>
              <w:right w:val="single" w:sz="4" w:space="0" w:color="auto"/>
            </w:tcBorders>
            <w:noWrap/>
            <w:vAlign w:val="center"/>
          </w:tcPr>
          <w:p w14:paraId="432B2434"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15,572,391</w:t>
            </w:r>
          </w:p>
        </w:tc>
        <w:tc>
          <w:tcPr>
            <w:tcW w:w="493" w:type="pct"/>
            <w:tcBorders>
              <w:top w:val="nil"/>
              <w:left w:val="nil"/>
              <w:bottom w:val="single" w:sz="4" w:space="0" w:color="auto"/>
              <w:right w:val="single" w:sz="4" w:space="0" w:color="auto"/>
            </w:tcBorders>
            <w:noWrap/>
            <w:vAlign w:val="center"/>
          </w:tcPr>
          <w:p w14:paraId="6918C6BD"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5,591,257</w:t>
            </w:r>
          </w:p>
        </w:tc>
        <w:tc>
          <w:tcPr>
            <w:tcW w:w="492" w:type="pct"/>
            <w:tcBorders>
              <w:bottom w:val="single" w:sz="4" w:space="0" w:color="auto"/>
              <w:right w:val="single" w:sz="2" w:space="0" w:color="auto"/>
            </w:tcBorders>
            <w:noWrap/>
            <w:vAlign w:val="center"/>
          </w:tcPr>
          <w:p w14:paraId="768D376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4,852,896</w:t>
            </w:r>
          </w:p>
        </w:tc>
      </w:tr>
      <w:tr w:rsidR="000C171B" w:rsidRPr="0010306A" w14:paraId="7DB6ECE2" w14:textId="77777777" w:rsidTr="0049743F">
        <w:trPr>
          <w:trHeight w:val="60"/>
        </w:trPr>
        <w:tc>
          <w:tcPr>
            <w:tcW w:w="391" w:type="pct"/>
            <w:vMerge w:val="restart"/>
            <w:tcBorders>
              <w:top w:val="single" w:sz="4" w:space="0" w:color="auto"/>
              <w:left w:val="single" w:sz="4" w:space="0" w:color="auto"/>
              <w:right w:val="single" w:sz="4" w:space="0" w:color="auto"/>
            </w:tcBorders>
          </w:tcPr>
          <w:p w14:paraId="22DA852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5</w:t>
            </w:r>
          </w:p>
        </w:tc>
        <w:tc>
          <w:tcPr>
            <w:tcW w:w="1565" w:type="pct"/>
            <w:vMerge w:val="restart"/>
            <w:tcBorders>
              <w:top w:val="single" w:sz="4" w:space="0" w:color="auto"/>
              <w:left w:val="nil"/>
              <w:right w:val="single" w:sz="4" w:space="0" w:color="auto"/>
            </w:tcBorders>
          </w:tcPr>
          <w:p w14:paraId="3433AE5E"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Proporción de escaños ocupados por mujeres en los parlamentos nacionales y los gobiernos locales.</w:t>
            </w:r>
          </w:p>
        </w:tc>
        <w:tc>
          <w:tcPr>
            <w:tcW w:w="1566" w:type="pct"/>
            <w:tcBorders>
              <w:top w:val="single" w:sz="4" w:space="0" w:color="auto"/>
              <w:left w:val="nil"/>
              <w:bottom w:val="nil"/>
              <w:right w:val="single" w:sz="4" w:space="0" w:color="auto"/>
            </w:tcBorders>
            <w:vAlign w:val="center"/>
          </w:tcPr>
          <w:p w14:paraId="3DB52DA1"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Hombres</w:t>
            </w:r>
          </w:p>
        </w:tc>
        <w:tc>
          <w:tcPr>
            <w:tcW w:w="493" w:type="pct"/>
            <w:tcBorders>
              <w:top w:val="single" w:sz="4" w:space="0" w:color="auto"/>
              <w:left w:val="nil"/>
              <w:bottom w:val="nil"/>
              <w:right w:val="single" w:sz="4" w:space="0" w:color="auto"/>
            </w:tcBorders>
            <w:noWrap/>
            <w:vAlign w:val="center"/>
          </w:tcPr>
          <w:p w14:paraId="6AA45F63"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725</w:t>
            </w:r>
          </w:p>
        </w:tc>
        <w:tc>
          <w:tcPr>
            <w:tcW w:w="493" w:type="pct"/>
            <w:tcBorders>
              <w:top w:val="single" w:sz="4" w:space="0" w:color="auto"/>
              <w:left w:val="nil"/>
              <w:bottom w:val="nil"/>
              <w:right w:val="single" w:sz="4" w:space="0" w:color="auto"/>
            </w:tcBorders>
            <w:noWrap/>
            <w:vAlign w:val="center"/>
          </w:tcPr>
          <w:p w14:paraId="3EEC5A5E" w14:textId="77777777" w:rsidR="000C171B" w:rsidRPr="00D336D1" w:rsidRDefault="000C171B" w:rsidP="002C49EF">
            <w:pPr>
              <w:spacing w:after="0" w:line="240" w:lineRule="auto"/>
              <w:jc w:val="center"/>
              <w:rPr>
                <w:rFonts w:ascii="Arial Narrow" w:hAnsi="Arial Narrow" w:cs="Calibri"/>
                <w:sz w:val="16"/>
                <w:szCs w:val="16"/>
              </w:rPr>
            </w:pPr>
          </w:p>
        </w:tc>
        <w:tc>
          <w:tcPr>
            <w:tcW w:w="492" w:type="pct"/>
            <w:tcBorders>
              <w:top w:val="single" w:sz="4" w:space="0" w:color="auto"/>
              <w:right w:val="single" w:sz="2" w:space="0" w:color="auto"/>
            </w:tcBorders>
            <w:noWrap/>
            <w:vAlign w:val="center"/>
          </w:tcPr>
          <w:p w14:paraId="0C53963A"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48EE05A6" w14:textId="77777777" w:rsidTr="0049743F">
        <w:trPr>
          <w:trHeight w:val="60"/>
        </w:trPr>
        <w:tc>
          <w:tcPr>
            <w:tcW w:w="391" w:type="pct"/>
            <w:vMerge/>
            <w:tcBorders>
              <w:left w:val="single" w:sz="4" w:space="0" w:color="auto"/>
              <w:bottom w:val="single" w:sz="4" w:space="0" w:color="auto"/>
              <w:right w:val="single" w:sz="4" w:space="0" w:color="auto"/>
            </w:tcBorders>
          </w:tcPr>
          <w:p w14:paraId="6DAA94A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4416DDB5"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single" w:sz="4" w:space="0" w:color="auto"/>
              <w:right w:val="single" w:sz="4" w:space="0" w:color="auto"/>
            </w:tcBorders>
            <w:vAlign w:val="center"/>
          </w:tcPr>
          <w:p w14:paraId="3C444464"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Mujeres</w:t>
            </w:r>
          </w:p>
        </w:tc>
        <w:tc>
          <w:tcPr>
            <w:tcW w:w="493" w:type="pct"/>
            <w:tcBorders>
              <w:top w:val="nil"/>
              <w:left w:val="nil"/>
              <w:bottom w:val="single" w:sz="4" w:space="0" w:color="auto"/>
              <w:right w:val="single" w:sz="4" w:space="0" w:color="auto"/>
            </w:tcBorders>
            <w:noWrap/>
            <w:vAlign w:val="center"/>
          </w:tcPr>
          <w:p w14:paraId="22008FCA"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99</w:t>
            </w:r>
          </w:p>
        </w:tc>
        <w:tc>
          <w:tcPr>
            <w:tcW w:w="493" w:type="pct"/>
            <w:tcBorders>
              <w:top w:val="nil"/>
              <w:left w:val="nil"/>
              <w:bottom w:val="single" w:sz="4" w:space="0" w:color="auto"/>
              <w:right w:val="single" w:sz="4" w:space="0" w:color="auto"/>
            </w:tcBorders>
            <w:noWrap/>
            <w:vAlign w:val="center"/>
          </w:tcPr>
          <w:p w14:paraId="0A98FB99" w14:textId="77777777" w:rsidR="000C171B" w:rsidRPr="00D336D1" w:rsidRDefault="000C171B" w:rsidP="002C49EF">
            <w:pPr>
              <w:spacing w:after="0" w:line="240" w:lineRule="auto"/>
              <w:jc w:val="center"/>
              <w:rPr>
                <w:rFonts w:ascii="Arial Narrow" w:hAnsi="Arial Narrow" w:cs="Calibri"/>
                <w:sz w:val="16"/>
                <w:szCs w:val="16"/>
              </w:rPr>
            </w:pPr>
          </w:p>
        </w:tc>
        <w:tc>
          <w:tcPr>
            <w:tcW w:w="492" w:type="pct"/>
            <w:tcBorders>
              <w:bottom w:val="single" w:sz="4" w:space="0" w:color="auto"/>
              <w:right w:val="single" w:sz="2" w:space="0" w:color="auto"/>
            </w:tcBorders>
            <w:noWrap/>
            <w:vAlign w:val="center"/>
          </w:tcPr>
          <w:p w14:paraId="29F8CD70"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1B36B24E" w14:textId="77777777" w:rsidTr="0049743F">
        <w:trPr>
          <w:trHeight w:val="60"/>
        </w:trPr>
        <w:tc>
          <w:tcPr>
            <w:tcW w:w="391" w:type="pct"/>
            <w:vMerge w:val="restart"/>
            <w:tcBorders>
              <w:top w:val="single" w:sz="4" w:space="0" w:color="auto"/>
              <w:left w:val="single" w:sz="4" w:space="0" w:color="auto"/>
              <w:right w:val="single" w:sz="4" w:space="0" w:color="auto"/>
            </w:tcBorders>
          </w:tcPr>
          <w:p w14:paraId="6E5B817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5</w:t>
            </w:r>
          </w:p>
        </w:tc>
        <w:tc>
          <w:tcPr>
            <w:tcW w:w="1565" w:type="pct"/>
            <w:vMerge w:val="restart"/>
            <w:tcBorders>
              <w:top w:val="single" w:sz="4" w:space="0" w:color="auto"/>
              <w:left w:val="nil"/>
              <w:right w:val="single" w:sz="4" w:space="0" w:color="auto"/>
            </w:tcBorders>
          </w:tcPr>
          <w:p w14:paraId="47830CCC"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Proporción de mujeres en cargos directivos.</w:t>
            </w:r>
          </w:p>
        </w:tc>
        <w:tc>
          <w:tcPr>
            <w:tcW w:w="1566" w:type="pct"/>
            <w:tcBorders>
              <w:top w:val="single" w:sz="4" w:space="0" w:color="auto"/>
              <w:left w:val="nil"/>
              <w:bottom w:val="nil"/>
              <w:right w:val="single" w:sz="4" w:space="0" w:color="auto"/>
            </w:tcBorders>
            <w:vAlign w:val="center"/>
          </w:tcPr>
          <w:p w14:paraId="098EC21C"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Total</w:t>
            </w:r>
          </w:p>
        </w:tc>
        <w:tc>
          <w:tcPr>
            <w:tcW w:w="493" w:type="pct"/>
            <w:tcBorders>
              <w:top w:val="single" w:sz="4" w:space="0" w:color="auto"/>
              <w:left w:val="nil"/>
              <w:bottom w:val="nil"/>
              <w:right w:val="single" w:sz="4" w:space="0" w:color="auto"/>
            </w:tcBorders>
            <w:noWrap/>
            <w:vAlign w:val="center"/>
          </w:tcPr>
          <w:p w14:paraId="44B95109"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44.0</w:t>
            </w:r>
          </w:p>
        </w:tc>
        <w:tc>
          <w:tcPr>
            <w:tcW w:w="493" w:type="pct"/>
            <w:tcBorders>
              <w:top w:val="single" w:sz="4" w:space="0" w:color="auto"/>
              <w:left w:val="nil"/>
              <w:bottom w:val="nil"/>
              <w:right w:val="single" w:sz="4" w:space="0" w:color="auto"/>
            </w:tcBorders>
            <w:noWrap/>
            <w:vAlign w:val="center"/>
          </w:tcPr>
          <w:p w14:paraId="1466AE33"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42.5</w:t>
            </w:r>
          </w:p>
        </w:tc>
        <w:tc>
          <w:tcPr>
            <w:tcW w:w="492" w:type="pct"/>
            <w:tcBorders>
              <w:top w:val="single" w:sz="4" w:space="0" w:color="auto"/>
              <w:right w:val="single" w:sz="2" w:space="0" w:color="auto"/>
            </w:tcBorders>
            <w:noWrap/>
            <w:vAlign w:val="center"/>
          </w:tcPr>
          <w:p w14:paraId="42358B8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42.6</w:t>
            </w:r>
          </w:p>
        </w:tc>
      </w:tr>
      <w:tr w:rsidR="000C171B" w:rsidRPr="0010306A" w14:paraId="1AE94BBA" w14:textId="77777777" w:rsidTr="0049743F">
        <w:trPr>
          <w:trHeight w:val="60"/>
        </w:trPr>
        <w:tc>
          <w:tcPr>
            <w:tcW w:w="391" w:type="pct"/>
            <w:vMerge/>
            <w:tcBorders>
              <w:left w:val="single" w:sz="4" w:space="0" w:color="auto"/>
              <w:right w:val="single" w:sz="4" w:space="0" w:color="auto"/>
            </w:tcBorders>
          </w:tcPr>
          <w:p w14:paraId="1C632245"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222672EE"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3813E157"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Área Urbana</w:t>
            </w:r>
          </w:p>
        </w:tc>
        <w:tc>
          <w:tcPr>
            <w:tcW w:w="493" w:type="pct"/>
            <w:tcBorders>
              <w:top w:val="nil"/>
              <w:left w:val="nil"/>
              <w:bottom w:val="nil"/>
              <w:right w:val="single" w:sz="4" w:space="0" w:color="auto"/>
            </w:tcBorders>
            <w:noWrap/>
            <w:vAlign w:val="center"/>
          </w:tcPr>
          <w:p w14:paraId="6DB88804"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44.8</w:t>
            </w:r>
          </w:p>
        </w:tc>
        <w:tc>
          <w:tcPr>
            <w:tcW w:w="493" w:type="pct"/>
            <w:tcBorders>
              <w:top w:val="nil"/>
              <w:left w:val="nil"/>
              <w:bottom w:val="nil"/>
              <w:right w:val="single" w:sz="4" w:space="0" w:color="auto"/>
            </w:tcBorders>
            <w:noWrap/>
            <w:vAlign w:val="center"/>
          </w:tcPr>
          <w:p w14:paraId="5B46F13F"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42.9</w:t>
            </w:r>
          </w:p>
        </w:tc>
        <w:tc>
          <w:tcPr>
            <w:tcW w:w="492" w:type="pct"/>
            <w:tcBorders>
              <w:right w:val="single" w:sz="2" w:space="0" w:color="auto"/>
            </w:tcBorders>
            <w:noWrap/>
            <w:vAlign w:val="center"/>
          </w:tcPr>
          <w:p w14:paraId="4BA1D80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43.1</w:t>
            </w:r>
          </w:p>
        </w:tc>
      </w:tr>
      <w:tr w:rsidR="000C171B" w:rsidRPr="0010306A" w14:paraId="687A25D7" w14:textId="77777777" w:rsidTr="0049743F">
        <w:trPr>
          <w:trHeight w:val="60"/>
        </w:trPr>
        <w:tc>
          <w:tcPr>
            <w:tcW w:w="391" w:type="pct"/>
            <w:vMerge/>
            <w:tcBorders>
              <w:left w:val="single" w:sz="4" w:space="0" w:color="auto"/>
              <w:bottom w:val="single" w:sz="4" w:space="0" w:color="auto"/>
              <w:right w:val="single" w:sz="4" w:space="0" w:color="auto"/>
            </w:tcBorders>
          </w:tcPr>
          <w:p w14:paraId="030AE77B"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545F030B"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single" w:sz="4" w:space="0" w:color="auto"/>
              <w:right w:val="single" w:sz="4" w:space="0" w:color="auto"/>
            </w:tcBorders>
            <w:vAlign w:val="center"/>
          </w:tcPr>
          <w:p w14:paraId="5C04A107"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Área Rural total</w:t>
            </w:r>
          </w:p>
        </w:tc>
        <w:tc>
          <w:tcPr>
            <w:tcW w:w="493" w:type="pct"/>
            <w:tcBorders>
              <w:top w:val="nil"/>
              <w:left w:val="nil"/>
              <w:bottom w:val="single" w:sz="4" w:space="0" w:color="auto"/>
              <w:right w:val="single" w:sz="4" w:space="0" w:color="auto"/>
            </w:tcBorders>
            <w:noWrap/>
            <w:vAlign w:val="center"/>
          </w:tcPr>
          <w:p w14:paraId="38A266D4"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37.4</w:t>
            </w:r>
          </w:p>
        </w:tc>
        <w:tc>
          <w:tcPr>
            <w:tcW w:w="493" w:type="pct"/>
            <w:tcBorders>
              <w:top w:val="nil"/>
              <w:left w:val="nil"/>
              <w:bottom w:val="single" w:sz="4" w:space="0" w:color="auto"/>
              <w:right w:val="single" w:sz="4" w:space="0" w:color="auto"/>
            </w:tcBorders>
            <w:noWrap/>
            <w:vAlign w:val="center"/>
          </w:tcPr>
          <w:p w14:paraId="494FB253"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Calibri"/>
                <w:sz w:val="16"/>
                <w:szCs w:val="16"/>
                <w:lang w:eastAsia="es-PA"/>
              </w:rPr>
              <w:t>38.4</w:t>
            </w:r>
          </w:p>
        </w:tc>
        <w:tc>
          <w:tcPr>
            <w:tcW w:w="492" w:type="pct"/>
            <w:tcBorders>
              <w:bottom w:val="single" w:sz="4" w:space="0" w:color="auto"/>
              <w:right w:val="single" w:sz="2" w:space="0" w:color="auto"/>
            </w:tcBorders>
            <w:noWrap/>
            <w:vAlign w:val="center"/>
          </w:tcPr>
          <w:p w14:paraId="1178F5C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37.9</w:t>
            </w:r>
          </w:p>
        </w:tc>
      </w:tr>
      <w:tr w:rsidR="000C171B" w:rsidRPr="0010306A" w14:paraId="4893AC47" w14:textId="77777777" w:rsidTr="0049743F">
        <w:trPr>
          <w:trHeight w:val="60"/>
        </w:trPr>
        <w:tc>
          <w:tcPr>
            <w:tcW w:w="391" w:type="pct"/>
            <w:vMerge w:val="restart"/>
            <w:tcBorders>
              <w:top w:val="single" w:sz="4" w:space="0" w:color="auto"/>
              <w:left w:val="single" w:sz="4" w:space="0" w:color="auto"/>
              <w:right w:val="single" w:sz="4" w:space="0" w:color="auto"/>
            </w:tcBorders>
          </w:tcPr>
          <w:p w14:paraId="310A92A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6</w:t>
            </w:r>
          </w:p>
        </w:tc>
        <w:tc>
          <w:tcPr>
            <w:tcW w:w="1565" w:type="pct"/>
            <w:vMerge w:val="restart"/>
            <w:tcBorders>
              <w:top w:val="single" w:sz="4" w:space="0" w:color="auto"/>
              <w:left w:val="nil"/>
              <w:right w:val="single" w:sz="4" w:space="0" w:color="auto"/>
            </w:tcBorders>
          </w:tcPr>
          <w:p w14:paraId="7DA9F46D"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Proporción de la población que dispone de servicios de suministro de agua potable gestionados de manera segura.</w:t>
            </w:r>
          </w:p>
        </w:tc>
        <w:tc>
          <w:tcPr>
            <w:tcW w:w="1566" w:type="pct"/>
            <w:tcBorders>
              <w:top w:val="single" w:sz="4" w:space="0" w:color="auto"/>
              <w:left w:val="nil"/>
              <w:right w:val="single" w:sz="4" w:space="0" w:color="auto"/>
            </w:tcBorders>
          </w:tcPr>
          <w:p w14:paraId="7C12E3EB"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Arial Narrow"/>
                <w:color w:val="000000"/>
                <w:sz w:val="16"/>
                <w:szCs w:val="16"/>
              </w:rPr>
              <w:t>Total</w:t>
            </w:r>
          </w:p>
        </w:tc>
        <w:tc>
          <w:tcPr>
            <w:tcW w:w="493" w:type="pct"/>
            <w:tcBorders>
              <w:top w:val="single" w:sz="4" w:space="0" w:color="auto"/>
              <w:left w:val="nil"/>
              <w:right w:val="single" w:sz="4" w:space="0" w:color="auto"/>
            </w:tcBorders>
            <w:noWrap/>
          </w:tcPr>
          <w:p w14:paraId="7BBEA4F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92.9</w:t>
            </w:r>
          </w:p>
        </w:tc>
        <w:tc>
          <w:tcPr>
            <w:tcW w:w="493" w:type="pct"/>
            <w:tcBorders>
              <w:top w:val="single" w:sz="4" w:space="0" w:color="auto"/>
              <w:left w:val="nil"/>
              <w:right w:val="single" w:sz="4" w:space="0" w:color="auto"/>
            </w:tcBorders>
            <w:noWrap/>
          </w:tcPr>
          <w:p w14:paraId="5BCC1FB4"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92.2</w:t>
            </w:r>
          </w:p>
        </w:tc>
        <w:tc>
          <w:tcPr>
            <w:tcW w:w="492" w:type="pct"/>
            <w:tcBorders>
              <w:top w:val="single" w:sz="4" w:space="0" w:color="auto"/>
              <w:right w:val="single" w:sz="2" w:space="0" w:color="auto"/>
            </w:tcBorders>
            <w:noWrap/>
          </w:tcPr>
          <w:p w14:paraId="40E9133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93.8</w:t>
            </w:r>
          </w:p>
        </w:tc>
      </w:tr>
      <w:tr w:rsidR="000C171B" w:rsidRPr="0010306A" w14:paraId="7C629F9D" w14:textId="77777777" w:rsidTr="0049743F">
        <w:trPr>
          <w:trHeight w:val="60"/>
        </w:trPr>
        <w:tc>
          <w:tcPr>
            <w:tcW w:w="391" w:type="pct"/>
            <w:vMerge/>
            <w:tcBorders>
              <w:left w:val="single" w:sz="4" w:space="0" w:color="auto"/>
              <w:right w:val="single" w:sz="4" w:space="0" w:color="auto"/>
            </w:tcBorders>
          </w:tcPr>
          <w:p w14:paraId="64450492"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46CD3AA4"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left w:val="nil"/>
              <w:right w:val="single" w:sz="4" w:space="0" w:color="auto"/>
            </w:tcBorders>
          </w:tcPr>
          <w:p w14:paraId="4A4F8B1B"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Arial Narrow"/>
                <w:color w:val="000000"/>
                <w:sz w:val="16"/>
                <w:szCs w:val="16"/>
              </w:rPr>
              <w:t>Hombre</w:t>
            </w:r>
          </w:p>
        </w:tc>
        <w:tc>
          <w:tcPr>
            <w:tcW w:w="493" w:type="pct"/>
            <w:tcBorders>
              <w:left w:val="nil"/>
              <w:right w:val="single" w:sz="4" w:space="0" w:color="auto"/>
            </w:tcBorders>
            <w:noWrap/>
          </w:tcPr>
          <w:p w14:paraId="6898695E"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92.6</w:t>
            </w:r>
          </w:p>
        </w:tc>
        <w:tc>
          <w:tcPr>
            <w:tcW w:w="493" w:type="pct"/>
            <w:tcBorders>
              <w:left w:val="nil"/>
              <w:right w:val="single" w:sz="4" w:space="0" w:color="auto"/>
            </w:tcBorders>
            <w:noWrap/>
          </w:tcPr>
          <w:p w14:paraId="3A0F1DD4"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92.0</w:t>
            </w:r>
          </w:p>
        </w:tc>
        <w:tc>
          <w:tcPr>
            <w:tcW w:w="492" w:type="pct"/>
            <w:tcBorders>
              <w:right w:val="single" w:sz="2" w:space="0" w:color="auto"/>
            </w:tcBorders>
            <w:noWrap/>
          </w:tcPr>
          <w:p w14:paraId="70F83052"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93.7</w:t>
            </w:r>
          </w:p>
        </w:tc>
      </w:tr>
      <w:tr w:rsidR="000C171B" w:rsidRPr="0010306A" w14:paraId="388FA0D5" w14:textId="77777777" w:rsidTr="0049743F">
        <w:trPr>
          <w:trHeight w:val="60"/>
        </w:trPr>
        <w:tc>
          <w:tcPr>
            <w:tcW w:w="391" w:type="pct"/>
            <w:vMerge/>
            <w:tcBorders>
              <w:left w:val="single" w:sz="4" w:space="0" w:color="auto"/>
              <w:right w:val="single" w:sz="4" w:space="0" w:color="auto"/>
            </w:tcBorders>
          </w:tcPr>
          <w:p w14:paraId="6E92448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7C5C61BB"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left w:val="nil"/>
              <w:right w:val="single" w:sz="4" w:space="0" w:color="auto"/>
            </w:tcBorders>
          </w:tcPr>
          <w:p w14:paraId="7F1E5005"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Arial Narrow"/>
                <w:color w:val="000000"/>
                <w:sz w:val="16"/>
                <w:szCs w:val="16"/>
              </w:rPr>
              <w:t>Mujer</w:t>
            </w:r>
          </w:p>
        </w:tc>
        <w:tc>
          <w:tcPr>
            <w:tcW w:w="493" w:type="pct"/>
            <w:tcBorders>
              <w:left w:val="nil"/>
              <w:right w:val="single" w:sz="4" w:space="0" w:color="auto"/>
            </w:tcBorders>
            <w:noWrap/>
          </w:tcPr>
          <w:p w14:paraId="48F0D13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93.1</w:t>
            </w:r>
          </w:p>
        </w:tc>
        <w:tc>
          <w:tcPr>
            <w:tcW w:w="493" w:type="pct"/>
            <w:tcBorders>
              <w:left w:val="nil"/>
              <w:right w:val="single" w:sz="4" w:space="0" w:color="auto"/>
            </w:tcBorders>
            <w:noWrap/>
          </w:tcPr>
          <w:p w14:paraId="59971F7E"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92.3</w:t>
            </w:r>
          </w:p>
        </w:tc>
        <w:tc>
          <w:tcPr>
            <w:tcW w:w="492" w:type="pct"/>
            <w:tcBorders>
              <w:right w:val="single" w:sz="2" w:space="0" w:color="auto"/>
            </w:tcBorders>
            <w:noWrap/>
          </w:tcPr>
          <w:p w14:paraId="15A00FE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94.0</w:t>
            </w:r>
          </w:p>
        </w:tc>
      </w:tr>
      <w:tr w:rsidR="000C171B" w:rsidRPr="0010306A" w14:paraId="021A49ED" w14:textId="77777777" w:rsidTr="0049743F">
        <w:trPr>
          <w:trHeight w:val="60"/>
        </w:trPr>
        <w:tc>
          <w:tcPr>
            <w:tcW w:w="391" w:type="pct"/>
            <w:vMerge/>
            <w:tcBorders>
              <w:left w:val="single" w:sz="4" w:space="0" w:color="auto"/>
              <w:right w:val="single" w:sz="4" w:space="0" w:color="auto"/>
            </w:tcBorders>
          </w:tcPr>
          <w:p w14:paraId="7919EBE2"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727B3B81"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left w:val="nil"/>
              <w:right w:val="single" w:sz="4" w:space="0" w:color="auto"/>
            </w:tcBorders>
          </w:tcPr>
          <w:p w14:paraId="7CA6AE2F"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Arial Narrow"/>
                <w:color w:val="000000"/>
                <w:sz w:val="16"/>
                <w:szCs w:val="16"/>
              </w:rPr>
              <w:t>Área urbana</w:t>
            </w:r>
          </w:p>
        </w:tc>
        <w:tc>
          <w:tcPr>
            <w:tcW w:w="493" w:type="pct"/>
            <w:tcBorders>
              <w:left w:val="nil"/>
              <w:right w:val="single" w:sz="4" w:space="0" w:color="auto"/>
            </w:tcBorders>
            <w:noWrap/>
          </w:tcPr>
          <w:p w14:paraId="217537B0"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99.0</w:t>
            </w:r>
          </w:p>
        </w:tc>
        <w:tc>
          <w:tcPr>
            <w:tcW w:w="493" w:type="pct"/>
            <w:tcBorders>
              <w:left w:val="nil"/>
              <w:right w:val="single" w:sz="4" w:space="0" w:color="auto"/>
            </w:tcBorders>
            <w:noWrap/>
          </w:tcPr>
          <w:p w14:paraId="28E6231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98.7</w:t>
            </w:r>
          </w:p>
        </w:tc>
        <w:tc>
          <w:tcPr>
            <w:tcW w:w="492" w:type="pct"/>
            <w:tcBorders>
              <w:right w:val="single" w:sz="2" w:space="0" w:color="auto"/>
            </w:tcBorders>
            <w:noWrap/>
          </w:tcPr>
          <w:p w14:paraId="1FDD267D"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99.0</w:t>
            </w:r>
          </w:p>
        </w:tc>
      </w:tr>
      <w:tr w:rsidR="000C171B" w:rsidRPr="0010306A" w14:paraId="62EB07ED" w14:textId="77777777" w:rsidTr="0049743F">
        <w:trPr>
          <w:trHeight w:val="60"/>
        </w:trPr>
        <w:tc>
          <w:tcPr>
            <w:tcW w:w="391" w:type="pct"/>
            <w:vMerge/>
            <w:tcBorders>
              <w:left w:val="single" w:sz="4" w:space="0" w:color="auto"/>
              <w:right w:val="single" w:sz="4" w:space="0" w:color="auto"/>
            </w:tcBorders>
          </w:tcPr>
          <w:p w14:paraId="4592CBA2"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2B9AEB15"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left w:val="nil"/>
              <w:right w:val="single" w:sz="4" w:space="0" w:color="auto"/>
            </w:tcBorders>
          </w:tcPr>
          <w:p w14:paraId="71395E51"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Arial Narrow"/>
                <w:color w:val="000000"/>
                <w:sz w:val="16"/>
                <w:szCs w:val="16"/>
              </w:rPr>
              <w:t>Área rural total</w:t>
            </w:r>
          </w:p>
        </w:tc>
        <w:tc>
          <w:tcPr>
            <w:tcW w:w="493" w:type="pct"/>
            <w:tcBorders>
              <w:left w:val="nil"/>
              <w:right w:val="single" w:sz="4" w:space="0" w:color="auto"/>
            </w:tcBorders>
            <w:noWrap/>
          </w:tcPr>
          <w:p w14:paraId="40E4338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80.4</w:t>
            </w:r>
          </w:p>
        </w:tc>
        <w:tc>
          <w:tcPr>
            <w:tcW w:w="493" w:type="pct"/>
            <w:tcBorders>
              <w:left w:val="nil"/>
              <w:right w:val="single" w:sz="4" w:space="0" w:color="auto"/>
            </w:tcBorders>
            <w:noWrap/>
          </w:tcPr>
          <w:p w14:paraId="0D997D5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78.6</w:t>
            </w:r>
          </w:p>
        </w:tc>
        <w:tc>
          <w:tcPr>
            <w:tcW w:w="492" w:type="pct"/>
            <w:tcBorders>
              <w:right w:val="single" w:sz="2" w:space="0" w:color="auto"/>
            </w:tcBorders>
            <w:noWrap/>
          </w:tcPr>
          <w:p w14:paraId="5469338A"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82.9</w:t>
            </w:r>
          </w:p>
        </w:tc>
      </w:tr>
      <w:tr w:rsidR="000C171B" w:rsidRPr="0010306A" w14:paraId="5536976E" w14:textId="77777777" w:rsidTr="0049743F">
        <w:trPr>
          <w:trHeight w:val="60"/>
        </w:trPr>
        <w:tc>
          <w:tcPr>
            <w:tcW w:w="391" w:type="pct"/>
            <w:vMerge/>
            <w:tcBorders>
              <w:left w:val="single" w:sz="4" w:space="0" w:color="auto"/>
              <w:right w:val="single" w:sz="4" w:space="0" w:color="auto"/>
            </w:tcBorders>
          </w:tcPr>
          <w:p w14:paraId="6D9C044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155D41A9"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left w:val="nil"/>
              <w:right w:val="single" w:sz="4" w:space="0" w:color="auto"/>
            </w:tcBorders>
          </w:tcPr>
          <w:p w14:paraId="35AC9B7B"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Arial Narrow"/>
                <w:color w:val="000000"/>
                <w:sz w:val="16"/>
                <w:szCs w:val="16"/>
              </w:rPr>
              <w:t>Población indígena</w:t>
            </w:r>
          </w:p>
        </w:tc>
        <w:tc>
          <w:tcPr>
            <w:tcW w:w="493" w:type="pct"/>
            <w:tcBorders>
              <w:left w:val="nil"/>
              <w:right w:val="single" w:sz="4" w:space="0" w:color="auto"/>
            </w:tcBorders>
            <w:noWrap/>
          </w:tcPr>
          <w:p w14:paraId="39D5822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69.3</w:t>
            </w:r>
          </w:p>
        </w:tc>
        <w:tc>
          <w:tcPr>
            <w:tcW w:w="493" w:type="pct"/>
            <w:tcBorders>
              <w:left w:val="nil"/>
              <w:right w:val="single" w:sz="4" w:space="0" w:color="auto"/>
            </w:tcBorders>
            <w:noWrap/>
          </w:tcPr>
          <w:p w14:paraId="4EEF8635"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67.5</w:t>
            </w:r>
          </w:p>
        </w:tc>
        <w:tc>
          <w:tcPr>
            <w:tcW w:w="492" w:type="pct"/>
            <w:tcBorders>
              <w:right w:val="single" w:sz="2" w:space="0" w:color="auto"/>
            </w:tcBorders>
            <w:noWrap/>
          </w:tcPr>
          <w:p w14:paraId="55FC903F"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73.6</w:t>
            </w:r>
          </w:p>
        </w:tc>
      </w:tr>
      <w:tr w:rsidR="000C171B" w:rsidRPr="0010306A" w14:paraId="71788C0B" w14:textId="77777777" w:rsidTr="0049743F">
        <w:trPr>
          <w:trHeight w:val="60"/>
        </w:trPr>
        <w:tc>
          <w:tcPr>
            <w:tcW w:w="391" w:type="pct"/>
            <w:vMerge/>
            <w:tcBorders>
              <w:left w:val="single" w:sz="4" w:space="0" w:color="auto"/>
              <w:right w:val="single" w:sz="4" w:space="0" w:color="auto"/>
            </w:tcBorders>
          </w:tcPr>
          <w:p w14:paraId="2A5C28E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2C9B27BA"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left w:val="nil"/>
              <w:bottom w:val="single" w:sz="4" w:space="0" w:color="auto"/>
              <w:right w:val="single" w:sz="4" w:space="0" w:color="auto"/>
            </w:tcBorders>
          </w:tcPr>
          <w:p w14:paraId="574FC84F"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Arial Narrow"/>
                <w:color w:val="000000"/>
                <w:sz w:val="16"/>
                <w:szCs w:val="16"/>
              </w:rPr>
              <w:t>Población afrodescendiente</w:t>
            </w:r>
          </w:p>
        </w:tc>
        <w:tc>
          <w:tcPr>
            <w:tcW w:w="493" w:type="pct"/>
            <w:tcBorders>
              <w:left w:val="nil"/>
              <w:bottom w:val="single" w:sz="4" w:space="0" w:color="auto"/>
              <w:right w:val="single" w:sz="4" w:space="0" w:color="auto"/>
            </w:tcBorders>
            <w:noWrap/>
          </w:tcPr>
          <w:p w14:paraId="2AC4725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97.1</w:t>
            </w:r>
          </w:p>
        </w:tc>
        <w:tc>
          <w:tcPr>
            <w:tcW w:w="493" w:type="pct"/>
            <w:tcBorders>
              <w:left w:val="nil"/>
              <w:bottom w:val="single" w:sz="4" w:space="0" w:color="auto"/>
              <w:right w:val="single" w:sz="4" w:space="0" w:color="auto"/>
            </w:tcBorders>
            <w:noWrap/>
          </w:tcPr>
          <w:p w14:paraId="4D624B5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97.0</w:t>
            </w:r>
          </w:p>
        </w:tc>
        <w:tc>
          <w:tcPr>
            <w:tcW w:w="492" w:type="pct"/>
            <w:tcBorders>
              <w:bottom w:val="single" w:sz="4" w:space="0" w:color="auto"/>
              <w:right w:val="single" w:sz="2" w:space="0" w:color="auto"/>
            </w:tcBorders>
            <w:noWrap/>
          </w:tcPr>
          <w:p w14:paraId="4EF03D9D"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97.8</w:t>
            </w:r>
          </w:p>
        </w:tc>
      </w:tr>
      <w:tr w:rsidR="000C171B" w:rsidRPr="0010306A" w14:paraId="748C7674" w14:textId="77777777" w:rsidTr="0049743F">
        <w:trPr>
          <w:trHeight w:val="60"/>
        </w:trPr>
        <w:tc>
          <w:tcPr>
            <w:tcW w:w="391" w:type="pct"/>
            <w:vMerge w:val="restart"/>
            <w:tcBorders>
              <w:top w:val="single" w:sz="4" w:space="0" w:color="auto"/>
              <w:left w:val="single" w:sz="4" w:space="0" w:color="auto"/>
              <w:right w:val="single" w:sz="4" w:space="0" w:color="auto"/>
            </w:tcBorders>
          </w:tcPr>
          <w:p w14:paraId="38A1844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6</w:t>
            </w:r>
          </w:p>
        </w:tc>
        <w:tc>
          <w:tcPr>
            <w:tcW w:w="1565" w:type="pct"/>
            <w:vMerge w:val="restart"/>
            <w:tcBorders>
              <w:top w:val="single" w:sz="4" w:space="0" w:color="auto"/>
              <w:left w:val="nil"/>
              <w:right w:val="single" w:sz="4" w:space="0" w:color="auto"/>
            </w:tcBorders>
          </w:tcPr>
          <w:p w14:paraId="275D2CA8"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Proporción de la población que utiliza servicios de saneamiento gestionados de manera segura.</w:t>
            </w:r>
          </w:p>
        </w:tc>
        <w:tc>
          <w:tcPr>
            <w:tcW w:w="1566" w:type="pct"/>
            <w:tcBorders>
              <w:top w:val="single" w:sz="4" w:space="0" w:color="auto"/>
              <w:left w:val="nil"/>
              <w:bottom w:val="nil"/>
              <w:right w:val="single" w:sz="4" w:space="0" w:color="auto"/>
            </w:tcBorders>
          </w:tcPr>
          <w:p w14:paraId="3C86E2BA"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Arial Narrow"/>
                <w:color w:val="000000"/>
                <w:sz w:val="16"/>
                <w:szCs w:val="16"/>
              </w:rPr>
              <w:t>Total</w:t>
            </w:r>
          </w:p>
        </w:tc>
        <w:tc>
          <w:tcPr>
            <w:tcW w:w="493" w:type="pct"/>
            <w:tcBorders>
              <w:top w:val="single" w:sz="4" w:space="0" w:color="auto"/>
              <w:left w:val="nil"/>
              <w:bottom w:val="nil"/>
              <w:right w:val="single" w:sz="4" w:space="0" w:color="auto"/>
            </w:tcBorders>
            <w:noWrap/>
          </w:tcPr>
          <w:p w14:paraId="1DB4CE2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69.0</w:t>
            </w:r>
          </w:p>
        </w:tc>
        <w:tc>
          <w:tcPr>
            <w:tcW w:w="493" w:type="pct"/>
            <w:tcBorders>
              <w:top w:val="single" w:sz="4" w:space="0" w:color="auto"/>
              <w:left w:val="nil"/>
              <w:bottom w:val="nil"/>
              <w:right w:val="single" w:sz="4" w:space="0" w:color="auto"/>
            </w:tcBorders>
            <w:noWrap/>
          </w:tcPr>
          <w:p w14:paraId="3C55FDDF"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70.0</w:t>
            </w:r>
          </w:p>
        </w:tc>
        <w:tc>
          <w:tcPr>
            <w:tcW w:w="492" w:type="pct"/>
            <w:tcBorders>
              <w:top w:val="single" w:sz="4" w:space="0" w:color="auto"/>
              <w:right w:val="single" w:sz="2" w:space="0" w:color="auto"/>
            </w:tcBorders>
            <w:noWrap/>
          </w:tcPr>
          <w:p w14:paraId="49F91AF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71.6</w:t>
            </w:r>
          </w:p>
        </w:tc>
      </w:tr>
      <w:tr w:rsidR="000C171B" w:rsidRPr="0010306A" w14:paraId="562E9861" w14:textId="77777777" w:rsidTr="0049743F">
        <w:trPr>
          <w:trHeight w:val="60"/>
        </w:trPr>
        <w:tc>
          <w:tcPr>
            <w:tcW w:w="391" w:type="pct"/>
            <w:vMerge/>
            <w:tcBorders>
              <w:left w:val="single" w:sz="4" w:space="0" w:color="auto"/>
              <w:right w:val="single" w:sz="4" w:space="0" w:color="auto"/>
            </w:tcBorders>
          </w:tcPr>
          <w:p w14:paraId="4BA9429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376C7DD6"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single" w:sz="4" w:space="0" w:color="auto"/>
              <w:left w:val="nil"/>
              <w:bottom w:val="nil"/>
              <w:right w:val="single" w:sz="4" w:space="0" w:color="auto"/>
            </w:tcBorders>
          </w:tcPr>
          <w:p w14:paraId="5824528F"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Arial Narrow"/>
                <w:color w:val="000000"/>
                <w:sz w:val="16"/>
                <w:szCs w:val="16"/>
              </w:rPr>
              <w:t>Área urbana</w:t>
            </w:r>
          </w:p>
        </w:tc>
        <w:tc>
          <w:tcPr>
            <w:tcW w:w="493" w:type="pct"/>
            <w:tcBorders>
              <w:top w:val="single" w:sz="4" w:space="0" w:color="auto"/>
              <w:left w:val="nil"/>
              <w:bottom w:val="nil"/>
              <w:right w:val="single" w:sz="4" w:space="0" w:color="auto"/>
            </w:tcBorders>
            <w:noWrap/>
          </w:tcPr>
          <w:p w14:paraId="04800D4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85.0</w:t>
            </w:r>
          </w:p>
        </w:tc>
        <w:tc>
          <w:tcPr>
            <w:tcW w:w="493" w:type="pct"/>
            <w:tcBorders>
              <w:top w:val="single" w:sz="4" w:space="0" w:color="auto"/>
              <w:left w:val="nil"/>
              <w:bottom w:val="nil"/>
              <w:right w:val="single" w:sz="4" w:space="0" w:color="auto"/>
            </w:tcBorders>
            <w:noWrap/>
          </w:tcPr>
          <w:p w14:paraId="3F8ACBD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85.7</w:t>
            </w:r>
          </w:p>
        </w:tc>
        <w:tc>
          <w:tcPr>
            <w:tcW w:w="492" w:type="pct"/>
            <w:tcBorders>
              <w:top w:val="single" w:sz="4" w:space="0" w:color="auto"/>
              <w:right w:val="single" w:sz="2" w:space="0" w:color="auto"/>
            </w:tcBorders>
            <w:noWrap/>
          </w:tcPr>
          <w:p w14:paraId="4AB9D509"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86.7</w:t>
            </w:r>
          </w:p>
        </w:tc>
      </w:tr>
      <w:tr w:rsidR="000C171B" w:rsidRPr="0010306A" w14:paraId="0F40C887" w14:textId="77777777" w:rsidTr="0049743F">
        <w:trPr>
          <w:trHeight w:val="60"/>
        </w:trPr>
        <w:tc>
          <w:tcPr>
            <w:tcW w:w="391" w:type="pct"/>
            <w:vMerge/>
            <w:tcBorders>
              <w:left w:val="single" w:sz="4" w:space="0" w:color="auto"/>
              <w:right w:val="single" w:sz="4" w:space="0" w:color="auto"/>
            </w:tcBorders>
          </w:tcPr>
          <w:p w14:paraId="5498A079"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7E51169F"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single" w:sz="4" w:space="0" w:color="auto"/>
              <w:left w:val="nil"/>
              <w:bottom w:val="nil"/>
              <w:right w:val="single" w:sz="4" w:space="0" w:color="auto"/>
            </w:tcBorders>
          </w:tcPr>
          <w:p w14:paraId="07DDDBB5"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Arial Narrow"/>
                <w:color w:val="000000"/>
                <w:sz w:val="16"/>
                <w:szCs w:val="16"/>
              </w:rPr>
              <w:t>Área rural total</w:t>
            </w:r>
          </w:p>
        </w:tc>
        <w:tc>
          <w:tcPr>
            <w:tcW w:w="493" w:type="pct"/>
            <w:tcBorders>
              <w:top w:val="single" w:sz="4" w:space="0" w:color="auto"/>
              <w:left w:val="nil"/>
              <w:bottom w:val="nil"/>
              <w:right w:val="single" w:sz="4" w:space="0" w:color="auto"/>
            </w:tcBorders>
            <w:noWrap/>
          </w:tcPr>
          <w:p w14:paraId="654271AA"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36.3</w:t>
            </w:r>
          </w:p>
        </w:tc>
        <w:tc>
          <w:tcPr>
            <w:tcW w:w="493" w:type="pct"/>
            <w:tcBorders>
              <w:top w:val="single" w:sz="4" w:space="0" w:color="auto"/>
              <w:left w:val="nil"/>
              <w:bottom w:val="nil"/>
              <w:right w:val="single" w:sz="4" w:space="0" w:color="auto"/>
            </w:tcBorders>
            <w:noWrap/>
          </w:tcPr>
          <w:p w14:paraId="410F6877"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37.4</w:t>
            </w:r>
          </w:p>
        </w:tc>
        <w:tc>
          <w:tcPr>
            <w:tcW w:w="492" w:type="pct"/>
            <w:tcBorders>
              <w:top w:val="single" w:sz="4" w:space="0" w:color="auto"/>
              <w:right w:val="single" w:sz="2" w:space="0" w:color="auto"/>
            </w:tcBorders>
            <w:noWrap/>
          </w:tcPr>
          <w:p w14:paraId="072771AE"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39.7</w:t>
            </w:r>
          </w:p>
        </w:tc>
      </w:tr>
      <w:tr w:rsidR="000C171B" w:rsidRPr="0010306A" w14:paraId="7375354C" w14:textId="77777777" w:rsidTr="0049743F">
        <w:trPr>
          <w:trHeight w:val="60"/>
        </w:trPr>
        <w:tc>
          <w:tcPr>
            <w:tcW w:w="391" w:type="pct"/>
            <w:tcBorders>
              <w:top w:val="single" w:sz="4" w:space="0" w:color="auto"/>
              <w:left w:val="single" w:sz="4" w:space="0" w:color="auto"/>
              <w:right w:val="single" w:sz="4" w:space="0" w:color="auto"/>
            </w:tcBorders>
          </w:tcPr>
          <w:p w14:paraId="43598BE1"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 xml:space="preserve">ODS 6 </w:t>
            </w:r>
          </w:p>
        </w:tc>
        <w:tc>
          <w:tcPr>
            <w:tcW w:w="1565" w:type="pct"/>
            <w:tcBorders>
              <w:top w:val="single" w:sz="4" w:space="0" w:color="auto"/>
              <w:left w:val="nil"/>
              <w:right w:val="single" w:sz="4" w:space="0" w:color="auto"/>
            </w:tcBorders>
          </w:tcPr>
          <w:p w14:paraId="5D58105A"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Proporción de aguas residuales tratadas de manera segura</w:t>
            </w:r>
          </w:p>
        </w:tc>
        <w:tc>
          <w:tcPr>
            <w:tcW w:w="1566" w:type="pct"/>
            <w:tcBorders>
              <w:top w:val="single" w:sz="4" w:space="0" w:color="auto"/>
              <w:left w:val="nil"/>
              <w:bottom w:val="nil"/>
              <w:right w:val="single" w:sz="4" w:space="0" w:color="auto"/>
            </w:tcBorders>
            <w:vAlign w:val="center"/>
          </w:tcPr>
          <w:p w14:paraId="16782FD4"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 xml:space="preserve">Total </w:t>
            </w:r>
          </w:p>
        </w:tc>
        <w:tc>
          <w:tcPr>
            <w:tcW w:w="493" w:type="pct"/>
            <w:tcBorders>
              <w:top w:val="single" w:sz="4" w:space="0" w:color="auto"/>
              <w:left w:val="nil"/>
              <w:bottom w:val="nil"/>
              <w:right w:val="single" w:sz="4" w:space="0" w:color="auto"/>
            </w:tcBorders>
            <w:noWrap/>
          </w:tcPr>
          <w:p w14:paraId="1BCF976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16.2</w:t>
            </w:r>
          </w:p>
        </w:tc>
        <w:tc>
          <w:tcPr>
            <w:tcW w:w="493" w:type="pct"/>
            <w:tcBorders>
              <w:top w:val="single" w:sz="4" w:space="0" w:color="auto"/>
              <w:left w:val="nil"/>
              <w:bottom w:val="nil"/>
              <w:right w:val="single" w:sz="4" w:space="0" w:color="auto"/>
            </w:tcBorders>
            <w:noWrap/>
          </w:tcPr>
          <w:p w14:paraId="05F03DE3"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18.8</w:t>
            </w:r>
          </w:p>
        </w:tc>
        <w:tc>
          <w:tcPr>
            <w:tcW w:w="492" w:type="pct"/>
            <w:tcBorders>
              <w:top w:val="single" w:sz="4" w:space="0" w:color="auto"/>
              <w:right w:val="single" w:sz="2" w:space="0" w:color="auto"/>
            </w:tcBorders>
            <w:noWrap/>
          </w:tcPr>
          <w:p w14:paraId="6C82DD6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color w:val="000000"/>
                <w:sz w:val="16"/>
                <w:szCs w:val="16"/>
              </w:rPr>
              <w:t>22.7</w:t>
            </w:r>
          </w:p>
        </w:tc>
      </w:tr>
      <w:tr w:rsidR="000C171B" w:rsidRPr="0010306A" w14:paraId="4DFC3DEC" w14:textId="77777777" w:rsidTr="0049743F">
        <w:trPr>
          <w:trHeight w:val="60"/>
        </w:trPr>
        <w:tc>
          <w:tcPr>
            <w:tcW w:w="391" w:type="pct"/>
            <w:vMerge w:val="restart"/>
            <w:tcBorders>
              <w:top w:val="single" w:sz="4" w:space="0" w:color="auto"/>
              <w:left w:val="single" w:sz="4" w:space="0" w:color="auto"/>
              <w:right w:val="single" w:sz="4" w:space="0" w:color="auto"/>
            </w:tcBorders>
          </w:tcPr>
          <w:p w14:paraId="728AA64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7</w:t>
            </w:r>
          </w:p>
        </w:tc>
        <w:tc>
          <w:tcPr>
            <w:tcW w:w="1565" w:type="pct"/>
            <w:vMerge w:val="restart"/>
            <w:tcBorders>
              <w:top w:val="single" w:sz="4" w:space="0" w:color="auto"/>
              <w:left w:val="nil"/>
              <w:right w:val="single" w:sz="4" w:space="0" w:color="auto"/>
            </w:tcBorders>
          </w:tcPr>
          <w:p w14:paraId="4C1B0EB9"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Proporción de la población que tiene acceso a la electricidad.</w:t>
            </w:r>
          </w:p>
        </w:tc>
        <w:tc>
          <w:tcPr>
            <w:tcW w:w="1566" w:type="pct"/>
            <w:tcBorders>
              <w:top w:val="single" w:sz="4" w:space="0" w:color="auto"/>
              <w:left w:val="nil"/>
              <w:bottom w:val="nil"/>
              <w:right w:val="single" w:sz="4" w:space="0" w:color="auto"/>
            </w:tcBorders>
            <w:vAlign w:val="center"/>
          </w:tcPr>
          <w:p w14:paraId="4510A9F2"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Calibri"/>
                <w:color w:val="000000"/>
                <w:sz w:val="16"/>
                <w:szCs w:val="16"/>
              </w:rPr>
              <w:t xml:space="preserve">Total </w:t>
            </w:r>
          </w:p>
        </w:tc>
        <w:tc>
          <w:tcPr>
            <w:tcW w:w="493" w:type="pct"/>
            <w:tcBorders>
              <w:top w:val="single" w:sz="4" w:space="0" w:color="auto"/>
              <w:left w:val="nil"/>
              <w:bottom w:val="nil"/>
              <w:right w:val="single" w:sz="4" w:space="0" w:color="auto"/>
            </w:tcBorders>
            <w:noWrap/>
            <w:vAlign w:val="center"/>
          </w:tcPr>
          <w:p w14:paraId="2B54817B"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Narrow"/>
                <w:sz w:val="16"/>
                <w:szCs w:val="16"/>
              </w:rPr>
              <w:t>91.1</w:t>
            </w:r>
          </w:p>
        </w:tc>
        <w:tc>
          <w:tcPr>
            <w:tcW w:w="493" w:type="pct"/>
            <w:tcBorders>
              <w:top w:val="single" w:sz="4" w:space="0" w:color="auto"/>
              <w:left w:val="nil"/>
              <w:bottom w:val="nil"/>
              <w:right w:val="single" w:sz="4" w:space="0" w:color="auto"/>
            </w:tcBorders>
            <w:noWrap/>
            <w:vAlign w:val="center"/>
          </w:tcPr>
          <w:p w14:paraId="63F819FB"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Narrow"/>
                <w:sz w:val="16"/>
                <w:szCs w:val="16"/>
              </w:rPr>
              <w:t>91.9</w:t>
            </w:r>
          </w:p>
        </w:tc>
        <w:tc>
          <w:tcPr>
            <w:tcW w:w="492" w:type="pct"/>
            <w:tcBorders>
              <w:top w:val="single" w:sz="4" w:space="0" w:color="auto"/>
              <w:right w:val="single" w:sz="2" w:space="0" w:color="auto"/>
            </w:tcBorders>
            <w:noWrap/>
            <w:vAlign w:val="center"/>
          </w:tcPr>
          <w:p w14:paraId="4009AB45"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92.8</w:t>
            </w:r>
          </w:p>
        </w:tc>
      </w:tr>
      <w:tr w:rsidR="000C171B" w:rsidRPr="0010306A" w14:paraId="599935E4" w14:textId="77777777" w:rsidTr="0049743F">
        <w:trPr>
          <w:trHeight w:val="60"/>
        </w:trPr>
        <w:tc>
          <w:tcPr>
            <w:tcW w:w="391" w:type="pct"/>
            <w:vMerge/>
            <w:tcBorders>
              <w:left w:val="single" w:sz="4" w:space="0" w:color="auto"/>
              <w:right w:val="single" w:sz="4" w:space="0" w:color="auto"/>
            </w:tcBorders>
          </w:tcPr>
          <w:p w14:paraId="60E067FD"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1C024C46"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1F34DA78"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Arial Narrow"/>
                <w:color w:val="000000"/>
                <w:sz w:val="16"/>
                <w:szCs w:val="16"/>
              </w:rPr>
              <w:t>Hombre</w:t>
            </w:r>
          </w:p>
        </w:tc>
        <w:tc>
          <w:tcPr>
            <w:tcW w:w="493" w:type="pct"/>
            <w:tcBorders>
              <w:top w:val="nil"/>
              <w:left w:val="nil"/>
              <w:bottom w:val="nil"/>
              <w:right w:val="single" w:sz="4" w:space="0" w:color="auto"/>
            </w:tcBorders>
            <w:noWrap/>
            <w:vAlign w:val="center"/>
          </w:tcPr>
          <w:p w14:paraId="49ADFA8B"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Narrow"/>
                <w:sz w:val="16"/>
                <w:szCs w:val="16"/>
              </w:rPr>
              <w:t>90.4</w:t>
            </w:r>
          </w:p>
        </w:tc>
        <w:tc>
          <w:tcPr>
            <w:tcW w:w="493" w:type="pct"/>
            <w:tcBorders>
              <w:top w:val="nil"/>
              <w:left w:val="nil"/>
              <w:bottom w:val="nil"/>
              <w:right w:val="single" w:sz="4" w:space="0" w:color="auto"/>
            </w:tcBorders>
            <w:noWrap/>
            <w:vAlign w:val="center"/>
          </w:tcPr>
          <w:p w14:paraId="3271953E"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Narrow"/>
                <w:sz w:val="16"/>
                <w:szCs w:val="16"/>
              </w:rPr>
              <w:t>91.5</w:t>
            </w:r>
          </w:p>
        </w:tc>
        <w:tc>
          <w:tcPr>
            <w:tcW w:w="492" w:type="pct"/>
            <w:tcBorders>
              <w:right w:val="single" w:sz="2" w:space="0" w:color="auto"/>
            </w:tcBorders>
            <w:noWrap/>
            <w:vAlign w:val="center"/>
          </w:tcPr>
          <w:p w14:paraId="4A7730D5"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92.4</w:t>
            </w:r>
          </w:p>
        </w:tc>
      </w:tr>
      <w:tr w:rsidR="000C171B" w:rsidRPr="0010306A" w14:paraId="35C73783" w14:textId="77777777" w:rsidTr="0049743F">
        <w:trPr>
          <w:trHeight w:val="60"/>
        </w:trPr>
        <w:tc>
          <w:tcPr>
            <w:tcW w:w="391" w:type="pct"/>
            <w:vMerge/>
            <w:tcBorders>
              <w:left w:val="single" w:sz="4" w:space="0" w:color="auto"/>
              <w:right w:val="single" w:sz="4" w:space="0" w:color="auto"/>
            </w:tcBorders>
          </w:tcPr>
          <w:p w14:paraId="65B555D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78AB66DB"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6295D784"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hAnsi="Arial Narrow" w:cs="Arial Narrow"/>
                <w:color w:val="000000"/>
                <w:sz w:val="16"/>
                <w:szCs w:val="16"/>
              </w:rPr>
              <w:t>Mujer</w:t>
            </w:r>
          </w:p>
        </w:tc>
        <w:tc>
          <w:tcPr>
            <w:tcW w:w="493" w:type="pct"/>
            <w:tcBorders>
              <w:top w:val="nil"/>
              <w:left w:val="nil"/>
              <w:bottom w:val="nil"/>
              <w:right w:val="single" w:sz="4" w:space="0" w:color="auto"/>
            </w:tcBorders>
            <w:noWrap/>
            <w:vAlign w:val="center"/>
          </w:tcPr>
          <w:p w14:paraId="2979DBD0"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Narrow"/>
                <w:sz w:val="16"/>
                <w:szCs w:val="16"/>
              </w:rPr>
              <w:t>91.7</w:t>
            </w:r>
          </w:p>
        </w:tc>
        <w:tc>
          <w:tcPr>
            <w:tcW w:w="493" w:type="pct"/>
            <w:tcBorders>
              <w:top w:val="nil"/>
              <w:left w:val="nil"/>
              <w:bottom w:val="nil"/>
              <w:right w:val="single" w:sz="4" w:space="0" w:color="auto"/>
            </w:tcBorders>
            <w:noWrap/>
            <w:vAlign w:val="center"/>
          </w:tcPr>
          <w:p w14:paraId="42F293E1"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Narrow"/>
                <w:sz w:val="16"/>
                <w:szCs w:val="16"/>
              </w:rPr>
              <w:t>92.3</w:t>
            </w:r>
          </w:p>
        </w:tc>
        <w:tc>
          <w:tcPr>
            <w:tcW w:w="492" w:type="pct"/>
            <w:tcBorders>
              <w:right w:val="single" w:sz="2" w:space="0" w:color="auto"/>
            </w:tcBorders>
            <w:noWrap/>
            <w:vAlign w:val="center"/>
          </w:tcPr>
          <w:p w14:paraId="6F1FE5FE"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93.1</w:t>
            </w:r>
          </w:p>
        </w:tc>
      </w:tr>
      <w:tr w:rsidR="000C171B" w:rsidRPr="0010306A" w14:paraId="7E81DBF2" w14:textId="77777777" w:rsidTr="0049743F">
        <w:trPr>
          <w:trHeight w:val="60"/>
        </w:trPr>
        <w:tc>
          <w:tcPr>
            <w:tcW w:w="391" w:type="pct"/>
            <w:vMerge/>
            <w:tcBorders>
              <w:left w:val="single" w:sz="4" w:space="0" w:color="auto"/>
              <w:right w:val="single" w:sz="4" w:space="0" w:color="auto"/>
            </w:tcBorders>
          </w:tcPr>
          <w:p w14:paraId="36A9685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1C14C3F3"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63ADFBCB"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Área Urbana</w:t>
            </w:r>
          </w:p>
        </w:tc>
        <w:tc>
          <w:tcPr>
            <w:tcW w:w="493" w:type="pct"/>
            <w:tcBorders>
              <w:top w:val="nil"/>
              <w:left w:val="nil"/>
              <w:bottom w:val="nil"/>
              <w:right w:val="single" w:sz="4" w:space="0" w:color="auto"/>
            </w:tcBorders>
            <w:noWrap/>
            <w:vAlign w:val="center"/>
          </w:tcPr>
          <w:p w14:paraId="24A195A1"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Narrow"/>
                <w:sz w:val="16"/>
                <w:szCs w:val="16"/>
              </w:rPr>
              <w:t>99.3</w:t>
            </w:r>
          </w:p>
        </w:tc>
        <w:tc>
          <w:tcPr>
            <w:tcW w:w="493" w:type="pct"/>
            <w:tcBorders>
              <w:top w:val="nil"/>
              <w:left w:val="nil"/>
              <w:bottom w:val="nil"/>
              <w:right w:val="single" w:sz="4" w:space="0" w:color="auto"/>
            </w:tcBorders>
            <w:noWrap/>
            <w:vAlign w:val="center"/>
          </w:tcPr>
          <w:p w14:paraId="65F61721"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Narrow"/>
                <w:sz w:val="16"/>
                <w:szCs w:val="16"/>
              </w:rPr>
              <w:t>99.5</w:t>
            </w:r>
          </w:p>
        </w:tc>
        <w:tc>
          <w:tcPr>
            <w:tcW w:w="492" w:type="pct"/>
            <w:tcBorders>
              <w:right w:val="single" w:sz="2" w:space="0" w:color="auto"/>
            </w:tcBorders>
            <w:noWrap/>
            <w:vAlign w:val="center"/>
          </w:tcPr>
          <w:p w14:paraId="2CE23E6E"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99.5</w:t>
            </w:r>
          </w:p>
        </w:tc>
      </w:tr>
      <w:tr w:rsidR="000C171B" w:rsidRPr="0010306A" w14:paraId="1F0AD212" w14:textId="77777777" w:rsidTr="0049743F">
        <w:trPr>
          <w:trHeight w:val="60"/>
        </w:trPr>
        <w:tc>
          <w:tcPr>
            <w:tcW w:w="391" w:type="pct"/>
            <w:vMerge/>
            <w:tcBorders>
              <w:left w:val="single" w:sz="4" w:space="0" w:color="auto"/>
              <w:bottom w:val="single" w:sz="4" w:space="0" w:color="auto"/>
              <w:right w:val="single" w:sz="4" w:space="0" w:color="auto"/>
            </w:tcBorders>
          </w:tcPr>
          <w:p w14:paraId="56DFD8E3"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64904D9C"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single" w:sz="4" w:space="0" w:color="auto"/>
              <w:right w:val="single" w:sz="4" w:space="0" w:color="auto"/>
            </w:tcBorders>
            <w:vAlign w:val="center"/>
          </w:tcPr>
          <w:p w14:paraId="0EFE4F03" w14:textId="77777777" w:rsidR="000C171B" w:rsidRPr="00D336D1" w:rsidRDefault="000C171B" w:rsidP="002C49EF">
            <w:pPr>
              <w:spacing w:after="0" w:line="240" w:lineRule="auto"/>
              <w:rPr>
                <w:rFonts w:ascii="Arial Narrow" w:hAnsi="Arial Narrow" w:cs="Calibri"/>
                <w:color w:val="000000"/>
                <w:sz w:val="16"/>
                <w:szCs w:val="16"/>
              </w:rPr>
            </w:pPr>
            <w:r w:rsidRPr="00D336D1">
              <w:rPr>
                <w:rFonts w:ascii="Arial Narrow" w:eastAsia="Times New Roman" w:hAnsi="Arial Narrow" w:cs="Calibri"/>
                <w:color w:val="000000"/>
                <w:sz w:val="16"/>
                <w:szCs w:val="16"/>
                <w:lang w:eastAsia="es-PA"/>
              </w:rPr>
              <w:t>Área Rural total</w:t>
            </w:r>
          </w:p>
        </w:tc>
        <w:tc>
          <w:tcPr>
            <w:tcW w:w="493" w:type="pct"/>
            <w:tcBorders>
              <w:top w:val="nil"/>
              <w:left w:val="nil"/>
              <w:bottom w:val="single" w:sz="4" w:space="0" w:color="auto"/>
              <w:right w:val="single" w:sz="4" w:space="0" w:color="auto"/>
            </w:tcBorders>
            <w:noWrap/>
            <w:vAlign w:val="center"/>
          </w:tcPr>
          <w:p w14:paraId="4D29EACC"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Narrow"/>
                <w:sz w:val="16"/>
                <w:szCs w:val="16"/>
              </w:rPr>
              <w:t>74.3</w:t>
            </w:r>
          </w:p>
        </w:tc>
        <w:tc>
          <w:tcPr>
            <w:tcW w:w="493" w:type="pct"/>
            <w:tcBorders>
              <w:top w:val="nil"/>
              <w:left w:val="nil"/>
              <w:bottom w:val="single" w:sz="4" w:space="0" w:color="auto"/>
              <w:right w:val="single" w:sz="4" w:space="0" w:color="auto"/>
            </w:tcBorders>
            <w:noWrap/>
            <w:vAlign w:val="center"/>
          </w:tcPr>
          <w:p w14:paraId="5C21839A"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hAnsi="Arial Narrow" w:cs="Arial Narrow"/>
                <w:sz w:val="16"/>
                <w:szCs w:val="16"/>
              </w:rPr>
              <w:t>76.1</w:t>
            </w:r>
          </w:p>
        </w:tc>
        <w:tc>
          <w:tcPr>
            <w:tcW w:w="492" w:type="pct"/>
            <w:tcBorders>
              <w:bottom w:val="single" w:sz="4" w:space="0" w:color="auto"/>
              <w:right w:val="single" w:sz="2" w:space="0" w:color="auto"/>
            </w:tcBorders>
            <w:noWrap/>
            <w:vAlign w:val="center"/>
          </w:tcPr>
          <w:p w14:paraId="0CC28F94"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78.6</w:t>
            </w:r>
          </w:p>
        </w:tc>
      </w:tr>
      <w:tr w:rsidR="000C171B" w:rsidRPr="0010306A" w14:paraId="498C21B9" w14:textId="77777777" w:rsidTr="0049743F">
        <w:trPr>
          <w:trHeight w:val="36"/>
        </w:trPr>
        <w:tc>
          <w:tcPr>
            <w:tcW w:w="391" w:type="pct"/>
            <w:tcBorders>
              <w:top w:val="single" w:sz="4" w:space="0" w:color="auto"/>
              <w:left w:val="single" w:sz="4" w:space="0" w:color="auto"/>
              <w:bottom w:val="single" w:sz="4" w:space="0" w:color="auto"/>
              <w:right w:val="single" w:sz="4" w:space="0" w:color="auto"/>
            </w:tcBorders>
          </w:tcPr>
          <w:p w14:paraId="7D29C3F1"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7</w:t>
            </w:r>
          </w:p>
        </w:tc>
        <w:tc>
          <w:tcPr>
            <w:tcW w:w="1565" w:type="pct"/>
            <w:tcBorders>
              <w:top w:val="single" w:sz="4" w:space="0" w:color="auto"/>
              <w:left w:val="nil"/>
              <w:bottom w:val="single" w:sz="4" w:space="0" w:color="auto"/>
              <w:right w:val="single" w:sz="4" w:space="0" w:color="auto"/>
            </w:tcBorders>
          </w:tcPr>
          <w:p w14:paraId="464EF8B9"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 xml:space="preserve">Proporción de la energía renovable en el consumo final total de energía (en porcentaje). </w:t>
            </w:r>
          </w:p>
        </w:tc>
        <w:tc>
          <w:tcPr>
            <w:tcW w:w="1566" w:type="pct"/>
            <w:tcBorders>
              <w:top w:val="single" w:sz="4" w:space="0" w:color="auto"/>
              <w:left w:val="nil"/>
              <w:bottom w:val="single" w:sz="4" w:space="0" w:color="auto"/>
              <w:right w:val="single" w:sz="4" w:space="0" w:color="auto"/>
            </w:tcBorders>
            <w:vAlign w:val="center"/>
          </w:tcPr>
          <w:p w14:paraId="5EA8BAEE"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 xml:space="preserve">Total </w:t>
            </w:r>
          </w:p>
        </w:tc>
        <w:tc>
          <w:tcPr>
            <w:tcW w:w="493" w:type="pct"/>
            <w:tcBorders>
              <w:top w:val="single" w:sz="4" w:space="0" w:color="auto"/>
              <w:left w:val="nil"/>
              <w:bottom w:val="single" w:sz="4" w:space="0" w:color="auto"/>
              <w:right w:val="single" w:sz="4" w:space="0" w:color="auto"/>
            </w:tcBorders>
            <w:noWrap/>
            <w:vAlign w:val="center"/>
          </w:tcPr>
          <w:p w14:paraId="0A18219E"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66.4</w:t>
            </w:r>
          </w:p>
        </w:tc>
        <w:tc>
          <w:tcPr>
            <w:tcW w:w="493" w:type="pct"/>
            <w:tcBorders>
              <w:top w:val="single" w:sz="4" w:space="0" w:color="auto"/>
              <w:left w:val="nil"/>
              <w:bottom w:val="single" w:sz="4" w:space="0" w:color="auto"/>
              <w:right w:val="single" w:sz="4" w:space="0" w:color="auto"/>
            </w:tcBorders>
            <w:noWrap/>
            <w:vAlign w:val="center"/>
          </w:tcPr>
          <w:p w14:paraId="5ACE661D"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67.2</w:t>
            </w:r>
          </w:p>
        </w:tc>
        <w:tc>
          <w:tcPr>
            <w:tcW w:w="492" w:type="pct"/>
            <w:tcBorders>
              <w:top w:val="single" w:sz="4" w:space="0" w:color="auto"/>
              <w:bottom w:val="single" w:sz="4" w:space="0" w:color="auto"/>
              <w:right w:val="single" w:sz="2" w:space="0" w:color="auto"/>
            </w:tcBorders>
            <w:noWrap/>
            <w:vAlign w:val="center"/>
          </w:tcPr>
          <w:p w14:paraId="3B305DD2"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72.7</w:t>
            </w:r>
          </w:p>
        </w:tc>
      </w:tr>
      <w:tr w:rsidR="000C171B" w:rsidRPr="0010306A" w14:paraId="45B10759" w14:textId="77777777" w:rsidTr="0049743F">
        <w:trPr>
          <w:trHeight w:val="60"/>
        </w:trPr>
        <w:tc>
          <w:tcPr>
            <w:tcW w:w="391" w:type="pct"/>
            <w:vMerge w:val="restart"/>
            <w:tcBorders>
              <w:top w:val="single" w:sz="4" w:space="0" w:color="auto"/>
              <w:left w:val="single" w:sz="4" w:space="0" w:color="auto"/>
              <w:right w:val="single" w:sz="4" w:space="0" w:color="auto"/>
            </w:tcBorders>
            <w:vAlign w:val="center"/>
          </w:tcPr>
          <w:p w14:paraId="1FF6874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7</w:t>
            </w:r>
          </w:p>
        </w:tc>
        <w:tc>
          <w:tcPr>
            <w:tcW w:w="1565" w:type="pct"/>
            <w:vMerge w:val="restart"/>
            <w:tcBorders>
              <w:top w:val="single" w:sz="4" w:space="0" w:color="auto"/>
              <w:left w:val="nil"/>
              <w:right w:val="single" w:sz="4" w:space="0" w:color="auto"/>
            </w:tcBorders>
          </w:tcPr>
          <w:p w14:paraId="4FB09D29"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 xml:space="preserve">Oferta de electricidad (en miles de </w:t>
            </w:r>
            <w:proofErr w:type="spellStart"/>
            <w:r w:rsidRPr="00D336D1">
              <w:rPr>
                <w:rFonts w:ascii="Arial Narrow" w:hAnsi="Arial Narrow" w:cs="Arial Narrow"/>
                <w:color w:val="000000"/>
                <w:sz w:val="16"/>
                <w:szCs w:val="16"/>
              </w:rPr>
              <w:t>kwh</w:t>
            </w:r>
            <w:proofErr w:type="spellEnd"/>
            <w:r w:rsidRPr="00D336D1">
              <w:rPr>
                <w:rFonts w:ascii="Arial Narrow" w:hAnsi="Arial Narrow" w:cs="Arial Narrow"/>
                <w:color w:val="000000"/>
                <w:sz w:val="16"/>
                <w:szCs w:val="16"/>
              </w:rPr>
              <w:t xml:space="preserve">). </w:t>
            </w:r>
          </w:p>
        </w:tc>
        <w:tc>
          <w:tcPr>
            <w:tcW w:w="1566" w:type="pct"/>
            <w:tcBorders>
              <w:top w:val="single" w:sz="4" w:space="0" w:color="auto"/>
              <w:left w:val="nil"/>
              <w:bottom w:val="nil"/>
              <w:right w:val="single" w:sz="4" w:space="0" w:color="auto"/>
            </w:tcBorders>
            <w:vAlign w:val="center"/>
          </w:tcPr>
          <w:p w14:paraId="458A1D17"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sz w:val="16"/>
                <w:szCs w:val="16"/>
              </w:rPr>
              <w:t>Total</w:t>
            </w:r>
          </w:p>
        </w:tc>
        <w:tc>
          <w:tcPr>
            <w:tcW w:w="493" w:type="pct"/>
            <w:tcBorders>
              <w:top w:val="single" w:sz="4" w:space="0" w:color="auto"/>
              <w:left w:val="nil"/>
              <w:bottom w:val="nil"/>
              <w:right w:val="single" w:sz="4" w:space="0" w:color="auto"/>
            </w:tcBorders>
            <w:noWrap/>
            <w:vAlign w:val="center"/>
          </w:tcPr>
          <w:p w14:paraId="5E8AC41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9,849,980</w:t>
            </w:r>
          </w:p>
        </w:tc>
        <w:tc>
          <w:tcPr>
            <w:tcW w:w="493" w:type="pct"/>
            <w:tcBorders>
              <w:top w:val="single" w:sz="4" w:space="0" w:color="auto"/>
              <w:left w:val="nil"/>
              <w:bottom w:val="nil"/>
              <w:right w:val="single" w:sz="4" w:space="0" w:color="auto"/>
            </w:tcBorders>
            <w:noWrap/>
            <w:vAlign w:val="center"/>
          </w:tcPr>
          <w:p w14:paraId="0C924E53"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10,392,261</w:t>
            </w:r>
          </w:p>
        </w:tc>
        <w:tc>
          <w:tcPr>
            <w:tcW w:w="492" w:type="pct"/>
            <w:tcBorders>
              <w:top w:val="single" w:sz="4" w:space="0" w:color="auto"/>
              <w:right w:val="single" w:sz="2" w:space="0" w:color="auto"/>
            </w:tcBorders>
            <w:noWrap/>
            <w:vAlign w:val="center"/>
          </w:tcPr>
          <w:p w14:paraId="63D38C0F"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10,597,330</w:t>
            </w:r>
          </w:p>
        </w:tc>
      </w:tr>
      <w:tr w:rsidR="000C171B" w:rsidRPr="0010306A" w14:paraId="59343D26" w14:textId="77777777" w:rsidTr="0049743F">
        <w:trPr>
          <w:trHeight w:val="60"/>
        </w:trPr>
        <w:tc>
          <w:tcPr>
            <w:tcW w:w="391" w:type="pct"/>
            <w:vMerge/>
            <w:tcBorders>
              <w:left w:val="single" w:sz="4" w:space="0" w:color="auto"/>
              <w:right w:val="single" w:sz="4" w:space="0" w:color="auto"/>
            </w:tcBorders>
            <w:vAlign w:val="center"/>
          </w:tcPr>
          <w:p w14:paraId="3373AA63"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775C759F"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311956EA" w14:textId="77777777" w:rsidR="000C171B" w:rsidRPr="00D336D1" w:rsidRDefault="000C171B" w:rsidP="002C49EF">
            <w:pPr>
              <w:rPr>
                <w:rFonts w:ascii="Arial Narrow" w:hAnsi="Arial Narrow"/>
                <w:sz w:val="16"/>
                <w:szCs w:val="16"/>
              </w:rPr>
            </w:pPr>
            <w:r w:rsidRPr="00D336D1">
              <w:rPr>
                <w:rFonts w:ascii="Arial Narrow" w:hAnsi="Arial Narrow"/>
                <w:sz w:val="16"/>
                <w:szCs w:val="16"/>
              </w:rPr>
              <w:t>No renovable</w:t>
            </w:r>
          </w:p>
        </w:tc>
        <w:tc>
          <w:tcPr>
            <w:tcW w:w="493" w:type="pct"/>
            <w:tcBorders>
              <w:top w:val="nil"/>
              <w:left w:val="nil"/>
              <w:bottom w:val="nil"/>
              <w:right w:val="single" w:sz="4" w:space="0" w:color="auto"/>
            </w:tcBorders>
            <w:noWrap/>
            <w:vAlign w:val="center"/>
          </w:tcPr>
          <w:p w14:paraId="3428161E"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3,137,007</w:t>
            </w:r>
          </w:p>
        </w:tc>
        <w:tc>
          <w:tcPr>
            <w:tcW w:w="493" w:type="pct"/>
            <w:tcBorders>
              <w:top w:val="nil"/>
              <w:left w:val="nil"/>
              <w:bottom w:val="nil"/>
              <w:right w:val="single" w:sz="4" w:space="0" w:color="auto"/>
            </w:tcBorders>
            <w:noWrap/>
            <w:vAlign w:val="center"/>
          </w:tcPr>
          <w:p w14:paraId="00E53ED7"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3,278,710</w:t>
            </w:r>
          </w:p>
        </w:tc>
        <w:tc>
          <w:tcPr>
            <w:tcW w:w="492" w:type="pct"/>
            <w:tcBorders>
              <w:right w:val="single" w:sz="2" w:space="0" w:color="auto"/>
            </w:tcBorders>
            <w:noWrap/>
            <w:vAlign w:val="center"/>
          </w:tcPr>
          <w:p w14:paraId="75A86B9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2,739,314</w:t>
            </w:r>
          </w:p>
        </w:tc>
      </w:tr>
      <w:tr w:rsidR="000C171B" w:rsidRPr="0010306A" w14:paraId="0210B318" w14:textId="77777777" w:rsidTr="0049743F">
        <w:trPr>
          <w:trHeight w:val="60"/>
        </w:trPr>
        <w:tc>
          <w:tcPr>
            <w:tcW w:w="391" w:type="pct"/>
            <w:vMerge/>
            <w:tcBorders>
              <w:left w:val="single" w:sz="4" w:space="0" w:color="auto"/>
              <w:right w:val="single" w:sz="4" w:space="0" w:color="auto"/>
            </w:tcBorders>
            <w:vAlign w:val="center"/>
          </w:tcPr>
          <w:p w14:paraId="441AB026"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4EE4775F"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2DC461FC" w14:textId="77777777" w:rsidR="000C171B" w:rsidRPr="00D336D1" w:rsidRDefault="000C171B" w:rsidP="002C49EF">
            <w:pPr>
              <w:rPr>
                <w:rFonts w:ascii="Arial Narrow" w:hAnsi="Arial Narrow"/>
                <w:sz w:val="16"/>
                <w:szCs w:val="16"/>
              </w:rPr>
            </w:pPr>
            <w:r w:rsidRPr="00D336D1">
              <w:rPr>
                <w:rFonts w:ascii="Arial Narrow" w:hAnsi="Arial Narrow"/>
                <w:sz w:val="16"/>
                <w:szCs w:val="16"/>
              </w:rPr>
              <w:t>Renovable</w:t>
            </w:r>
          </w:p>
        </w:tc>
        <w:tc>
          <w:tcPr>
            <w:tcW w:w="493" w:type="pct"/>
            <w:tcBorders>
              <w:top w:val="nil"/>
              <w:left w:val="nil"/>
              <w:bottom w:val="nil"/>
              <w:right w:val="single" w:sz="4" w:space="0" w:color="auto"/>
            </w:tcBorders>
            <w:noWrap/>
            <w:vAlign w:val="center"/>
          </w:tcPr>
          <w:p w14:paraId="61EFDEA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6,540,044</w:t>
            </w:r>
          </w:p>
        </w:tc>
        <w:tc>
          <w:tcPr>
            <w:tcW w:w="493" w:type="pct"/>
            <w:tcBorders>
              <w:top w:val="nil"/>
              <w:left w:val="nil"/>
              <w:bottom w:val="nil"/>
              <w:right w:val="single" w:sz="4" w:space="0" w:color="auto"/>
            </w:tcBorders>
            <w:noWrap/>
            <w:vAlign w:val="center"/>
          </w:tcPr>
          <w:p w14:paraId="4A3DB244"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6,978,809</w:t>
            </w:r>
          </w:p>
        </w:tc>
        <w:tc>
          <w:tcPr>
            <w:tcW w:w="492" w:type="pct"/>
            <w:tcBorders>
              <w:right w:val="single" w:sz="2" w:space="0" w:color="auto"/>
            </w:tcBorders>
            <w:noWrap/>
            <w:vAlign w:val="center"/>
          </w:tcPr>
          <w:p w14:paraId="3BECAF5F"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7,709,078</w:t>
            </w:r>
          </w:p>
        </w:tc>
      </w:tr>
      <w:tr w:rsidR="000C171B" w:rsidRPr="0010306A" w14:paraId="4187E3C3" w14:textId="77777777" w:rsidTr="0049743F">
        <w:trPr>
          <w:trHeight w:val="60"/>
        </w:trPr>
        <w:tc>
          <w:tcPr>
            <w:tcW w:w="391" w:type="pct"/>
            <w:vMerge/>
            <w:tcBorders>
              <w:left w:val="single" w:sz="4" w:space="0" w:color="auto"/>
              <w:right w:val="single" w:sz="4" w:space="0" w:color="auto"/>
            </w:tcBorders>
            <w:vAlign w:val="center"/>
          </w:tcPr>
          <w:p w14:paraId="55B3628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5DD8BC53"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5EBDABB8" w14:textId="77777777" w:rsidR="000C171B" w:rsidRPr="00D336D1" w:rsidRDefault="000C171B" w:rsidP="002C49EF">
            <w:pPr>
              <w:rPr>
                <w:rFonts w:ascii="Arial Narrow" w:hAnsi="Arial Narrow"/>
                <w:sz w:val="16"/>
                <w:szCs w:val="16"/>
              </w:rPr>
            </w:pPr>
            <w:r w:rsidRPr="00D336D1">
              <w:rPr>
                <w:rFonts w:ascii="Arial Narrow" w:hAnsi="Arial Narrow"/>
                <w:sz w:val="16"/>
                <w:szCs w:val="16"/>
              </w:rPr>
              <w:t>Auto</w:t>
            </w:r>
          </w:p>
          <w:p w14:paraId="2D719D71"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sz w:val="16"/>
                <w:szCs w:val="16"/>
              </w:rPr>
              <w:t>Generación</w:t>
            </w:r>
          </w:p>
        </w:tc>
        <w:tc>
          <w:tcPr>
            <w:tcW w:w="493" w:type="pct"/>
            <w:tcBorders>
              <w:top w:val="nil"/>
              <w:left w:val="nil"/>
              <w:bottom w:val="nil"/>
              <w:right w:val="single" w:sz="4" w:space="0" w:color="auto"/>
            </w:tcBorders>
            <w:noWrap/>
            <w:vAlign w:val="center"/>
          </w:tcPr>
          <w:p w14:paraId="7AB1CB9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155,821</w:t>
            </w:r>
          </w:p>
        </w:tc>
        <w:tc>
          <w:tcPr>
            <w:tcW w:w="493" w:type="pct"/>
            <w:tcBorders>
              <w:top w:val="nil"/>
              <w:left w:val="nil"/>
              <w:bottom w:val="nil"/>
              <w:right w:val="single" w:sz="4" w:space="0" w:color="auto"/>
            </w:tcBorders>
            <w:noWrap/>
            <w:vAlign w:val="center"/>
          </w:tcPr>
          <w:p w14:paraId="11DC745E"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404,722</w:t>
            </w:r>
          </w:p>
        </w:tc>
        <w:tc>
          <w:tcPr>
            <w:tcW w:w="492" w:type="pct"/>
            <w:tcBorders>
              <w:right w:val="single" w:sz="2" w:space="0" w:color="auto"/>
            </w:tcBorders>
            <w:noWrap/>
            <w:vAlign w:val="center"/>
          </w:tcPr>
          <w:p w14:paraId="5168EE39"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442,367</w:t>
            </w:r>
          </w:p>
        </w:tc>
      </w:tr>
      <w:tr w:rsidR="000C171B" w:rsidRPr="0010306A" w14:paraId="690E646E" w14:textId="77777777" w:rsidTr="0049743F">
        <w:trPr>
          <w:trHeight w:val="60"/>
        </w:trPr>
        <w:tc>
          <w:tcPr>
            <w:tcW w:w="391" w:type="pct"/>
            <w:vMerge/>
            <w:tcBorders>
              <w:left w:val="single" w:sz="4" w:space="0" w:color="auto"/>
              <w:bottom w:val="single" w:sz="4" w:space="0" w:color="auto"/>
              <w:right w:val="single" w:sz="4" w:space="0" w:color="auto"/>
            </w:tcBorders>
            <w:vAlign w:val="center"/>
          </w:tcPr>
          <w:p w14:paraId="15398EA1"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5C216159"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single" w:sz="4" w:space="0" w:color="auto"/>
              <w:right w:val="single" w:sz="4" w:space="0" w:color="auto"/>
            </w:tcBorders>
            <w:vAlign w:val="center"/>
          </w:tcPr>
          <w:p w14:paraId="07A06947"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sz w:val="16"/>
                <w:szCs w:val="16"/>
              </w:rPr>
              <w:t>Importación</w:t>
            </w:r>
          </w:p>
        </w:tc>
        <w:tc>
          <w:tcPr>
            <w:tcW w:w="493" w:type="pct"/>
            <w:tcBorders>
              <w:top w:val="nil"/>
              <w:left w:val="nil"/>
              <w:bottom w:val="single" w:sz="4" w:space="0" w:color="auto"/>
              <w:right w:val="single" w:sz="4" w:space="0" w:color="auto"/>
            </w:tcBorders>
            <w:noWrap/>
            <w:vAlign w:val="center"/>
          </w:tcPr>
          <w:p w14:paraId="2FF38962"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17,108</w:t>
            </w:r>
          </w:p>
        </w:tc>
        <w:tc>
          <w:tcPr>
            <w:tcW w:w="493" w:type="pct"/>
            <w:tcBorders>
              <w:top w:val="nil"/>
              <w:left w:val="nil"/>
              <w:bottom w:val="single" w:sz="4" w:space="0" w:color="auto"/>
              <w:right w:val="single" w:sz="4" w:space="0" w:color="auto"/>
            </w:tcBorders>
            <w:noWrap/>
            <w:vAlign w:val="center"/>
          </w:tcPr>
          <w:p w14:paraId="2CEA3E1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30,019</w:t>
            </w:r>
          </w:p>
        </w:tc>
        <w:tc>
          <w:tcPr>
            <w:tcW w:w="492" w:type="pct"/>
            <w:tcBorders>
              <w:bottom w:val="single" w:sz="4" w:space="0" w:color="auto"/>
              <w:right w:val="single" w:sz="2" w:space="0" w:color="auto"/>
            </w:tcBorders>
            <w:noWrap/>
            <w:vAlign w:val="center"/>
          </w:tcPr>
          <w:p w14:paraId="315D72E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6,574</w:t>
            </w:r>
          </w:p>
        </w:tc>
      </w:tr>
      <w:tr w:rsidR="000C171B" w:rsidRPr="0010306A" w14:paraId="0E8E59F5" w14:textId="77777777" w:rsidTr="0049743F">
        <w:trPr>
          <w:trHeight w:val="60"/>
        </w:trPr>
        <w:tc>
          <w:tcPr>
            <w:tcW w:w="391" w:type="pct"/>
            <w:tcBorders>
              <w:top w:val="single" w:sz="4" w:space="0" w:color="auto"/>
              <w:left w:val="single" w:sz="4" w:space="0" w:color="auto"/>
              <w:bottom w:val="single" w:sz="4" w:space="0" w:color="auto"/>
              <w:right w:val="single" w:sz="4" w:space="0" w:color="auto"/>
            </w:tcBorders>
            <w:vAlign w:val="center"/>
          </w:tcPr>
          <w:p w14:paraId="682FBF9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8</w:t>
            </w:r>
          </w:p>
        </w:tc>
        <w:tc>
          <w:tcPr>
            <w:tcW w:w="1565" w:type="pct"/>
            <w:tcBorders>
              <w:top w:val="single" w:sz="4" w:space="0" w:color="auto"/>
              <w:left w:val="nil"/>
              <w:bottom w:val="single" w:sz="4" w:space="0" w:color="auto"/>
              <w:right w:val="single" w:sz="4" w:space="0" w:color="auto"/>
            </w:tcBorders>
          </w:tcPr>
          <w:p w14:paraId="0AD66984"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 xml:space="preserve">Tasa de crecimiento anual del PIB real per cápita (en porcentaje). </w:t>
            </w:r>
          </w:p>
        </w:tc>
        <w:tc>
          <w:tcPr>
            <w:tcW w:w="1566" w:type="pct"/>
            <w:tcBorders>
              <w:top w:val="single" w:sz="4" w:space="0" w:color="auto"/>
              <w:left w:val="nil"/>
              <w:bottom w:val="single" w:sz="4" w:space="0" w:color="auto"/>
              <w:right w:val="single" w:sz="4" w:space="0" w:color="auto"/>
            </w:tcBorders>
            <w:vAlign w:val="center"/>
          </w:tcPr>
          <w:p w14:paraId="5E9A9603"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 xml:space="preserve">Total </w:t>
            </w:r>
          </w:p>
        </w:tc>
        <w:tc>
          <w:tcPr>
            <w:tcW w:w="493" w:type="pct"/>
            <w:tcBorders>
              <w:top w:val="single" w:sz="4" w:space="0" w:color="auto"/>
              <w:left w:val="nil"/>
              <w:bottom w:val="single" w:sz="4" w:space="0" w:color="auto"/>
              <w:right w:val="single" w:sz="4" w:space="0" w:color="auto"/>
            </w:tcBorders>
            <w:noWrap/>
            <w:vAlign w:val="center"/>
          </w:tcPr>
          <w:p w14:paraId="6B79DF9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3.9</w:t>
            </w:r>
          </w:p>
        </w:tc>
        <w:tc>
          <w:tcPr>
            <w:tcW w:w="493" w:type="pct"/>
            <w:tcBorders>
              <w:top w:val="single" w:sz="4" w:space="0" w:color="auto"/>
              <w:left w:val="nil"/>
              <w:bottom w:val="single" w:sz="4" w:space="0" w:color="auto"/>
              <w:right w:val="single" w:sz="4" w:space="0" w:color="auto"/>
            </w:tcBorders>
            <w:noWrap/>
            <w:vAlign w:val="center"/>
          </w:tcPr>
          <w:p w14:paraId="3D843A70"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3.4</w:t>
            </w:r>
          </w:p>
        </w:tc>
        <w:tc>
          <w:tcPr>
            <w:tcW w:w="492" w:type="pct"/>
            <w:tcBorders>
              <w:top w:val="single" w:sz="4" w:space="0" w:color="auto"/>
              <w:bottom w:val="single" w:sz="4" w:space="0" w:color="auto"/>
              <w:right w:val="single" w:sz="2" w:space="0" w:color="auto"/>
            </w:tcBorders>
            <w:noWrap/>
            <w:vAlign w:val="center"/>
          </w:tcPr>
          <w:p w14:paraId="14C2C1B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3.8</w:t>
            </w:r>
          </w:p>
        </w:tc>
      </w:tr>
      <w:tr w:rsidR="000C171B" w:rsidRPr="0010306A" w14:paraId="7D2A0586" w14:textId="77777777" w:rsidTr="0049743F">
        <w:trPr>
          <w:trHeight w:val="60"/>
        </w:trPr>
        <w:tc>
          <w:tcPr>
            <w:tcW w:w="391" w:type="pct"/>
            <w:tcBorders>
              <w:top w:val="single" w:sz="4" w:space="0" w:color="auto"/>
              <w:left w:val="single" w:sz="4" w:space="0" w:color="auto"/>
              <w:bottom w:val="single" w:sz="4" w:space="0" w:color="auto"/>
              <w:right w:val="single" w:sz="4" w:space="0" w:color="auto"/>
            </w:tcBorders>
            <w:vAlign w:val="center"/>
          </w:tcPr>
          <w:p w14:paraId="061DC2A1"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8</w:t>
            </w:r>
          </w:p>
        </w:tc>
        <w:tc>
          <w:tcPr>
            <w:tcW w:w="1565" w:type="pct"/>
            <w:tcBorders>
              <w:top w:val="single" w:sz="4" w:space="0" w:color="auto"/>
              <w:left w:val="nil"/>
              <w:bottom w:val="single" w:sz="4" w:space="0" w:color="auto"/>
              <w:right w:val="single" w:sz="4" w:space="0" w:color="auto"/>
            </w:tcBorders>
          </w:tcPr>
          <w:p w14:paraId="3EC05DED"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eastAsia="Times New Roman" w:hAnsi="Arial Narrow" w:cs="Calibri"/>
                <w:sz w:val="16"/>
                <w:szCs w:val="16"/>
                <w:lang w:eastAsia="es-PA"/>
              </w:rPr>
              <w:t>Producto interno bruto per cápita según provincia</w:t>
            </w:r>
          </w:p>
        </w:tc>
        <w:tc>
          <w:tcPr>
            <w:tcW w:w="1566" w:type="pct"/>
            <w:tcBorders>
              <w:top w:val="single" w:sz="4" w:space="0" w:color="auto"/>
              <w:left w:val="nil"/>
              <w:bottom w:val="single" w:sz="4" w:space="0" w:color="auto"/>
              <w:right w:val="single" w:sz="4" w:space="0" w:color="auto"/>
            </w:tcBorders>
            <w:vAlign w:val="center"/>
          </w:tcPr>
          <w:p w14:paraId="74E012DA"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 xml:space="preserve">Total </w:t>
            </w:r>
          </w:p>
        </w:tc>
        <w:tc>
          <w:tcPr>
            <w:tcW w:w="493" w:type="pct"/>
            <w:tcBorders>
              <w:top w:val="single" w:sz="4" w:space="0" w:color="auto"/>
              <w:left w:val="nil"/>
              <w:bottom w:val="single" w:sz="4" w:space="0" w:color="auto"/>
              <w:right w:val="single" w:sz="4" w:space="0" w:color="auto"/>
            </w:tcBorders>
            <w:noWrap/>
            <w:vAlign w:val="center"/>
          </w:tcPr>
          <w:p w14:paraId="53403985"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9,136.8</w:t>
            </w:r>
          </w:p>
        </w:tc>
        <w:tc>
          <w:tcPr>
            <w:tcW w:w="493" w:type="pct"/>
            <w:tcBorders>
              <w:top w:val="single" w:sz="4" w:space="0" w:color="auto"/>
              <w:left w:val="nil"/>
              <w:bottom w:val="single" w:sz="4" w:space="0" w:color="auto"/>
              <w:right w:val="single" w:sz="4" w:space="0" w:color="auto"/>
            </w:tcBorders>
            <w:noWrap/>
            <w:vAlign w:val="center"/>
          </w:tcPr>
          <w:p w14:paraId="61EB74C3"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9,446.1</w:t>
            </w:r>
          </w:p>
        </w:tc>
        <w:tc>
          <w:tcPr>
            <w:tcW w:w="492" w:type="pct"/>
            <w:tcBorders>
              <w:top w:val="single" w:sz="4" w:space="0" w:color="auto"/>
              <w:bottom w:val="single" w:sz="4" w:space="0" w:color="auto"/>
              <w:right w:val="single" w:sz="2" w:space="0" w:color="auto"/>
            </w:tcBorders>
            <w:noWrap/>
            <w:vAlign w:val="center"/>
          </w:tcPr>
          <w:p w14:paraId="20EB47B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9,803.7</w:t>
            </w:r>
          </w:p>
        </w:tc>
      </w:tr>
      <w:tr w:rsidR="000C171B" w:rsidRPr="0010306A" w14:paraId="48B1F81C" w14:textId="77777777" w:rsidTr="0049743F">
        <w:trPr>
          <w:trHeight w:val="60"/>
        </w:trPr>
        <w:tc>
          <w:tcPr>
            <w:tcW w:w="391" w:type="pct"/>
            <w:tcBorders>
              <w:top w:val="single" w:sz="4" w:space="0" w:color="auto"/>
              <w:left w:val="single" w:sz="4" w:space="0" w:color="auto"/>
              <w:bottom w:val="single" w:sz="4" w:space="0" w:color="auto"/>
              <w:right w:val="single" w:sz="4" w:space="0" w:color="auto"/>
            </w:tcBorders>
            <w:vAlign w:val="center"/>
          </w:tcPr>
          <w:p w14:paraId="5022D6A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8</w:t>
            </w:r>
          </w:p>
        </w:tc>
        <w:tc>
          <w:tcPr>
            <w:tcW w:w="1565" w:type="pct"/>
            <w:tcBorders>
              <w:top w:val="single" w:sz="4" w:space="0" w:color="auto"/>
              <w:left w:val="nil"/>
              <w:bottom w:val="single" w:sz="4" w:space="0" w:color="auto"/>
              <w:right w:val="single" w:sz="4" w:space="0" w:color="auto"/>
            </w:tcBorders>
          </w:tcPr>
          <w:p w14:paraId="63925B06"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eastAsia="Times New Roman" w:hAnsi="Arial Narrow" w:cs="Arial"/>
                <w:color w:val="000000"/>
                <w:sz w:val="16"/>
                <w:szCs w:val="16"/>
                <w:lang w:eastAsia="es-PA"/>
              </w:rPr>
              <w:t>Tasa de crecimiento anual del PIB real por persona empleada (en porcentaje).</w:t>
            </w:r>
          </w:p>
        </w:tc>
        <w:tc>
          <w:tcPr>
            <w:tcW w:w="1566" w:type="pct"/>
            <w:tcBorders>
              <w:top w:val="single" w:sz="4" w:space="0" w:color="auto"/>
              <w:left w:val="nil"/>
              <w:bottom w:val="single" w:sz="4" w:space="0" w:color="auto"/>
              <w:right w:val="single" w:sz="4" w:space="0" w:color="auto"/>
            </w:tcBorders>
            <w:vAlign w:val="center"/>
          </w:tcPr>
          <w:p w14:paraId="00BAED85"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 xml:space="preserve">Total </w:t>
            </w:r>
          </w:p>
        </w:tc>
        <w:tc>
          <w:tcPr>
            <w:tcW w:w="493" w:type="pct"/>
            <w:tcBorders>
              <w:top w:val="single" w:sz="4" w:space="0" w:color="auto"/>
              <w:left w:val="nil"/>
              <w:bottom w:val="single" w:sz="4" w:space="0" w:color="auto"/>
              <w:right w:val="single" w:sz="4" w:space="0" w:color="auto"/>
            </w:tcBorders>
            <w:noWrap/>
            <w:vAlign w:val="center"/>
          </w:tcPr>
          <w:p w14:paraId="1E36AFD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Arial"/>
                <w:sz w:val="16"/>
                <w:szCs w:val="16"/>
                <w:lang w:eastAsia="es-PA"/>
              </w:rPr>
              <w:t>3.2</w:t>
            </w:r>
          </w:p>
        </w:tc>
        <w:tc>
          <w:tcPr>
            <w:tcW w:w="493" w:type="pct"/>
            <w:tcBorders>
              <w:top w:val="single" w:sz="4" w:space="0" w:color="auto"/>
              <w:left w:val="nil"/>
              <w:bottom w:val="single" w:sz="4" w:space="0" w:color="auto"/>
              <w:right w:val="single" w:sz="4" w:space="0" w:color="auto"/>
            </w:tcBorders>
            <w:noWrap/>
            <w:vAlign w:val="center"/>
          </w:tcPr>
          <w:p w14:paraId="3305224D"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Arial"/>
                <w:sz w:val="16"/>
                <w:szCs w:val="16"/>
                <w:lang w:eastAsia="es-PA"/>
              </w:rPr>
              <w:t>2.8</w:t>
            </w:r>
          </w:p>
        </w:tc>
        <w:tc>
          <w:tcPr>
            <w:tcW w:w="492" w:type="pct"/>
            <w:tcBorders>
              <w:top w:val="single" w:sz="4" w:space="0" w:color="auto"/>
              <w:bottom w:val="single" w:sz="4" w:space="0" w:color="auto"/>
              <w:right w:val="single" w:sz="2" w:space="0" w:color="auto"/>
            </w:tcBorders>
            <w:noWrap/>
            <w:vAlign w:val="center"/>
          </w:tcPr>
          <w:p w14:paraId="6701BCB9"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Arial"/>
                <w:sz w:val="16"/>
                <w:szCs w:val="16"/>
                <w:lang w:eastAsia="es-PA"/>
              </w:rPr>
              <w:t>3.7</w:t>
            </w:r>
          </w:p>
        </w:tc>
      </w:tr>
      <w:tr w:rsidR="000C171B" w:rsidRPr="0010306A" w14:paraId="3503B180" w14:textId="77777777" w:rsidTr="0049743F">
        <w:trPr>
          <w:trHeight w:val="60"/>
        </w:trPr>
        <w:tc>
          <w:tcPr>
            <w:tcW w:w="391" w:type="pct"/>
            <w:vMerge w:val="restart"/>
            <w:tcBorders>
              <w:top w:val="single" w:sz="4" w:space="0" w:color="auto"/>
              <w:left w:val="single" w:sz="4" w:space="0" w:color="auto"/>
              <w:right w:val="single" w:sz="4" w:space="0" w:color="auto"/>
            </w:tcBorders>
          </w:tcPr>
          <w:p w14:paraId="6E8825BB"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8</w:t>
            </w:r>
          </w:p>
        </w:tc>
        <w:tc>
          <w:tcPr>
            <w:tcW w:w="1565" w:type="pct"/>
            <w:vMerge w:val="restart"/>
            <w:tcBorders>
              <w:top w:val="single" w:sz="4" w:space="0" w:color="auto"/>
              <w:left w:val="nil"/>
              <w:right w:val="single" w:sz="4" w:space="0" w:color="auto"/>
            </w:tcBorders>
          </w:tcPr>
          <w:p w14:paraId="781C75C9"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Proporción directa del turismo en el PIB como proporción del PIB total y en la tasa de crecimiento</w:t>
            </w:r>
          </w:p>
        </w:tc>
        <w:tc>
          <w:tcPr>
            <w:tcW w:w="1566" w:type="pct"/>
            <w:tcBorders>
              <w:top w:val="single" w:sz="4" w:space="0" w:color="auto"/>
              <w:left w:val="nil"/>
              <w:bottom w:val="nil"/>
              <w:right w:val="single" w:sz="4" w:space="0" w:color="auto"/>
            </w:tcBorders>
          </w:tcPr>
          <w:p w14:paraId="76DF8DC9"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Proporción del gasto de turismo entre PIB total</w:t>
            </w:r>
          </w:p>
        </w:tc>
        <w:tc>
          <w:tcPr>
            <w:tcW w:w="493" w:type="pct"/>
            <w:tcBorders>
              <w:top w:val="single" w:sz="4" w:space="0" w:color="auto"/>
              <w:left w:val="nil"/>
              <w:bottom w:val="nil"/>
              <w:right w:val="single" w:sz="4" w:space="0" w:color="auto"/>
            </w:tcBorders>
            <w:noWrap/>
            <w:vAlign w:val="center"/>
          </w:tcPr>
          <w:p w14:paraId="794F5C44"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7.3</w:t>
            </w:r>
          </w:p>
        </w:tc>
        <w:tc>
          <w:tcPr>
            <w:tcW w:w="493" w:type="pct"/>
            <w:tcBorders>
              <w:top w:val="single" w:sz="4" w:space="0" w:color="auto"/>
              <w:left w:val="nil"/>
              <w:bottom w:val="nil"/>
              <w:right w:val="single" w:sz="4" w:space="0" w:color="auto"/>
            </w:tcBorders>
            <w:noWrap/>
            <w:vAlign w:val="center"/>
          </w:tcPr>
          <w:p w14:paraId="74938D7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7.6</w:t>
            </w:r>
          </w:p>
        </w:tc>
        <w:tc>
          <w:tcPr>
            <w:tcW w:w="492" w:type="pct"/>
            <w:tcBorders>
              <w:top w:val="single" w:sz="4" w:space="0" w:color="auto"/>
              <w:right w:val="single" w:sz="2" w:space="0" w:color="auto"/>
            </w:tcBorders>
            <w:noWrap/>
            <w:vAlign w:val="center"/>
          </w:tcPr>
          <w:p w14:paraId="5BA71CA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7.2</w:t>
            </w:r>
          </w:p>
        </w:tc>
      </w:tr>
      <w:tr w:rsidR="000C171B" w:rsidRPr="0010306A" w14:paraId="5BE1BAD1" w14:textId="77777777" w:rsidTr="0049743F">
        <w:trPr>
          <w:trHeight w:val="60"/>
        </w:trPr>
        <w:tc>
          <w:tcPr>
            <w:tcW w:w="391" w:type="pct"/>
            <w:vMerge/>
            <w:tcBorders>
              <w:left w:val="single" w:sz="4" w:space="0" w:color="auto"/>
              <w:bottom w:val="single" w:sz="4" w:space="0" w:color="auto"/>
              <w:right w:val="single" w:sz="4" w:space="0" w:color="auto"/>
            </w:tcBorders>
            <w:vAlign w:val="center"/>
          </w:tcPr>
          <w:p w14:paraId="69BD4C1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1E1E2C30"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single" w:sz="4" w:space="0" w:color="auto"/>
              <w:right w:val="single" w:sz="4" w:space="0" w:color="auto"/>
            </w:tcBorders>
          </w:tcPr>
          <w:p w14:paraId="0691E8A2"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Tasa de crecimiento del gasto de turismo</w:t>
            </w:r>
          </w:p>
        </w:tc>
        <w:tc>
          <w:tcPr>
            <w:tcW w:w="493" w:type="pct"/>
            <w:tcBorders>
              <w:top w:val="nil"/>
              <w:left w:val="nil"/>
              <w:bottom w:val="single" w:sz="4" w:space="0" w:color="auto"/>
              <w:right w:val="single" w:sz="4" w:space="0" w:color="auto"/>
            </w:tcBorders>
            <w:noWrap/>
            <w:vAlign w:val="center"/>
          </w:tcPr>
          <w:p w14:paraId="2696555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5.9</w:t>
            </w:r>
          </w:p>
        </w:tc>
        <w:tc>
          <w:tcPr>
            <w:tcW w:w="493" w:type="pct"/>
            <w:tcBorders>
              <w:top w:val="nil"/>
              <w:left w:val="nil"/>
              <w:bottom w:val="single" w:sz="4" w:space="0" w:color="auto"/>
              <w:right w:val="single" w:sz="4" w:space="0" w:color="auto"/>
            </w:tcBorders>
            <w:noWrap/>
            <w:vAlign w:val="center"/>
          </w:tcPr>
          <w:p w14:paraId="7055815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11.6</w:t>
            </w:r>
          </w:p>
        </w:tc>
        <w:tc>
          <w:tcPr>
            <w:tcW w:w="492" w:type="pct"/>
            <w:tcBorders>
              <w:bottom w:val="single" w:sz="4" w:space="0" w:color="auto"/>
              <w:right w:val="single" w:sz="2" w:space="0" w:color="auto"/>
            </w:tcBorders>
            <w:noWrap/>
            <w:vAlign w:val="center"/>
          </w:tcPr>
          <w:p w14:paraId="1B4FB50F"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11.1</w:t>
            </w:r>
          </w:p>
        </w:tc>
      </w:tr>
      <w:tr w:rsidR="000C171B" w:rsidRPr="0010306A" w14:paraId="75BD1AA4" w14:textId="77777777" w:rsidTr="0049743F">
        <w:trPr>
          <w:trHeight w:val="60"/>
        </w:trPr>
        <w:tc>
          <w:tcPr>
            <w:tcW w:w="391" w:type="pct"/>
            <w:vMerge w:val="restart"/>
            <w:tcBorders>
              <w:top w:val="single" w:sz="4" w:space="0" w:color="auto"/>
              <w:left w:val="single" w:sz="4" w:space="0" w:color="auto"/>
              <w:right w:val="single" w:sz="4" w:space="0" w:color="auto"/>
            </w:tcBorders>
            <w:vAlign w:val="center"/>
          </w:tcPr>
          <w:p w14:paraId="7DC8D0D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8</w:t>
            </w:r>
          </w:p>
        </w:tc>
        <w:tc>
          <w:tcPr>
            <w:tcW w:w="1565" w:type="pct"/>
            <w:vMerge w:val="restart"/>
            <w:tcBorders>
              <w:top w:val="single" w:sz="4" w:space="0" w:color="auto"/>
              <w:left w:val="nil"/>
              <w:right w:val="single" w:sz="4" w:space="0" w:color="auto"/>
            </w:tcBorders>
          </w:tcPr>
          <w:p w14:paraId="1C01D8E6"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Proporción del empleo informal en el empleo no agrícola, por sexo</w:t>
            </w:r>
          </w:p>
        </w:tc>
        <w:tc>
          <w:tcPr>
            <w:tcW w:w="1566" w:type="pct"/>
            <w:tcBorders>
              <w:top w:val="single" w:sz="4" w:space="0" w:color="auto"/>
              <w:left w:val="nil"/>
              <w:bottom w:val="nil"/>
              <w:right w:val="single" w:sz="4" w:space="0" w:color="auto"/>
            </w:tcBorders>
            <w:vAlign w:val="center"/>
          </w:tcPr>
          <w:p w14:paraId="0DEAB9F6"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eastAsia="Times New Roman" w:hAnsi="Arial Narrow" w:cs="Calibri"/>
                <w:sz w:val="16"/>
                <w:szCs w:val="16"/>
                <w:lang w:eastAsia="es-PA"/>
              </w:rPr>
              <w:t>Total</w:t>
            </w:r>
          </w:p>
        </w:tc>
        <w:tc>
          <w:tcPr>
            <w:tcW w:w="493" w:type="pct"/>
            <w:tcBorders>
              <w:top w:val="single" w:sz="4" w:space="0" w:color="auto"/>
              <w:left w:val="nil"/>
              <w:bottom w:val="nil"/>
              <w:right w:val="single" w:sz="4" w:space="0" w:color="auto"/>
            </w:tcBorders>
            <w:noWrap/>
            <w:vAlign w:val="center"/>
          </w:tcPr>
          <w:p w14:paraId="00ECD402"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39.9</w:t>
            </w:r>
          </w:p>
        </w:tc>
        <w:tc>
          <w:tcPr>
            <w:tcW w:w="493" w:type="pct"/>
            <w:tcBorders>
              <w:top w:val="single" w:sz="4" w:space="0" w:color="auto"/>
              <w:left w:val="nil"/>
              <w:bottom w:val="nil"/>
              <w:right w:val="single" w:sz="4" w:space="0" w:color="auto"/>
            </w:tcBorders>
            <w:noWrap/>
            <w:vAlign w:val="center"/>
          </w:tcPr>
          <w:p w14:paraId="188E08B3"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40.2</w:t>
            </w:r>
          </w:p>
        </w:tc>
        <w:tc>
          <w:tcPr>
            <w:tcW w:w="492" w:type="pct"/>
            <w:tcBorders>
              <w:top w:val="single" w:sz="4" w:space="0" w:color="auto"/>
              <w:right w:val="single" w:sz="2" w:space="0" w:color="auto"/>
            </w:tcBorders>
            <w:noWrap/>
            <w:vAlign w:val="center"/>
          </w:tcPr>
          <w:p w14:paraId="1BF088CE"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40.8</w:t>
            </w:r>
          </w:p>
        </w:tc>
      </w:tr>
      <w:tr w:rsidR="000C171B" w:rsidRPr="0010306A" w14:paraId="3EBBA750" w14:textId="77777777" w:rsidTr="0049743F">
        <w:trPr>
          <w:trHeight w:val="60"/>
        </w:trPr>
        <w:tc>
          <w:tcPr>
            <w:tcW w:w="391" w:type="pct"/>
            <w:vMerge/>
            <w:tcBorders>
              <w:left w:val="single" w:sz="4" w:space="0" w:color="auto"/>
              <w:right w:val="single" w:sz="4" w:space="0" w:color="auto"/>
            </w:tcBorders>
            <w:vAlign w:val="center"/>
          </w:tcPr>
          <w:p w14:paraId="72B3F8ED"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7D61A18B"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nil"/>
              <w:right w:val="single" w:sz="4" w:space="0" w:color="auto"/>
            </w:tcBorders>
            <w:vAlign w:val="center"/>
          </w:tcPr>
          <w:p w14:paraId="257F3EAB"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eastAsia="Times New Roman" w:hAnsi="Arial Narrow" w:cs="Calibri"/>
                <w:sz w:val="16"/>
                <w:szCs w:val="16"/>
                <w:lang w:eastAsia="es-PA"/>
              </w:rPr>
              <w:t>Hombre</w:t>
            </w:r>
          </w:p>
        </w:tc>
        <w:tc>
          <w:tcPr>
            <w:tcW w:w="493" w:type="pct"/>
            <w:tcBorders>
              <w:top w:val="nil"/>
              <w:left w:val="nil"/>
              <w:bottom w:val="nil"/>
              <w:right w:val="single" w:sz="4" w:space="0" w:color="auto"/>
            </w:tcBorders>
            <w:noWrap/>
            <w:vAlign w:val="center"/>
          </w:tcPr>
          <w:p w14:paraId="1D93F2A0"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40.7</w:t>
            </w:r>
          </w:p>
        </w:tc>
        <w:tc>
          <w:tcPr>
            <w:tcW w:w="493" w:type="pct"/>
            <w:tcBorders>
              <w:top w:val="nil"/>
              <w:left w:val="nil"/>
              <w:bottom w:val="nil"/>
              <w:right w:val="single" w:sz="4" w:space="0" w:color="auto"/>
            </w:tcBorders>
            <w:noWrap/>
            <w:vAlign w:val="center"/>
          </w:tcPr>
          <w:p w14:paraId="4FCFA90F"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40.3</w:t>
            </w:r>
          </w:p>
        </w:tc>
        <w:tc>
          <w:tcPr>
            <w:tcW w:w="492" w:type="pct"/>
            <w:tcBorders>
              <w:right w:val="single" w:sz="2" w:space="0" w:color="auto"/>
            </w:tcBorders>
            <w:noWrap/>
            <w:vAlign w:val="center"/>
          </w:tcPr>
          <w:p w14:paraId="6C95827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41.4</w:t>
            </w:r>
          </w:p>
        </w:tc>
      </w:tr>
      <w:tr w:rsidR="000C171B" w:rsidRPr="0010306A" w14:paraId="02D365F4" w14:textId="77777777" w:rsidTr="0049743F">
        <w:trPr>
          <w:trHeight w:val="60"/>
        </w:trPr>
        <w:tc>
          <w:tcPr>
            <w:tcW w:w="391" w:type="pct"/>
            <w:vMerge/>
            <w:tcBorders>
              <w:left w:val="single" w:sz="4" w:space="0" w:color="auto"/>
              <w:bottom w:val="single" w:sz="4" w:space="0" w:color="auto"/>
              <w:right w:val="single" w:sz="4" w:space="0" w:color="auto"/>
            </w:tcBorders>
            <w:vAlign w:val="center"/>
          </w:tcPr>
          <w:p w14:paraId="400E8101"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0777CE25" w14:textId="77777777" w:rsidR="000C171B" w:rsidRPr="00D336D1" w:rsidRDefault="000C171B" w:rsidP="0049743F">
            <w:pPr>
              <w:spacing w:after="0" w:line="240" w:lineRule="auto"/>
              <w:rPr>
                <w:rFonts w:ascii="Arial Narrow" w:hAnsi="Arial Narrow" w:cs="Arial Narrow"/>
                <w:color w:val="000000"/>
                <w:sz w:val="16"/>
                <w:szCs w:val="16"/>
              </w:rPr>
            </w:pPr>
          </w:p>
        </w:tc>
        <w:tc>
          <w:tcPr>
            <w:tcW w:w="1566" w:type="pct"/>
            <w:tcBorders>
              <w:top w:val="nil"/>
              <w:left w:val="nil"/>
              <w:bottom w:val="single" w:sz="4" w:space="0" w:color="auto"/>
              <w:right w:val="single" w:sz="4" w:space="0" w:color="auto"/>
            </w:tcBorders>
            <w:vAlign w:val="center"/>
          </w:tcPr>
          <w:p w14:paraId="1A2C1F8F"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eastAsia="Times New Roman" w:hAnsi="Arial Narrow" w:cs="Calibri"/>
                <w:sz w:val="16"/>
                <w:szCs w:val="16"/>
                <w:lang w:eastAsia="es-PA"/>
              </w:rPr>
              <w:t>Mujer</w:t>
            </w:r>
          </w:p>
        </w:tc>
        <w:tc>
          <w:tcPr>
            <w:tcW w:w="493" w:type="pct"/>
            <w:tcBorders>
              <w:top w:val="nil"/>
              <w:left w:val="nil"/>
              <w:bottom w:val="single" w:sz="4" w:space="0" w:color="auto"/>
              <w:right w:val="single" w:sz="4" w:space="0" w:color="auto"/>
            </w:tcBorders>
            <w:noWrap/>
            <w:vAlign w:val="center"/>
          </w:tcPr>
          <w:p w14:paraId="29C37AAE"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39.0</w:t>
            </w:r>
          </w:p>
        </w:tc>
        <w:tc>
          <w:tcPr>
            <w:tcW w:w="493" w:type="pct"/>
            <w:tcBorders>
              <w:top w:val="nil"/>
              <w:left w:val="nil"/>
              <w:bottom w:val="single" w:sz="4" w:space="0" w:color="auto"/>
              <w:right w:val="single" w:sz="4" w:space="0" w:color="auto"/>
            </w:tcBorders>
            <w:noWrap/>
            <w:vAlign w:val="center"/>
          </w:tcPr>
          <w:p w14:paraId="4B4634D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40.1</w:t>
            </w:r>
          </w:p>
        </w:tc>
        <w:tc>
          <w:tcPr>
            <w:tcW w:w="492" w:type="pct"/>
            <w:tcBorders>
              <w:bottom w:val="single" w:sz="4" w:space="0" w:color="auto"/>
              <w:right w:val="single" w:sz="2" w:space="0" w:color="auto"/>
            </w:tcBorders>
            <w:noWrap/>
            <w:vAlign w:val="center"/>
          </w:tcPr>
          <w:p w14:paraId="5F66B8F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40.0</w:t>
            </w:r>
          </w:p>
        </w:tc>
      </w:tr>
      <w:tr w:rsidR="000C171B" w:rsidRPr="0010306A" w14:paraId="098B6F5B" w14:textId="77777777" w:rsidTr="0049743F">
        <w:trPr>
          <w:trHeight w:val="60"/>
        </w:trPr>
        <w:tc>
          <w:tcPr>
            <w:tcW w:w="391" w:type="pct"/>
            <w:vMerge w:val="restart"/>
            <w:tcBorders>
              <w:top w:val="single" w:sz="4" w:space="0" w:color="auto"/>
              <w:left w:val="single" w:sz="4" w:space="0" w:color="auto"/>
              <w:right w:val="single" w:sz="4" w:space="0" w:color="auto"/>
            </w:tcBorders>
            <w:vAlign w:val="center"/>
          </w:tcPr>
          <w:p w14:paraId="02FB034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8</w:t>
            </w:r>
          </w:p>
        </w:tc>
        <w:tc>
          <w:tcPr>
            <w:tcW w:w="1565" w:type="pct"/>
            <w:vMerge w:val="restart"/>
            <w:tcBorders>
              <w:top w:val="single" w:sz="4" w:space="0" w:color="auto"/>
              <w:left w:val="nil"/>
              <w:right w:val="single" w:sz="4" w:space="0" w:color="auto"/>
            </w:tcBorders>
          </w:tcPr>
          <w:p w14:paraId="72B99921" w14:textId="77777777" w:rsidR="000C171B" w:rsidRPr="00D336D1" w:rsidRDefault="000C171B" w:rsidP="0049743F">
            <w:pPr>
              <w:spacing w:after="0" w:line="240" w:lineRule="auto"/>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Ingreso medio por hora de mujeres y hombres empleados de 18 años y más de edad, por ocupación</w:t>
            </w:r>
          </w:p>
        </w:tc>
        <w:tc>
          <w:tcPr>
            <w:tcW w:w="1566" w:type="pct"/>
            <w:tcBorders>
              <w:top w:val="single" w:sz="4" w:space="0" w:color="auto"/>
              <w:left w:val="nil"/>
              <w:bottom w:val="nil"/>
              <w:right w:val="single" w:sz="4" w:space="0" w:color="auto"/>
            </w:tcBorders>
            <w:vAlign w:val="center"/>
          </w:tcPr>
          <w:p w14:paraId="55346BC3"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 xml:space="preserve">Total </w:t>
            </w:r>
          </w:p>
        </w:tc>
        <w:tc>
          <w:tcPr>
            <w:tcW w:w="493" w:type="pct"/>
            <w:tcBorders>
              <w:top w:val="single" w:sz="4" w:space="0" w:color="auto"/>
              <w:left w:val="nil"/>
              <w:bottom w:val="nil"/>
              <w:right w:val="single" w:sz="4" w:space="0" w:color="auto"/>
            </w:tcBorders>
            <w:noWrap/>
            <w:vAlign w:val="center"/>
          </w:tcPr>
          <w:p w14:paraId="5716F5E0"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4.3</w:t>
            </w:r>
          </w:p>
        </w:tc>
        <w:tc>
          <w:tcPr>
            <w:tcW w:w="493" w:type="pct"/>
            <w:tcBorders>
              <w:top w:val="single" w:sz="4" w:space="0" w:color="auto"/>
              <w:left w:val="nil"/>
              <w:bottom w:val="nil"/>
              <w:right w:val="single" w:sz="4" w:space="0" w:color="auto"/>
            </w:tcBorders>
            <w:noWrap/>
            <w:vAlign w:val="center"/>
          </w:tcPr>
          <w:p w14:paraId="26E36AA4"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4.8</w:t>
            </w:r>
          </w:p>
        </w:tc>
        <w:tc>
          <w:tcPr>
            <w:tcW w:w="492" w:type="pct"/>
            <w:tcBorders>
              <w:top w:val="single" w:sz="4" w:space="0" w:color="auto"/>
              <w:right w:val="single" w:sz="2" w:space="0" w:color="auto"/>
            </w:tcBorders>
            <w:noWrap/>
            <w:vAlign w:val="center"/>
          </w:tcPr>
          <w:p w14:paraId="7D7EEE5D"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5.0</w:t>
            </w:r>
          </w:p>
        </w:tc>
      </w:tr>
      <w:tr w:rsidR="000C171B" w:rsidRPr="0010306A" w14:paraId="51000DB2" w14:textId="77777777" w:rsidTr="0049743F">
        <w:trPr>
          <w:trHeight w:val="60"/>
        </w:trPr>
        <w:tc>
          <w:tcPr>
            <w:tcW w:w="391" w:type="pct"/>
            <w:vMerge/>
            <w:tcBorders>
              <w:left w:val="single" w:sz="4" w:space="0" w:color="auto"/>
              <w:right w:val="single" w:sz="4" w:space="0" w:color="auto"/>
            </w:tcBorders>
            <w:vAlign w:val="center"/>
          </w:tcPr>
          <w:p w14:paraId="453BBC6B"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1FB81DDB"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755E0AE2"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Hombre</w:t>
            </w:r>
          </w:p>
        </w:tc>
        <w:tc>
          <w:tcPr>
            <w:tcW w:w="493" w:type="pct"/>
            <w:tcBorders>
              <w:top w:val="nil"/>
              <w:left w:val="nil"/>
              <w:bottom w:val="nil"/>
              <w:right w:val="single" w:sz="4" w:space="0" w:color="auto"/>
            </w:tcBorders>
            <w:noWrap/>
            <w:vAlign w:val="center"/>
          </w:tcPr>
          <w:p w14:paraId="33D48660"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4.3</w:t>
            </w:r>
          </w:p>
        </w:tc>
        <w:tc>
          <w:tcPr>
            <w:tcW w:w="493" w:type="pct"/>
            <w:tcBorders>
              <w:top w:val="nil"/>
              <w:left w:val="nil"/>
              <w:bottom w:val="nil"/>
              <w:right w:val="single" w:sz="4" w:space="0" w:color="auto"/>
            </w:tcBorders>
            <w:noWrap/>
            <w:vAlign w:val="center"/>
          </w:tcPr>
          <w:p w14:paraId="7B33D787"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4.8</w:t>
            </w:r>
          </w:p>
        </w:tc>
        <w:tc>
          <w:tcPr>
            <w:tcW w:w="492" w:type="pct"/>
            <w:tcBorders>
              <w:right w:val="single" w:sz="2" w:space="0" w:color="auto"/>
            </w:tcBorders>
            <w:noWrap/>
            <w:vAlign w:val="center"/>
          </w:tcPr>
          <w:p w14:paraId="0EE06143"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4.9</w:t>
            </w:r>
          </w:p>
        </w:tc>
      </w:tr>
      <w:tr w:rsidR="000C171B" w:rsidRPr="0010306A" w14:paraId="4244782C" w14:textId="77777777" w:rsidTr="0049743F">
        <w:trPr>
          <w:trHeight w:val="60"/>
        </w:trPr>
        <w:tc>
          <w:tcPr>
            <w:tcW w:w="391" w:type="pct"/>
            <w:vMerge/>
            <w:tcBorders>
              <w:left w:val="single" w:sz="4" w:space="0" w:color="auto"/>
              <w:bottom w:val="single" w:sz="4" w:space="0" w:color="auto"/>
              <w:right w:val="single" w:sz="4" w:space="0" w:color="auto"/>
            </w:tcBorders>
            <w:vAlign w:val="center"/>
          </w:tcPr>
          <w:p w14:paraId="0A1A5503"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2F3C046C"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2C825CC8"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 xml:space="preserve">Mujer </w:t>
            </w:r>
          </w:p>
        </w:tc>
        <w:tc>
          <w:tcPr>
            <w:tcW w:w="493" w:type="pct"/>
            <w:tcBorders>
              <w:top w:val="nil"/>
              <w:left w:val="nil"/>
              <w:bottom w:val="single" w:sz="4" w:space="0" w:color="auto"/>
              <w:right w:val="single" w:sz="4" w:space="0" w:color="auto"/>
            </w:tcBorders>
            <w:noWrap/>
            <w:vAlign w:val="center"/>
          </w:tcPr>
          <w:p w14:paraId="202E2B5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4.2</w:t>
            </w:r>
          </w:p>
        </w:tc>
        <w:tc>
          <w:tcPr>
            <w:tcW w:w="493" w:type="pct"/>
            <w:tcBorders>
              <w:top w:val="nil"/>
              <w:left w:val="nil"/>
              <w:bottom w:val="single" w:sz="4" w:space="0" w:color="auto"/>
              <w:right w:val="single" w:sz="4" w:space="0" w:color="auto"/>
            </w:tcBorders>
            <w:noWrap/>
            <w:vAlign w:val="center"/>
          </w:tcPr>
          <w:p w14:paraId="264080E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4.7</w:t>
            </w:r>
          </w:p>
        </w:tc>
        <w:tc>
          <w:tcPr>
            <w:tcW w:w="492" w:type="pct"/>
            <w:tcBorders>
              <w:bottom w:val="single" w:sz="4" w:space="0" w:color="auto"/>
              <w:right w:val="single" w:sz="2" w:space="0" w:color="auto"/>
            </w:tcBorders>
            <w:noWrap/>
            <w:vAlign w:val="center"/>
          </w:tcPr>
          <w:p w14:paraId="139E7D95"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5.1</w:t>
            </w:r>
          </w:p>
        </w:tc>
      </w:tr>
      <w:tr w:rsidR="000C171B" w:rsidRPr="0010306A" w14:paraId="178F3273" w14:textId="77777777" w:rsidTr="0049743F">
        <w:trPr>
          <w:trHeight w:val="60"/>
        </w:trPr>
        <w:tc>
          <w:tcPr>
            <w:tcW w:w="391" w:type="pct"/>
            <w:vMerge w:val="restart"/>
            <w:tcBorders>
              <w:top w:val="single" w:sz="4" w:space="0" w:color="auto"/>
              <w:left w:val="single" w:sz="4" w:space="0" w:color="auto"/>
              <w:right w:val="single" w:sz="4" w:space="0" w:color="auto"/>
            </w:tcBorders>
            <w:vAlign w:val="center"/>
          </w:tcPr>
          <w:p w14:paraId="57C30EEB"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8</w:t>
            </w:r>
          </w:p>
        </w:tc>
        <w:tc>
          <w:tcPr>
            <w:tcW w:w="1565" w:type="pct"/>
            <w:vMerge w:val="restart"/>
            <w:tcBorders>
              <w:top w:val="single" w:sz="4" w:space="0" w:color="auto"/>
              <w:left w:val="nil"/>
              <w:right w:val="single" w:sz="4" w:space="0" w:color="auto"/>
            </w:tcBorders>
          </w:tcPr>
          <w:p w14:paraId="71202C87"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 xml:space="preserve">Tasa de desempleo según sexo y área </w:t>
            </w:r>
          </w:p>
        </w:tc>
        <w:tc>
          <w:tcPr>
            <w:tcW w:w="1566" w:type="pct"/>
            <w:tcBorders>
              <w:top w:val="single" w:sz="4" w:space="0" w:color="auto"/>
              <w:left w:val="nil"/>
              <w:bottom w:val="nil"/>
              <w:right w:val="single" w:sz="4" w:space="0" w:color="auto"/>
            </w:tcBorders>
            <w:vAlign w:val="center"/>
          </w:tcPr>
          <w:p w14:paraId="7A592B1B"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 xml:space="preserve">Total </w:t>
            </w:r>
          </w:p>
        </w:tc>
        <w:tc>
          <w:tcPr>
            <w:tcW w:w="493" w:type="pct"/>
            <w:tcBorders>
              <w:top w:val="single" w:sz="4" w:space="0" w:color="auto"/>
              <w:left w:val="nil"/>
              <w:bottom w:val="nil"/>
              <w:right w:val="single" w:sz="4" w:space="0" w:color="auto"/>
            </w:tcBorders>
            <w:noWrap/>
            <w:vAlign w:val="center"/>
          </w:tcPr>
          <w:p w14:paraId="49D7929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5.1</w:t>
            </w:r>
          </w:p>
        </w:tc>
        <w:tc>
          <w:tcPr>
            <w:tcW w:w="493" w:type="pct"/>
            <w:tcBorders>
              <w:top w:val="single" w:sz="4" w:space="0" w:color="auto"/>
              <w:left w:val="nil"/>
              <w:bottom w:val="nil"/>
              <w:right w:val="single" w:sz="4" w:space="0" w:color="auto"/>
            </w:tcBorders>
            <w:noWrap/>
            <w:vAlign w:val="center"/>
          </w:tcPr>
          <w:p w14:paraId="6E1F4DFF"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5.5</w:t>
            </w:r>
          </w:p>
        </w:tc>
        <w:tc>
          <w:tcPr>
            <w:tcW w:w="492" w:type="pct"/>
            <w:tcBorders>
              <w:top w:val="single" w:sz="4" w:space="0" w:color="auto"/>
              <w:right w:val="single" w:sz="2" w:space="0" w:color="auto"/>
            </w:tcBorders>
            <w:noWrap/>
            <w:vAlign w:val="center"/>
          </w:tcPr>
          <w:p w14:paraId="420010BE"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6.1</w:t>
            </w:r>
          </w:p>
        </w:tc>
      </w:tr>
      <w:tr w:rsidR="000C171B" w:rsidRPr="0010306A" w14:paraId="4E99E41D" w14:textId="77777777" w:rsidTr="0049743F">
        <w:trPr>
          <w:trHeight w:val="60"/>
        </w:trPr>
        <w:tc>
          <w:tcPr>
            <w:tcW w:w="391" w:type="pct"/>
            <w:vMerge/>
            <w:tcBorders>
              <w:left w:val="single" w:sz="4" w:space="0" w:color="auto"/>
              <w:right w:val="single" w:sz="4" w:space="0" w:color="auto"/>
            </w:tcBorders>
            <w:vAlign w:val="center"/>
          </w:tcPr>
          <w:p w14:paraId="6B8F2F0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6F0D1EA6"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655DBC2A"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 xml:space="preserve"> Hombre</w:t>
            </w:r>
          </w:p>
        </w:tc>
        <w:tc>
          <w:tcPr>
            <w:tcW w:w="493" w:type="pct"/>
            <w:tcBorders>
              <w:top w:val="nil"/>
              <w:left w:val="nil"/>
              <w:bottom w:val="nil"/>
              <w:right w:val="single" w:sz="4" w:space="0" w:color="auto"/>
            </w:tcBorders>
            <w:noWrap/>
            <w:vAlign w:val="center"/>
          </w:tcPr>
          <w:p w14:paraId="58088CD2"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4.2</w:t>
            </w:r>
          </w:p>
        </w:tc>
        <w:tc>
          <w:tcPr>
            <w:tcW w:w="493" w:type="pct"/>
            <w:tcBorders>
              <w:top w:val="nil"/>
              <w:left w:val="nil"/>
              <w:bottom w:val="nil"/>
              <w:right w:val="single" w:sz="4" w:space="0" w:color="auto"/>
            </w:tcBorders>
            <w:noWrap/>
            <w:vAlign w:val="center"/>
          </w:tcPr>
          <w:p w14:paraId="5B0F2DE7"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4.7</w:t>
            </w:r>
          </w:p>
        </w:tc>
        <w:tc>
          <w:tcPr>
            <w:tcW w:w="492" w:type="pct"/>
            <w:tcBorders>
              <w:right w:val="single" w:sz="2" w:space="0" w:color="auto"/>
            </w:tcBorders>
            <w:noWrap/>
            <w:vAlign w:val="center"/>
          </w:tcPr>
          <w:p w14:paraId="7060DA0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5.0</w:t>
            </w:r>
          </w:p>
        </w:tc>
      </w:tr>
      <w:tr w:rsidR="000C171B" w:rsidRPr="0010306A" w14:paraId="1EE11D1A" w14:textId="77777777" w:rsidTr="0049743F">
        <w:trPr>
          <w:trHeight w:val="60"/>
        </w:trPr>
        <w:tc>
          <w:tcPr>
            <w:tcW w:w="391" w:type="pct"/>
            <w:vMerge/>
            <w:tcBorders>
              <w:left w:val="single" w:sz="4" w:space="0" w:color="auto"/>
              <w:right w:val="single" w:sz="4" w:space="0" w:color="auto"/>
            </w:tcBorders>
            <w:vAlign w:val="center"/>
          </w:tcPr>
          <w:p w14:paraId="00D0F9C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6C0B7845"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0F11F09F"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 xml:space="preserve"> Mujer</w:t>
            </w:r>
          </w:p>
        </w:tc>
        <w:tc>
          <w:tcPr>
            <w:tcW w:w="493" w:type="pct"/>
            <w:tcBorders>
              <w:top w:val="nil"/>
              <w:left w:val="nil"/>
              <w:bottom w:val="nil"/>
              <w:right w:val="single" w:sz="4" w:space="0" w:color="auto"/>
            </w:tcBorders>
            <w:noWrap/>
            <w:vAlign w:val="center"/>
          </w:tcPr>
          <w:p w14:paraId="3E48C50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6.2</w:t>
            </w:r>
          </w:p>
        </w:tc>
        <w:tc>
          <w:tcPr>
            <w:tcW w:w="493" w:type="pct"/>
            <w:tcBorders>
              <w:top w:val="nil"/>
              <w:left w:val="nil"/>
              <w:bottom w:val="nil"/>
              <w:right w:val="single" w:sz="4" w:space="0" w:color="auto"/>
            </w:tcBorders>
            <w:noWrap/>
            <w:vAlign w:val="center"/>
          </w:tcPr>
          <w:p w14:paraId="08BB590A"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6.7</w:t>
            </w:r>
          </w:p>
        </w:tc>
        <w:tc>
          <w:tcPr>
            <w:tcW w:w="492" w:type="pct"/>
            <w:tcBorders>
              <w:right w:val="single" w:sz="2" w:space="0" w:color="auto"/>
            </w:tcBorders>
            <w:noWrap/>
            <w:vAlign w:val="center"/>
          </w:tcPr>
          <w:p w14:paraId="165390A7"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7.7</w:t>
            </w:r>
          </w:p>
        </w:tc>
      </w:tr>
      <w:tr w:rsidR="000C171B" w:rsidRPr="0010306A" w14:paraId="05D1A331" w14:textId="77777777" w:rsidTr="0049743F">
        <w:trPr>
          <w:trHeight w:val="60"/>
        </w:trPr>
        <w:tc>
          <w:tcPr>
            <w:tcW w:w="391" w:type="pct"/>
            <w:vMerge/>
            <w:tcBorders>
              <w:left w:val="single" w:sz="4" w:space="0" w:color="auto"/>
              <w:right w:val="single" w:sz="4" w:space="0" w:color="auto"/>
            </w:tcBorders>
            <w:vAlign w:val="center"/>
          </w:tcPr>
          <w:p w14:paraId="3D263E65"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7F347B42"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1B6999A0"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 xml:space="preserve"> Área urbana</w:t>
            </w:r>
          </w:p>
        </w:tc>
        <w:tc>
          <w:tcPr>
            <w:tcW w:w="493" w:type="pct"/>
            <w:tcBorders>
              <w:top w:val="nil"/>
              <w:left w:val="nil"/>
              <w:bottom w:val="nil"/>
              <w:right w:val="single" w:sz="4" w:space="0" w:color="auto"/>
            </w:tcBorders>
            <w:noWrap/>
            <w:vAlign w:val="center"/>
          </w:tcPr>
          <w:p w14:paraId="3D37525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5.8</w:t>
            </w:r>
          </w:p>
        </w:tc>
        <w:tc>
          <w:tcPr>
            <w:tcW w:w="493" w:type="pct"/>
            <w:tcBorders>
              <w:top w:val="nil"/>
              <w:left w:val="nil"/>
              <w:bottom w:val="nil"/>
              <w:right w:val="single" w:sz="4" w:space="0" w:color="auto"/>
            </w:tcBorders>
            <w:noWrap/>
            <w:vAlign w:val="center"/>
          </w:tcPr>
          <w:p w14:paraId="0E5E847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6.4</w:t>
            </w:r>
          </w:p>
        </w:tc>
        <w:tc>
          <w:tcPr>
            <w:tcW w:w="492" w:type="pct"/>
            <w:tcBorders>
              <w:right w:val="single" w:sz="2" w:space="0" w:color="auto"/>
            </w:tcBorders>
            <w:noWrap/>
            <w:vAlign w:val="center"/>
          </w:tcPr>
          <w:p w14:paraId="5B0C66D3"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6.9</w:t>
            </w:r>
          </w:p>
        </w:tc>
      </w:tr>
      <w:tr w:rsidR="000C171B" w:rsidRPr="0010306A" w14:paraId="3617AD29" w14:textId="77777777" w:rsidTr="0049743F">
        <w:trPr>
          <w:trHeight w:val="60"/>
        </w:trPr>
        <w:tc>
          <w:tcPr>
            <w:tcW w:w="391" w:type="pct"/>
            <w:vMerge/>
            <w:tcBorders>
              <w:left w:val="single" w:sz="4" w:space="0" w:color="auto"/>
              <w:bottom w:val="single" w:sz="4" w:space="0" w:color="auto"/>
              <w:right w:val="single" w:sz="4" w:space="0" w:color="auto"/>
            </w:tcBorders>
            <w:vAlign w:val="center"/>
          </w:tcPr>
          <w:p w14:paraId="566E4FE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60FC97ED"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555D49B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 xml:space="preserve"> Área rural total</w:t>
            </w:r>
          </w:p>
        </w:tc>
        <w:tc>
          <w:tcPr>
            <w:tcW w:w="493" w:type="pct"/>
            <w:tcBorders>
              <w:top w:val="nil"/>
              <w:left w:val="nil"/>
              <w:bottom w:val="single" w:sz="4" w:space="0" w:color="auto"/>
              <w:right w:val="single" w:sz="4" w:space="0" w:color="auto"/>
            </w:tcBorders>
            <w:noWrap/>
            <w:vAlign w:val="center"/>
          </w:tcPr>
          <w:p w14:paraId="76E203E3"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3.2</w:t>
            </w:r>
          </w:p>
        </w:tc>
        <w:tc>
          <w:tcPr>
            <w:tcW w:w="493" w:type="pct"/>
            <w:tcBorders>
              <w:top w:val="nil"/>
              <w:left w:val="nil"/>
              <w:bottom w:val="single" w:sz="4" w:space="0" w:color="auto"/>
              <w:right w:val="single" w:sz="4" w:space="0" w:color="auto"/>
            </w:tcBorders>
            <w:noWrap/>
            <w:vAlign w:val="center"/>
          </w:tcPr>
          <w:p w14:paraId="57BC18D2"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3.2</w:t>
            </w:r>
          </w:p>
        </w:tc>
        <w:tc>
          <w:tcPr>
            <w:tcW w:w="492" w:type="pct"/>
            <w:tcBorders>
              <w:bottom w:val="single" w:sz="4" w:space="0" w:color="auto"/>
              <w:right w:val="single" w:sz="2" w:space="0" w:color="auto"/>
            </w:tcBorders>
            <w:noWrap/>
            <w:vAlign w:val="center"/>
          </w:tcPr>
          <w:p w14:paraId="661105C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4.1</w:t>
            </w:r>
          </w:p>
        </w:tc>
      </w:tr>
      <w:tr w:rsidR="000C171B" w:rsidRPr="0010306A" w14:paraId="7EBAEAE7" w14:textId="77777777" w:rsidTr="0049743F">
        <w:trPr>
          <w:trHeight w:val="60"/>
        </w:trPr>
        <w:tc>
          <w:tcPr>
            <w:tcW w:w="391" w:type="pct"/>
            <w:vMerge w:val="restart"/>
            <w:tcBorders>
              <w:top w:val="single" w:sz="4" w:space="0" w:color="auto"/>
              <w:left w:val="single" w:sz="4" w:space="0" w:color="auto"/>
              <w:bottom w:val="single" w:sz="4" w:space="0" w:color="auto"/>
              <w:right w:val="single" w:sz="4" w:space="0" w:color="auto"/>
            </w:tcBorders>
            <w:vAlign w:val="center"/>
          </w:tcPr>
          <w:p w14:paraId="455AE020"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8</w:t>
            </w:r>
          </w:p>
        </w:tc>
        <w:tc>
          <w:tcPr>
            <w:tcW w:w="1565" w:type="pct"/>
            <w:vMerge w:val="restart"/>
            <w:tcBorders>
              <w:top w:val="single" w:sz="4" w:space="0" w:color="auto"/>
              <w:left w:val="nil"/>
              <w:right w:val="single" w:sz="4" w:space="0" w:color="auto"/>
            </w:tcBorders>
          </w:tcPr>
          <w:p w14:paraId="4A550A7C"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Proporción de adultos (de 18 años o más) con una cuenta en un banco u otra institución financiera o con un proveedor móvil de servicios monetarios</w:t>
            </w:r>
          </w:p>
        </w:tc>
        <w:tc>
          <w:tcPr>
            <w:tcW w:w="1566" w:type="pct"/>
            <w:tcBorders>
              <w:top w:val="single" w:sz="4" w:space="0" w:color="auto"/>
              <w:left w:val="nil"/>
              <w:bottom w:val="nil"/>
              <w:right w:val="single" w:sz="4" w:space="0" w:color="auto"/>
            </w:tcBorders>
            <w:vAlign w:val="center"/>
          </w:tcPr>
          <w:p w14:paraId="3B800F3D"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 xml:space="preserve">Total </w:t>
            </w:r>
          </w:p>
        </w:tc>
        <w:tc>
          <w:tcPr>
            <w:tcW w:w="493" w:type="pct"/>
            <w:tcBorders>
              <w:top w:val="single" w:sz="4" w:space="0" w:color="auto"/>
              <w:left w:val="nil"/>
              <w:bottom w:val="nil"/>
              <w:right w:val="single" w:sz="4" w:space="0" w:color="auto"/>
            </w:tcBorders>
            <w:noWrap/>
            <w:vAlign w:val="center"/>
          </w:tcPr>
          <w:p w14:paraId="3AD568F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71.4</w:t>
            </w:r>
          </w:p>
        </w:tc>
        <w:tc>
          <w:tcPr>
            <w:tcW w:w="493" w:type="pct"/>
            <w:tcBorders>
              <w:top w:val="single" w:sz="4" w:space="0" w:color="auto"/>
              <w:left w:val="nil"/>
              <w:bottom w:val="nil"/>
              <w:right w:val="single" w:sz="4" w:space="0" w:color="auto"/>
            </w:tcBorders>
            <w:noWrap/>
            <w:vAlign w:val="center"/>
          </w:tcPr>
          <w:p w14:paraId="28294C83" w14:textId="77777777" w:rsidR="000C171B" w:rsidRPr="00D336D1" w:rsidRDefault="000C171B" w:rsidP="002C49EF">
            <w:pPr>
              <w:spacing w:after="0" w:line="240" w:lineRule="auto"/>
              <w:jc w:val="center"/>
              <w:rPr>
                <w:rFonts w:ascii="Arial Narrow" w:hAnsi="Arial Narrow" w:cs="Arial Narrow"/>
                <w:sz w:val="16"/>
                <w:szCs w:val="16"/>
              </w:rPr>
            </w:pPr>
          </w:p>
        </w:tc>
        <w:tc>
          <w:tcPr>
            <w:tcW w:w="492" w:type="pct"/>
            <w:tcBorders>
              <w:top w:val="single" w:sz="4" w:space="0" w:color="auto"/>
              <w:right w:val="single" w:sz="2" w:space="0" w:color="auto"/>
            </w:tcBorders>
            <w:noWrap/>
            <w:vAlign w:val="center"/>
          </w:tcPr>
          <w:p w14:paraId="53690392"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4DFB702E" w14:textId="77777777" w:rsidTr="0049743F">
        <w:trPr>
          <w:trHeight w:val="60"/>
        </w:trPr>
        <w:tc>
          <w:tcPr>
            <w:tcW w:w="391" w:type="pct"/>
            <w:vMerge/>
            <w:tcBorders>
              <w:left w:val="single" w:sz="4" w:space="0" w:color="auto"/>
              <w:bottom w:val="single" w:sz="4" w:space="0" w:color="auto"/>
              <w:right w:val="single" w:sz="4" w:space="0" w:color="auto"/>
            </w:tcBorders>
            <w:vAlign w:val="center"/>
          </w:tcPr>
          <w:p w14:paraId="63D28B3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1F339B05"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19CEC0B9"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Hombre</w:t>
            </w:r>
          </w:p>
        </w:tc>
        <w:tc>
          <w:tcPr>
            <w:tcW w:w="493" w:type="pct"/>
            <w:tcBorders>
              <w:top w:val="nil"/>
              <w:left w:val="nil"/>
              <w:bottom w:val="nil"/>
              <w:right w:val="single" w:sz="4" w:space="0" w:color="auto"/>
            </w:tcBorders>
            <w:noWrap/>
            <w:vAlign w:val="center"/>
          </w:tcPr>
          <w:p w14:paraId="2BC42BA3"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28.4</w:t>
            </w:r>
          </w:p>
        </w:tc>
        <w:tc>
          <w:tcPr>
            <w:tcW w:w="493" w:type="pct"/>
            <w:tcBorders>
              <w:top w:val="nil"/>
              <w:left w:val="nil"/>
              <w:bottom w:val="nil"/>
              <w:right w:val="single" w:sz="4" w:space="0" w:color="auto"/>
            </w:tcBorders>
            <w:noWrap/>
            <w:vAlign w:val="center"/>
          </w:tcPr>
          <w:p w14:paraId="1FCAC90F" w14:textId="77777777" w:rsidR="000C171B" w:rsidRPr="00D336D1" w:rsidRDefault="000C171B" w:rsidP="002C49EF">
            <w:pPr>
              <w:spacing w:after="0" w:line="240" w:lineRule="auto"/>
              <w:jc w:val="center"/>
              <w:rPr>
                <w:rFonts w:ascii="Arial Narrow" w:hAnsi="Arial Narrow" w:cs="Arial Narrow"/>
                <w:sz w:val="16"/>
                <w:szCs w:val="16"/>
              </w:rPr>
            </w:pPr>
          </w:p>
        </w:tc>
        <w:tc>
          <w:tcPr>
            <w:tcW w:w="492" w:type="pct"/>
            <w:tcBorders>
              <w:right w:val="single" w:sz="2" w:space="0" w:color="auto"/>
            </w:tcBorders>
            <w:noWrap/>
            <w:vAlign w:val="center"/>
          </w:tcPr>
          <w:p w14:paraId="41900ACF"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029CDD88" w14:textId="77777777" w:rsidTr="0049743F">
        <w:trPr>
          <w:trHeight w:val="60"/>
        </w:trPr>
        <w:tc>
          <w:tcPr>
            <w:tcW w:w="391" w:type="pct"/>
            <w:vMerge/>
            <w:tcBorders>
              <w:left w:val="single" w:sz="4" w:space="0" w:color="auto"/>
              <w:bottom w:val="single" w:sz="4" w:space="0" w:color="auto"/>
              <w:right w:val="single" w:sz="4" w:space="0" w:color="auto"/>
            </w:tcBorders>
            <w:vAlign w:val="center"/>
          </w:tcPr>
          <w:p w14:paraId="420B6B6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4B242E53"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4612132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Mujer</w:t>
            </w:r>
          </w:p>
        </w:tc>
        <w:tc>
          <w:tcPr>
            <w:tcW w:w="493" w:type="pct"/>
            <w:tcBorders>
              <w:top w:val="nil"/>
              <w:left w:val="nil"/>
              <w:bottom w:val="nil"/>
              <w:right w:val="single" w:sz="4" w:space="0" w:color="auto"/>
            </w:tcBorders>
            <w:noWrap/>
            <w:vAlign w:val="center"/>
          </w:tcPr>
          <w:p w14:paraId="3E7663D7"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27.8</w:t>
            </w:r>
          </w:p>
        </w:tc>
        <w:tc>
          <w:tcPr>
            <w:tcW w:w="493" w:type="pct"/>
            <w:tcBorders>
              <w:top w:val="nil"/>
              <w:left w:val="nil"/>
              <w:bottom w:val="nil"/>
              <w:right w:val="single" w:sz="4" w:space="0" w:color="auto"/>
            </w:tcBorders>
            <w:noWrap/>
            <w:vAlign w:val="center"/>
          </w:tcPr>
          <w:p w14:paraId="5EE0F550" w14:textId="77777777" w:rsidR="000C171B" w:rsidRPr="00D336D1" w:rsidRDefault="000C171B" w:rsidP="002C49EF">
            <w:pPr>
              <w:spacing w:after="0" w:line="240" w:lineRule="auto"/>
              <w:jc w:val="center"/>
              <w:rPr>
                <w:rFonts w:ascii="Arial Narrow" w:hAnsi="Arial Narrow" w:cs="Arial Narrow"/>
                <w:sz w:val="16"/>
                <w:szCs w:val="16"/>
              </w:rPr>
            </w:pPr>
          </w:p>
        </w:tc>
        <w:tc>
          <w:tcPr>
            <w:tcW w:w="492" w:type="pct"/>
            <w:tcBorders>
              <w:right w:val="single" w:sz="2" w:space="0" w:color="auto"/>
            </w:tcBorders>
            <w:noWrap/>
            <w:vAlign w:val="center"/>
          </w:tcPr>
          <w:p w14:paraId="772FDF77"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543924B8" w14:textId="77777777" w:rsidTr="0049743F">
        <w:trPr>
          <w:trHeight w:val="60"/>
        </w:trPr>
        <w:tc>
          <w:tcPr>
            <w:tcW w:w="391" w:type="pct"/>
            <w:vMerge/>
            <w:tcBorders>
              <w:left w:val="single" w:sz="4" w:space="0" w:color="auto"/>
              <w:bottom w:val="single" w:sz="4" w:space="0" w:color="auto"/>
              <w:right w:val="single" w:sz="4" w:space="0" w:color="auto"/>
            </w:tcBorders>
            <w:vAlign w:val="center"/>
          </w:tcPr>
          <w:p w14:paraId="56EB634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1F4C6F77"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525CFC73"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Área Urbana</w:t>
            </w:r>
          </w:p>
        </w:tc>
        <w:tc>
          <w:tcPr>
            <w:tcW w:w="493" w:type="pct"/>
            <w:tcBorders>
              <w:top w:val="nil"/>
              <w:left w:val="nil"/>
              <w:bottom w:val="nil"/>
              <w:right w:val="single" w:sz="4" w:space="0" w:color="auto"/>
            </w:tcBorders>
            <w:noWrap/>
            <w:vAlign w:val="center"/>
          </w:tcPr>
          <w:p w14:paraId="544DA7E9"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33.9</w:t>
            </w:r>
          </w:p>
        </w:tc>
        <w:tc>
          <w:tcPr>
            <w:tcW w:w="493" w:type="pct"/>
            <w:tcBorders>
              <w:top w:val="nil"/>
              <w:left w:val="nil"/>
              <w:bottom w:val="nil"/>
              <w:right w:val="single" w:sz="4" w:space="0" w:color="auto"/>
            </w:tcBorders>
            <w:noWrap/>
            <w:vAlign w:val="center"/>
          </w:tcPr>
          <w:p w14:paraId="422F7135" w14:textId="77777777" w:rsidR="000C171B" w:rsidRPr="00D336D1" w:rsidRDefault="000C171B" w:rsidP="002C49EF">
            <w:pPr>
              <w:spacing w:after="0" w:line="240" w:lineRule="auto"/>
              <w:jc w:val="center"/>
              <w:rPr>
                <w:rFonts w:ascii="Arial Narrow" w:hAnsi="Arial Narrow" w:cs="Arial Narrow"/>
                <w:sz w:val="16"/>
                <w:szCs w:val="16"/>
              </w:rPr>
            </w:pPr>
          </w:p>
        </w:tc>
        <w:tc>
          <w:tcPr>
            <w:tcW w:w="492" w:type="pct"/>
            <w:tcBorders>
              <w:right w:val="single" w:sz="2" w:space="0" w:color="auto"/>
            </w:tcBorders>
            <w:noWrap/>
            <w:vAlign w:val="center"/>
          </w:tcPr>
          <w:p w14:paraId="3116D6BF"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658FA307" w14:textId="77777777" w:rsidTr="0049743F">
        <w:trPr>
          <w:trHeight w:val="60"/>
        </w:trPr>
        <w:tc>
          <w:tcPr>
            <w:tcW w:w="391" w:type="pct"/>
            <w:vMerge/>
            <w:tcBorders>
              <w:left w:val="single" w:sz="4" w:space="0" w:color="auto"/>
              <w:bottom w:val="single" w:sz="4" w:space="0" w:color="auto"/>
              <w:right w:val="single" w:sz="4" w:space="0" w:color="auto"/>
            </w:tcBorders>
            <w:vAlign w:val="center"/>
          </w:tcPr>
          <w:p w14:paraId="2F427DB0"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24DC906C"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3C9D3DA6"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Área Rural total</w:t>
            </w:r>
          </w:p>
        </w:tc>
        <w:tc>
          <w:tcPr>
            <w:tcW w:w="493" w:type="pct"/>
            <w:tcBorders>
              <w:top w:val="nil"/>
              <w:left w:val="nil"/>
              <w:bottom w:val="nil"/>
              <w:right w:val="single" w:sz="4" w:space="0" w:color="auto"/>
            </w:tcBorders>
            <w:noWrap/>
            <w:vAlign w:val="center"/>
          </w:tcPr>
          <w:p w14:paraId="7752EEE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14.2</w:t>
            </w:r>
          </w:p>
        </w:tc>
        <w:tc>
          <w:tcPr>
            <w:tcW w:w="493" w:type="pct"/>
            <w:tcBorders>
              <w:top w:val="nil"/>
              <w:left w:val="nil"/>
              <w:bottom w:val="nil"/>
              <w:right w:val="single" w:sz="4" w:space="0" w:color="auto"/>
            </w:tcBorders>
            <w:noWrap/>
            <w:vAlign w:val="center"/>
          </w:tcPr>
          <w:p w14:paraId="43A41FCF" w14:textId="77777777" w:rsidR="000C171B" w:rsidRPr="00D336D1" w:rsidRDefault="000C171B" w:rsidP="002C49EF">
            <w:pPr>
              <w:spacing w:after="0" w:line="240" w:lineRule="auto"/>
              <w:jc w:val="center"/>
              <w:rPr>
                <w:rFonts w:ascii="Arial Narrow" w:hAnsi="Arial Narrow" w:cs="Arial Narrow"/>
                <w:sz w:val="16"/>
                <w:szCs w:val="16"/>
              </w:rPr>
            </w:pPr>
          </w:p>
        </w:tc>
        <w:tc>
          <w:tcPr>
            <w:tcW w:w="492" w:type="pct"/>
            <w:tcBorders>
              <w:right w:val="single" w:sz="2" w:space="0" w:color="auto"/>
            </w:tcBorders>
            <w:noWrap/>
            <w:vAlign w:val="center"/>
          </w:tcPr>
          <w:p w14:paraId="0A6526D6"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6F110FC6" w14:textId="77777777" w:rsidTr="0049743F">
        <w:trPr>
          <w:trHeight w:val="60"/>
        </w:trPr>
        <w:tc>
          <w:tcPr>
            <w:tcW w:w="391" w:type="pct"/>
            <w:vMerge/>
            <w:tcBorders>
              <w:left w:val="single" w:sz="4" w:space="0" w:color="auto"/>
              <w:bottom w:val="single" w:sz="4" w:space="0" w:color="auto"/>
              <w:right w:val="single" w:sz="4" w:space="0" w:color="auto"/>
            </w:tcBorders>
            <w:vAlign w:val="center"/>
          </w:tcPr>
          <w:p w14:paraId="526E21B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6610C2C5"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2C0CF67B"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Área comarcal</w:t>
            </w:r>
          </w:p>
        </w:tc>
        <w:tc>
          <w:tcPr>
            <w:tcW w:w="493" w:type="pct"/>
            <w:tcBorders>
              <w:top w:val="nil"/>
              <w:left w:val="nil"/>
              <w:bottom w:val="single" w:sz="4" w:space="0" w:color="auto"/>
              <w:right w:val="single" w:sz="4" w:space="0" w:color="auto"/>
            </w:tcBorders>
            <w:noWrap/>
            <w:vAlign w:val="center"/>
          </w:tcPr>
          <w:p w14:paraId="08588A47"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18.3</w:t>
            </w:r>
          </w:p>
        </w:tc>
        <w:tc>
          <w:tcPr>
            <w:tcW w:w="493" w:type="pct"/>
            <w:tcBorders>
              <w:top w:val="nil"/>
              <w:left w:val="nil"/>
              <w:bottom w:val="single" w:sz="4" w:space="0" w:color="auto"/>
              <w:right w:val="single" w:sz="4" w:space="0" w:color="auto"/>
            </w:tcBorders>
            <w:noWrap/>
            <w:vAlign w:val="center"/>
          </w:tcPr>
          <w:p w14:paraId="47BD851B" w14:textId="77777777" w:rsidR="000C171B" w:rsidRPr="00D336D1" w:rsidRDefault="000C171B" w:rsidP="002C49EF">
            <w:pPr>
              <w:spacing w:after="0" w:line="240" w:lineRule="auto"/>
              <w:jc w:val="center"/>
              <w:rPr>
                <w:rFonts w:ascii="Arial Narrow" w:hAnsi="Arial Narrow" w:cs="Arial Narrow"/>
                <w:sz w:val="16"/>
                <w:szCs w:val="16"/>
              </w:rPr>
            </w:pPr>
          </w:p>
        </w:tc>
        <w:tc>
          <w:tcPr>
            <w:tcW w:w="492" w:type="pct"/>
            <w:tcBorders>
              <w:bottom w:val="single" w:sz="4" w:space="0" w:color="auto"/>
              <w:right w:val="single" w:sz="2" w:space="0" w:color="auto"/>
            </w:tcBorders>
            <w:noWrap/>
            <w:vAlign w:val="center"/>
          </w:tcPr>
          <w:p w14:paraId="4CA8494E"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7572F388" w14:textId="77777777" w:rsidTr="0049743F">
        <w:trPr>
          <w:trHeight w:val="60"/>
        </w:trPr>
        <w:tc>
          <w:tcPr>
            <w:tcW w:w="391" w:type="pct"/>
            <w:vMerge w:val="restart"/>
            <w:tcBorders>
              <w:top w:val="single" w:sz="4" w:space="0" w:color="auto"/>
              <w:left w:val="single" w:sz="4" w:space="0" w:color="auto"/>
              <w:right w:val="single" w:sz="4" w:space="0" w:color="auto"/>
            </w:tcBorders>
          </w:tcPr>
          <w:p w14:paraId="7C9701FB"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8</w:t>
            </w:r>
          </w:p>
        </w:tc>
        <w:tc>
          <w:tcPr>
            <w:tcW w:w="1565" w:type="pct"/>
            <w:vMerge w:val="restart"/>
            <w:tcBorders>
              <w:top w:val="single" w:sz="4" w:space="0" w:color="auto"/>
              <w:left w:val="nil"/>
              <w:right w:val="single" w:sz="4" w:space="0" w:color="auto"/>
            </w:tcBorders>
          </w:tcPr>
          <w:p w14:paraId="4833FF7B"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Número de sucursales de bancos comerciales y cajeros automáticos por cada 100.000 adultos</w:t>
            </w:r>
          </w:p>
        </w:tc>
        <w:tc>
          <w:tcPr>
            <w:tcW w:w="1566" w:type="pct"/>
            <w:tcBorders>
              <w:top w:val="single" w:sz="4" w:space="0" w:color="auto"/>
              <w:left w:val="nil"/>
              <w:bottom w:val="nil"/>
              <w:right w:val="single" w:sz="4" w:space="0" w:color="auto"/>
            </w:tcBorders>
            <w:vAlign w:val="center"/>
          </w:tcPr>
          <w:p w14:paraId="0DDCF0E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Total sucursales</w:t>
            </w:r>
          </w:p>
        </w:tc>
        <w:tc>
          <w:tcPr>
            <w:tcW w:w="493" w:type="pct"/>
            <w:tcBorders>
              <w:top w:val="single" w:sz="4" w:space="0" w:color="auto"/>
              <w:left w:val="nil"/>
              <w:bottom w:val="nil"/>
              <w:right w:val="single" w:sz="4" w:space="0" w:color="auto"/>
            </w:tcBorders>
            <w:noWrap/>
            <w:vAlign w:val="center"/>
          </w:tcPr>
          <w:p w14:paraId="70133C0A"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26</w:t>
            </w:r>
          </w:p>
        </w:tc>
        <w:tc>
          <w:tcPr>
            <w:tcW w:w="493" w:type="pct"/>
            <w:tcBorders>
              <w:top w:val="single" w:sz="4" w:space="0" w:color="auto"/>
              <w:left w:val="nil"/>
              <w:bottom w:val="nil"/>
              <w:right w:val="single" w:sz="4" w:space="0" w:color="auto"/>
            </w:tcBorders>
            <w:noWrap/>
            <w:vAlign w:val="center"/>
          </w:tcPr>
          <w:p w14:paraId="2CF32F37"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22</w:t>
            </w:r>
          </w:p>
        </w:tc>
        <w:tc>
          <w:tcPr>
            <w:tcW w:w="492" w:type="pct"/>
            <w:tcBorders>
              <w:top w:val="single" w:sz="4" w:space="0" w:color="auto"/>
              <w:right w:val="single" w:sz="2" w:space="0" w:color="auto"/>
            </w:tcBorders>
            <w:noWrap/>
            <w:vAlign w:val="center"/>
          </w:tcPr>
          <w:p w14:paraId="086713E5"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21</w:t>
            </w:r>
          </w:p>
        </w:tc>
      </w:tr>
      <w:tr w:rsidR="000C171B" w:rsidRPr="0010306A" w14:paraId="3D6B7744" w14:textId="77777777" w:rsidTr="0049743F">
        <w:trPr>
          <w:trHeight w:val="60"/>
        </w:trPr>
        <w:tc>
          <w:tcPr>
            <w:tcW w:w="391" w:type="pct"/>
            <w:vMerge/>
            <w:tcBorders>
              <w:left w:val="single" w:sz="4" w:space="0" w:color="auto"/>
              <w:bottom w:val="single" w:sz="4" w:space="0" w:color="auto"/>
              <w:right w:val="single" w:sz="4" w:space="0" w:color="auto"/>
            </w:tcBorders>
            <w:vAlign w:val="center"/>
          </w:tcPr>
          <w:p w14:paraId="55F5A336"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4B8343BB"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05CA331B"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Total cajeros automáticos</w:t>
            </w:r>
          </w:p>
        </w:tc>
        <w:tc>
          <w:tcPr>
            <w:tcW w:w="493" w:type="pct"/>
            <w:tcBorders>
              <w:top w:val="nil"/>
              <w:left w:val="nil"/>
              <w:bottom w:val="single" w:sz="4" w:space="0" w:color="auto"/>
              <w:right w:val="single" w:sz="4" w:space="0" w:color="auto"/>
            </w:tcBorders>
            <w:noWrap/>
            <w:vAlign w:val="center"/>
          </w:tcPr>
          <w:p w14:paraId="391741F0"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75</w:t>
            </w:r>
          </w:p>
        </w:tc>
        <w:tc>
          <w:tcPr>
            <w:tcW w:w="493" w:type="pct"/>
            <w:tcBorders>
              <w:top w:val="nil"/>
              <w:left w:val="nil"/>
              <w:bottom w:val="single" w:sz="4" w:space="0" w:color="auto"/>
              <w:right w:val="single" w:sz="4" w:space="0" w:color="auto"/>
            </w:tcBorders>
            <w:noWrap/>
            <w:vAlign w:val="center"/>
          </w:tcPr>
          <w:p w14:paraId="4C4977B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74</w:t>
            </w:r>
          </w:p>
        </w:tc>
        <w:tc>
          <w:tcPr>
            <w:tcW w:w="492" w:type="pct"/>
            <w:tcBorders>
              <w:bottom w:val="single" w:sz="4" w:space="0" w:color="auto"/>
              <w:right w:val="single" w:sz="2" w:space="0" w:color="auto"/>
            </w:tcBorders>
            <w:noWrap/>
            <w:vAlign w:val="center"/>
          </w:tcPr>
          <w:p w14:paraId="3981A38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75</w:t>
            </w:r>
          </w:p>
        </w:tc>
      </w:tr>
      <w:tr w:rsidR="000C171B" w:rsidRPr="0010306A" w14:paraId="44291334" w14:textId="77777777" w:rsidTr="0049743F">
        <w:trPr>
          <w:trHeight w:val="60"/>
        </w:trPr>
        <w:tc>
          <w:tcPr>
            <w:tcW w:w="391" w:type="pct"/>
            <w:vMerge w:val="restart"/>
            <w:tcBorders>
              <w:top w:val="single" w:sz="4" w:space="0" w:color="auto"/>
              <w:left w:val="single" w:sz="4" w:space="0" w:color="auto"/>
              <w:right w:val="single" w:sz="4" w:space="0" w:color="auto"/>
            </w:tcBorders>
            <w:vAlign w:val="center"/>
          </w:tcPr>
          <w:p w14:paraId="5ECB43E4"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8</w:t>
            </w:r>
          </w:p>
        </w:tc>
        <w:tc>
          <w:tcPr>
            <w:tcW w:w="1565" w:type="pct"/>
            <w:vMerge w:val="restart"/>
            <w:tcBorders>
              <w:top w:val="single" w:sz="4" w:space="0" w:color="auto"/>
              <w:left w:val="nil"/>
              <w:right w:val="single" w:sz="4" w:space="0" w:color="auto"/>
            </w:tcBorders>
          </w:tcPr>
          <w:p w14:paraId="36F87A04"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Proporción de jóvenes (15 a 24 años) que no estudian ni tienen empleo.</w:t>
            </w:r>
          </w:p>
        </w:tc>
        <w:tc>
          <w:tcPr>
            <w:tcW w:w="1566" w:type="pct"/>
            <w:tcBorders>
              <w:top w:val="single" w:sz="4" w:space="0" w:color="auto"/>
              <w:left w:val="nil"/>
              <w:bottom w:val="nil"/>
              <w:right w:val="single" w:sz="4" w:space="0" w:color="auto"/>
            </w:tcBorders>
            <w:vAlign w:val="center"/>
          </w:tcPr>
          <w:p w14:paraId="756DAC6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 xml:space="preserve">Total </w:t>
            </w:r>
          </w:p>
        </w:tc>
        <w:tc>
          <w:tcPr>
            <w:tcW w:w="493" w:type="pct"/>
            <w:tcBorders>
              <w:top w:val="single" w:sz="4" w:space="0" w:color="auto"/>
              <w:left w:val="nil"/>
              <w:bottom w:val="nil"/>
              <w:right w:val="single" w:sz="4" w:space="0" w:color="auto"/>
            </w:tcBorders>
            <w:noWrap/>
            <w:vAlign w:val="center"/>
          </w:tcPr>
          <w:p w14:paraId="0B7C4ADC"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Arial"/>
                <w:sz w:val="16"/>
                <w:szCs w:val="16"/>
                <w:lang w:eastAsia="es-PA"/>
              </w:rPr>
              <w:t>13.6</w:t>
            </w:r>
          </w:p>
        </w:tc>
        <w:tc>
          <w:tcPr>
            <w:tcW w:w="493" w:type="pct"/>
            <w:tcBorders>
              <w:top w:val="single" w:sz="4" w:space="0" w:color="auto"/>
              <w:left w:val="nil"/>
              <w:bottom w:val="nil"/>
              <w:right w:val="single" w:sz="4" w:space="0" w:color="auto"/>
            </w:tcBorders>
            <w:noWrap/>
            <w:vAlign w:val="center"/>
          </w:tcPr>
          <w:p w14:paraId="3A50803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Arial"/>
                <w:sz w:val="16"/>
                <w:szCs w:val="16"/>
                <w:lang w:eastAsia="es-PA"/>
              </w:rPr>
              <w:t>11.9</w:t>
            </w:r>
          </w:p>
        </w:tc>
        <w:tc>
          <w:tcPr>
            <w:tcW w:w="492" w:type="pct"/>
            <w:tcBorders>
              <w:top w:val="single" w:sz="4" w:space="0" w:color="auto"/>
              <w:right w:val="single" w:sz="2" w:space="0" w:color="auto"/>
            </w:tcBorders>
            <w:noWrap/>
            <w:vAlign w:val="center"/>
          </w:tcPr>
          <w:p w14:paraId="3D536A7D"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Arial"/>
                <w:sz w:val="16"/>
                <w:szCs w:val="16"/>
                <w:lang w:eastAsia="es-PA"/>
              </w:rPr>
              <w:t>11.6</w:t>
            </w:r>
          </w:p>
        </w:tc>
      </w:tr>
      <w:tr w:rsidR="000C171B" w:rsidRPr="0010306A" w14:paraId="30D1130D" w14:textId="77777777" w:rsidTr="0049743F">
        <w:trPr>
          <w:trHeight w:val="60"/>
        </w:trPr>
        <w:tc>
          <w:tcPr>
            <w:tcW w:w="391" w:type="pct"/>
            <w:vMerge/>
            <w:tcBorders>
              <w:left w:val="single" w:sz="4" w:space="0" w:color="auto"/>
              <w:right w:val="single" w:sz="4" w:space="0" w:color="auto"/>
            </w:tcBorders>
            <w:vAlign w:val="center"/>
          </w:tcPr>
          <w:p w14:paraId="76D28AE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0627B808"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3CCBC4F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Hombre</w:t>
            </w:r>
          </w:p>
        </w:tc>
        <w:tc>
          <w:tcPr>
            <w:tcW w:w="493" w:type="pct"/>
            <w:tcBorders>
              <w:top w:val="nil"/>
              <w:left w:val="nil"/>
              <w:bottom w:val="nil"/>
              <w:right w:val="single" w:sz="4" w:space="0" w:color="auto"/>
            </w:tcBorders>
            <w:noWrap/>
            <w:vAlign w:val="center"/>
          </w:tcPr>
          <w:p w14:paraId="70507BE4"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Arial"/>
                <w:sz w:val="16"/>
                <w:szCs w:val="16"/>
                <w:lang w:eastAsia="es-PA"/>
              </w:rPr>
              <w:t>5.0</w:t>
            </w:r>
          </w:p>
        </w:tc>
        <w:tc>
          <w:tcPr>
            <w:tcW w:w="493" w:type="pct"/>
            <w:tcBorders>
              <w:top w:val="nil"/>
              <w:left w:val="nil"/>
              <w:bottom w:val="nil"/>
              <w:right w:val="single" w:sz="4" w:space="0" w:color="auto"/>
            </w:tcBorders>
            <w:noWrap/>
            <w:vAlign w:val="center"/>
          </w:tcPr>
          <w:p w14:paraId="5AADC832"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Arial"/>
                <w:sz w:val="16"/>
                <w:szCs w:val="16"/>
                <w:lang w:eastAsia="es-PA"/>
              </w:rPr>
              <w:t>4.6</w:t>
            </w:r>
          </w:p>
        </w:tc>
        <w:tc>
          <w:tcPr>
            <w:tcW w:w="492" w:type="pct"/>
            <w:tcBorders>
              <w:right w:val="single" w:sz="2" w:space="0" w:color="auto"/>
            </w:tcBorders>
            <w:noWrap/>
            <w:vAlign w:val="center"/>
          </w:tcPr>
          <w:p w14:paraId="57E6156E"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Arial"/>
                <w:sz w:val="16"/>
                <w:szCs w:val="16"/>
                <w:lang w:eastAsia="es-PA"/>
              </w:rPr>
              <w:t>4.6</w:t>
            </w:r>
          </w:p>
        </w:tc>
      </w:tr>
      <w:tr w:rsidR="000C171B" w:rsidRPr="0010306A" w14:paraId="0E661154" w14:textId="77777777" w:rsidTr="0049743F">
        <w:trPr>
          <w:trHeight w:val="60"/>
        </w:trPr>
        <w:tc>
          <w:tcPr>
            <w:tcW w:w="391" w:type="pct"/>
            <w:vMerge/>
            <w:tcBorders>
              <w:left w:val="single" w:sz="4" w:space="0" w:color="auto"/>
              <w:right w:val="single" w:sz="4" w:space="0" w:color="auto"/>
            </w:tcBorders>
            <w:vAlign w:val="center"/>
          </w:tcPr>
          <w:p w14:paraId="5FD49763"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79C09D9C"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6D6B520B"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Mujer</w:t>
            </w:r>
          </w:p>
        </w:tc>
        <w:tc>
          <w:tcPr>
            <w:tcW w:w="493" w:type="pct"/>
            <w:tcBorders>
              <w:top w:val="nil"/>
              <w:left w:val="nil"/>
              <w:bottom w:val="nil"/>
              <w:right w:val="single" w:sz="4" w:space="0" w:color="auto"/>
            </w:tcBorders>
            <w:noWrap/>
            <w:vAlign w:val="center"/>
          </w:tcPr>
          <w:p w14:paraId="4937713F"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Arial"/>
                <w:sz w:val="16"/>
                <w:szCs w:val="16"/>
                <w:lang w:eastAsia="es-PA"/>
              </w:rPr>
              <w:t>22.4</w:t>
            </w:r>
          </w:p>
        </w:tc>
        <w:tc>
          <w:tcPr>
            <w:tcW w:w="493" w:type="pct"/>
            <w:tcBorders>
              <w:top w:val="nil"/>
              <w:left w:val="nil"/>
              <w:bottom w:val="nil"/>
              <w:right w:val="single" w:sz="4" w:space="0" w:color="auto"/>
            </w:tcBorders>
            <w:noWrap/>
            <w:vAlign w:val="center"/>
          </w:tcPr>
          <w:p w14:paraId="6F00647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Arial"/>
                <w:sz w:val="16"/>
                <w:szCs w:val="16"/>
                <w:lang w:eastAsia="es-PA"/>
              </w:rPr>
              <w:t>19.4</w:t>
            </w:r>
          </w:p>
        </w:tc>
        <w:tc>
          <w:tcPr>
            <w:tcW w:w="492" w:type="pct"/>
            <w:tcBorders>
              <w:right w:val="single" w:sz="2" w:space="0" w:color="auto"/>
            </w:tcBorders>
            <w:noWrap/>
            <w:vAlign w:val="center"/>
          </w:tcPr>
          <w:p w14:paraId="7D1AF64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Arial"/>
                <w:sz w:val="16"/>
                <w:szCs w:val="16"/>
                <w:lang w:eastAsia="es-PA"/>
              </w:rPr>
              <w:t>18.8</w:t>
            </w:r>
          </w:p>
        </w:tc>
      </w:tr>
      <w:tr w:rsidR="000C171B" w:rsidRPr="0010306A" w14:paraId="6829D235" w14:textId="77777777" w:rsidTr="0049743F">
        <w:trPr>
          <w:trHeight w:val="60"/>
        </w:trPr>
        <w:tc>
          <w:tcPr>
            <w:tcW w:w="391" w:type="pct"/>
            <w:vMerge/>
            <w:tcBorders>
              <w:left w:val="single" w:sz="4" w:space="0" w:color="auto"/>
              <w:right w:val="single" w:sz="4" w:space="0" w:color="auto"/>
            </w:tcBorders>
            <w:vAlign w:val="center"/>
          </w:tcPr>
          <w:p w14:paraId="7CB384C6"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0DF9A827"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3DB49C56"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Área Urbana</w:t>
            </w:r>
          </w:p>
        </w:tc>
        <w:tc>
          <w:tcPr>
            <w:tcW w:w="493" w:type="pct"/>
            <w:tcBorders>
              <w:top w:val="nil"/>
              <w:left w:val="nil"/>
              <w:bottom w:val="nil"/>
              <w:right w:val="single" w:sz="4" w:space="0" w:color="auto"/>
            </w:tcBorders>
            <w:noWrap/>
            <w:vAlign w:val="center"/>
          </w:tcPr>
          <w:p w14:paraId="54DE639C"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Arial"/>
                <w:sz w:val="16"/>
                <w:szCs w:val="16"/>
                <w:lang w:eastAsia="es-PA"/>
              </w:rPr>
              <w:t>11.5</w:t>
            </w:r>
          </w:p>
        </w:tc>
        <w:tc>
          <w:tcPr>
            <w:tcW w:w="493" w:type="pct"/>
            <w:tcBorders>
              <w:top w:val="nil"/>
              <w:left w:val="nil"/>
              <w:bottom w:val="nil"/>
              <w:right w:val="single" w:sz="4" w:space="0" w:color="auto"/>
            </w:tcBorders>
            <w:noWrap/>
            <w:vAlign w:val="center"/>
          </w:tcPr>
          <w:p w14:paraId="72A045BD"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Arial"/>
                <w:sz w:val="16"/>
                <w:szCs w:val="16"/>
                <w:lang w:eastAsia="es-PA"/>
              </w:rPr>
              <w:t>9.8</w:t>
            </w:r>
          </w:p>
        </w:tc>
        <w:tc>
          <w:tcPr>
            <w:tcW w:w="492" w:type="pct"/>
            <w:tcBorders>
              <w:right w:val="single" w:sz="2" w:space="0" w:color="auto"/>
            </w:tcBorders>
            <w:noWrap/>
            <w:vAlign w:val="center"/>
          </w:tcPr>
          <w:p w14:paraId="09A05D59"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Arial"/>
                <w:sz w:val="16"/>
                <w:szCs w:val="16"/>
                <w:lang w:eastAsia="es-PA"/>
              </w:rPr>
              <w:t>9.2</w:t>
            </w:r>
          </w:p>
        </w:tc>
      </w:tr>
      <w:tr w:rsidR="000C171B" w:rsidRPr="0010306A" w14:paraId="0374B1BF" w14:textId="77777777" w:rsidTr="0049743F">
        <w:trPr>
          <w:trHeight w:val="60"/>
        </w:trPr>
        <w:tc>
          <w:tcPr>
            <w:tcW w:w="391" w:type="pct"/>
            <w:vMerge/>
            <w:tcBorders>
              <w:left w:val="single" w:sz="4" w:space="0" w:color="auto"/>
              <w:bottom w:val="single" w:sz="4" w:space="0" w:color="auto"/>
              <w:right w:val="single" w:sz="4" w:space="0" w:color="auto"/>
            </w:tcBorders>
            <w:vAlign w:val="center"/>
          </w:tcPr>
          <w:p w14:paraId="277221E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608B9546"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65EA9005"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Área Rural total</w:t>
            </w:r>
          </w:p>
        </w:tc>
        <w:tc>
          <w:tcPr>
            <w:tcW w:w="493" w:type="pct"/>
            <w:tcBorders>
              <w:top w:val="nil"/>
              <w:left w:val="nil"/>
              <w:bottom w:val="single" w:sz="4" w:space="0" w:color="auto"/>
              <w:right w:val="single" w:sz="4" w:space="0" w:color="auto"/>
            </w:tcBorders>
            <w:noWrap/>
            <w:vAlign w:val="center"/>
          </w:tcPr>
          <w:p w14:paraId="72A3F7BD"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Arial"/>
                <w:sz w:val="16"/>
                <w:szCs w:val="16"/>
                <w:lang w:eastAsia="es-PA"/>
              </w:rPr>
              <w:t>18.0</w:t>
            </w:r>
          </w:p>
        </w:tc>
        <w:tc>
          <w:tcPr>
            <w:tcW w:w="493" w:type="pct"/>
            <w:tcBorders>
              <w:top w:val="nil"/>
              <w:left w:val="nil"/>
              <w:bottom w:val="single" w:sz="4" w:space="0" w:color="auto"/>
              <w:right w:val="single" w:sz="4" w:space="0" w:color="auto"/>
            </w:tcBorders>
            <w:noWrap/>
            <w:vAlign w:val="center"/>
          </w:tcPr>
          <w:p w14:paraId="17640B65"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Arial"/>
                <w:sz w:val="16"/>
                <w:szCs w:val="16"/>
                <w:lang w:eastAsia="es-PA"/>
              </w:rPr>
              <w:t>16.3</w:t>
            </w:r>
          </w:p>
        </w:tc>
        <w:tc>
          <w:tcPr>
            <w:tcW w:w="492" w:type="pct"/>
            <w:tcBorders>
              <w:bottom w:val="single" w:sz="4" w:space="0" w:color="auto"/>
              <w:right w:val="single" w:sz="2" w:space="0" w:color="auto"/>
            </w:tcBorders>
            <w:noWrap/>
            <w:vAlign w:val="center"/>
          </w:tcPr>
          <w:p w14:paraId="7415CD5F"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Arial"/>
                <w:sz w:val="16"/>
                <w:szCs w:val="16"/>
                <w:lang w:eastAsia="es-PA"/>
              </w:rPr>
              <w:t>16.8</w:t>
            </w:r>
          </w:p>
        </w:tc>
      </w:tr>
      <w:tr w:rsidR="000C171B" w:rsidRPr="0010306A" w14:paraId="3D0141CD" w14:textId="77777777" w:rsidTr="0049743F">
        <w:trPr>
          <w:trHeight w:val="60"/>
        </w:trPr>
        <w:tc>
          <w:tcPr>
            <w:tcW w:w="391" w:type="pct"/>
            <w:vMerge w:val="restart"/>
            <w:tcBorders>
              <w:top w:val="single" w:sz="4" w:space="0" w:color="auto"/>
              <w:left w:val="single" w:sz="4" w:space="0" w:color="auto"/>
              <w:right w:val="single" w:sz="4" w:space="0" w:color="auto"/>
            </w:tcBorders>
            <w:vAlign w:val="center"/>
          </w:tcPr>
          <w:p w14:paraId="2ED3A62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8</w:t>
            </w:r>
          </w:p>
        </w:tc>
        <w:tc>
          <w:tcPr>
            <w:tcW w:w="1565" w:type="pct"/>
            <w:vMerge w:val="restart"/>
            <w:tcBorders>
              <w:top w:val="single" w:sz="4" w:space="0" w:color="auto"/>
              <w:left w:val="nil"/>
              <w:right w:val="single" w:sz="4" w:space="0" w:color="auto"/>
            </w:tcBorders>
          </w:tcPr>
          <w:p w14:paraId="089A2819"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Proporción y número de niños de entre 5 y 17 años que realizan trabajo infantil, desglosada por sexo y edad</w:t>
            </w:r>
          </w:p>
        </w:tc>
        <w:tc>
          <w:tcPr>
            <w:tcW w:w="1566" w:type="pct"/>
            <w:tcBorders>
              <w:top w:val="single" w:sz="4" w:space="0" w:color="auto"/>
              <w:left w:val="nil"/>
              <w:bottom w:val="nil"/>
              <w:right w:val="single" w:sz="4" w:space="0" w:color="auto"/>
            </w:tcBorders>
            <w:vAlign w:val="center"/>
          </w:tcPr>
          <w:p w14:paraId="1D00F936"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sz w:val="16"/>
                <w:szCs w:val="16"/>
                <w:lang w:eastAsia="es-PA"/>
              </w:rPr>
              <w:t>Total menores en trabajo infantil</w:t>
            </w:r>
          </w:p>
        </w:tc>
        <w:tc>
          <w:tcPr>
            <w:tcW w:w="493" w:type="pct"/>
            <w:tcBorders>
              <w:top w:val="single" w:sz="4" w:space="0" w:color="auto"/>
              <w:left w:val="nil"/>
              <w:bottom w:val="nil"/>
              <w:right w:val="single" w:sz="4" w:space="0" w:color="auto"/>
            </w:tcBorders>
            <w:noWrap/>
            <w:vAlign w:val="center"/>
          </w:tcPr>
          <w:p w14:paraId="496553F3"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26,710</w:t>
            </w:r>
          </w:p>
        </w:tc>
        <w:tc>
          <w:tcPr>
            <w:tcW w:w="493" w:type="pct"/>
            <w:tcBorders>
              <w:top w:val="single" w:sz="4" w:space="0" w:color="auto"/>
              <w:left w:val="nil"/>
              <w:bottom w:val="nil"/>
              <w:right w:val="single" w:sz="4" w:space="0" w:color="auto"/>
            </w:tcBorders>
            <w:noWrap/>
            <w:vAlign w:val="center"/>
          </w:tcPr>
          <w:p w14:paraId="4F52681E"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23,855</w:t>
            </w:r>
          </w:p>
        </w:tc>
        <w:tc>
          <w:tcPr>
            <w:tcW w:w="492" w:type="pct"/>
            <w:tcBorders>
              <w:top w:val="single" w:sz="4" w:space="0" w:color="auto"/>
              <w:right w:val="single" w:sz="2" w:space="0" w:color="auto"/>
            </w:tcBorders>
            <w:noWrap/>
            <w:vAlign w:val="center"/>
          </w:tcPr>
          <w:p w14:paraId="277134BF"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40962A75" w14:textId="77777777" w:rsidTr="0049743F">
        <w:trPr>
          <w:trHeight w:val="60"/>
        </w:trPr>
        <w:tc>
          <w:tcPr>
            <w:tcW w:w="391" w:type="pct"/>
            <w:vMerge/>
            <w:tcBorders>
              <w:left w:val="single" w:sz="4" w:space="0" w:color="auto"/>
              <w:right w:val="single" w:sz="4" w:space="0" w:color="auto"/>
            </w:tcBorders>
            <w:vAlign w:val="center"/>
          </w:tcPr>
          <w:p w14:paraId="74463B13"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45552D6E"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6FBCB39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sz w:val="16"/>
                <w:szCs w:val="16"/>
                <w:lang w:eastAsia="es-PA"/>
              </w:rPr>
              <w:t>Hombres menores en trabajo infantil</w:t>
            </w:r>
          </w:p>
        </w:tc>
        <w:tc>
          <w:tcPr>
            <w:tcW w:w="493" w:type="pct"/>
            <w:tcBorders>
              <w:top w:val="nil"/>
              <w:left w:val="nil"/>
              <w:bottom w:val="nil"/>
              <w:right w:val="single" w:sz="4" w:space="0" w:color="auto"/>
            </w:tcBorders>
            <w:noWrap/>
            <w:vAlign w:val="center"/>
          </w:tcPr>
          <w:p w14:paraId="3542B7DE"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18,118</w:t>
            </w:r>
          </w:p>
        </w:tc>
        <w:tc>
          <w:tcPr>
            <w:tcW w:w="493" w:type="pct"/>
            <w:tcBorders>
              <w:top w:val="nil"/>
              <w:left w:val="nil"/>
              <w:bottom w:val="nil"/>
              <w:right w:val="single" w:sz="4" w:space="0" w:color="auto"/>
            </w:tcBorders>
            <w:noWrap/>
            <w:vAlign w:val="center"/>
          </w:tcPr>
          <w:p w14:paraId="5B949DF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17,635</w:t>
            </w:r>
          </w:p>
        </w:tc>
        <w:tc>
          <w:tcPr>
            <w:tcW w:w="492" w:type="pct"/>
            <w:tcBorders>
              <w:right w:val="single" w:sz="2" w:space="0" w:color="auto"/>
            </w:tcBorders>
            <w:noWrap/>
            <w:vAlign w:val="center"/>
          </w:tcPr>
          <w:p w14:paraId="6F7D9A52"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0E872B65" w14:textId="77777777" w:rsidTr="0049743F">
        <w:trPr>
          <w:trHeight w:val="60"/>
        </w:trPr>
        <w:tc>
          <w:tcPr>
            <w:tcW w:w="391" w:type="pct"/>
            <w:vMerge/>
            <w:tcBorders>
              <w:left w:val="single" w:sz="4" w:space="0" w:color="auto"/>
              <w:right w:val="single" w:sz="4" w:space="0" w:color="auto"/>
            </w:tcBorders>
            <w:vAlign w:val="center"/>
          </w:tcPr>
          <w:p w14:paraId="5BE7AF4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623C42C2"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3CD9F201"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sz w:val="16"/>
                <w:szCs w:val="16"/>
                <w:lang w:eastAsia="es-PA"/>
              </w:rPr>
              <w:t>Mujeres menores en trabajo infantil</w:t>
            </w:r>
          </w:p>
        </w:tc>
        <w:tc>
          <w:tcPr>
            <w:tcW w:w="493" w:type="pct"/>
            <w:tcBorders>
              <w:top w:val="nil"/>
              <w:left w:val="nil"/>
              <w:bottom w:val="nil"/>
              <w:right w:val="single" w:sz="4" w:space="0" w:color="auto"/>
            </w:tcBorders>
            <w:noWrap/>
            <w:vAlign w:val="center"/>
          </w:tcPr>
          <w:p w14:paraId="1025EEED"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8,592</w:t>
            </w:r>
          </w:p>
        </w:tc>
        <w:tc>
          <w:tcPr>
            <w:tcW w:w="493" w:type="pct"/>
            <w:tcBorders>
              <w:top w:val="nil"/>
              <w:left w:val="nil"/>
              <w:bottom w:val="nil"/>
              <w:right w:val="single" w:sz="4" w:space="0" w:color="auto"/>
            </w:tcBorders>
            <w:noWrap/>
            <w:vAlign w:val="center"/>
          </w:tcPr>
          <w:p w14:paraId="1A4BB66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6,220</w:t>
            </w:r>
          </w:p>
        </w:tc>
        <w:tc>
          <w:tcPr>
            <w:tcW w:w="492" w:type="pct"/>
            <w:tcBorders>
              <w:right w:val="single" w:sz="2" w:space="0" w:color="auto"/>
            </w:tcBorders>
            <w:noWrap/>
            <w:vAlign w:val="center"/>
          </w:tcPr>
          <w:p w14:paraId="65A1E2D0"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60A374EB" w14:textId="77777777" w:rsidTr="0049743F">
        <w:trPr>
          <w:trHeight w:val="60"/>
        </w:trPr>
        <w:tc>
          <w:tcPr>
            <w:tcW w:w="391" w:type="pct"/>
            <w:vMerge/>
            <w:tcBorders>
              <w:left w:val="single" w:sz="4" w:space="0" w:color="auto"/>
              <w:right w:val="single" w:sz="4" w:space="0" w:color="auto"/>
            </w:tcBorders>
            <w:vAlign w:val="center"/>
          </w:tcPr>
          <w:p w14:paraId="72986F65"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5CF66E40"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74F07120"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sz w:val="16"/>
                <w:szCs w:val="16"/>
                <w:lang w:eastAsia="es-PA"/>
              </w:rPr>
              <w:t>Área urbana menores en trabajo infantil</w:t>
            </w:r>
          </w:p>
        </w:tc>
        <w:tc>
          <w:tcPr>
            <w:tcW w:w="493" w:type="pct"/>
            <w:tcBorders>
              <w:top w:val="nil"/>
              <w:left w:val="nil"/>
              <w:bottom w:val="nil"/>
              <w:right w:val="single" w:sz="4" w:space="0" w:color="auto"/>
            </w:tcBorders>
            <w:noWrap/>
            <w:vAlign w:val="center"/>
          </w:tcPr>
          <w:p w14:paraId="4730DDB3"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6,686</w:t>
            </w:r>
          </w:p>
        </w:tc>
        <w:tc>
          <w:tcPr>
            <w:tcW w:w="493" w:type="pct"/>
            <w:tcBorders>
              <w:top w:val="nil"/>
              <w:left w:val="nil"/>
              <w:bottom w:val="nil"/>
              <w:right w:val="single" w:sz="4" w:space="0" w:color="auto"/>
            </w:tcBorders>
            <w:noWrap/>
            <w:vAlign w:val="center"/>
          </w:tcPr>
          <w:p w14:paraId="38B5E64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5,259</w:t>
            </w:r>
          </w:p>
        </w:tc>
        <w:tc>
          <w:tcPr>
            <w:tcW w:w="492" w:type="pct"/>
            <w:tcBorders>
              <w:right w:val="single" w:sz="2" w:space="0" w:color="auto"/>
            </w:tcBorders>
            <w:noWrap/>
            <w:vAlign w:val="center"/>
          </w:tcPr>
          <w:p w14:paraId="35503239"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3207E68F" w14:textId="77777777" w:rsidTr="0049743F">
        <w:trPr>
          <w:trHeight w:val="60"/>
        </w:trPr>
        <w:tc>
          <w:tcPr>
            <w:tcW w:w="391" w:type="pct"/>
            <w:vMerge/>
            <w:tcBorders>
              <w:left w:val="single" w:sz="4" w:space="0" w:color="auto"/>
              <w:right w:val="single" w:sz="4" w:space="0" w:color="auto"/>
            </w:tcBorders>
            <w:vAlign w:val="center"/>
          </w:tcPr>
          <w:p w14:paraId="79C94EC2"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3ADF5E31"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262D3F11"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sz w:val="16"/>
                <w:szCs w:val="16"/>
                <w:lang w:eastAsia="es-PA"/>
              </w:rPr>
              <w:t>Área rural menores en trabajo infantil</w:t>
            </w:r>
          </w:p>
        </w:tc>
        <w:tc>
          <w:tcPr>
            <w:tcW w:w="493" w:type="pct"/>
            <w:tcBorders>
              <w:top w:val="nil"/>
              <w:left w:val="nil"/>
              <w:bottom w:val="nil"/>
              <w:right w:val="single" w:sz="4" w:space="0" w:color="auto"/>
            </w:tcBorders>
            <w:noWrap/>
            <w:vAlign w:val="center"/>
          </w:tcPr>
          <w:p w14:paraId="30D92AAC"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20,024</w:t>
            </w:r>
          </w:p>
        </w:tc>
        <w:tc>
          <w:tcPr>
            <w:tcW w:w="493" w:type="pct"/>
            <w:tcBorders>
              <w:top w:val="nil"/>
              <w:left w:val="nil"/>
              <w:bottom w:val="nil"/>
              <w:right w:val="single" w:sz="4" w:space="0" w:color="auto"/>
            </w:tcBorders>
            <w:noWrap/>
            <w:vAlign w:val="center"/>
          </w:tcPr>
          <w:p w14:paraId="1646C48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11,110</w:t>
            </w:r>
          </w:p>
        </w:tc>
        <w:tc>
          <w:tcPr>
            <w:tcW w:w="492" w:type="pct"/>
            <w:tcBorders>
              <w:right w:val="single" w:sz="2" w:space="0" w:color="auto"/>
            </w:tcBorders>
            <w:noWrap/>
            <w:vAlign w:val="center"/>
          </w:tcPr>
          <w:p w14:paraId="33ED4F4C"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5ED6115B" w14:textId="77777777" w:rsidTr="0049743F">
        <w:trPr>
          <w:trHeight w:val="60"/>
        </w:trPr>
        <w:tc>
          <w:tcPr>
            <w:tcW w:w="391" w:type="pct"/>
            <w:vMerge/>
            <w:tcBorders>
              <w:left w:val="single" w:sz="4" w:space="0" w:color="auto"/>
              <w:right w:val="single" w:sz="4" w:space="0" w:color="auto"/>
            </w:tcBorders>
            <w:vAlign w:val="center"/>
          </w:tcPr>
          <w:p w14:paraId="7424CE84"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4313A499"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639E6B2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sz w:val="16"/>
                <w:szCs w:val="16"/>
                <w:lang w:eastAsia="es-PA"/>
              </w:rPr>
              <w:t>Total proporción de menores en trabajo infantil</w:t>
            </w:r>
          </w:p>
        </w:tc>
        <w:tc>
          <w:tcPr>
            <w:tcW w:w="493" w:type="pct"/>
            <w:tcBorders>
              <w:top w:val="nil"/>
              <w:left w:val="nil"/>
              <w:bottom w:val="nil"/>
              <w:right w:val="single" w:sz="4" w:space="0" w:color="auto"/>
            </w:tcBorders>
            <w:noWrap/>
            <w:vAlign w:val="center"/>
          </w:tcPr>
          <w:p w14:paraId="4F81B4BF"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2.9</w:t>
            </w:r>
          </w:p>
        </w:tc>
        <w:tc>
          <w:tcPr>
            <w:tcW w:w="493" w:type="pct"/>
            <w:tcBorders>
              <w:top w:val="nil"/>
              <w:left w:val="nil"/>
              <w:bottom w:val="nil"/>
              <w:right w:val="single" w:sz="4" w:space="0" w:color="auto"/>
            </w:tcBorders>
            <w:noWrap/>
            <w:vAlign w:val="center"/>
          </w:tcPr>
          <w:p w14:paraId="3DFFEDB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2.5</w:t>
            </w:r>
          </w:p>
        </w:tc>
        <w:tc>
          <w:tcPr>
            <w:tcW w:w="492" w:type="pct"/>
            <w:tcBorders>
              <w:right w:val="single" w:sz="2" w:space="0" w:color="auto"/>
            </w:tcBorders>
            <w:noWrap/>
            <w:vAlign w:val="center"/>
          </w:tcPr>
          <w:p w14:paraId="1E4F2F4B"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758FEC79" w14:textId="77777777" w:rsidTr="0049743F">
        <w:trPr>
          <w:trHeight w:val="60"/>
        </w:trPr>
        <w:tc>
          <w:tcPr>
            <w:tcW w:w="391" w:type="pct"/>
            <w:vMerge/>
            <w:tcBorders>
              <w:left w:val="single" w:sz="4" w:space="0" w:color="auto"/>
              <w:right w:val="single" w:sz="4" w:space="0" w:color="auto"/>
            </w:tcBorders>
            <w:vAlign w:val="center"/>
          </w:tcPr>
          <w:p w14:paraId="5564CA5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16B3563B"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78FFDB1D"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sz w:val="16"/>
                <w:szCs w:val="16"/>
                <w:lang w:eastAsia="es-PA"/>
              </w:rPr>
              <w:t>Hombres proporción de menores en trabajo infantil</w:t>
            </w:r>
          </w:p>
        </w:tc>
        <w:tc>
          <w:tcPr>
            <w:tcW w:w="493" w:type="pct"/>
            <w:tcBorders>
              <w:top w:val="nil"/>
              <w:left w:val="nil"/>
              <w:bottom w:val="nil"/>
              <w:right w:val="single" w:sz="4" w:space="0" w:color="auto"/>
            </w:tcBorders>
            <w:noWrap/>
            <w:vAlign w:val="center"/>
          </w:tcPr>
          <w:p w14:paraId="0A85E4E5"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3.9</w:t>
            </w:r>
          </w:p>
        </w:tc>
        <w:tc>
          <w:tcPr>
            <w:tcW w:w="493" w:type="pct"/>
            <w:tcBorders>
              <w:top w:val="nil"/>
              <w:left w:val="nil"/>
              <w:bottom w:val="nil"/>
              <w:right w:val="single" w:sz="4" w:space="0" w:color="auto"/>
            </w:tcBorders>
            <w:noWrap/>
            <w:vAlign w:val="center"/>
          </w:tcPr>
          <w:p w14:paraId="4DAAD452"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3.6</w:t>
            </w:r>
          </w:p>
        </w:tc>
        <w:tc>
          <w:tcPr>
            <w:tcW w:w="492" w:type="pct"/>
            <w:tcBorders>
              <w:right w:val="single" w:sz="2" w:space="0" w:color="auto"/>
            </w:tcBorders>
            <w:noWrap/>
            <w:vAlign w:val="center"/>
          </w:tcPr>
          <w:p w14:paraId="2DA0314C"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5EC8DA69" w14:textId="77777777" w:rsidTr="0049743F">
        <w:trPr>
          <w:trHeight w:val="60"/>
        </w:trPr>
        <w:tc>
          <w:tcPr>
            <w:tcW w:w="391" w:type="pct"/>
            <w:vMerge/>
            <w:tcBorders>
              <w:left w:val="single" w:sz="4" w:space="0" w:color="auto"/>
              <w:right w:val="single" w:sz="4" w:space="0" w:color="auto"/>
            </w:tcBorders>
            <w:vAlign w:val="center"/>
          </w:tcPr>
          <w:p w14:paraId="2D6FE32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386B340D"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03B8B67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sz w:val="16"/>
                <w:szCs w:val="16"/>
                <w:lang w:eastAsia="es-PA"/>
              </w:rPr>
              <w:t>Mujeres proporción de menores en trabajo infantil</w:t>
            </w:r>
          </w:p>
        </w:tc>
        <w:tc>
          <w:tcPr>
            <w:tcW w:w="493" w:type="pct"/>
            <w:tcBorders>
              <w:top w:val="nil"/>
              <w:left w:val="nil"/>
              <w:bottom w:val="nil"/>
              <w:right w:val="single" w:sz="4" w:space="0" w:color="auto"/>
            </w:tcBorders>
            <w:noWrap/>
            <w:vAlign w:val="center"/>
          </w:tcPr>
          <w:p w14:paraId="603D6BC4"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1.9</w:t>
            </w:r>
          </w:p>
        </w:tc>
        <w:tc>
          <w:tcPr>
            <w:tcW w:w="493" w:type="pct"/>
            <w:tcBorders>
              <w:top w:val="nil"/>
              <w:left w:val="nil"/>
              <w:bottom w:val="nil"/>
              <w:right w:val="single" w:sz="4" w:space="0" w:color="auto"/>
            </w:tcBorders>
            <w:noWrap/>
            <w:vAlign w:val="center"/>
          </w:tcPr>
          <w:p w14:paraId="2F5C2B4D"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1.3</w:t>
            </w:r>
          </w:p>
        </w:tc>
        <w:tc>
          <w:tcPr>
            <w:tcW w:w="492" w:type="pct"/>
            <w:tcBorders>
              <w:right w:val="single" w:sz="2" w:space="0" w:color="auto"/>
            </w:tcBorders>
            <w:noWrap/>
            <w:vAlign w:val="center"/>
          </w:tcPr>
          <w:p w14:paraId="7DF5EE6D"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75EA4067" w14:textId="77777777" w:rsidTr="0049743F">
        <w:trPr>
          <w:trHeight w:val="60"/>
        </w:trPr>
        <w:tc>
          <w:tcPr>
            <w:tcW w:w="391" w:type="pct"/>
            <w:vMerge/>
            <w:tcBorders>
              <w:left w:val="single" w:sz="4" w:space="0" w:color="auto"/>
              <w:right w:val="single" w:sz="4" w:space="0" w:color="auto"/>
            </w:tcBorders>
            <w:vAlign w:val="center"/>
          </w:tcPr>
          <w:p w14:paraId="5A6FD013"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0E8E5241"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04F649E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sz w:val="16"/>
                <w:szCs w:val="16"/>
                <w:lang w:eastAsia="es-PA"/>
              </w:rPr>
              <w:t>Área urbana proporción de menores en trabajo infantil</w:t>
            </w:r>
          </w:p>
        </w:tc>
        <w:tc>
          <w:tcPr>
            <w:tcW w:w="493" w:type="pct"/>
            <w:tcBorders>
              <w:top w:val="nil"/>
              <w:left w:val="nil"/>
              <w:bottom w:val="nil"/>
              <w:right w:val="single" w:sz="4" w:space="0" w:color="auto"/>
            </w:tcBorders>
            <w:noWrap/>
            <w:vAlign w:val="center"/>
          </w:tcPr>
          <w:p w14:paraId="777ED96B"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1.2</w:t>
            </w:r>
          </w:p>
        </w:tc>
        <w:tc>
          <w:tcPr>
            <w:tcW w:w="493" w:type="pct"/>
            <w:tcBorders>
              <w:top w:val="nil"/>
              <w:left w:val="nil"/>
              <w:bottom w:val="nil"/>
              <w:right w:val="single" w:sz="4" w:space="0" w:color="auto"/>
            </w:tcBorders>
            <w:noWrap/>
            <w:vAlign w:val="center"/>
          </w:tcPr>
          <w:p w14:paraId="5867D34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0.9</w:t>
            </w:r>
          </w:p>
        </w:tc>
        <w:tc>
          <w:tcPr>
            <w:tcW w:w="492" w:type="pct"/>
            <w:tcBorders>
              <w:right w:val="single" w:sz="2" w:space="0" w:color="auto"/>
            </w:tcBorders>
            <w:noWrap/>
            <w:vAlign w:val="center"/>
          </w:tcPr>
          <w:p w14:paraId="22216346"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0DE23034" w14:textId="77777777" w:rsidTr="0049743F">
        <w:trPr>
          <w:trHeight w:val="60"/>
        </w:trPr>
        <w:tc>
          <w:tcPr>
            <w:tcW w:w="391" w:type="pct"/>
            <w:vMerge/>
            <w:tcBorders>
              <w:left w:val="single" w:sz="4" w:space="0" w:color="auto"/>
              <w:bottom w:val="single" w:sz="4" w:space="0" w:color="auto"/>
              <w:right w:val="single" w:sz="4" w:space="0" w:color="auto"/>
            </w:tcBorders>
            <w:vAlign w:val="center"/>
          </w:tcPr>
          <w:p w14:paraId="36B5B6A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742D6C59"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0DA2954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sz w:val="16"/>
                <w:szCs w:val="16"/>
                <w:lang w:eastAsia="es-PA"/>
              </w:rPr>
              <w:t>Área rural proporción de menores en trabajo infantil</w:t>
            </w:r>
          </w:p>
        </w:tc>
        <w:tc>
          <w:tcPr>
            <w:tcW w:w="493" w:type="pct"/>
            <w:tcBorders>
              <w:top w:val="nil"/>
              <w:left w:val="nil"/>
              <w:bottom w:val="single" w:sz="4" w:space="0" w:color="auto"/>
              <w:right w:val="single" w:sz="4" w:space="0" w:color="auto"/>
            </w:tcBorders>
            <w:noWrap/>
            <w:vAlign w:val="center"/>
          </w:tcPr>
          <w:p w14:paraId="3146BEA8"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5.6</w:t>
            </w:r>
          </w:p>
        </w:tc>
        <w:tc>
          <w:tcPr>
            <w:tcW w:w="493" w:type="pct"/>
            <w:tcBorders>
              <w:top w:val="nil"/>
              <w:left w:val="nil"/>
              <w:bottom w:val="single" w:sz="4" w:space="0" w:color="auto"/>
              <w:right w:val="single" w:sz="4" w:space="0" w:color="auto"/>
            </w:tcBorders>
            <w:noWrap/>
            <w:vAlign w:val="center"/>
          </w:tcPr>
          <w:p w14:paraId="020D0D6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4.0</w:t>
            </w:r>
          </w:p>
        </w:tc>
        <w:tc>
          <w:tcPr>
            <w:tcW w:w="492" w:type="pct"/>
            <w:tcBorders>
              <w:bottom w:val="single" w:sz="4" w:space="0" w:color="auto"/>
              <w:right w:val="single" w:sz="2" w:space="0" w:color="auto"/>
            </w:tcBorders>
            <w:noWrap/>
            <w:vAlign w:val="center"/>
          </w:tcPr>
          <w:p w14:paraId="49C7B7C7" w14:textId="77777777" w:rsidR="000C171B" w:rsidRPr="00D336D1" w:rsidRDefault="000C171B" w:rsidP="002C49EF">
            <w:pPr>
              <w:spacing w:after="0" w:line="240" w:lineRule="auto"/>
              <w:jc w:val="center"/>
              <w:rPr>
                <w:rFonts w:ascii="Arial Narrow" w:hAnsi="Arial Narrow" w:cs="Arial Narrow"/>
                <w:sz w:val="16"/>
                <w:szCs w:val="16"/>
              </w:rPr>
            </w:pPr>
          </w:p>
        </w:tc>
      </w:tr>
      <w:tr w:rsidR="000C171B" w:rsidRPr="0010306A" w14:paraId="4D227633" w14:textId="77777777" w:rsidTr="0049743F">
        <w:trPr>
          <w:trHeight w:val="60"/>
        </w:trPr>
        <w:tc>
          <w:tcPr>
            <w:tcW w:w="391" w:type="pct"/>
            <w:vMerge w:val="restart"/>
            <w:tcBorders>
              <w:top w:val="single" w:sz="4" w:space="0" w:color="auto"/>
              <w:left w:val="single" w:sz="4" w:space="0" w:color="auto"/>
              <w:right w:val="single" w:sz="4" w:space="0" w:color="auto"/>
            </w:tcBorders>
          </w:tcPr>
          <w:p w14:paraId="395FFC61"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9</w:t>
            </w:r>
          </w:p>
        </w:tc>
        <w:tc>
          <w:tcPr>
            <w:tcW w:w="1565" w:type="pct"/>
            <w:vMerge w:val="restart"/>
            <w:tcBorders>
              <w:top w:val="single" w:sz="4" w:space="0" w:color="auto"/>
              <w:left w:val="nil"/>
              <w:right w:val="single" w:sz="4" w:space="0" w:color="auto"/>
            </w:tcBorders>
          </w:tcPr>
          <w:p w14:paraId="3261E5A3"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Valor agregado por manufactura como proporción del PIB corriente  y per cápita</w:t>
            </w:r>
          </w:p>
        </w:tc>
        <w:tc>
          <w:tcPr>
            <w:tcW w:w="1566" w:type="pct"/>
            <w:tcBorders>
              <w:top w:val="single" w:sz="4" w:space="0" w:color="auto"/>
              <w:left w:val="nil"/>
              <w:bottom w:val="nil"/>
              <w:right w:val="single" w:sz="4" w:space="0" w:color="auto"/>
            </w:tcBorders>
            <w:vAlign w:val="center"/>
          </w:tcPr>
          <w:p w14:paraId="70B3743B"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Proporción del PIB total</w:t>
            </w:r>
          </w:p>
        </w:tc>
        <w:tc>
          <w:tcPr>
            <w:tcW w:w="493" w:type="pct"/>
            <w:tcBorders>
              <w:top w:val="single" w:sz="4" w:space="0" w:color="auto"/>
              <w:left w:val="nil"/>
              <w:bottom w:val="nil"/>
              <w:right w:val="single" w:sz="4" w:space="0" w:color="auto"/>
            </w:tcBorders>
            <w:noWrap/>
            <w:vAlign w:val="center"/>
          </w:tcPr>
          <w:p w14:paraId="2F7EE95B"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Calibri"/>
                <w:sz w:val="16"/>
                <w:szCs w:val="16"/>
              </w:rPr>
              <w:t>6.8</w:t>
            </w:r>
          </w:p>
        </w:tc>
        <w:tc>
          <w:tcPr>
            <w:tcW w:w="493" w:type="pct"/>
            <w:tcBorders>
              <w:top w:val="single" w:sz="4" w:space="0" w:color="auto"/>
              <w:left w:val="nil"/>
              <w:bottom w:val="nil"/>
              <w:right w:val="single" w:sz="4" w:space="0" w:color="auto"/>
            </w:tcBorders>
            <w:noWrap/>
            <w:vAlign w:val="center"/>
          </w:tcPr>
          <w:p w14:paraId="32CB0D85"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6.4</w:t>
            </w:r>
          </w:p>
        </w:tc>
        <w:tc>
          <w:tcPr>
            <w:tcW w:w="492" w:type="pct"/>
            <w:tcBorders>
              <w:top w:val="single" w:sz="4" w:space="0" w:color="auto"/>
              <w:right w:val="single" w:sz="2" w:space="0" w:color="auto"/>
            </w:tcBorders>
            <w:noWrap/>
            <w:vAlign w:val="center"/>
          </w:tcPr>
          <w:p w14:paraId="32D26967"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6.0</w:t>
            </w:r>
          </w:p>
        </w:tc>
      </w:tr>
      <w:tr w:rsidR="000C171B" w:rsidRPr="0010306A" w14:paraId="154730AC" w14:textId="77777777" w:rsidTr="0049743F">
        <w:trPr>
          <w:trHeight w:val="60"/>
        </w:trPr>
        <w:tc>
          <w:tcPr>
            <w:tcW w:w="391" w:type="pct"/>
            <w:vMerge/>
            <w:tcBorders>
              <w:left w:val="single" w:sz="4" w:space="0" w:color="auto"/>
              <w:bottom w:val="single" w:sz="4" w:space="0" w:color="auto"/>
              <w:right w:val="single" w:sz="4" w:space="0" w:color="auto"/>
            </w:tcBorders>
            <w:vAlign w:val="center"/>
          </w:tcPr>
          <w:p w14:paraId="3E1D5DF1"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07A9B11C"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13FC2863"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Valor agregado de la manufactura per cápita</w:t>
            </w:r>
          </w:p>
        </w:tc>
        <w:tc>
          <w:tcPr>
            <w:tcW w:w="493" w:type="pct"/>
            <w:tcBorders>
              <w:top w:val="nil"/>
              <w:left w:val="nil"/>
              <w:bottom w:val="single" w:sz="4" w:space="0" w:color="auto"/>
              <w:right w:val="single" w:sz="4" w:space="0" w:color="auto"/>
            </w:tcBorders>
            <w:noWrap/>
            <w:vAlign w:val="center"/>
          </w:tcPr>
          <w:p w14:paraId="4BA60DB2"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929.9</w:t>
            </w:r>
          </w:p>
        </w:tc>
        <w:tc>
          <w:tcPr>
            <w:tcW w:w="493" w:type="pct"/>
            <w:tcBorders>
              <w:top w:val="nil"/>
              <w:left w:val="nil"/>
              <w:bottom w:val="single" w:sz="4" w:space="0" w:color="auto"/>
              <w:right w:val="single" w:sz="4" w:space="0" w:color="auto"/>
            </w:tcBorders>
            <w:noWrap/>
            <w:vAlign w:val="center"/>
          </w:tcPr>
          <w:p w14:paraId="3C68343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911.4</w:t>
            </w:r>
          </w:p>
        </w:tc>
        <w:tc>
          <w:tcPr>
            <w:tcW w:w="492" w:type="pct"/>
            <w:tcBorders>
              <w:bottom w:val="single" w:sz="4" w:space="0" w:color="auto"/>
              <w:right w:val="single" w:sz="2" w:space="0" w:color="auto"/>
            </w:tcBorders>
            <w:noWrap/>
            <w:vAlign w:val="center"/>
          </w:tcPr>
          <w:p w14:paraId="04A6FD1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912.6</w:t>
            </w:r>
          </w:p>
        </w:tc>
      </w:tr>
      <w:tr w:rsidR="000C171B" w:rsidRPr="0010306A" w14:paraId="006232C1" w14:textId="77777777" w:rsidTr="0049743F">
        <w:trPr>
          <w:trHeight w:val="60"/>
        </w:trPr>
        <w:tc>
          <w:tcPr>
            <w:tcW w:w="391" w:type="pct"/>
            <w:vMerge w:val="restart"/>
            <w:tcBorders>
              <w:top w:val="single" w:sz="4" w:space="0" w:color="auto"/>
              <w:left w:val="single" w:sz="4" w:space="0" w:color="auto"/>
              <w:right w:val="single" w:sz="4" w:space="0" w:color="auto"/>
            </w:tcBorders>
          </w:tcPr>
          <w:p w14:paraId="6722F280"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9</w:t>
            </w:r>
          </w:p>
        </w:tc>
        <w:tc>
          <w:tcPr>
            <w:tcW w:w="1565" w:type="pct"/>
            <w:vMerge w:val="restart"/>
            <w:tcBorders>
              <w:top w:val="single" w:sz="4" w:space="0" w:color="auto"/>
              <w:left w:val="nil"/>
              <w:right w:val="single" w:sz="4" w:space="0" w:color="auto"/>
            </w:tcBorders>
          </w:tcPr>
          <w:p w14:paraId="42BE054C"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Empleo en la manufactura como proporción del empleo total, por sexo y área</w:t>
            </w:r>
          </w:p>
        </w:tc>
        <w:tc>
          <w:tcPr>
            <w:tcW w:w="1566" w:type="pct"/>
            <w:tcBorders>
              <w:top w:val="single" w:sz="4" w:space="0" w:color="auto"/>
              <w:left w:val="nil"/>
              <w:bottom w:val="nil"/>
              <w:right w:val="single" w:sz="4" w:space="0" w:color="auto"/>
            </w:tcBorders>
            <w:vAlign w:val="center"/>
          </w:tcPr>
          <w:p w14:paraId="0EDE0490"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Total</w:t>
            </w:r>
          </w:p>
        </w:tc>
        <w:tc>
          <w:tcPr>
            <w:tcW w:w="493" w:type="pct"/>
            <w:tcBorders>
              <w:top w:val="single" w:sz="4" w:space="0" w:color="auto"/>
              <w:left w:val="nil"/>
              <w:bottom w:val="nil"/>
              <w:right w:val="single" w:sz="4" w:space="0" w:color="auto"/>
            </w:tcBorders>
            <w:noWrap/>
            <w:vAlign w:val="center"/>
          </w:tcPr>
          <w:p w14:paraId="7661B484"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Calibri"/>
                <w:sz w:val="16"/>
                <w:szCs w:val="16"/>
              </w:rPr>
              <w:t>7.7</w:t>
            </w:r>
          </w:p>
        </w:tc>
        <w:tc>
          <w:tcPr>
            <w:tcW w:w="493" w:type="pct"/>
            <w:tcBorders>
              <w:top w:val="single" w:sz="4" w:space="0" w:color="auto"/>
              <w:left w:val="nil"/>
              <w:bottom w:val="nil"/>
              <w:right w:val="single" w:sz="4" w:space="0" w:color="auto"/>
            </w:tcBorders>
            <w:noWrap/>
            <w:vAlign w:val="center"/>
          </w:tcPr>
          <w:p w14:paraId="1D57329A"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7.3</w:t>
            </w:r>
          </w:p>
        </w:tc>
        <w:tc>
          <w:tcPr>
            <w:tcW w:w="492" w:type="pct"/>
            <w:tcBorders>
              <w:top w:val="single" w:sz="4" w:space="0" w:color="auto"/>
              <w:right w:val="single" w:sz="2" w:space="0" w:color="auto"/>
            </w:tcBorders>
            <w:noWrap/>
            <w:vAlign w:val="center"/>
          </w:tcPr>
          <w:p w14:paraId="353D012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7.3</w:t>
            </w:r>
          </w:p>
        </w:tc>
      </w:tr>
      <w:tr w:rsidR="000C171B" w:rsidRPr="0010306A" w14:paraId="4C73C1BD" w14:textId="77777777" w:rsidTr="0049743F">
        <w:trPr>
          <w:trHeight w:val="50"/>
        </w:trPr>
        <w:tc>
          <w:tcPr>
            <w:tcW w:w="391" w:type="pct"/>
            <w:vMerge/>
            <w:tcBorders>
              <w:left w:val="single" w:sz="4" w:space="0" w:color="auto"/>
              <w:right w:val="single" w:sz="4" w:space="0" w:color="auto"/>
            </w:tcBorders>
            <w:vAlign w:val="center"/>
          </w:tcPr>
          <w:p w14:paraId="5241B3B6"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3D981D4B"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0FA895C0"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Hombre</w:t>
            </w:r>
          </w:p>
        </w:tc>
        <w:tc>
          <w:tcPr>
            <w:tcW w:w="493" w:type="pct"/>
            <w:tcBorders>
              <w:top w:val="nil"/>
              <w:left w:val="nil"/>
              <w:bottom w:val="nil"/>
              <w:right w:val="single" w:sz="4" w:space="0" w:color="auto"/>
            </w:tcBorders>
            <w:noWrap/>
            <w:vAlign w:val="center"/>
          </w:tcPr>
          <w:p w14:paraId="51858F83"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7.6</w:t>
            </w:r>
          </w:p>
        </w:tc>
        <w:tc>
          <w:tcPr>
            <w:tcW w:w="493" w:type="pct"/>
            <w:tcBorders>
              <w:top w:val="nil"/>
              <w:left w:val="nil"/>
              <w:bottom w:val="nil"/>
              <w:right w:val="single" w:sz="4" w:space="0" w:color="auto"/>
            </w:tcBorders>
            <w:noWrap/>
            <w:vAlign w:val="center"/>
          </w:tcPr>
          <w:p w14:paraId="0BDF673D"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6.7</w:t>
            </w:r>
          </w:p>
        </w:tc>
        <w:tc>
          <w:tcPr>
            <w:tcW w:w="492" w:type="pct"/>
            <w:tcBorders>
              <w:right w:val="single" w:sz="2" w:space="0" w:color="auto"/>
            </w:tcBorders>
            <w:noWrap/>
            <w:vAlign w:val="center"/>
          </w:tcPr>
          <w:p w14:paraId="1488500D"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7.0</w:t>
            </w:r>
          </w:p>
        </w:tc>
      </w:tr>
      <w:tr w:rsidR="000C171B" w:rsidRPr="00EA7522" w14:paraId="4095E2D3" w14:textId="77777777" w:rsidTr="0049743F">
        <w:trPr>
          <w:trHeight w:val="60"/>
        </w:trPr>
        <w:tc>
          <w:tcPr>
            <w:tcW w:w="391" w:type="pct"/>
            <w:vMerge/>
            <w:tcBorders>
              <w:left w:val="single" w:sz="4" w:space="0" w:color="auto"/>
              <w:right w:val="single" w:sz="4" w:space="0" w:color="auto"/>
            </w:tcBorders>
            <w:vAlign w:val="center"/>
          </w:tcPr>
          <w:p w14:paraId="0FDC4049"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0F9AF515"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46B8E1D2"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Mujer</w:t>
            </w:r>
          </w:p>
        </w:tc>
        <w:tc>
          <w:tcPr>
            <w:tcW w:w="493" w:type="pct"/>
            <w:tcBorders>
              <w:top w:val="nil"/>
              <w:left w:val="nil"/>
              <w:bottom w:val="nil"/>
              <w:right w:val="single" w:sz="4" w:space="0" w:color="auto"/>
            </w:tcBorders>
            <w:noWrap/>
            <w:vAlign w:val="center"/>
          </w:tcPr>
          <w:p w14:paraId="3DBC2229"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7.8</w:t>
            </w:r>
          </w:p>
        </w:tc>
        <w:tc>
          <w:tcPr>
            <w:tcW w:w="493" w:type="pct"/>
            <w:tcBorders>
              <w:top w:val="nil"/>
              <w:left w:val="nil"/>
              <w:bottom w:val="nil"/>
              <w:right w:val="single" w:sz="4" w:space="0" w:color="auto"/>
            </w:tcBorders>
            <w:noWrap/>
            <w:vAlign w:val="center"/>
          </w:tcPr>
          <w:p w14:paraId="757755CF"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8.2</w:t>
            </w:r>
          </w:p>
        </w:tc>
        <w:tc>
          <w:tcPr>
            <w:tcW w:w="492" w:type="pct"/>
            <w:tcBorders>
              <w:right w:val="single" w:sz="2" w:space="0" w:color="auto"/>
            </w:tcBorders>
            <w:noWrap/>
            <w:vAlign w:val="center"/>
          </w:tcPr>
          <w:p w14:paraId="7E23DB02"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7.8</w:t>
            </w:r>
          </w:p>
        </w:tc>
      </w:tr>
      <w:tr w:rsidR="000C171B" w:rsidRPr="0010306A" w14:paraId="6ED08F02" w14:textId="77777777" w:rsidTr="0049743F">
        <w:trPr>
          <w:trHeight w:val="60"/>
        </w:trPr>
        <w:tc>
          <w:tcPr>
            <w:tcW w:w="391" w:type="pct"/>
            <w:vMerge/>
            <w:tcBorders>
              <w:left w:val="single" w:sz="4" w:space="0" w:color="auto"/>
              <w:right w:val="single" w:sz="4" w:space="0" w:color="auto"/>
            </w:tcBorders>
            <w:vAlign w:val="center"/>
          </w:tcPr>
          <w:p w14:paraId="512B7F4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0CBFDE8E"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37C9B3CB"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Área Urbana</w:t>
            </w:r>
          </w:p>
        </w:tc>
        <w:tc>
          <w:tcPr>
            <w:tcW w:w="493" w:type="pct"/>
            <w:tcBorders>
              <w:top w:val="nil"/>
              <w:left w:val="nil"/>
              <w:bottom w:val="nil"/>
              <w:right w:val="single" w:sz="4" w:space="0" w:color="auto"/>
            </w:tcBorders>
            <w:noWrap/>
            <w:vAlign w:val="center"/>
          </w:tcPr>
          <w:p w14:paraId="50035427"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7.6</w:t>
            </w:r>
          </w:p>
        </w:tc>
        <w:tc>
          <w:tcPr>
            <w:tcW w:w="493" w:type="pct"/>
            <w:tcBorders>
              <w:top w:val="nil"/>
              <w:left w:val="nil"/>
              <w:bottom w:val="nil"/>
              <w:right w:val="single" w:sz="4" w:space="0" w:color="auto"/>
            </w:tcBorders>
            <w:noWrap/>
            <w:vAlign w:val="center"/>
          </w:tcPr>
          <w:p w14:paraId="2AC03B1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6.8</w:t>
            </w:r>
          </w:p>
        </w:tc>
        <w:tc>
          <w:tcPr>
            <w:tcW w:w="492" w:type="pct"/>
            <w:tcBorders>
              <w:right w:val="single" w:sz="2" w:space="0" w:color="auto"/>
            </w:tcBorders>
            <w:noWrap/>
            <w:vAlign w:val="center"/>
          </w:tcPr>
          <w:p w14:paraId="2BA8339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7.2</w:t>
            </w:r>
          </w:p>
        </w:tc>
      </w:tr>
      <w:tr w:rsidR="000C171B" w:rsidRPr="0010306A" w14:paraId="7A02340D" w14:textId="77777777" w:rsidTr="0049743F">
        <w:trPr>
          <w:trHeight w:val="60"/>
        </w:trPr>
        <w:tc>
          <w:tcPr>
            <w:tcW w:w="391" w:type="pct"/>
            <w:vMerge/>
            <w:tcBorders>
              <w:left w:val="single" w:sz="4" w:space="0" w:color="auto"/>
              <w:bottom w:val="single" w:sz="4" w:space="0" w:color="auto"/>
              <w:right w:val="single" w:sz="4" w:space="0" w:color="auto"/>
            </w:tcBorders>
            <w:vAlign w:val="center"/>
          </w:tcPr>
          <w:p w14:paraId="520B276D"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10F4696D"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0B7D327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Área Rural total</w:t>
            </w:r>
          </w:p>
        </w:tc>
        <w:tc>
          <w:tcPr>
            <w:tcW w:w="493" w:type="pct"/>
            <w:tcBorders>
              <w:top w:val="nil"/>
              <w:left w:val="nil"/>
              <w:bottom w:val="single" w:sz="4" w:space="0" w:color="auto"/>
              <w:right w:val="single" w:sz="4" w:space="0" w:color="auto"/>
            </w:tcBorders>
            <w:noWrap/>
            <w:vAlign w:val="center"/>
          </w:tcPr>
          <w:p w14:paraId="5D06F8F1"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8.0</w:t>
            </w:r>
          </w:p>
        </w:tc>
        <w:tc>
          <w:tcPr>
            <w:tcW w:w="493" w:type="pct"/>
            <w:tcBorders>
              <w:top w:val="nil"/>
              <w:left w:val="nil"/>
              <w:bottom w:val="single" w:sz="4" w:space="0" w:color="auto"/>
              <w:right w:val="single" w:sz="4" w:space="0" w:color="auto"/>
            </w:tcBorders>
            <w:noWrap/>
            <w:vAlign w:val="center"/>
          </w:tcPr>
          <w:p w14:paraId="6F892857"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8.7</w:t>
            </w:r>
          </w:p>
        </w:tc>
        <w:tc>
          <w:tcPr>
            <w:tcW w:w="492" w:type="pct"/>
            <w:tcBorders>
              <w:bottom w:val="single" w:sz="4" w:space="0" w:color="auto"/>
              <w:right w:val="single" w:sz="2" w:space="0" w:color="auto"/>
            </w:tcBorders>
            <w:noWrap/>
            <w:vAlign w:val="center"/>
          </w:tcPr>
          <w:p w14:paraId="7BDD75EE"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7.7</w:t>
            </w:r>
          </w:p>
        </w:tc>
      </w:tr>
      <w:tr w:rsidR="000C171B" w:rsidRPr="0010306A" w14:paraId="30EDE2E0" w14:textId="77777777" w:rsidTr="0049743F">
        <w:trPr>
          <w:trHeight w:val="60"/>
        </w:trPr>
        <w:tc>
          <w:tcPr>
            <w:tcW w:w="391" w:type="pct"/>
            <w:vMerge w:val="restart"/>
            <w:tcBorders>
              <w:top w:val="single" w:sz="4" w:space="0" w:color="auto"/>
              <w:left w:val="single" w:sz="4" w:space="0" w:color="auto"/>
              <w:right w:val="single" w:sz="4" w:space="0" w:color="auto"/>
            </w:tcBorders>
          </w:tcPr>
          <w:p w14:paraId="4193DC05"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9</w:t>
            </w:r>
          </w:p>
        </w:tc>
        <w:tc>
          <w:tcPr>
            <w:tcW w:w="1565" w:type="pct"/>
            <w:vMerge w:val="restart"/>
            <w:tcBorders>
              <w:top w:val="single" w:sz="4" w:space="0" w:color="auto"/>
              <w:left w:val="nil"/>
              <w:right w:val="single" w:sz="4" w:space="0" w:color="auto"/>
            </w:tcBorders>
          </w:tcPr>
          <w:p w14:paraId="606C8B0C"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Proporción de la población y el territorio abarcada por una red móvil.</w:t>
            </w:r>
          </w:p>
        </w:tc>
        <w:tc>
          <w:tcPr>
            <w:tcW w:w="1566" w:type="pct"/>
            <w:tcBorders>
              <w:top w:val="single" w:sz="4" w:space="0" w:color="auto"/>
              <w:left w:val="nil"/>
              <w:bottom w:val="nil"/>
              <w:right w:val="single" w:sz="4" w:space="0" w:color="auto"/>
            </w:tcBorders>
            <w:vAlign w:val="center"/>
          </w:tcPr>
          <w:p w14:paraId="3F1F4664"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Porcentaje de cobertura de servicio móvil celular  de la población.</w:t>
            </w:r>
          </w:p>
        </w:tc>
        <w:tc>
          <w:tcPr>
            <w:tcW w:w="493" w:type="pct"/>
            <w:tcBorders>
              <w:top w:val="single" w:sz="4" w:space="0" w:color="auto"/>
              <w:left w:val="nil"/>
              <w:bottom w:val="nil"/>
              <w:right w:val="single" w:sz="4" w:space="0" w:color="auto"/>
            </w:tcBorders>
            <w:noWrap/>
            <w:vAlign w:val="center"/>
          </w:tcPr>
          <w:p w14:paraId="2DDC4DE9"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Calibri"/>
                <w:sz w:val="16"/>
                <w:szCs w:val="16"/>
              </w:rPr>
              <w:t>95.8</w:t>
            </w:r>
          </w:p>
        </w:tc>
        <w:tc>
          <w:tcPr>
            <w:tcW w:w="493" w:type="pct"/>
            <w:tcBorders>
              <w:top w:val="single" w:sz="4" w:space="0" w:color="auto"/>
              <w:left w:val="nil"/>
              <w:bottom w:val="nil"/>
              <w:right w:val="single" w:sz="4" w:space="0" w:color="auto"/>
            </w:tcBorders>
            <w:noWrap/>
            <w:vAlign w:val="center"/>
          </w:tcPr>
          <w:p w14:paraId="77A5A67A"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95.8</w:t>
            </w:r>
          </w:p>
        </w:tc>
        <w:tc>
          <w:tcPr>
            <w:tcW w:w="492" w:type="pct"/>
            <w:tcBorders>
              <w:top w:val="single" w:sz="4" w:space="0" w:color="auto"/>
              <w:right w:val="single" w:sz="2" w:space="0" w:color="auto"/>
            </w:tcBorders>
            <w:noWrap/>
            <w:vAlign w:val="center"/>
          </w:tcPr>
          <w:p w14:paraId="28F0976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96.0</w:t>
            </w:r>
          </w:p>
        </w:tc>
      </w:tr>
      <w:tr w:rsidR="000C171B" w:rsidRPr="0010306A" w14:paraId="2A5AF132" w14:textId="77777777" w:rsidTr="0049743F">
        <w:trPr>
          <w:trHeight w:val="60"/>
        </w:trPr>
        <w:tc>
          <w:tcPr>
            <w:tcW w:w="391" w:type="pct"/>
            <w:vMerge/>
            <w:tcBorders>
              <w:left w:val="single" w:sz="4" w:space="0" w:color="auto"/>
              <w:bottom w:val="single" w:sz="4" w:space="0" w:color="auto"/>
              <w:right w:val="single" w:sz="4" w:space="0" w:color="auto"/>
            </w:tcBorders>
          </w:tcPr>
          <w:p w14:paraId="312580A5"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06C5088C"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4FE584B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Porcentaje de cobertura de servicio móvil celular  del territorio.</w:t>
            </w:r>
          </w:p>
        </w:tc>
        <w:tc>
          <w:tcPr>
            <w:tcW w:w="493" w:type="pct"/>
            <w:tcBorders>
              <w:top w:val="nil"/>
              <w:left w:val="nil"/>
              <w:bottom w:val="single" w:sz="4" w:space="0" w:color="auto"/>
              <w:right w:val="single" w:sz="4" w:space="0" w:color="auto"/>
            </w:tcBorders>
            <w:noWrap/>
            <w:vAlign w:val="center"/>
          </w:tcPr>
          <w:p w14:paraId="3321B14F"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37.7</w:t>
            </w:r>
          </w:p>
        </w:tc>
        <w:tc>
          <w:tcPr>
            <w:tcW w:w="493" w:type="pct"/>
            <w:tcBorders>
              <w:top w:val="nil"/>
              <w:left w:val="nil"/>
              <w:bottom w:val="single" w:sz="4" w:space="0" w:color="auto"/>
              <w:right w:val="single" w:sz="4" w:space="0" w:color="auto"/>
            </w:tcBorders>
            <w:noWrap/>
            <w:vAlign w:val="center"/>
          </w:tcPr>
          <w:p w14:paraId="2E9BE01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37.7</w:t>
            </w:r>
          </w:p>
        </w:tc>
        <w:tc>
          <w:tcPr>
            <w:tcW w:w="492" w:type="pct"/>
            <w:tcBorders>
              <w:bottom w:val="single" w:sz="4" w:space="0" w:color="auto"/>
              <w:right w:val="single" w:sz="2" w:space="0" w:color="auto"/>
            </w:tcBorders>
            <w:noWrap/>
            <w:vAlign w:val="center"/>
          </w:tcPr>
          <w:p w14:paraId="2CF0BBA2"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38.0</w:t>
            </w:r>
          </w:p>
        </w:tc>
      </w:tr>
      <w:tr w:rsidR="000C171B" w:rsidRPr="0010306A" w14:paraId="1F3128D7" w14:textId="77777777" w:rsidTr="0049743F">
        <w:trPr>
          <w:trHeight w:val="60"/>
        </w:trPr>
        <w:tc>
          <w:tcPr>
            <w:tcW w:w="391" w:type="pct"/>
            <w:vMerge w:val="restart"/>
            <w:tcBorders>
              <w:top w:val="single" w:sz="4" w:space="0" w:color="auto"/>
              <w:left w:val="single" w:sz="4" w:space="0" w:color="auto"/>
              <w:right w:val="single" w:sz="4" w:space="0" w:color="auto"/>
            </w:tcBorders>
          </w:tcPr>
          <w:p w14:paraId="7DE3DF9B"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9</w:t>
            </w:r>
          </w:p>
        </w:tc>
        <w:tc>
          <w:tcPr>
            <w:tcW w:w="1565" w:type="pct"/>
            <w:vMerge w:val="restart"/>
            <w:tcBorders>
              <w:top w:val="single" w:sz="4" w:space="0" w:color="auto"/>
              <w:left w:val="nil"/>
              <w:right w:val="single" w:sz="4" w:space="0" w:color="auto"/>
            </w:tcBorders>
          </w:tcPr>
          <w:p w14:paraId="2A063259"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Abonados a teléfonos celulares por cada 100 habitantes</w:t>
            </w:r>
          </w:p>
          <w:p w14:paraId="4AC64FAE"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single" w:sz="4" w:space="0" w:color="auto"/>
              <w:left w:val="nil"/>
              <w:bottom w:val="nil"/>
              <w:right w:val="single" w:sz="4" w:space="0" w:color="auto"/>
            </w:tcBorders>
            <w:vAlign w:val="center"/>
          </w:tcPr>
          <w:p w14:paraId="34EBADC3"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Total de abonados de teléfonos móviles celulares</w:t>
            </w:r>
          </w:p>
        </w:tc>
        <w:tc>
          <w:tcPr>
            <w:tcW w:w="493" w:type="pct"/>
            <w:tcBorders>
              <w:top w:val="single" w:sz="4" w:space="0" w:color="auto"/>
              <w:left w:val="nil"/>
              <w:bottom w:val="nil"/>
              <w:right w:val="single" w:sz="4" w:space="0" w:color="auto"/>
            </w:tcBorders>
            <w:noWrap/>
            <w:vAlign w:val="center"/>
          </w:tcPr>
          <w:p w14:paraId="5075ECBA"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5,741,929</w:t>
            </w:r>
          </w:p>
        </w:tc>
        <w:tc>
          <w:tcPr>
            <w:tcW w:w="493" w:type="pct"/>
            <w:tcBorders>
              <w:top w:val="single" w:sz="4" w:space="0" w:color="auto"/>
              <w:left w:val="nil"/>
              <w:bottom w:val="nil"/>
              <w:right w:val="single" w:sz="4" w:space="0" w:color="auto"/>
            </w:tcBorders>
            <w:noWrap/>
            <w:vAlign w:val="center"/>
          </w:tcPr>
          <w:p w14:paraId="57078212"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5,141,768</w:t>
            </w:r>
          </w:p>
        </w:tc>
        <w:tc>
          <w:tcPr>
            <w:tcW w:w="492" w:type="pct"/>
            <w:tcBorders>
              <w:top w:val="single" w:sz="4" w:space="0" w:color="auto"/>
              <w:right w:val="single" w:sz="2" w:space="0" w:color="auto"/>
            </w:tcBorders>
            <w:noWrap/>
            <w:vAlign w:val="center"/>
          </w:tcPr>
          <w:p w14:paraId="5615D8F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5,977,641</w:t>
            </w:r>
          </w:p>
        </w:tc>
      </w:tr>
      <w:tr w:rsidR="000C171B" w:rsidRPr="0010306A" w14:paraId="41D5FD4A" w14:textId="77777777" w:rsidTr="0049743F">
        <w:trPr>
          <w:trHeight w:val="60"/>
        </w:trPr>
        <w:tc>
          <w:tcPr>
            <w:tcW w:w="391" w:type="pct"/>
            <w:vMerge/>
            <w:tcBorders>
              <w:left w:val="single" w:sz="4" w:space="0" w:color="auto"/>
              <w:bottom w:val="single" w:sz="4" w:space="0" w:color="auto"/>
              <w:right w:val="single" w:sz="4" w:space="0" w:color="auto"/>
            </w:tcBorders>
          </w:tcPr>
          <w:p w14:paraId="3BF880EB"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477695C8"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2B5CEE6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Índice anual de teléfonos celulares por cada 100 habitantes</w:t>
            </w:r>
          </w:p>
        </w:tc>
        <w:tc>
          <w:tcPr>
            <w:tcW w:w="493" w:type="pct"/>
            <w:tcBorders>
              <w:top w:val="nil"/>
              <w:left w:val="nil"/>
              <w:bottom w:val="single" w:sz="4" w:space="0" w:color="auto"/>
              <w:right w:val="single" w:sz="4" w:space="0" w:color="auto"/>
            </w:tcBorders>
            <w:noWrap/>
            <w:vAlign w:val="center"/>
          </w:tcPr>
          <w:p w14:paraId="2732A99B"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144.4</w:t>
            </w:r>
          </w:p>
        </w:tc>
        <w:tc>
          <w:tcPr>
            <w:tcW w:w="493" w:type="pct"/>
            <w:tcBorders>
              <w:top w:val="nil"/>
              <w:left w:val="nil"/>
              <w:bottom w:val="single" w:sz="4" w:space="0" w:color="auto"/>
              <w:right w:val="single" w:sz="4" w:space="0" w:color="auto"/>
            </w:tcBorders>
            <w:noWrap/>
            <w:vAlign w:val="center"/>
          </w:tcPr>
          <w:p w14:paraId="5DA15E0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127.4</w:t>
            </w:r>
          </w:p>
        </w:tc>
        <w:tc>
          <w:tcPr>
            <w:tcW w:w="492" w:type="pct"/>
            <w:tcBorders>
              <w:bottom w:val="single" w:sz="4" w:space="0" w:color="auto"/>
              <w:right w:val="single" w:sz="2" w:space="0" w:color="auto"/>
            </w:tcBorders>
            <w:noWrap/>
            <w:vAlign w:val="center"/>
          </w:tcPr>
          <w:p w14:paraId="12A0E74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145.9</w:t>
            </w:r>
          </w:p>
        </w:tc>
      </w:tr>
      <w:tr w:rsidR="000C171B" w:rsidRPr="0010306A" w14:paraId="1837E822" w14:textId="77777777" w:rsidTr="0049743F">
        <w:trPr>
          <w:trHeight w:val="60"/>
        </w:trPr>
        <w:tc>
          <w:tcPr>
            <w:tcW w:w="391" w:type="pct"/>
            <w:vMerge w:val="restart"/>
            <w:tcBorders>
              <w:top w:val="single" w:sz="4" w:space="0" w:color="auto"/>
              <w:left w:val="single" w:sz="4" w:space="0" w:color="auto"/>
              <w:right w:val="single" w:sz="4" w:space="0" w:color="auto"/>
            </w:tcBorders>
          </w:tcPr>
          <w:p w14:paraId="4962DFF1"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 xml:space="preserve">ODS 10 </w:t>
            </w:r>
          </w:p>
        </w:tc>
        <w:tc>
          <w:tcPr>
            <w:tcW w:w="1565" w:type="pct"/>
            <w:vMerge w:val="restart"/>
            <w:tcBorders>
              <w:top w:val="single" w:sz="4" w:space="0" w:color="auto"/>
              <w:left w:val="nil"/>
              <w:right w:val="single" w:sz="4" w:space="0" w:color="auto"/>
            </w:tcBorders>
          </w:tcPr>
          <w:p w14:paraId="7135F524"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Tasas de crecimiento de los gastos o ingresos de los hogares per cápita entre el 40% más pobre de la población y la población total.</w:t>
            </w:r>
          </w:p>
        </w:tc>
        <w:tc>
          <w:tcPr>
            <w:tcW w:w="1566" w:type="pct"/>
            <w:tcBorders>
              <w:top w:val="single" w:sz="4" w:space="0" w:color="auto"/>
              <w:left w:val="nil"/>
              <w:bottom w:val="nil"/>
              <w:right w:val="single" w:sz="4" w:space="0" w:color="auto"/>
            </w:tcBorders>
            <w:vAlign w:val="center"/>
          </w:tcPr>
          <w:p w14:paraId="3E0A690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 xml:space="preserve">Total </w:t>
            </w:r>
          </w:p>
        </w:tc>
        <w:tc>
          <w:tcPr>
            <w:tcW w:w="493" w:type="pct"/>
            <w:tcBorders>
              <w:top w:val="single" w:sz="4" w:space="0" w:color="auto"/>
              <w:left w:val="nil"/>
              <w:bottom w:val="nil"/>
              <w:right w:val="single" w:sz="4" w:space="0" w:color="auto"/>
            </w:tcBorders>
            <w:noWrap/>
            <w:vAlign w:val="center"/>
          </w:tcPr>
          <w:p w14:paraId="306D050B"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Arial Narrow"/>
                <w:sz w:val="16"/>
                <w:szCs w:val="16"/>
              </w:rPr>
              <w:t>12.08</w:t>
            </w:r>
          </w:p>
        </w:tc>
        <w:tc>
          <w:tcPr>
            <w:tcW w:w="493" w:type="pct"/>
            <w:tcBorders>
              <w:top w:val="single" w:sz="4" w:space="0" w:color="auto"/>
              <w:left w:val="nil"/>
              <w:bottom w:val="nil"/>
              <w:right w:val="single" w:sz="4" w:space="0" w:color="auto"/>
            </w:tcBorders>
            <w:noWrap/>
            <w:vAlign w:val="center"/>
          </w:tcPr>
          <w:p w14:paraId="6167515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1.70</w:t>
            </w:r>
          </w:p>
        </w:tc>
        <w:tc>
          <w:tcPr>
            <w:tcW w:w="492" w:type="pct"/>
            <w:tcBorders>
              <w:top w:val="single" w:sz="4" w:space="0" w:color="auto"/>
              <w:right w:val="single" w:sz="2" w:space="0" w:color="auto"/>
            </w:tcBorders>
            <w:noWrap/>
            <w:vAlign w:val="center"/>
          </w:tcPr>
          <w:p w14:paraId="53A91282"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7.48</w:t>
            </w:r>
          </w:p>
        </w:tc>
      </w:tr>
      <w:tr w:rsidR="000C171B" w:rsidRPr="0010306A" w14:paraId="5390C4C6" w14:textId="77777777" w:rsidTr="0049743F">
        <w:trPr>
          <w:trHeight w:val="60"/>
        </w:trPr>
        <w:tc>
          <w:tcPr>
            <w:tcW w:w="391" w:type="pct"/>
            <w:vMerge/>
            <w:tcBorders>
              <w:left w:val="single" w:sz="4" w:space="0" w:color="auto"/>
              <w:right w:val="single" w:sz="4" w:space="0" w:color="auto"/>
            </w:tcBorders>
            <w:vAlign w:val="center"/>
          </w:tcPr>
          <w:p w14:paraId="33D13133"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7B594AFD"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2B9EC77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Decil 1-4</w:t>
            </w:r>
          </w:p>
        </w:tc>
        <w:tc>
          <w:tcPr>
            <w:tcW w:w="493" w:type="pct"/>
            <w:tcBorders>
              <w:top w:val="nil"/>
              <w:left w:val="nil"/>
              <w:bottom w:val="nil"/>
              <w:right w:val="single" w:sz="4" w:space="0" w:color="auto"/>
            </w:tcBorders>
            <w:noWrap/>
            <w:vAlign w:val="center"/>
          </w:tcPr>
          <w:p w14:paraId="05570E4E"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Arial Narrow"/>
                <w:sz w:val="16"/>
                <w:szCs w:val="16"/>
              </w:rPr>
              <w:t>11.32</w:t>
            </w:r>
          </w:p>
        </w:tc>
        <w:tc>
          <w:tcPr>
            <w:tcW w:w="493" w:type="pct"/>
            <w:tcBorders>
              <w:top w:val="nil"/>
              <w:left w:val="nil"/>
              <w:bottom w:val="nil"/>
              <w:right w:val="single" w:sz="4" w:space="0" w:color="auto"/>
            </w:tcBorders>
            <w:noWrap/>
            <w:vAlign w:val="center"/>
          </w:tcPr>
          <w:p w14:paraId="77CC734A"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5.91</w:t>
            </w:r>
          </w:p>
        </w:tc>
        <w:tc>
          <w:tcPr>
            <w:tcW w:w="492" w:type="pct"/>
            <w:tcBorders>
              <w:right w:val="single" w:sz="2" w:space="0" w:color="auto"/>
            </w:tcBorders>
            <w:noWrap/>
            <w:vAlign w:val="center"/>
          </w:tcPr>
          <w:p w14:paraId="796FDD7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7.02</w:t>
            </w:r>
          </w:p>
        </w:tc>
      </w:tr>
      <w:tr w:rsidR="000C171B" w:rsidRPr="0010306A" w14:paraId="5F5DEA20" w14:textId="77777777" w:rsidTr="0049743F">
        <w:trPr>
          <w:trHeight w:val="60"/>
        </w:trPr>
        <w:tc>
          <w:tcPr>
            <w:tcW w:w="391" w:type="pct"/>
            <w:vMerge/>
            <w:tcBorders>
              <w:left w:val="single" w:sz="4" w:space="0" w:color="auto"/>
              <w:right w:val="single" w:sz="4" w:space="0" w:color="auto"/>
            </w:tcBorders>
            <w:vAlign w:val="center"/>
          </w:tcPr>
          <w:p w14:paraId="73D9BAF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02E68A2C"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614F77F3"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hAnsi="Arial Narrow" w:cs="Arial Narrow"/>
                <w:color w:val="000000"/>
                <w:w w:val="90"/>
                <w:sz w:val="16"/>
                <w:szCs w:val="16"/>
              </w:rPr>
              <w:t>Total área urbana</w:t>
            </w:r>
          </w:p>
        </w:tc>
        <w:tc>
          <w:tcPr>
            <w:tcW w:w="493" w:type="pct"/>
            <w:tcBorders>
              <w:top w:val="nil"/>
              <w:left w:val="nil"/>
              <w:bottom w:val="nil"/>
              <w:right w:val="single" w:sz="4" w:space="0" w:color="auto"/>
            </w:tcBorders>
            <w:noWrap/>
            <w:vAlign w:val="center"/>
          </w:tcPr>
          <w:p w14:paraId="40B98770"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Arial Narrow"/>
                <w:sz w:val="16"/>
                <w:szCs w:val="16"/>
              </w:rPr>
              <w:t>12.82</w:t>
            </w:r>
          </w:p>
        </w:tc>
        <w:tc>
          <w:tcPr>
            <w:tcW w:w="493" w:type="pct"/>
            <w:tcBorders>
              <w:top w:val="nil"/>
              <w:left w:val="nil"/>
              <w:bottom w:val="nil"/>
              <w:right w:val="single" w:sz="4" w:space="0" w:color="auto"/>
            </w:tcBorders>
            <w:noWrap/>
            <w:vAlign w:val="center"/>
          </w:tcPr>
          <w:p w14:paraId="288D9C3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0.76</w:t>
            </w:r>
          </w:p>
        </w:tc>
        <w:tc>
          <w:tcPr>
            <w:tcW w:w="492" w:type="pct"/>
            <w:tcBorders>
              <w:right w:val="single" w:sz="2" w:space="0" w:color="auto"/>
            </w:tcBorders>
            <w:noWrap/>
            <w:vAlign w:val="center"/>
          </w:tcPr>
          <w:p w14:paraId="5BAEE39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9.81</w:t>
            </w:r>
          </w:p>
        </w:tc>
      </w:tr>
      <w:tr w:rsidR="000C171B" w:rsidRPr="0010306A" w14:paraId="680BB5C6" w14:textId="77777777" w:rsidTr="0049743F">
        <w:trPr>
          <w:trHeight w:val="60"/>
        </w:trPr>
        <w:tc>
          <w:tcPr>
            <w:tcW w:w="391" w:type="pct"/>
            <w:vMerge/>
            <w:tcBorders>
              <w:left w:val="single" w:sz="4" w:space="0" w:color="auto"/>
              <w:right w:val="single" w:sz="4" w:space="0" w:color="auto"/>
            </w:tcBorders>
            <w:vAlign w:val="center"/>
          </w:tcPr>
          <w:p w14:paraId="30EBB866"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5E0DF4AC"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58705F99"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 xml:space="preserve">Decil 1-4 </w:t>
            </w:r>
            <w:r w:rsidRPr="00D336D1">
              <w:rPr>
                <w:rFonts w:ascii="Arial Narrow" w:hAnsi="Arial Narrow" w:cs="Arial Narrow"/>
                <w:color w:val="000000"/>
                <w:w w:val="90"/>
                <w:sz w:val="16"/>
                <w:szCs w:val="16"/>
              </w:rPr>
              <w:t>área urbana</w:t>
            </w:r>
          </w:p>
        </w:tc>
        <w:tc>
          <w:tcPr>
            <w:tcW w:w="493" w:type="pct"/>
            <w:tcBorders>
              <w:top w:val="nil"/>
              <w:left w:val="nil"/>
              <w:bottom w:val="nil"/>
              <w:right w:val="single" w:sz="4" w:space="0" w:color="auto"/>
            </w:tcBorders>
            <w:noWrap/>
            <w:vAlign w:val="center"/>
          </w:tcPr>
          <w:p w14:paraId="6A1046BF"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Arial Narrow"/>
                <w:sz w:val="16"/>
                <w:szCs w:val="16"/>
              </w:rPr>
              <w:t>9.16</w:t>
            </w:r>
          </w:p>
        </w:tc>
        <w:tc>
          <w:tcPr>
            <w:tcW w:w="493" w:type="pct"/>
            <w:tcBorders>
              <w:top w:val="nil"/>
              <w:left w:val="nil"/>
              <w:bottom w:val="nil"/>
              <w:right w:val="single" w:sz="4" w:space="0" w:color="auto"/>
            </w:tcBorders>
            <w:noWrap/>
            <w:vAlign w:val="center"/>
          </w:tcPr>
          <w:p w14:paraId="0D77093F"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5.05</w:t>
            </w:r>
          </w:p>
        </w:tc>
        <w:tc>
          <w:tcPr>
            <w:tcW w:w="492" w:type="pct"/>
            <w:tcBorders>
              <w:right w:val="single" w:sz="2" w:space="0" w:color="auto"/>
            </w:tcBorders>
            <w:noWrap/>
            <w:vAlign w:val="center"/>
          </w:tcPr>
          <w:p w14:paraId="2AAA730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6.58</w:t>
            </w:r>
          </w:p>
        </w:tc>
      </w:tr>
      <w:tr w:rsidR="000C171B" w:rsidRPr="0010306A" w14:paraId="2588B5BA" w14:textId="77777777" w:rsidTr="0049743F">
        <w:trPr>
          <w:trHeight w:val="60"/>
        </w:trPr>
        <w:tc>
          <w:tcPr>
            <w:tcW w:w="391" w:type="pct"/>
            <w:vMerge/>
            <w:tcBorders>
              <w:left w:val="single" w:sz="4" w:space="0" w:color="auto"/>
              <w:right w:val="single" w:sz="4" w:space="0" w:color="auto"/>
            </w:tcBorders>
            <w:vAlign w:val="center"/>
          </w:tcPr>
          <w:p w14:paraId="24494BC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2AED5C93"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6F054539"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hAnsi="Arial Narrow" w:cs="Arial Narrow"/>
                <w:color w:val="000000"/>
                <w:w w:val="90"/>
                <w:sz w:val="16"/>
                <w:szCs w:val="16"/>
              </w:rPr>
              <w:t>Total área rural total</w:t>
            </w:r>
          </w:p>
        </w:tc>
        <w:tc>
          <w:tcPr>
            <w:tcW w:w="493" w:type="pct"/>
            <w:tcBorders>
              <w:top w:val="nil"/>
              <w:left w:val="nil"/>
              <w:bottom w:val="nil"/>
              <w:right w:val="single" w:sz="4" w:space="0" w:color="auto"/>
            </w:tcBorders>
            <w:noWrap/>
            <w:vAlign w:val="center"/>
          </w:tcPr>
          <w:p w14:paraId="383D8309"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Arial Narrow"/>
                <w:sz w:val="16"/>
                <w:szCs w:val="16"/>
              </w:rPr>
              <w:t>8.21</w:t>
            </w:r>
          </w:p>
        </w:tc>
        <w:tc>
          <w:tcPr>
            <w:tcW w:w="493" w:type="pct"/>
            <w:tcBorders>
              <w:top w:val="nil"/>
              <w:left w:val="nil"/>
              <w:bottom w:val="nil"/>
              <w:right w:val="single" w:sz="4" w:space="0" w:color="auto"/>
            </w:tcBorders>
            <w:noWrap/>
            <w:vAlign w:val="center"/>
          </w:tcPr>
          <w:p w14:paraId="2AD8B654"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6.82</w:t>
            </w:r>
          </w:p>
        </w:tc>
        <w:tc>
          <w:tcPr>
            <w:tcW w:w="492" w:type="pct"/>
            <w:tcBorders>
              <w:right w:val="single" w:sz="2" w:space="0" w:color="auto"/>
            </w:tcBorders>
            <w:noWrap/>
            <w:vAlign w:val="center"/>
          </w:tcPr>
          <w:p w14:paraId="56D787F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6.33</w:t>
            </w:r>
          </w:p>
        </w:tc>
      </w:tr>
      <w:tr w:rsidR="000C171B" w:rsidRPr="0010306A" w14:paraId="5E1B673E" w14:textId="77777777" w:rsidTr="0049743F">
        <w:trPr>
          <w:trHeight w:val="60"/>
        </w:trPr>
        <w:tc>
          <w:tcPr>
            <w:tcW w:w="391" w:type="pct"/>
            <w:vMerge/>
            <w:tcBorders>
              <w:left w:val="single" w:sz="4" w:space="0" w:color="auto"/>
              <w:bottom w:val="single" w:sz="4" w:space="0" w:color="auto"/>
              <w:right w:val="single" w:sz="4" w:space="0" w:color="auto"/>
            </w:tcBorders>
            <w:vAlign w:val="center"/>
          </w:tcPr>
          <w:p w14:paraId="08B0589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70447A24"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0E0EA1A1"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 xml:space="preserve">Decil 1-4 </w:t>
            </w:r>
            <w:r w:rsidRPr="00D336D1">
              <w:rPr>
                <w:rFonts w:ascii="Arial Narrow" w:hAnsi="Arial Narrow" w:cs="Arial Narrow"/>
                <w:color w:val="000000"/>
                <w:w w:val="90"/>
                <w:sz w:val="16"/>
                <w:szCs w:val="16"/>
              </w:rPr>
              <w:t>área rural total</w:t>
            </w:r>
          </w:p>
        </w:tc>
        <w:tc>
          <w:tcPr>
            <w:tcW w:w="493" w:type="pct"/>
            <w:tcBorders>
              <w:top w:val="nil"/>
              <w:left w:val="nil"/>
              <w:bottom w:val="single" w:sz="4" w:space="0" w:color="auto"/>
              <w:right w:val="single" w:sz="4" w:space="0" w:color="auto"/>
            </w:tcBorders>
            <w:noWrap/>
            <w:vAlign w:val="center"/>
          </w:tcPr>
          <w:p w14:paraId="625B5C5A"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Arial Narrow"/>
                <w:sz w:val="16"/>
                <w:szCs w:val="16"/>
              </w:rPr>
              <w:t>15.03</w:t>
            </w:r>
          </w:p>
        </w:tc>
        <w:tc>
          <w:tcPr>
            <w:tcW w:w="493" w:type="pct"/>
            <w:tcBorders>
              <w:top w:val="nil"/>
              <w:left w:val="nil"/>
              <w:bottom w:val="single" w:sz="4" w:space="0" w:color="auto"/>
              <w:right w:val="single" w:sz="4" w:space="0" w:color="auto"/>
            </w:tcBorders>
            <w:noWrap/>
            <w:vAlign w:val="center"/>
          </w:tcPr>
          <w:p w14:paraId="65F2D1BE"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i/>
                <w:sz w:val="16"/>
                <w:szCs w:val="16"/>
              </w:rPr>
              <w:t>5.79</w:t>
            </w:r>
          </w:p>
        </w:tc>
        <w:tc>
          <w:tcPr>
            <w:tcW w:w="492" w:type="pct"/>
            <w:tcBorders>
              <w:bottom w:val="single" w:sz="4" w:space="0" w:color="auto"/>
              <w:right w:val="single" w:sz="2" w:space="0" w:color="auto"/>
            </w:tcBorders>
            <w:noWrap/>
            <w:vAlign w:val="center"/>
          </w:tcPr>
          <w:p w14:paraId="2F65593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4.18</w:t>
            </w:r>
          </w:p>
        </w:tc>
      </w:tr>
      <w:tr w:rsidR="000C171B" w:rsidRPr="0010306A" w14:paraId="4C16CE14" w14:textId="77777777" w:rsidTr="0049743F">
        <w:trPr>
          <w:trHeight w:val="60"/>
        </w:trPr>
        <w:tc>
          <w:tcPr>
            <w:tcW w:w="391" w:type="pct"/>
            <w:vMerge w:val="restart"/>
            <w:tcBorders>
              <w:top w:val="single" w:sz="4" w:space="0" w:color="auto"/>
              <w:left w:val="single" w:sz="4" w:space="0" w:color="auto"/>
              <w:bottom w:val="single" w:sz="4" w:space="0" w:color="auto"/>
              <w:right w:val="single" w:sz="4" w:space="0" w:color="auto"/>
            </w:tcBorders>
          </w:tcPr>
          <w:p w14:paraId="5C54A970"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10</w:t>
            </w:r>
          </w:p>
        </w:tc>
        <w:tc>
          <w:tcPr>
            <w:tcW w:w="1565" w:type="pct"/>
            <w:vMerge w:val="restart"/>
            <w:tcBorders>
              <w:top w:val="single" w:sz="4" w:space="0" w:color="auto"/>
              <w:left w:val="nil"/>
              <w:bottom w:val="single" w:sz="4" w:space="0" w:color="auto"/>
              <w:right w:val="single" w:sz="4" w:space="0" w:color="auto"/>
            </w:tcBorders>
          </w:tcPr>
          <w:p w14:paraId="36F50774"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Proporción de personas que viven por debajo del 50% de la mediana de los ingresos</w:t>
            </w:r>
          </w:p>
        </w:tc>
        <w:tc>
          <w:tcPr>
            <w:tcW w:w="1566" w:type="pct"/>
            <w:tcBorders>
              <w:top w:val="single" w:sz="4" w:space="0" w:color="auto"/>
              <w:left w:val="nil"/>
              <w:bottom w:val="nil"/>
              <w:right w:val="single" w:sz="4" w:space="0" w:color="auto"/>
            </w:tcBorders>
            <w:vAlign w:val="center"/>
          </w:tcPr>
          <w:p w14:paraId="712BB7D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sz w:val="16"/>
                <w:szCs w:val="16"/>
                <w:lang w:eastAsia="es-PA"/>
              </w:rPr>
              <w:t>Total</w:t>
            </w:r>
          </w:p>
        </w:tc>
        <w:tc>
          <w:tcPr>
            <w:tcW w:w="493" w:type="pct"/>
            <w:tcBorders>
              <w:top w:val="single" w:sz="4" w:space="0" w:color="auto"/>
              <w:left w:val="nil"/>
              <w:bottom w:val="nil"/>
              <w:right w:val="single" w:sz="4" w:space="0" w:color="auto"/>
            </w:tcBorders>
            <w:noWrap/>
            <w:vAlign w:val="center"/>
          </w:tcPr>
          <w:p w14:paraId="3538B6FB"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24.9</w:t>
            </w:r>
          </w:p>
        </w:tc>
        <w:tc>
          <w:tcPr>
            <w:tcW w:w="493" w:type="pct"/>
            <w:tcBorders>
              <w:top w:val="single" w:sz="4" w:space="0" w:color="auto"/>
              <w:left w:val="nil"/>
              <w:bottom w:val="nil"/>
              <w:right w:val="single" w:sz="4" w:space="0" w:color="auto"/>
            </w:tcBorders>
            <w:noWrap/>
            <w:vAlign w:val="center"/>
          </w:tcPr>
          <w:p w14:paraId="5BD0890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24.9</w:t>
            </w:r>
          </w:p>
        </w:tc>
        <w:tc>
          <w:tcPr>
            <w:tcW w:w="492" w:type="pct"/>
            <w:tcBorders>
              <w:top w:val="single" w:sz="4" w:space="0" w:color="auto"/>
              <w:right w:val="single" w:sz="2" w:space="0" w:color="auto"/>
            </w:tcBorders>
            <w:noWrap/>
            <w:vAlign w:val="center"/>
          </w:tcPr>
          <w:p w14:paraId="6A25ED8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24.1</w:t>
            </w:r>
          </w:p>
        </w:tc>
      </w:tr>
      <w:tr w:rsidR="000C171B" w:rsidRPr="0010306A" w14:paraId="73D4DC89" w14:textId="77777777" w:rsidTr="0049743F">
        <w:trPr>
          <w:trHeight w:val="60"/>
        </w:trPr>
        <w:tc>
          <w:tcPr>
            <w:tcW w:w="391" w:type="pct"/>
            <w:vMerge/>
            <w:tcBorders>
              <w:top w:val="single" w:sz="4" w:space="0" w:color="auto"/>
              <w:left w:val="single" w:sz="4" w:space="0" w:color="auto"/>
              <w:bottom w:val="single" w:sz="4" w:space="0" w:color="auto"/>
              <w:right w:val="single" w:sz="4" w:space="0" w:color="auto"/>
            </w:tcBorders>
          </w:tcPr>
          <w:p w14:paraId="21ECB44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top w:val="single" w:sz="4" w:space="0" w:color="auto"/>
              <w:left w:val="nil"/>
              <w:bottom w:val="single" w:sz="4" w:space="0" w:color="auto"/>
              <w:right w:val="single" w:sz="4" w:space="0" w:color="auto"/>
            </w:tcBorders>
          </w:tcPr>
          <w:p w14:paraId="10CCC78F"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1B10828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Hombre</w:t>
            </w:r>
          </w:p>
        </w:tc>
        <w:tc>
          <w:tcPr>
            <w:tcW w:w="493" w:type="pct"/>
            <w:tcBorders>
              <w:top w:val="nil"/>
              <w:left w:val="nil"/>
              <w:bottom w:val="nil"/>
              <w:right w:val="single" w:sz="4" w:space="0" w:color="auto"/>
            </w:tcBorders>
            <w:noWrap/>
            <w:vAlign w:val="center"/>
          </w:tcPr>
          <w:p w14:paraId="636C5D1E"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24.5</w:t>
            </w:r>
          </w:p>
        </w:tc>
        <w:tc>
          <w:tcPr>
            <w:tcW w:w="493" w:type="pct"/>
            <w:tcBorders>
              <w:top w:val="nil"/>
              <w:left w:val="nil"/>
              <w:bottom w:val="nil"/>
              <w:right w:val="single" w:sz="4" w:space="0" w:color="auto"/>
            </w:tcBorders>
            <w:noWrap/>
            <w:vAlign w:val="center"/>
          </w:tcPr>
          <w:p w14:paraId="4F3D2D33"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24.1</w:t>
            </w:r>
          </w:p>
        </w:tc>
        <w:tc>
          <w:tcPr>
            <w:tcW w:w="492" w:type="pct"/>
            <w:tcBorders>
              <w:right w:val="single" w:sz="2" w:space="0" w:color="auto"/>
            </w:tcBorders>
            <w:noWrap/>
            <w:vAlign w:val="center"/>
          </w:tcPr>
          <w:p w14:paraId="78FBED8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23.7</w:t>
            </w:r>
          </w:p>
        </w:tc>
      </w:tr>
      <w:tr w:rsidR="000C171B" w:rsidRPr="0010306A" w14:paraId="2DCBFDEA" w14:textId="77777777" w:rsidTr="0049743F">
        <w:trPr>
          <w:trHeight w:val="60"/>
        </w:trPr>
        <w:tc>
          <w:tcPr>
            <w:tcW w:w="391" w:type="pct"/>
            <w:vMerge/>
            <w:tcBorders>
              <w:top w:val="single" w:sz="4" w:space="0" w:color="auto"/>
              <w:left w:val="single" w:sz="4" w:space="0" w:color="auto"/>
              <w:bottom w:val="single" w:sz="4" w:space="0" w:color="auto"/>
              <w:right w:val="single" w:sz="4" w:space="0" w:color="auto"/>
            </w:tcBorders>
          </w:tcPr>
          <w:p w14:paraId="481D7B7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top w:val="single" w:sz="4" w:space="0" w:color="auto"/>
              <w:left w:val="nil"/>
              <w:bottom w:val="single" w:sz="4" w:space="0" w:color="auto"/>
              <w:right w:val="single" w:sz="4" w:space="0" w:color="auto"/>
            </w:tcBorders>
          </w:tcPr>
          <w:p w14:paraId="2E165C46"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2ADEAD51"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Mujer</w:t>
            </w:r>
          </w:p>
        </w:tc>
        <w:tc>
          <w:tcPr>
            <w:tcW w:w="493" w:type="pct"/>
            <w:tcBorders>
              <w:top w:val="nil"/>
              <w:left w:val="nil"/>
              <w:bottom w:val="nil"/>
              <w:right w:val="single" w:sz="4" w:space="0" w:color="auto"/>
            </w:tcBorders>
            <w:noWrap/>
            <w:vAlign w:val="center"/>
          </w:tcPr>
          <w:p w14:paraId="3BABC5A2"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25.2</w:t>
            </w:r>
          </w:p>
        </w:tc>
        <w:tc>
          <w:tcPr>
            <w:tcW w:w="493" w:type="pct"/>
            <w:tcBorders>
              <w:top w:val="nil"/>
              <w:left w:val="nil"/>
              <w:bottom w:val="nil"/>
              <w:right w:val="single" w:sz="4" w:space="0" w:color="auto"/>
            </w:tcBorders>
            <w:noWrap/>
            <w:vAlign w:val="center"/>
          </w:tcPr>
          <w:p w14:paraId="47C99D1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25.7</w:t>
            </w:r>
          </w:p>
        </w:tc>
        <w:tc>
          <w:tcPr>
            <w:tcW w:w="492" w:type="pct"/>
            <w:tcBorders>
              <w:right w:val="single" w:sz="2" w:space="0" w:color="auto"/>
            </w:tcBorders>
            <w:noWrap/>
            <w:vAlign w:val="center"/>
          </w:tcPr>
          <w:p w14:paraId="1C9C288A"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24.4</w:t>
            </w:r>
          </w:p>
        </w:tc>
      </w:tr>
      <w:tr w:rsidR="000C171B" w:rsidRPr="0010306A" w14:paraId="4859895D" w14:textId="77777777" w:rsidTr="0049743F">
        <w:trPr>
          <w:trHeight w:val="60"/>
        </w:trPr>
        <w:tc>
          <w:tcPr>
            <w:tcW w:w="391" w:type="pct"/>
            <w:vMerge/>
            <w:tcBorders>
              <w:top w:val="single" w:sz="4" w:space="0" w:color="auto"/>
              <w:left w:val="single" w:sz="4" w:space="0" w:color="auto"/>
              <w:bottom w:val="single" w:sz="4" w:space="0" w:color="auto"/>
              <w:right w:val="single" w:sz="4" w:space="0" w:color="auto"/>
            </w:tcBorders>
          </w:tcPr>
          <w:p w14:paraId="05D8D44D"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top w:val="single" w:sz="4" w:space="0" w:color="auto"/>
              <w:left w:val="nil"/>
              <w:bottom w:val="single" w:sz="4" w:space="0" w:color="auto"/>
              <w:right w:val="single" w:sz="4" w:space="0" w:color="auto"/>
            </w:tcBorders>
          </w:tcPr>
          <w:p w14:paraId="6A553CBA"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6307929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Área Urbana</w:t>
            </w:r>
          </w:p>
        </w:tc>
        <w:tc>
          <w:tcPr>
            <w:tcW w:w="493" w:type="pct"/>
            <w:tcBorders>
              <w:top w:val="nil"/>
              <w:left w:val="nil"/>
              <w:bottom w:val="nil"/>
              <w:right w:val="single" w:sz="4" w:space="0" w:color="auto"/>
            </w:tcBorders>
            <w:noWrap/>
            <w:vAlign w:val="center"/>
          </w:tcPr>
          <w:p w14:paraId="348FC80E"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11.5</w:t>
            </w:r>
          </w:p>
        </w:tc>
        <w:tc>
          <w:tcPr>
            <w:tcW w:w="493" w:type="pct"/>
            <w:tcBorders>
              <w:top w:val="nil"/>
              <w:left w:val="nil"/>
              <w:bottom w:val="nil"/>
              <w:right w:val="single" w:sz="4" w:space="0" w:color="auto"/>
            </w:tcBorders>
            <w:noWrap/>
            <w:vAlign w:val="center"/>
          </w:tcPr>
          <w:p w14:paraId="0AFA9E13" w14:textId="77777777" w:rsidR="000C171B" w:rsidRPr="00D336D1" w:rsidRDefault="000C171B" w:rsidP="002C49EF">
            <w:pPr>
              <w:spacing w:after="0" w:line="240" w:lineRule="auto"/>
              <w:jc w:val="center"/>
              <w:rPr>
                <w:rFonts w:ascii="Arial Narrow" w:hAnsi="Arial Narrow" w:cs="Arial Narrow"/>
                <w:i/>
                <w:sz w:val="16"/>
                <w:szCs w:val="16"/>
              </w:rPr>
            </w:pPr>
            <w:r w:rsidRPr="00D336D1">
              <w:rPr>
                <w:rFonts w:ascii="Arial Narrow" w:eastAsia="Times New Roman" w:hAnsi="Arial Narrow" w:cs="Calibri"/>
                <w:sz w:val="16"/>
                <w:szCs w:val="16"/>
                <w:lang w:eastAsia="es-PA"/>
              </w:rPr>
              <w:t>12.8</w:t>
            </w:r>
          </w:p>
        </w:tc>
        <w:tc>
          <w:tcPr>
            <w:tcW w:w="492" w:type="pct"/>
            <w:tcBorders>
              <w:right w:val="single" w:sz="2" w:space="0" w:color="auto"/>
            </w:tcBorders>
            <w:noWrap/>
            <w:vAlign w:val="center"/>
          </w:tcPr>
          <w:p w14:paraId="4B8F0256" w14:textId="77777777" w:rsidR="000C171B" w:rsidRPr="00D336D1" w:rsidRDefault="000C171B" w:rsidP="002C49EF">
            <w:pPr>
              <w:spacing w:after="0" w:line="240" w:lineRule="auto"/>
              <w:jc w:val="center"/>
              <w:rPr>
                <w:rFonts w:ascii="Arial Narrow" w:hAnsi="Arial Narrow" w:cs="Arial Narrow"/>
                <w:i/>
                <w:sz w:val="16"/>
                <w:szCs w:val="16"/>
              </w:rPr>
            </w:pPr>
            <w:r w:rsidRPr="00D336D1">
              <w:rPr>
                <w:rFonts w:ascii="Arial Narrow" w:eastAsia="Times New Roman" w:hAnsi="Arial Narrow" w:cs="Calibri"/>
                <w:sz w:val="16"/>
                <w:szCs w:val="16"/>
                <w:lang w:eastAsia="es-PA"/>
              </w:rPr>
              <w:t>11.8</w:t>
            </w:r>
          </w:p>
        </w:tc>
      </w:tr>
      <w:tr w:rsidR="000C171B" w:rsidRPr="0010306A" w14:paraId="45BDA842" w14:textId="77777777" w:rsidTr="0049743F">
        <w:trPr>
          <w:trHeight w:val="50"/>
        </w:trPr>
        <w:tc>
          <w:tcPr>
            <w:tcW w:w="391" w:type="pct"/>
            <w:vMerge/>
            <w:tcBorders>
              <w:top w:val="single" w:sz="4" w:space="0" w:color="auto"/>
              <w:left w:val="single" w:sz="4" w:space="0" w:color="auto"/>
              <w:bottom w:val="single" w:sz="4" w:space="0" w:color="auto"/>
              <w:right w:val="single" w:sz="4" w:space="0" w:color="auto"/>
            </w:tcBorders>
          </w:tcPr>
          <w:p w14:paraId="2DF792B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top w:val="single" w:sz="4" w:space="0" w:color="auto"/>
              <w:left w:val="nil"/>
              <w:bottom w:val="single" w:sz="4" w:space="0" w:color="auto"/>
              <w:right w:val="single" w:sz="4" w:space="0" w:color="auto"/>
            </w:tcBorders>
          </w:tcPr>
          <w:p w14:paraId="0DC57AB0"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right w:val="single" w:sz="4" w:space="0" w:color="auto"/>
            </w:tcBorders>
            <w:vAlign w:val="center"/>
          </w:tcPr>
          <w:p w14:paraId="6C00687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Área Rural total</w:t>
            </w:r>
          </w:p>
        </w:tc>
        <w:tc>
          <w:tcPr>
            <w:tcW w:w="493" w:type="pct"/>
            <w:tcBorders>
              <w:top w:val="nil"/>
              <w:left w:val="nil"/>
              <w:right w:val="single" w:sz="4" w:space="0" w:color="auto"/>
            </w:tcBorders>
            <w:noWrap/>
            <w:vAlign w:val="center"/>
          </w:tcPr>
          <w:p w14:paraId="66B53FE0"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52.2</w:t>
            </w:r>
          </w:p>
        </w:tc>
        <w:tc>
          <w:tcPr>
            <w:tcW w:w="493" w:type="pct"/>
            <w:tcBorders>
              <w:top w:val="nil"/>
              <w:left w:val="nil"/>
              <w:right w:val="single" w:sz="4" w:space="0" w:color="auto"/>
            </w:tcBorders>
            <w:noWrap/>
            <w:vAlign w:val="center"/>
          </w:tcPr>
          <w:p w14:paraId="526064B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50.3</w:t>
            </w:r>
          </w:p>
        </w:tc>
        <w:tc>
          <w:tcPr>
            <w:tcW w:w="492" w:type="pct"/>
            <w:tcBorders>
              <w:right w:val="single" w:sz="2" w:space="0" w:color="auto"/>
            </w:tcBorders>
            <w:noWrap/>
            <w:vAlign w:val="center"/>
          </w:tcPr>
          <w:p w14:paraId="5703BEDA"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50.1</w:t>
            </w:r>
          </w:p>
        </w:tc>
      </w:tr>
      <w:tr w:rsidR="000C171B" w:rsidRPr="0010306A" w14:paraId="665E6C8F" w14:textId="77777777" w:rsidTr="0049743F">
        <w:trPr>
          <w:trHeight w:val="60"/>
        </w:trPr>
        <w:tc>
          <w:tcPr>
            <w:tcW w:w="391" w:type="pct"/>
            <w:vMerge/>
            <w:tcBorders>
              <w:top w:val="single" w:sz="4" w:space="0" w:color="auto"/>
              <w:left w:val="single" w:sz="4" w:space="0" w:color="auto"/>
              <w:bottom w:val="single" w:sz="4" w:space="0" w:color="auto"/>
              <w:right w:val="single" w:sz="4" w:space="0" w:color="auto"/>
            </w:tcBorders>
          </w:tcPr>
          <w:p w14:paraId="17ECB782"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top w:val="single" w:sz="4" w:space="0" w:color="auto"/>
              <w:left w:val="nil"/>
              <w:bottom w:val="single" w:sz="4" w:space="0" w:color="auto"/>
              <w:right w:val="single" w:sz="4" w:space="0" w:color="auto"/>
            </w:tcBorders>
          </w:tcPr>
          <w:p w14:paraId="6F48AD4C"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522D29DB"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sz w:val="16"/>
                <w:szCs w:val="16"/>
                <w:lang w:eastAsia="es-PA"/>
              </w:rPr>
              <w:t>Población indígena</w:t>
            </w:r>
          </w:p>
        </w:tc>
        <w:tc>
          <w:tcPr>
            <w:tcW w:w="493" w:type="pct"/>
            <w:tcBorders>
              <w:top w:val="nil"/>
              <w:left w:val="nil"/>
              <w:bottom w:val="nil"/>
              <w:right w:val="single" w:sz="4" w:space="0" w:color="auto"/>
            </w:tcBorders>
            <w:noWrap/>
            <w:vAlign w:val="center"/>
          </w:tcPr>
          <w:p w14:paraId="29AB8A1B"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66.5</w:t>
            </w:r>
          </w:p>
        </w:tc>
        <w:tc>
          <w:tcPr>
            <w:tcW w:w="493" w:type="pct"/>
            <w:tcBorders>
              <w:top w:val="nil"/>
              <w:left w:val="nil"/>
              <w:bottom w:val="nil"/>
              <w:right w:val="single" w:sz="4" w:space="0" w:color="auto"/>
            </w:tcBorders>
            <w:noWrap/>
            <w:vAlign w:val="center"/>
          </w:tcPr>
          <w:p w14:paraId="34DDF597"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63.9</w:t>
            </w:r>
          </w:p>
        </w:tc>
        <w:tc>
          <w:tcPr>
            <w:tcW w:w="492" w:type="pct"/>
            <w:tcBorders>
              <w:right w:val="single" w:sz="2" w:space="0" w:color="auto"/>
            </w:tcBorders>
            <w:noWrap/>
            <w:vAlign w:val="center"/>
          </w:tcPr>
          <w:p w14:paraId="42237C25"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64.9</w:t>
            </w:r>
          </w:p>
        </w:tc>
      </w:tr>
      <w:tr w:rsidR="000C171B" w:rsidRPr="0010306A" w14:paraId="17C9224F" w14:textId="77777777" w:rsidTr="0049743F">
        <w:trPr>
          <w:trHeight w:val="60"/>
        </w:trPr>
        <w:tc>
          <w:tcPr>
            <w:tcW w:w="391" w:type="pct"/>
            <w:vMerge/>
            <w:tcBorders>
              <w:top w:val="single" w:sz="4" w:space="0" w:color="auto"/>
              <w:left w:val="single" w:sz="4" w:space="0" w:color="auto"/>
              <w:bottom w:val="single" w:sz="4" w:space="0" w:color="auto"/>
              <w:right w:val="single" w:sz="4" w:space="0" w:color="auto"/>
            </w:tcBorders>
          </w:tcPr>
          <w:p w14:paraId="4F7790F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top w:val="single" w:sz="4" w:space="0" w:color="auto"/>
              <w:left w:val="nil"/>
              <w:bottom w:val="single" w:sz="4" w:space="0" w:color="auto"/>
              <w:right w:val="single" w:sz="4" w:space="0" w:color="auto"/>
            </w:tcBorders>
          </w:tcPr>
          <w:p w14:paraId="3901974B"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0D15F53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Población afrodescendiente</w:t>
            </w:r>
          </w:p>
        </w:tc>
        <w:tc>
          <w:tcPr>
            <w:tcW w:w="493" w:type="pct"/>
            <w:tcBorders>
              <w:top w:val="nil"/>
              <w:left w:val="nil"/>
              <w:bottom w:val="single" w:sz="4" w:space="0" w:color="auto"/>
              <w:right w:val="single" w:sz="4" w:space="0" w:color="auto"/>
            </w:tcBorders>
            <w:noWrap/>
            <w:vAlign w:val="center"/>
          </w:tcPr>
          <w:p w14:paraId="1E6DC23C"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eastAsia="Times New Roman" w:hAnsi="Arial Narrow" w:cs="Calibri"/>
                <w:sz w:val="16"/>
                <w:szCs w:val="16"/>
                <w:lang w:eastAsia="es-PA"/>
              </w:rPr>
              <w:t>14.8</w:t>
            </w:r>
          </w:p>
        </w:tc>
        <w:tc>
          <w:tcPr>
            <w:tcW w:w="493" w:type="pct"/>
            <w:tcBorders>
              <w:top w:val="nil"/>
              <w:left w:val="nil"/>
              <w:bottom w:val="single" w:sz="4" w:space="0" w:color="auto"/>
              <w:right w:val="single" w:sz="4" w:space="0" w:color="auto"/>
            </w:tcBorders>
            <w:noWrap/>
            <w:vAlign w:val="center"/>
          </w:tcPr>
          <w:p w14:paraId="73C13D8D"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15.6</w:t>
            </w:r>
          </w:p>
        </w:tc>
        <w:tc>
          <w:tcPr>
            <w:tcW w:w="492" w:type="pct"/>
            <w:tcBorders>
              <w:bottom w:val="single" w:sz="4" w:space="0" w:color="auto"/>
              <w:right w:val="single" w:sz="2" w:space="0" w:color="auto"/>
            </w:tcBorders>
            <w:noWrap/>
            <w:vAlign w:val="center"/>
          </w:tcPr>
          <w:p w14:paraId="57634E8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15.6</w:t>
            </w:r>
          </w:p>
        </w:tc>
      </w:tr>
      <w:tr w:rsidR="000C171B" w:rsidRPr="0010306A" w14:paraId="0F4243B5" w14:textId="77777777" w:rsidTr="0049743F">
        <w:trPr>
          <w:trHeight w:val="60"/>
        </w:trPr>
        <w:tc>
          <w:tcPr>
            <w:tcW w:w="391" w:type="pct"/>
            <w:vMerge w:val="restart"/>
            <w:tcBorders>
              <w:top w:val="single" w:sz="4" w:space="0" w:color="auto"/>
              <w:left w:val="single" w:sz="4" w:space="0" w:color="auto"/>
              <w:right w:val="single" w:sz="4" w:space="0" w:color="auto"/>
            </w:tcBorders>
          </w:tcPr>
          <w:p w14:paraId="1A35F530"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10</w:t>
            </w:r>
          </w:p>
        </w:tc>
        <w:tc>
          <w:tcPr>
            <w:tcW w:w="1565" w:type="pct"/>
            <w:vMerge w:val="restart"/>
            <w:tcBorders>
              <w:top w:val="single" w:sz="4" w:space="0" w:color="auto"/>
              <w:left w:val="nil"/>
              <w:right w:val="single" w:sz="4" w:space="0" w:color="auto"/>
            </w:tcBorders>
          </w:tcPr>
          <w:p w14:paraId="230BE6AA"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Indicadores de solidez financiera (en porcentaje).</w:t>
            </w:r>
          </w:p>
        </w:tc>
        <w:tc>
          <w:tcPr>
            <w:tcW w:w="1566" w:type="pct"/>
            <w:tcBorders>
              <w:top w:val="single" w:sz="4" w:space="0" w:color="auto"/>
              <w:left w:val="nil"/>
              <w:bottom w:val="nil"/>
              <w:right w:val="single" w:sz="4" w:space="0" w:color="auto"/>
            </w:tcBorders>
            <w:vAlign w:val="center"/>
          </w:tcPr>
          <w:p w14:paraId="1A9CD264"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Adecuación de capital sistema bancario nacional</w:t>
            </w:r>
          </w:p>
        </w:tc>
        <w:tc>
          <w:tcPr>
            <w:tcW w:w="493" w:type="pct"/>
            <w:tcBorders>
              <w:top w:val="single" w:sz="4" w:space="0" w:color="auto"/>
              <w:left w:val="nil"/>
              <w:bottom w:val="nil"/>
              <w:right w:val="single" w:sz="4" w:space="0" w:color="auto"/>
            </w:tcBorders>
            <w:noWrap/>
            <w:vAlign w:val="center"/>
          </w:tcPr>
          <w:p w14:paraId="0D3FF683"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Calibri"/>
                <w:sz w:val="16"/>
                <w:szCs w:val="16"/>
              </w:rPr>
              <w:t>14.8</w:t>
            </w:r>
          </w:p>
        </w:tc>
        <w:tc>
          <w:tcPr>
            <w:tcW w:w="493" w:type="pct"/>
            <w:tcBorders>
              <w:top w:val="single" w:sz="4" w:space="0" w:color="auto"/>
              <w:left w:val="nil"/>
              <w:bottom w:val="nil"/>
              <w:right w:val="single" w:sz="4" w:space="0" w:color="auto"/>
            </w:tcBorders>
            <w:noWrap/>
            <w:vAlign w:val="center"/>
          </w:tcPr>
          <w:p w14:paraId="69E0AB32"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15.1</w:t>
            </w:r>
          </w:p>
        </w:tc>
        <w:tc>
          <w:tcPr>
            <w:tcW w:w="492" w:type="pct"/>
            <w:tcBorders>
              <w:top w:val="single" w:sz="4" w:space="0" w:color="auto"/>
              <w:right w:val="single" w:sz="2" w:space="0" w:color="auto"/>
            </w:tcBorders>
            <w:noWrap/>
            <w:vAlign w:val="center"/>
          </w:tcPr>
          <w:p w14:paraId="6B14926D"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16.0</w:t>
            </w:r>
          </w:p>
        </w:tc>
      </w:tr>
      <w:tr w:rsidR="000C171B" w:rsidRPr="0010306A" w14:paraId="6ABDACCB" w14:textId="77777777" w:rsidTr="0049743F">
        <w:trPr>
          <w:trHeight w:val="60"/>
        </w:trPr>
        <w:tc>
          <w:tcPr>
            <w:tcW w:w="391" w:type="pct"/>
            <w:vMerge/>
            <w:tcBorders>
              <w:left w:val="single" w:sz="4" w:space="0" w:color="auto"/>
              <w:right w:val="single" w:sz="4" w:space="0" w:color="auto"/>
            </w:tcBorders>
            <w:vAlign w:val="center"/>
          </w:tcPr>
          <w:p w14:paraId="7C2C1DA3"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437A00D5"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3A7EC6B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Morosos / sistema bancario</w:t>
            </w:r>
          </w:p>
        </w:tc>
        <w:tc>
          <w:tcPr>
            <w:tcW w:w="493" w:type="pct"/>
            <w:tcBorders>
              <w:top w:val="nil"/>
              <w:left w:val="nil"/>
              <w:bottom w:val="nil"/>
              <w:right w:val="single" w:sz="4" w:space="0" w:color="auto"/>
            </w:tcBorders>
            <w:noWrap/>
            <w:vAlign w:val="center"/>
          </w:tcPr>
          <w:p w14:paraId="2C9A446E"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Calibri"/>
                <w:sz w:val="16"/>
                <w:szCs w:val="16"/>
              </w:rPr>
              <w:t>1.2</w:t>
            </w:r>
          </w:p>
        </w:tc>
        <w:tc>
          <w:tcPr>
            <w:tcW w:w="493" w:type="pct"/>
            <w:tcBorders>
              <w:top w:val="nil"/>
              <w:left w:val="nil"/>
              <w:bottom w:val="nil"/>
              <w:right w:val="single" w:sz="4" w:space="0" w:color="auto"/>
            </w:tcBorders>
            <w:noWrap/>
            <w:vAlign w:val="center"/>
          </w:tcPr>
          <w:p w14:paraId="354003A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1.4</w:t>
            </w:r>
          </w:p>
        </w:tc>
        <w:tc>
          <w:tcPr>
            <w:tcW w:w="492" w:type="pct"/>
            <w:tcBorders>
              <w:right w:val="single" w:sz="2" w:space="0" w:color="auto"/>
            </w:tcBorders>
            <w:noWrap/>
            <w:vAlign w:val="center"/>
          </w:tcPr>
          <w:p w14:paraId="73D919BF"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1.6</w:t>
            </w:r>
          </w:p>
        </w:tc>
      </w:tr>
      <w:tr w:rsidR="000C171B" w:rsidRPr="0010306A" w14:paraId="1D73F6D1" w14:textId="77777777" w:rsidTr="0049743F">
        <w:trPr>
          <w:trHeight w:val="60"/>
        </w:trPr>
        <w:tc>
          <w:tcPr>
            <w:tcW w:w="391" w:type="pct"/>
            <w:vMerge/>
            <w:tcBorders>
              <w:left w:val="single" w:sz="4" w:space="0" w:color="auto"/>
              <w:right w:val="single" w:sz="4" w:space="0" w:color="auto"/>
            </w:tcBorders>
            <w:vAlign w:val="center"/>
          </w:tcPr>
          <w:p w14:paraId="099AE40E"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162BADAD"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24B28F5B"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Vencidos / sistema bancario</w:t>
            </w:r>
          </w:p>
        </w:tc>
        <w:tc>
          <w:tcPr>
            <w:tcW w:w="493" w:type="pct"/>
            <w:tcBorders>
              <w:top w:val="nil"/>
              <w:left w:val="nil"/>
              <w:bottom w:val="nil"/>
              <w:right w:val="single" w:sz="4" w:space="0" w:color="auto"/>
            </w:tcBorders>
            <w:noWrap/>
            <w:vAlign w:val="center"/>
          </w:tcPr>
          <w:p w14:paraId="713250CD"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Calibri"/>
                <w:sz w:val="16"/>
                <w:szCs w:val="16"/>
              </w:rPr>
              <w:t>1</w:t>
            </w:r>
          </w:p>
        </w:tc>
        <w:tc>
          <w:tcPr>
            <w:tcW w:w="493" w:type="pct"/>
            <w:tcBorders>
              <w:top w:val="nil"/>
              <w:left w:val="nil"/>
              <w:bottom w:val="nil"/>
              <w:right w:val="single" w:sz="4" w:space="0" w:color="auto"/>
            </w:tcBorders>
            <w:noWrap/>
            <w:vAlign w:val="center"/>
          </w:tcPr>
          <w:p w14:paraId="3252B1E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1.3</w:t>
            </w:r>
          </w:p>
        </w:tc>
        <w:tc>
          <w:tcPr>
            <w:tcW w:w="492" w:type="pct"/>
            <w:tcBorders>
              <w:right w:val="single" w:sz="2" w:space="0" w:color="auto"/>
            </w:tcBorders>
            <w:noWrap/>
            <w:vAlign w:val="center"/>
          </w:tcPr>
          <w:p w14:paraId="297F8DE9"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1.4</w:t>
            </w:r>
          </w:p>
        </w:tc>
      </w:tr>
      <w:tr w:rsidR="000C171B" w:rsidRPr="0010306A" w14:paraId="113A1E6D" w14:textId="77777777" w:rsidTr="0049743F">
        <w:trPr>
          <w:trHeight w:val="60"/>
        </w:trPr>
        <w:tc>
          <w:tcPr>
            <w:tcW w:w="391" w:type="pct"/>
            <w:vMerge/>
            <w:tcBorders>
              <w:left w:val="single" w:sz="4" w:space="0" w:color="auto"/>
              <w:right w:val="single" w:sz="4" w:space="0" w:color="auto"/>
            </w:tcBorders>
            <w:vAlign w:val="center"/>
          </w:tcPr>
          <w:p w14:paraId="04D07B3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4D144EF7"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1F262CF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Provisión  para préstamos sistema / total de la cartera del sistema bancario nacional</w:t>
            </w:r>
          </w:p>
        </w:tc>
        <w:tc>
          <w:tcPr>
            <w:tcW w:w="493" w:type="pct"/>
            <w:tcBorders>
              <w:top w:val="nil"/>
              <w:left w:val="nil"/>
              <w:bottom w:val="nil"/>
              <w:right w:val="single" w:sz="4" w:space="0" w:color="auto"/>
            </w:tcBorders>
            <w:noWrap/>
            <w:vAlign w:val="center"/>
          </w:tcPr>
          <w:p w14:paraId="16984518"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Calibri"/>
                <w:sz w:val="16"/>
                <w:szCs w:val="16"/>
              </w:rPr>
              <w:t>0.8</w:t>
            </w:r>
          </w:p>
        </w:tc>
        <w:tc>
          <w:tcPr>
            <w:tcW w:w="493" w:type="pct"/>
            <w:tcBorders>
              <w:top w:val="nil"/>
              <w:left w:val="nil"/>
              <w:bottom w:val="nil"/>
              <w:right w:val="single" w:sz="4" w:space="0" w:color="auto"/>
            </w:tcBorders>
            <w:noWrap/>
            <w:vAlign w:val="center"/>
          </w:tcPr>
          <w:p w14:paraId="6A9F6E20"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1.0</w:t>
            </w:r>
          </w:p>
        </w:tc>
        <w:tc>
          <w:tcPr>
            <w:tcW w:w="492" w:type="pct"/>
            <w:tcBorders>
              <w:right w:val="single" w:sz="2" w:space="0" w:color="auto"/>
            </w:tcBorders>
            <w:noWrap/>
            <w:vAlign w:val="center"/>
          </w:tcPr>
          <w:p w14:paraId="0150BB9D"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1.2</w:t>
            </w:r>
          </w:p>
        </w:tc>
      </w:tr>
      <w:tr w:rsidR="000C171B" w:rsidRPr="0010306A" w14:paraId="01376ABB" w14:textId="77777777" w:rsidTr="0049743F">
        <w:trPr>
          <w:trHeight w:val="60"/>
        </w:trPr>
        <w:tc>
          <w:tcPr>
            <w:tcW w:w="391" w:type="pct"/>
            <w:vMerge/>
            <w:tcBorders>
              <w:left w:val="single" w:sz="4" w:space="0" w:color="auto"/>
              <w:right w:val="single" w:sz="4" w:space="0" w:color="auto"/>
            </w:tcBorders>
            <w:vAlign w:val="center"/>
          </w:tcPr>
          <w:p w14:paraId="7DADEB66"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142CAF6A"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1152416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Activo líquido /depósitos</w:t>
            </w:r>
          </w:p>
        </w:tc>
        <w:tc>
          <w:tcPr>
            <w:tcW w:w="493" w:type="pct"/>
            <w:tcBorders>
              <w:top w:val="nil"/>
              <w:left w:val="nil"/>
              <w:bottom w:val="nil"/>
              <w:right w:val="single" w:sz="4" w:space="0" w:color="auto"/>
            </w:tcBorders>
            <w:noWrap/>
            <w:vAlign w:val="center"/>
          </w:tcPr>
          <w:p w14:paraId="1BA43310"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Calibri"/>
                <w:sz w:val="16"/>
                <w:szCs w:val="16"/>
              </w:rPr>
              <w:t>23.2</w:t>
            </w:r>
          </w:p>
        </w:tc>
        <w:tc>
          <w:tcPr>
            <w:tcW w:w="493" w:type="pct"/>
            <w:tcBorders>
              <w:top w:val="nil"/>
              <w:left w:val="nil"/>
              <w:bottom w:val="nil"/>
              <w:right w:val="single" w:sz="4" w:space="0" w:color="auto"/>
            </w:tcBorders>
            <w:noWrap/>
            <w:vAlign w:val="center"/>
          </w:tcPr>
          <w:p w14:paraId="05479F1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22.9</w:t>
            </w:r>
          </w:p>
        </w:tc>
        <w:tc>
          <w:tcPr>
            <w:tcW w:w="492" w:type="pct"/>
            <w:tcBorders>
              <w:right w:val="single" w:sz="2" w:space="0" w:color="auto"/>
            </w:tcBorders>
            <w:noWrap/>
            <w:vAlign w:val="center"/>
          </w:tcPr>
          <w:p w14:paraId="27AF0AA0"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19.0</w:t>
            </w:r>
          </w:p>
        </w:tc>
      </w:tr>
      <w:tr w:rsidR="000C171B" w:rsidRPr="0010306A" w14:paraId="19A7889B" w14:textId="77777777" w:rsidTr="0049743F">
        <w:trPr>
          <w:trHeight w:val="60"/>
        </w:trPr>
        <w:tc>
          <w:tcPr>
            <w:tcW w:w="391" w:type="pct"/>
            <w:vMerge/>
            <w:tcBorders>
              <w:left w:val="single" w:sz="4" w:space="0" w:color="auto"/>
              <w:right w:val="single" w:sz="4" w:space="0" w:color="auto"/>
            </w:tcBorders>
            <w:vAlign w:val="center"/>
          </w:tcPr>
          <w:p w14:paraId="460629CD"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757E7B35"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10498E7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Activo líquido/total de activos</w:t>
            </w:r>
          </w:p>
        </w:tc>
        <w:tc>
          <w:tcPr>
            <w:tcW w:w="493" w:type="pct"/>
            <w:tcBorders>
              <w:top w:val="nil"/>
              <w:left w:val="nil"/>
              <w:bottom w:val="nil"/>
              <w:right w:val="single" w:sz="4" w:space="0" w:color="auto"/>
            </w:tcBorders>
            <w:noWrap/>
            <w:vAlign w:val="center"/>
          </w:tcPr>
          <w:p w14:paraId="70EB9949"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Calibri"/>
                <w:sz w:val="16"/>
                <w:szCs w:val="16"/>
              </w:rPr>
              <w:t>16.8</w:t>
            </w:r>
          </w:p>
        </w:tc>
        <w:tc>
          <w:tcPr>
            <w:tcW w:w="493" w:type="pct"/>
            <w:tcBorders>
              <w:top w:val="nil"/>
              <w:left w:val="nil"/>
              <w:bottom w:val="nil"/>
              <w:right w:val="single" w:sz="4" w:space="0" w:color="auto"/>
            </w:tcBorders>
            <w:noWrap/>
            <w:vAlign w:val="center"/>
          </w:tcPr>
          <w:p w14:paraId="196483DA"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16.7</w:t>
            </w:r>
          </w:p>
        </w:tc>
        <w:tc>
          <w:tcPr>
            <w:tcW w:w="492" w:type="pct"/>
            <w:tcBorders>
              <w:right w:val="single" w:sz="2" w:space="0" w:color="auto"/>
            </w:tcBorders>
            <w:noWrap/>
            <w:vAlign w:val="center"/>
          </w:tcPr>
          <w:p w14:paraId="4022FF43"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13.7</w:t>
            </w:r>
          </w:p>
        </w:tc>
      </w:tr>
      <w:tr w:rsidR="000C171B" w:rsidRPr="0010306A" w14:paraId="2E8F4BB8" w14:textId="77777777" w:rsidTr="0049743F">
        <w:trPr>
          <w:trHeight w:val="60"/>
        </w:trPr>
        <w:tc>
          <w:tcPr>
            <w:tcW w:w="391" w:type="pct"/>
            <w:vMerge/>
            <w:tcBorders>
              <w:left w:val="single" w:sz="4" w:space="0" w:color="auto"/>
              <w:right w:val="single" w:sz="4" w:space="0" w:color="auto"/>
            </w:tcBorders>
            <w:vAlign w:val="center"/>
          </w:tcPr>
          <w:p w14:paraId="4B305EED"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19B681EB"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09A2C35B"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Rendimiento sobre activos (roa)</w:t>
            </w:r>
          </w:p>
        </w:tc>
        <w:tc>
          <w:tcPr>
            <w:tcW w:w="493" w:type="pct"/>
            <w:tcBorders>
              <w:top w:val="nil"/>
              <w:left w:val="nil"/>
              <w:bottom w:val="nil"/>
              <w:right w:val="single" w:sz="4" w:space="0" w:color="auto"/>
            </w:tcBorders>
            <w:noWrap/>
            <w:vAlign w:val="center"/>
          </w:tcPr>
          <w:p w14:paraId="442D2943"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Calibri"/>
                <w:sz w:val="16"/>
                <w:szCs w:val="16"/>
              </w:rPr>
              <w:t>1.4</w:t>
            </w:r>
          </w:p>
        </w:tc>
        <w:tc>
          <w:tcPr>
            <w:tcW w:w="493" w:type="pct"/>
            <w:tcBorders>
              <w:top w:val="nil"/>
              <w:left w:val="nil"/>
              <w:bottom w:val="nil"/>
              <w:right w:val="single" w:sz="4" w:space="0" w:color="auto"/>
            </w:tcBorders>
            <w:noWrap/>
            <w:vAlign w:val="center"/>
          </w:tcPr>
          <w:p w14:paraId="1394D9D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1.2</w:t>
            </w:r>
          </w:p>
        </w:tc>
        <w:tc>
          <w:tcPr>
            <w:tcW w:w="492" w:type="pct"/>
            <w:tcBorders>
              <w:right w:val="single" w:sz="2" w:space="0" w:color="auto"/>
            </w:tcBorders>
            <w:noWrap/>
            <w:vAlign w:val="center"/>
          </w:tcPr>
          <w:p w14:paraId="5074DEA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1.5</w:t>
            </w:r>
          </w:p>
        </w:tc>
      </w:tr>
      <w:tr w:rsidR="000C171B" w:rsidRPr="0010306A" w14:paraId="61939BB7" w14:textId="77777777" w:rsidTr="0049743F">
        <w:trPr>
          <w:trHeight w:val="50"/>
        </w:trPr>
        <w:tc>
          <w:tcPr>
            <w:tcW w:w="391" w:type="pct"/>
            <w:vMerge/>
            <w:tcBorders>
              <w:left w:val="single" w:sz="4" w:space="0" w:color="auto"/>
              <w:bottom w:val="single" w:sz="4" w:space="0" w:color="auto"/>
              <w:right w:val="single" w:sz="4" w:space="0" w:color="auto"/>
            </w:tcBorders>
            <w:vAlign w:val="center"/>
          </w:tcPr>
          <w:p w14:paraId="4A58A683"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45F8D32B"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75CA01D1"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Rendimiento sobre patrimonio (roe)</w:t>
            </w:r>
          </w:p>
        </w:tc>
        <w:tc>
          <w:tcPr>
            <w:tcW w:w="493" w:type="pct"/>
            <w:tcBorders>
              <w:top w:val="nil"/>
              <w:left w:val="nil"/>
              <w:bottom w:val="single" w:sz="4" w:space="0" w:color="auto"/>
              <w:right w:val="single" w:sz="4" w:space="0" w:color="auto"/>
            </w:tcBorders>
            <w:noWrap/>
            <w:vAlign w:val="center"/>
          </w:tcPr>
          <w:p w14:paraId="61B4B007"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Calibri"/>
                <w:sz w:val="16"/>
                <w:szCs w:val="16"/>
              </w:rPr>
              <w:t>14.2</w:t>
            </w:r>
          </w:p>
        </w:tc>
        <w:tc>
          <w:tcPr>
            <w:tcW w:w="493" w:type="pct"/>
            <w:tcBorders>
              <w:top w:val="nil"/>
              <w:left w:val="nil"/>
              <w:bottom w:val="single" w:sz="4" w:space="0" w:color="auto"/>
              <w:right w:val="single" w:sz="4" w:space="0" w:color="auto"/>
            </w:tcBorders>
            <w:noWrap/>
            <w:vAlign w:val="center"/>
          </w:tcPr>
          <w:p w14:paraId="6BD1D52E"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12</w:t>
            </w:r>
          </w:p>
        </w:tc>
        <w:tc>
          <w:tcPr>
            <w:tcW w:w="492" w:type="pct"/>
            <w:tcBorders>
              <w:bottom w:val="single" w:sz="4" w:space="0" w:color="auto"/>
              <w:right w:val="single" w:sz="2" w:space="0" w:color="auto"/>
            </w:tcBorders>
            <w:noWrap/>
            <w:vAlign w:val="center"/>
          </w:tcPr>
          <w:p w14:paraId="6BEC4157"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13.5</w:t>
            </w:r>
          </w:p>
        </w:tc>
      </w:tr>
      <w:tr w:rsidR="000C171B" w:rsidRPr="0010306A" w14:paraId="1D4D33A9" w14:textId="77777777" w:rsidTr="0049743F">
        <w:trPr>
          <w:trHeight w:val="60"/>
        </w:trPr>
        <w:tc>
          <w:tcPr>
            <w:tcW w:w="391" w:type="pct"/>
            <w:tcBorders>
              <w:top w:val="single" w:sz="4" w:space="0" w:color="auto"/>
              <w:left w:val="single" w:sz="4" w:space="0" w:color="auto"/>
              <w:bottom w:val="single" w:sz="4" w:space="0" w:color="auto"/>
              <w:right w:val="single" w:sz="4" w:space="0" w:color="auto"/>
            </w:tcBorders>
            <w:vAlign w:val="center"/>
          </w:tcPr>
          <w:p w14:paraId="76C9B815"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11</w:t>
            </w:r>
          </w:p>
        </w:tc>
        <w:tc>
          <w:tcPr>
            <w:tcW w:w="1565" w:type="pct"/>
            <w:tcBorders>
              <w:top w:val="single" w:sz="4" w:space="0" w:color="auto"/>
              <w:left w:val="nil"/>
              <w:bottom w:val="single" w:sz="4" w:space="0" w:color="auto"/>
              <w:right w:val="single" w:sz="4" w:space="0" w:color="auto"/>
            </w:tcBorders>
          </w:tcPr>
          <w:p w14:paraId="33A80074"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Proporción de la población urbana que vive en viviendas inadecuadas</w:t>
            </w:r>
          </w:p>
        </w:tc>
        <w:tc>
          <w:tcPr>
            <w:tcW w:w="1566" w:type="pct"/>
            <w:tcBorders>
              <w:top w:val="single" w:sz="4" w:space="0" w:color="auto"/>
              <w:left w:val="nil"/>
              <w:bottom w:val="single" w:sz="4" w:space="0" w:color="auto"/>
              <w:right w:val="single" w:sz="4" w:space="0" w:color="auto"/>
            </w:tcBorders>
            <w:vAlign w:val="center"/>
          </w:tcPr>
          <w:p w14:paraId="4F2641A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Total</w:t>
            </w:r>
          </w:p>
        </w:tc>
        <w:tc>
          <w:tcPr>
            <w:tcW w:w="493" w:type="pct"/>
            <w:tcBorders>
              <w:top w:val="single" w:sz="4" w:space="0" w:color="auto"/>
              <w:left w:val="nil"/>
              <w:bottom w:val="single" w:sz="4" w:space="0" w:color="auto"/>
              <w:right w:val="single" w:sz="4" w:space="0" w:color="auto"/>
            </w:tcBorders>
            <w:noWrap/>
            <w:vAlign w:val="center"/>
          </w:tcPr>
          <w:p w14:paraId="09B25408"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Arial Narrow"/>
                <w:sz w:val="16"/>
                <w:szCs w:val="16"/>
              </w:rPr>
              <w:t>4.4</w:t>
            </w:r>
          </w:p>
        </w:tc>
        <w:tc>
          <w:tcPr>
            <w:tcW w:w="493" w:type="pct"/>
            <w:tcBorders>
              <w:top w:val="single" w:sz="4" w:space="0" w:color="auto"/>
              <w:left w:val="nil"/>
              <w:bottom w:val="single" w:sz="4" w:space="0" w:color="auto"/>
              <w:right w:val="single" w:sz="4" w:space="0" w:color="auto"/>
            </w:tcBorders>
            <w:noWrap/>
            <w:vAlign w:val="center"/>
          </w:tcPr>
          <w:p w14:paraId="194E63A4"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4.3</w:t>
            </w:r>
          </w:p>
        </w:tc>
        <w:tc>
          <w:tcPr>
            <w:tcW w:w="492" w:type="pct"/>
            <w:tcBorders>
              <w:top w:val="single" w:sz="4" w:space="0" w:color="auto"/>
              <w:bottom w:val="single" w:sz="4" w:space="0" w:color="auto"/>
              <w:right w:val="single" w:sz="2" w:space="0" w:color="auto"/>
            </w:tcBorders>
            <w:noWrap/>
            <w:vAlign w:val="center"/>
          </w:tcPr>
          <w:p w14:paraId="6F514EE9"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4.2</w:t>
            </w:r>
          </w:p>
        </w:tc>
      </w:tr>
      <w:tr w:rsidR="000C171B" w:rsidRPr="0010306A" w14:paraId="261A33C4" w14:textId="77777777" w:rsidTr="0049743F">
        <w:trPr>
          <w:trHeight w:val="60"/>
        </w:trPr>
        <w:tc>
          <w:tcPr>
            <w:tcW w:w="391" w:type="pct"/>
            <w:tcBorders>
              <w:top w:val="single" w:sz="4" w:space="0" w:color="auto"/>
              <w:left w:val="single" w:sz="4" w:space="0" w:color="auto"/>
              <w:bottom w:val="single" w:sz="4" w:space="0" w:color="auto"/>
              <w:right w:val="single" w:sz="4" w:space="0" w:color="auto"/>
            </w:tcBorders>
          </w:tcPr>
          <w:p w14:paraId="35C3AD57"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11</w:t>
            </w:r>
          </w:p>
        </w:tc>
        <w:tc>
          <w:tcPr>
            <w:tcW w:w="1565" w:type="pct"/>
            <w:tcBorders>
              <w:top w:val="single" w:sz="4" w:space="0" w:color="auto"/>
              <w:left w:val="nil"/>
              <w:bottom w:val="single" w:sz="4" w:space="0" w:color="auto"/>
              <w:right w:val="single" w:sz="4" w:space="0" w:color="auto"/>
            </w:tcBorders>
          </w:tcPr>
          <w:p w14:paraId="2EDDBF5E"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Total de personas del área urbana que viven en viviendas inadecuadas</w:t>
            </w:r>
          </w:p>
        </w:tc>
        <w:tc>
          <w:tcPr>
            <w:tcW w:w="1566" w:type="pct"/>
            <w:tcBorders>
              <w:top w:val="single" w:sz="4" w:space="0" w:color="auto"/>
              <w:left w:val="nil"/>
              <w:bottom w:val="single" w:sz="4" w:space="0" w:color="auto"/>
              <w:right w:val="single" w:sz="4" w:space="0" w:color="auto"/>
            </w:tcBorders>
            <w:vAlign w:val="center"/>
          </w:tcPr>
          <w:p w14:paraId="0C034E0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Total</w:t>
            </w:r>
          </w:p>
        </w:tc>
        <w:tc>
          <w:tcPr>
            <w:tcW w:w="493" w:type="pct"/>
            <w:tcBorders>
              <w:top w:val="single" w:sz="4" w:space="0" w:color="auto"/>
              <w:left w:val="nil"/>
              <w:bottom w:val="single" w:sz="4" w:space="0" w:color="auto"/>
              <w:right w:val="single" w:sz="4" w:space="0" w:color="auto"/>
            </w:tcBorders>
            <w:noWrap/>
            <w:vAlign w:val="center"/>
          </w:tcPr>
          <w:p w14:paraId="75D5CE1D"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Arial Narrow"/>
                <w:sz w:val="16"/>
                <w:szCs w:val="16"/>
              </w:rPr>
              <w:t>117,008</w:t>
            </w:r>
          </w:p>
        </w:tc>
        <w:tc>
          <w:tcPr>
            <w:tcW w:w="493" w:type="pct"/>
            <w:tcBorders>
              <w:top w:val="single" w:sz="4" w:space="0" w:color="auto"/>
              <w:left w:val="nil"/>
              <w:bottom w:val="single" w:sz="4" w:space="0" w:color="auto"/>
              <w:right w:val="single" w:sz="4" w:space="0" w:color="auto"/>
            </w:tcBorders>
            <w:noWrap/>
            <w:vAlign w:val="center"/>
          </w:tcPr>
          <w:p w14:paraId="265131BD"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115,320</w:t>
            </w:r>
          </w:p>
        </w:tc>
        <w:tc>
          <w:tcPr>
            <w:tcW w:w="492" w:type="pct"/>
            <w:tcBorders>
              <w:top w:val="single" w:sz="4" w:space="0" w:color="auto"/>
              <w:bottom w:val="single" w:sz="4" w:space="0" w:color="auto"/>
              <w:right w:val="single" w:sz="2" w:space="0" w:color="auto"/>
            </w:tcBorders>
            <w:noWrap/>
            <w:vAlign w:val="center"/>
          </w:tcPr>
          <w:p w14:paraId="13EDD53D"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115,920</w:t>
            </w:r>
          </w:p>
        </w:tc>
      </w:tr>
      <w:tr w:rsidR="000C171B" w:rsidRPr="0010306A" w14:paraId="6F1637C6" w14:textId="77777777" w:rsidTr="0049743F">
        <w:trPr>
          <w:trHeight w:val="60"/>
        </w:trPr>
        <w:tc>
          <w:tcPr>
            <w:tcW w:w="391" w:type="pct"/>
            <w:vMerge w:val="restart"/>
            <w:tcBorders>
              <w:top w:val="single" w:sz="4" w:space="0" w:color="auto"/>
              <w:left w:val="single" w:sz="4" w:space="0" w:color="auto"/>
              <w:right w:val="single" w:sz="4" w:space="0" w:color="auto"/>
            </w:tcBorders>
          </w:tcPr>
          <w:p w14:paraId="5640BF4B"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 xml:space="preserve">ODS 12 </w:t>
            </w:r>
          </w:p>
        </w:tc>
        <w:tc>
          <w:tcPr>
            <w:tcW w:w="1565" w:type="pct"/>
            <w:vMerge w:val="restart"/>
            <w:tcBorders>
              <w:top w:val="single" w:sz="4" w:space="0" w:color="auto"/>
              <w:left w:val="nil"/>
              <w:right w:val="single" w:sz="4" w:space="0" w:color="auto"/>
            </w:tcBorders>
          </w:tcPr>
          <w:p w14:paraId="0CF778F7"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hAnsi="Arial Narrow" w:cs="Arial Narrow"/>
                <w:color w:val="000000"/>
                <w:sz w:val="16"/>
                <w:szCs w:val="16"/>
              </w:rPr>
              <w:t>Subsidios a los combustibles fósiles por unidad de PIB (consumo)</w:t>
            </w:r>
          </w:p>
        </w:tc>
        <w:tc>
          <w:tcPr>
            <w:tcW w:w="1566" w:type="pct"/>
            <w:tcBorders>
              <w:top w:val="single" w:sz="4" w:space="0" w:color="auto"/>
              <w:left w:val="nil"/>
              <w:bottom w:val="nil"/>
              <w:right w:val="single" w:sz="4" w:space="0" w:color="auto"/>
            </w:tcBorders>
            <w:vAlign w:val="center"/>
          </w:tcPr>
          <w:p w14:paraId="0CE8519B"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hAnsi="Arial Narrow" w:cs="Arial Narrow"/>
                <w:color w:val="000000"/>
                <w:w w:val="90"/>
                <w:sz w:val="16"/>
                <w:szCs w:val="16"/>
              </w:rPr>
              <w:t>Subsidio de combustibles fósiles como proporción PIB (%)</w:t>
            </w:r>
          </w:p>
        </w:tc>
        <w:tc>
          <w:tcPr>
            <w:tcW w:w="493" w:type="pct"/>
            <w:tcBorders>
              <w:top w:val="single" w:sz="4" w:space="0" w:color="auto"/>
              <w:left w:val="nil"/>
              <w:bottom w:val="nil"/>
              <w:right w:val="single" w:sz="4" w:space="0" w:color="auto"/>
            </w:tcBorders>
            <w:noWrap/>
            <w:vAlign w:val="center"/>
          </w:tcPr>
          <w:p w14:paraId="478F71CA"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Arial Narrow"/>
                <w:sz w:val="16"/>
                <w:szCs w:val="16"/>
              </w:rPr>
              <w:t>0.2</w:t>
            </w:r>
          </w:p>
        </w:tc>
        <w:tc>
          <w:tcPr>
            <w:tcW w:w="493" w:type="pct"/>
            <w:tcBorders>
              <w:top w:val="single" w:sz="4" w:space="0" w:color="auto"/>
              <w:left w:val="nil"/>
              <w:bottom w:val="nil"/>
              <w:right w:val="single" w:sz="4" w:space="0" w:color="auto"/>
            </w:tcBorders>
            <w:noWrap/>
            <w:vAlign w:val="center"/>
          </w:tcPr>
          <w:p w14:paraId="650D1AFD"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0.2</w:t>
            </w:r>
          </w:p>
        </w:tc>
        <w:tc>
          <w:tcPr>
            <w:tcW w:w="492" w:type="pct"/>
            <w:tcBorders>
              <w:top w:val="single" w:sz="4" w:space="0" w:color="auto"/>
              <w:right w:val="single" w:sz="2" w:space="0" w:color="auto"/>
            </w:tcBorders>
            <w:noWrap/>
            <w:vAlign w:val="center"/>
          </w:tcPr>
          <w:p w14:paraId="42D13620"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0.2</w:t>
            </w:r>
          </w:p>
        </w:tc>
      </w:tr>
      <w:tr w:rsidR="000C171B" w:rsidRPr="0010306A" w14:paraId="79F2F51F" w14:textId="77777777" w:rsidTr="0049743F">
        <w:trPr>
          <w:trHeight w:val="60"/>
        </w:trPr>
        <w:tc>
          <w:tcPr>
            <w:tcW w:w="391" w:type="pct"/>
            <w:vMerge/>
            <w:tcBorders>
              <w:left w:val="single" w:sz="4" w:space="0" w:color="auto"/>
              <w:bottom w:val="single" w:sz="4" w:space="0" w:color="auto"/>
              <w:right w:val="single" w:sz="4" w:space="0" w:color="auto"/>
            </w:tcBorders>
            <w:vAlign w:val="center"/>
          </w:tcPr>
          <w:p w14:paraId="42669214"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73FED983"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12EB650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hAnsi="Arial Narrow" w:cs="Arial Narrow"/>
                <w:color w:val="000000"/>
                <w:w w:val="90"/>
                <w:sz w:val="16"/>
                <w:szCs w:val="16"/>
              </w:rPr>
              <w:t>Subsidios a derivados del petróleo (en millones de balboas)</w:t>
            </w:r>
          </w:p>
        </w:tc>
        <w:tc>
          <w:tcPr>
            <w:tcW w:w="493" w:type="pct"/>
            <w:tcBorders>
              <w:top w:val="nil"/>
              <w:left w:val="nil"/>
              <w:bottom w:val="single" w:sz="4" w:space="0" w:color="auto"/>
              <w:right w:val="single" w:sz="4" w:space="0" w:color="auto"/>
            </w:tcBorders>
            <w:noWrap/>
            <w:vAlign w:val="center"/>
          </w:tcPr>
          <w:p w14:paraId="6B8FDA37" w14:textId="77777777" w:rsidR="000C171B" w:rsidRPr="00D336D1" w:rsidRDefault="000C171B" w:rsidP="002C49EF">
            <w:pPr>
              <w:spacing w:after="0" w:line="240" w:lineRule="auto"/>
              <w:jc w:val="center"/>
              <w:rPr>
                <w:rFonts w:ascii="Arial Narrow" w:eastAsia="Times New Roman" w:hAnsi="Arial Narrow" w:cs="Calibri"/>
                <w:sz w:val="16"/>
                <w:szCs w:val="16"/>
                <w:lang w:eastAsia="es-PA"/>
              </w:rPr>
            </w:pPr>
            <w:r w:rsidRPr="00D336D1">
              <w:rPr>
                <w:rFonts w:ascii="Arial Narrow" w:hAnsi="Arial Narrow" w:cs="Arial Narrow"/>
                <w:sz w:val="16"/>
                <w:szCs w:val="16"/>
              </w:rPr>
              <w:t>101.49</w:t>
            </w:r>
          </w:p>
        </w:tc>
        <w:tc>
          <w:tcPr>
            <w:tcW w:w="493" w:type="pct"/>
            <w:tcBorders>
              <w:top w:val="nil"/>
              <w:left w:val="nil"/>
              <w:bottom w:val="single" w:sz="4" w:space="0" w:color="auto"/>
              <w:right w:val="single" w:sz="4" w:space="0" w:color="auto"/>
            </w:tcBorders>
            <w:noWrap/>
            <w:vAlign w:val="center"/>
          </w:tcPr>
          <w:p w14:paraId="08B368E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96.60</w:t>
            </w:r>
          </w:p>
        </w:tc>
        <w:tc>
          <w:tcPr>
            <w:tcW w:w="492" w:type="pct"/>
            <w:tcBorders>
              <w:bottom w:val="single" w:sz="4" w:space="0" w:color="auto"/>
              <w:right w:val="single" w:sz="2" w:space="0" w:color="auto"/>
            </w:tcBorders>
            <w:noWrap/>
            <w:vAlign w:val="center"/>
          </w:tcPr>
          <w:p w14:paraId="65CCB970"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Narrow"/>
                <w:sz w:val="16"/>
                <w:szCs w:val="16"/>
              </w:rPr>
              <w:t>110.00</w:t>
            </w:r>
          </w:p>
        </w:tc>
      </w:tr>
      <w:tr w:rsidR="000C171B" w:rsidRPr="0010306A" w14:paraId="3FA8297A" w14:textId="77777777" w:rsidTr="0049743F">
        <w:trPr>
          <w:trHeight w:val="60"/>
        </w:trPr>
        <w:tc>
          <w:tcPr>
            <w:tcW w:w="391" w:type="pct"/>
            <w:vMerge w:val="restart"/>
            <w:tcBorders>
              <w:top w:val="single" w:sz="4" w:space="0" w:color="auto"/>
              <w:left w:val="single" w:sz="4" w:space="0" w:color="auto"/>
              <w:right w:val="single" w:sz="4" w:space="0" w:color="auto"/>
            </w:tcBorders>
            <w:vAlign w:val="center"/>
          </w:tcPr>
          <w:p w14:paraId="78B294A1"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 xml:space="preserve">ODS 14 </w:t>
            </w:r>
          </w:p>
        </w:tc>
        <w:tc>
          <w:tcPr>
            <w:tcW w:w="1565" w:type="pct"/>
            <w:vMerge w:val="restart"/>
            <w:tcBorders>
              <w:top w:val="single" w:sz="4" w:space="0" w:color="auto"/>
              <w:left w:val="nil"/>
              <w:right w:val="single" w:sz="4" w:space="0" w:color="auto"/>
            </w:tcBorders>
          </w:tcPr>
          <w:p w14:paraId="75FCD3C1"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Cobertura de las áreas protegidas en relación con las áreas marinas.</w:t>
            </w:r>
          </w:p>
        </w:tc>
        <w:tc>
          <w:tcPr>
            <w:tcW w:w="1566" w:type="pct"/>
            <w:tcBorders>
              <w:top w:val="single" w:sz="4" w:space="0" w:color="auto"/>
              <w:left w:val="nil"/>
              <w:bottom w:val="nil"/>
              <w:right w:val="single" w:sz="4" w:space="0" w:color="auto"/>
            </w:tcBorders>
            <w:vAlign w:val="center"/>
          </w:tcPr>
          <w:p w14:paraId="7F548946" w14:textId="77777777" w:rsidR="000C171B" w:rsidRPr="00D336D1" w:rsidRDefault="000C171B" w:rsidP="002C49EF">
            <w:pPr>
              <w:spacing w:after="0" w:line="240" w:lineRule="auto"/>
              <w:rPr>
                <w:rFonts w:ascii="Arial Narrow" w:hAnsi="Arial Narrow" w:cs="Arial Narrow"/>
                <w:color w:val="000000"/>
                <w:w w:val="90"/>
                <w:sz w:val="16"/>
                <w:szCs w:val="16"/>
              </w:rPr>
            </w:pPr>
            <w:r w:rsidRPr="00D336D1">
              <w:rPr>
                <w:rFonts w:ascii="Arial Narrow" w:eastAsia="Times New Roman" w:hAnsi="Arial Narrow" w:cs="Calibri"/>
                <w:color w:val="000000"/>
                <w:sz w:val="16"/>
                <w:szCs w:val="16"/>
                <w:lang w:eastAsia="es-PA"/>
              </w:rPr>
              <w:t>Superficie marina de las áreas protegidas (km2)</w:t>
            </w:r>
          </w:p>
        </w:tc>
        <w:tc>
          <w:tcPr>
            <w:tcW w:w="493" w:type="pct"/>
            <w:tcBorders>
              <w:top w:val="single" w:sz="4" w:space="0" w:color="auto"/>
              <w:left w:val="nil"/>
              <w:bottom w:val="nil"/>
              <w:right w:val="single" w:sz="4" w:space="0" w:color="auto"/>
            </w:tcBorders>
            <w:noWrap/>
            <w:vAlign w:val="center"/>
          </w:tcPr>
          <w:p w14:paraId="69232D80"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40,747.6</w:t>
            </w:r>
          </w:p>
        </w:tc>
        <w:tc>
          <w:tcPr>
            <w:tcW w:w="493" w:type="pct"/>
            <w:tcBorders>
              <w:top w:val="single" w:sz="4" w:space="0" w:color="auto"/>
              <w:left w:val="nil"/>
              <w:bottom w:val="nil"/>
              <w:right w:val="single" w:sz="4" w:space="0" w:color="auto"/>
            </w:tcBorders>
            <w:noWrap/>
            <w:vAlign w:val="center"/>
          </w:tcPr>
          <w:p w14:paraId="05957712"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40,747.2</w:t>
            </w:r>
          </w:p>
        </w:tc>
        <w:tc>
          <w:tcPr>
            <w:tcW w:w="492" w:type="pct"/>
            <w:tcBorders>
              <w:top w:val="single" w:sz="4" w:space="0" w:color="auto"/>
              <w:right w:val="single" w:sz="2" w:space="0" w:color="auto"/>
            </w:tcBorders>
            <w:noWrap/>
            <w:vAlign w:val="center"/>
          </w:tcPr>
          <w:p w14:paraId="5205B2C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40,831.0</w:t>
            </w:r>
          </w:p>
        </w:tc>
      </w:tr>
      <w:tr w:rsidR="000C171B" w:rsidRPr="0010306A" w14:paraId="49FD0D32" w14:textId="77777777" w:rsidTr="0049743F">
        <w:trPr>
          <w:trHeight w:val="60"/>
        </w:trPr>
        <w:tc>
          <w:tcPr>
            <w:tcW w:w="391" w:type="pct"/>
            <w:vMerge/>
            <w:tcBorders>
              <w:left w:val="single" w:sz="4" w:space="0" w:color="auto"/>
              <w:bottom w:val="single" w:sz="4" w:space="0" w:color="auto"/>
              <w:right w:val="single" w:sz="4" w:space="0" w:color="auto"/>
            </w:tcBorders>
            <w:vAlign w:val="center"/>
          </w:tcPr>
          <w:p w14:paraId="314BF51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4A06C0BC"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001CC16B" w14:textId="77777777" w:rsidR="000C171B" w:rsidRPr="00D336D1" w:rsidRDefault="000C171B" w:rsidP="002C49EF">
            <w:pPr>
              <w:spacing w:after="0" w:line="240" w:lineRule="auto"/>
              <w:rPr>
                <w:rFonts w:ascii="Arial Narrow" w:hAnsi="Arial Narrow" w:cs="Arial Narrow"/>
                <w:color w:val="000000"/>
                <w:w w:val="90"/>
                <w:sz w:val="16"/>
                <w:szCs w:val="16"/>
              </w:rPr>
            </w:pPr>
            <w:r w:rsidRPr="00D336D1">
              <w:rPr>
                <w:rFonts w:ascii="Arial Narrow" w:eastAsia="Times New Roman" w:hAnsi="Arial Narrow" w:cs="Calibri"/>
                <w:color w:val="000000"/>
                <w:sz w:val="16"/>
                <w:szCs w:val="16"/>
                <w:lang w:eastAsia="es-PA"/>
              </w:rPr>
              <w:t>Proporción de áreas protegidas marinas (%)</w:t>
            </w:r>
          </w:p>
        </w:tc>
        <w:tc>
          <w:tcPr>
            <w:tcW w:w="493" w:type="pct"/>
            <w:tcBorders>
              <w:top w:val="nil"/>
              <w:left w:val="nil"/>
              <w:bottom w:val="single" w:sz="4" w:space="0" w:color="auto"/>
              <w:right w:val="single" w:sz="4" w:space="0" w:color="auto"/>
            </w:tcBorders>
            <w:noWrap/>
            <w:vAlign w:val="center"/>
          </w:tcPr>
          <w:p w14:paraId="6A34E68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12.8</w:t>
            </w:r>
          </w:p>
        </w:tc>
        <w:tc>
          <w:tcPr>
            <w:tcW w:w="493" w:type="pct"/>
            <w:tcBorders>
              <w:top w:val="nil"/>
              <w:left w:val="nil"/>
              <w:bottom w:val="single" w:sz="4" w:space="0" w:color="auto"/>
              <w:right w:val="single" w:sz="4" w:space="0" w:color="auto"/>
            </w:tcBorders>
            <w:noWrap/>
            <w:vAlign w:val="center"/>
          </w:tcPr>
          <w:p w14:paraId="0A7CE63F"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12.8</w:t>
            </w:r>
          </w:p>
        </w:tc>
        <w:tc>
          <w:tcPr>
            <w:tcW w:w="492" w:type="pct"/>
            <w:tcBorders>
              <w:bottom w:val="single" w:sz="4" w:space="0" w:color="auto"/>
              <w:right w:val="single" w:sz="2" w:space="0" w:color="auto"/>
            </w:tcBorders>
            <w:noWrap/>
            <w:vAlign w:val="center"/>
          </w:tcPr>
          <w:p w14:paraId="7499C3E5"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12.8</w:t>
            </w:r>
          </w:p>
        </w:tc>
      </w:tr>
      <w:tr w:rsidR="000C171B" w:rsidRPr="0010306A" w14:paraId="7B71759A" w14:textId="77777777" w:rsidTr="0049743F">
        <w:trPr>
          <w:trHeight w:val="60"/>
        </w:trPr>
        <w:tc>
          <w:tcPr>
            <w:tcW w:w="391" w:type="pct"/>
            <w:vMerge w:val="restart"/>
            <w:tcBorders>
              <w:top w:val="single" w:sz="4" w:space="0" w:color="auto"/>
              <w:left w:val="single" w:sz="4" w:space="0" w:color="auto"/>
              <w:right w:val="single" w:sz="4" w:space="0" w:color="auto"/>
            </w:tcBorders>
            <w:vAlign w:val="center"/>
          </w:tcPr>
          <w:p w14:paraId="0BF00B50"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15</w:t>
            </w:r>
          </w:p>
        </w:tc>
        <w:tc>
          <w:tcPr>
            <w:tcW w:w="1565" w:type="pct"/>
            <w:vMerge w:val="restart"/>
            <w:tcBorders>
              <w:top w:val="single" w:sz="4" w:space="0" w:color="auto"/>
              <w:left w:val="nil"/>
              <w:right w:val="single" w:sz="4" w:space="0" w:color="auto"/>
            </w:tcBorders>
          </w:tcPr>
          <w:p w14:paraId="12EEAEDE"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Cobertura de las zonas protegidas en relación con las zonas terrestres</w:t>
            </w:r>
          </w:p>
        </w:tc>
        <w:tc>
          <w:tcPr>
            <w:tcW w:w="1566" w:type="pct"/>
            <w:tcBorders>
              <w:top w:val="single" w:sz="4" w:space="0" w:color="auto"/>
              <w:left w:val="nil"/>
              <w:bottom w:val="nil"/>
              <w:right w:val="single" w:sz="4" w:space="0" w:color="auto"/>
            </w:tcBorders>
            <w:vAlign w:val="center"/>
          </w:tcPr>
          <w:p w14:paraId="69B733F7" w14:textId="77777777" w:rsidR="000C171B" w:rsidRPr="00D336D1" w:rsidRDefault="000C171B" w:rsidP="002C49EF">
            <w:pPr>
              <w:spacing w:after="0" w:line="240" w:lineRule="auto"/>
              <w:rPr>
                <w:rFonts w:ascii="Arial Narrow" w:hAnsi="Arial Narrow" w:cs="Arial Narrow"/>
                <w:color w:val="000000"/>
                <w:w w:val="90"/>
                <w:sz w:val="16"/>
                <w:szCs w:val="16"/>
              </w:rPr>
            </w:pPr>
            <w:r w:rsidRPr="00D336D1">
              <w:rPr>
                <w:rFonts w:ascii="Arial Narrow" w:eastAsia="Times New Roman" w:hAnsi="Arial Narrow" w:cs="Calibri"/>
                <w:color w:val="000000"/>
                <w:sz w:val="16"/>
                <w:szCs w:val="16"/>
                <w:lang w:eastAsia="es-PA"/>
              </w:rPr>
              <w:t>Superficie terrestre de las áreas protegidas (km2)</w:t>
            </w:r>
          </w:p>
        </w:tc>
        <w:tc>
          <w:tcPr>
            <w:tcW w:w="493" w:type="pct"/>
            <w:tcBorders>
              <w:top w:val="single" w:sz="4" w:space="0" w:color="auto"/>
              <w:left w:val="nil"/>
              <w:bottom w:val="nil"/>
              <w:right w:val="single" w:sz="4" w:space="0" w:color="auto"/>
            </w:tcBorders>
            <w:noWrap/>
            <w:vAlign w:val="center"/>
          </w:tcPr>
          <w:p w14:paraId="3451893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26,019.4</w:t>
            </w:r>
          </w:p>
        </w:tc>
        <w:tc>
          <w:tcPr>
            <w:tcW w:w="493" w:type="pct"/>
            <w:tcBorders>
              <w:top w:val="single" w:sz="4" w:space="0" w:color="auto"/>
              <w:left w:val="nil"/>
              <w:bottom w:val="nil"/>
              <w:right w:val="single" w:sz="4" w:space="0" w:color="auto"/>
            </w:tcBorders>
            <w:noWrap/>
            <w:vAlign w:val="center"/>
          </w:tcPr>
          <w:p w14:paraId="3709A779"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26,019.4</w:t>
            </w:r>
          </w:p>
        </w:tc>
        <w:tc>
          <w:tcPr>
            <w:tcW w:w="492" w:type="pct"/>
            <w:tcBorders>
              <w:top w:val="single" w:sz="4" w:space="0" w:color="auto"/>
              <w:right w:val="single" w:sz="2" w:space="0" w:color="auto"/>
            </w:tcBorders>
            <w:noWrap/>
            <w:vAlign w:val="center"/>
          </w:tcPr>
          <w:p w14:paraId="086A920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26,227.6</w:t>
            </w:r>
          </w:p>
        </w:tc>
      </w:tr>
      <w:tr w:rsidR="000C171B" w:rsidRPr="0010306A" w14:paraId="0A4124BA" w14:textId="77777777" w:rsidTr="0049743F">
        <w:trPr>
          <w:trHeight w:val="60"/>
        </w:trPr>
        <w:tc>
          <w:tcPr>
            <w:tcW w:w="391" w:type="pct"/>
            <w:vMerge/>
            <w:tcBorders>
              <w:left w:val="single" w:sz="4" w:space="0" w:color="auto"/>
              <w:bottom w:val="single" w:sz="4" w:space="0" w:color="auto"/>
              <w:right w:val="single" w:sz="4" w:space="0" w:color="auto"/>
            </w:tcBorders>
            <w:vAlign w:val="center"/>
          </w:tcPr>
          <w:p w14:paraId="4AB98B55"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4B23156B"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1BF98609" w14:textId="77777777" w:rsidR="000C171B" w:rsidRPr="00D336D1" w:rsidRDefault="000C171B" w:rsidP="002C49EF">
            <w:pPr>
              <w:spacing w:after="0" w:line="240" w:lineRule="auto"/>
              <w:rPr>
                <w:rFonts w:ascii="Arial Narrow" w:hAnsi="Arial Narrow" w:cs="Arial Narrow"/>
                <w:color w:val="000000"/>
                <w:w w:val="90"/>
                <w:sz w:val="16"/>
                <w:szCs w:val="16"/>
              </w:rPr>
            </w:pPr>
            <w:r w:rsidRPr="00D336D1">
              <w:rPr>
                <w:rFonts w:ascii="Arial Narrow" w:eastAsia="Times New Roman" w:hAnsi="Arial Narrow" w:cs="Calibri"/>
                <w:color w:val="000000"/>
                <w:sz w:val="16"/>
                <w:szCs w:val="16"/>
                <w:lang w:eastAsia="es-PA"/>
              </w:rPr>
              <w:t>Proporción de áreas  protegidas terrestres (%)</w:t>
            </w:r>
          </w:p>
        </w:tc>
        <w:tc>
          <w:tcPr>
            <w:tcW w:w="493" w:type="pct"/>
            <w:tcBorders>
              <w:top w:val="nil"/>
              <w:left w:val="nil"/>
              <w:bottom w:val="single" w:sz="4" w:space="0" w:color="auto"/>
              <w:right w:val="single" w:sz="4" w:space="0" w:color="auto"/>
            </w:tcBorders>
            <w:noWrap/>
            <w:vAlign w:val="center"/>
          </w:tcPr>
          <w:p w14:paraId="4E97CAC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34.8</w:t>
            </w:r>
          </w:p>
        </w:tc>
        <w:tc>
          <w:tcPr>
            <w:tcW w:w="493" w:type="pct"/>
            <w:tcBorders>
              <w:top w:val="nil"/>
              <w:left w:val="nil"/>
              <w:bottom w:val="single" w:sz="4" w:space="0" w:color="auto"/>
              <w:right w:val="single" w:sz="4" w:space="0" w:color="auto"/>
            </w:tcBorders>
            <w:noWrap/>
            <w:vAlign w:val="center"/>
          </w:tcPr>
          <w:p w14:paraId="304B2762"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34.8</w:t>
            </w:r>
          </w:p>
        </w:tc>
        <w:tc>
          <w:tcPr>
            <w:tcW w:w="492" w:type="pct"/>
            <w:tcBorders>
              <w:bottom w:val="single" w:sz="4" w:space="0" w:color="auto"/>
              <w:right w:val="single" w:sz="2" w:space="0" w:color="auto"/>
            </w:tcBorders>
            <w:noWrap/>
            <w:vAlign w:val="center"/>
          </w:tcPr>
          <w:p w14:paraId="4E32B47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35.1</w:t>
            </w:r>
          </w:p>
        </w:tc>
      </w:tr>
      <w:tr w:rsidR="000C171B" w:rsidRPr="0010306A" w14:paraId="4AFF0EA0" w14:textId="77777777" w:rsidTr="0049743F">
        <w:trPr>
          <w:trHeight w:val="60"/>
        </w:trPr>
        <w:tc>
          <w:tcPr>
            <w:tcW w:w="391" w:type="pct"/>
            <w:vMerge w:val="restart"/>
            <w:tcBorders>
              <w:top w:val="single" w:sz="4" w:space="0" w:color="auto"/>
              <w:left w:val="single" w:sz="4" w:space="0" w:color="auto"/>
              <w:right w:val="single" w:sz="4" w:space="0" w:color="auto"/>
            </w:tcBorders>
          </w:tcPr>
          <w:p w14:paraId="002AA69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16</w:t>
            </w:r>
          </w:p>
        </w:tc>
        <w:tc>
          <w:tcPr>
            <w:tcW w:w="1565" w:type="pct"/>
            <w:vMerge w:val="restart"/>
            <w:tcBorders>
              <w:top w:val="single" w:sz="4" w:space="0" w:color="auto"/>
              <w:left w:val="nil"/>
              <w:right w:val="single" w:sz="4" w:space="0" w:color="auto"/>
            </w:tcBorders>
          </w:tcPr>
          <w:p w14:paraId="7F4609CE"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Gastos primarios del gobierno como proporción del presupuesto aprobado</w:t>
            </w:r>
          </w:p>
        </w:tc>
        <w:tc>
          <w:tcPr>
            <w:tcW w:w="1566" w:type="pct"/>
            <w:tcBorders>
              <w:top w:val="single" w:sz="4" w:space="0" w:color="auto"/>
              <w:left w:val="nil"/>
              <w:bottom w:val="nil"/>
              <w:right w:val="single" w:sz="4" w:space="0" w:color="auto"/>
            </w:tcBorders>
            <w:vAlign w:val="center"/>
          </w:tcPr>
          <w:p w14:paraId="3CF315F4" w14:textId="77777777" w:rsidR="000C171B" w:rsidRPr="00D336D1" w:rsidRDefault="000C171B" w:rsidP="002C49EF">
            <w:pPr>
              <w:spacing w:after="0" w:line="240" w:lineRule="auto"/>
              <w:rPr>
                <w:rFonts w:ascii="Arial Narrow" w:hAnsi="Arial Narrow" w:cs="Arial Narrow"/>
                <w:color w:val="000000"/>
                <w:w w:val="90"/>
                <w:sz w:val="16"/>
                <w:szCs w:val="16"/>
              </w:rPr>
            </w:pPr>
            <w:r w:rsidRPr="00D336D1">
              <w:rPr>
                <w:rFonts w:ascii="Arial Narrow" w:eastAsia="Times New Roman" w:hAnsi="Arial Narrow" w:cs="Calibri"/>
                <w:color w:val="000000"/>
                <w:sz w:val="16"/>
                <w:szCs w:val="16"/>
                <w:lang w:eastAsia="es-PA"/>
              </w:rPr>
              <w:t>Total</w:t>
            </w:r>
          </w:p>
        </w:tc>
        <w:tc>
          <w:tcPr>
            <w:tcW w:w="493" w:type="pct"/>
            <w:tcBorders>
              <w:top w:val="single" w:sz="4" w:space="0" w:color="auto"/>
              <w:left w:val="nil"/>
              <w:bottom w:val="nil"/>
              <w:right w:val="single" w:sz="4" w:space="0" w:color="auto"/>
            </w:tcBorders>
            <w:noWrap/>
            <w:vAlign w:val="center"/>
          </w:tcPr>
          <w:p w14:paraId="549E0C14"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91.3</w:t>
            </w:r>
          </w:p>
        </w:tc>
        <w:tc>
          <w:tcPr>
            <w:tcW w:w="493" w:type="pct"/>
            <w:tcBorders>
              <w:top w:val="single" w:sz="4" w:space="0" w:color="auto"/>
              <w:left w:val="nil"/>
              <w:bottom w:val="nil"/>
              <w:right w:val="single" w:sz="4" w:space="0" w:color="auto"/>
            </w:tcBorders>
            <w:noWrap/>
            <w:vAlign w:val="center"/>
          </w:tcPr>
          <w:p w14:paraId="4E423E52"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88.0</w:t>
            </w:r>
          </w:p>
        </w:tc>
        <w:tc>
          <w:tcPr>
            <w:tcW w:w="492" w:type="pct"/>
            <w:tcBorders>
              <w:top w:val="single" w:sz="4" w:space="0" w:color="auto"/>
              <w:right w:val="single" w:sz="2" w:space="0" w:color="auto"/>
            </w:tcBorders>
            <w:noWrap/>
            <w:vAlign w:val="center"/>
          </w:tcPr>
          <w:p w14:paraId="5E5DAE92"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87.7</w:t>
            </w:r>
          </w:p>
        </w:tc>
      </w:tr>
      <w:tr w:rsidR="000C171B" w:rsidRPr="0010306A" w14:paraId="0DFE8957" w14:textId="77777777" w:rsidTr="0049743F">
        <w:trPr>
          <w:trHeight w:val="60"/>
        </w:trPr>
        <w:tc>
          <w:tcPr>
            <w:tcW w:w="391" w:type="pct"/>
            <w:vMerge/>
            <w:tcBorders>
              <w:left w:val="single" w:sz="4" w:space="0" w:color="auto"/>
              <w:right w:val="single" w:sz="4" w:space="0" w:color="auto"/>
            </w:tcBorders>
            <w:vAlign w:val="center"/>
          </w:tcPr>
          <w:p w14:paraId="35E0E612"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0FE70121"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2C23187F" w14:textId="77777777" w:rsidR="000C171B" w:rsidRPr="00D336D1" w:rsidRDefault="000C171B" w:rsidP="002C49EF">
            <w:pPr>
              <w:spacing w:after="0" w:line="240" w:lineRule="auto"/>
              <w:rPr>
                <w:rFonts w:ascii="Arial Narrow" w:hAnsi="Arial Narrow" w:cs="Arial Narrow"/>
                <w:color w:val="000000"/>
                <w:w w:val="90"/>
                <w:sz w:val="16"/>
                <w:szCs w:val="16"/>
              </w:rPr>
            </w:pPr>
            <w:r w:rsidRPr="00D336D1">
              <w:rPr>
                <w:rFonts w:ascii="Arial Narrow" w:eastAsia="Times New Roman" w:hAnsi="Arial Narrow" w:cs="Calibri"/>
                <w:color w:val="000000"/>
                <w:sz w:val="16"/>
                <w:szCs w:val="16"/>
                <w:lang w:eastAsia="es-PA"/>
              </w:rPr>
              <w:t xml:space="preserve">Desarrollo de los servicios sociales </w:t>
            </w:r>
          </w:p>
        </w:tc>
        <w:tc>
          <w:tcPr>
            <w:tcW w:w="493" w:type="pct"/>
            <w:tcBorders>
              <w:top w:val="nil"/>
              <w:left w:val="nil"/>
              <w:bottom w:val="nil"/>
              <w:right w:val="single" w:sz="4" w:space="0" w:color="auto"/>
            </w:tcBorders>
            <w:noWrap/>
            <w:vAlign w:val="center"/>
          </w:tcPr>
          <w:p w14:paraId="596F7AE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85.8</w:t>
            </w:r>
          </w:p>
        </w:tc>
        <w:tc>
          <w:tcPr>
            <w:tcW w:w="493" w:type="pct"/>
            <w:tcBorders>
              <w:top w:val="nil"/>
              <w:left w:val="nil"/>
              <w:bottom w:val="nil"/>
              <w:right w:val="single" w:sz="4" w:space="0" w:color="auto"/>
            </w:tcBorders>
            <w:noWrap/>
            <w:vAlign w:val="center"/>
          </w:tcPr>
          <w:p w14:paraId="24C9F32A"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87.4</w:t>
            </w:r>
          </w:p>
        </w:tc>
        <w:tc>
          <w:tcPr>
            <w:tcW w:w="492" w:type="pct"/>
            <w:tcBorders>
              <w:right w:val="single" w:sz="2" w:space="0" w:color="auto"/>
            </w:tcBorders>
            <w:noWrap/>
            <w:vAlign w:val="center"/>
          </w:tcPr>
          <w:p w14:paraId="72825B89"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85.9</w:t>
            </w:r>
          </w:p>
        </w:tc>
      </w:tr>
      <w:tr w:rsidR="000C171B" w:rsidRPr="0010306A" w14:paraId="0BDC16DB" w14:textId="77777777" w:rsidTr="0049743F">
        <w:trPr>
          <w:trHeight w:val="60"/>
        </w:trPr>
        <w:tc>
          <w:tcPr>
            <w:tcW w:w="391" w:type="pct"/>
            <w:vMerge/>
            <w:tcBorders>
              <w:left w:val="single" w:sz="4" w:space="0" w:color="auto"/>
              <w:right w:val="single" w:sz="4" w:space="0" w:color="auto"/>
            </w:tcBorders>
            <w:vAlign w:val="center"/>
          </w:tcPr>
          <w:p w14:paraId="78E777BD"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62E98325"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33591B74" w14:textId="77777777" w:rsidR="000C171B" w:rsidRPr="00D336D1" w:rsidRDefault="000C171B" w:rsidP="002C49EF">
            <w:pPr>
              <w:spacing w:after="0" w:line="240" w:lineRule="auto"/>
              <w:rPr>
                <w:rFonts w:ascii="Arial Narrow" w:hAnsi="Arial Narrow" w:cs="Arial Narrow"/>
                <w:color w:val="000000"/>
                <w:w w:val="90"/>
                <w:sz w:val="16"/>
                <w:szCs w:val="16"/>
              </w:rPr>
            </w:pPr>
            <w:r w:rsidRPr="00D336D1">
              <w:rPr>
                <w:rFonts w:ascii="Arial Narrow" w:eastAsia="Times New Roman" w:hAnsi="Arial Narrow" w:cs="Calibri"/>
                <w:color w:val="000000"/>
                <w:sz w:val="16"/>
                <w:szCs w:val="16"/>
                <w:lang w:eastAsia="es-PA"/>
              </w:rPr>
              <w:t xml:space="preserve">Desarrollo de las infraestructura </w:t>
            </w:r>
          </w:p>
        </w:tc>
        <w:tc>
          <w:tcPr>
            <w:tcW w:w="493" w:type="pct"/>
            <w:tcBorders>
              <w:top w:val="nil"/>
              <w:left w:val="nil"/>
              <w:bottom w:val="nil"/>
              <w:right w:val="single" w:sz="4" w:space="0" w:color="auto"/>
            </w:tcBorders>
            <w:noWrap/>
            <w:vAlign w:val="center"/>
          </w:tcPr>
          <w:p w14:paraId="7C7EF20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59.9</w:t>
            </w:r>
          </w:p>
        </w:tc>
        <w:tc>
          <w:tcPr>
            <w:tcW w:w="493" w:type="pct"/>
            <w:tcBorders>
              <w:top w:val="nil"/>
              <w:left w:val="nil"/>
              <w:bottom w:val="nil"/>
              <w:right w:val="single" w:sz="4" w:space="0" w:color="auto"/>
            </w:tcBorders>
            <w:noWrap/>
            <w:vAlign w:val="center"/>
          </w:tcPr>
          <w:p w14:paraId="2D17DBE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59.1</w:t>
            </w:r>
          </w:p>
        </w:tc>
        <w:tc>
          <w:tcPr>
            <w:tcW w:w="492" w:type="pct"/>
            <w:tcBorders>
              <w:right w:val="single" w:sz="2" w:space="0" w:color="auto"/>
            </w:tcBorders>
            <w:noWrap/>
            <w:vAlign w:val="center"/>
          </w:tcPr>
          <w:p w14:paraId="075CBD70"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75.1</w:t>
            </w:r>
          </w:p>
        </w:tc>
      </w:tr>
      <w:tr w:rsidR="000C171B" w:rsidRPr="0010306A" w14:paraId="14117BD2" w14:textId="77777777" w:rsidTr="0049743F">
        <w:trPr>
          <w:trHeight w:val="60"/>
        </w:trPr>
        <w:tc>
          <w:tcPr>
            <w:tcW w:w="391" w:type="pct"/>
            <w:vMerge/>
            <w:tcBorders>
              <w:left w:val="single" w:sz="4" w:space="0" w:color="auto"/>
              <w:right w:val="single" w:sz="4" w:space="0" w:color="auto"/>
            </w:tcBorders>
            <w:vAlign w:val="center"/>
          </w:tcPr>
          <w:p w14:paraId="156586A2"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72EABBBB"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3230EEB1" w14:textId="77777777" w:rsidR="000C171B" w:rsidRPr="00D336D1" w:rsidRDefault="000C171B" w:rsidP="002C49EF">
            <w:pPr>
              <w:spacing w:after="0" w:line="240" w:lineRule="auto"/>
              <w:rPr>
                <w:rFonts w:ascii="Arial Narrow" w:hAnsi="Arial Narrow" w:cs="Arial Narrow"/>
                <w:color w:val="000000"/>
                <w:w w:val="90"/>
                <w:sz w:val="16"/>
                <w:szCs w:val="16"/>
              </w:rPr>
            </w:pPr>
            <w:r w:rsidRPr="00D336D1">
              <w:rPr>
                <w:rFonts w:ascii="Arial Narrow" w:eastAsia="Times New Roman" w:hAnsi="Arial Narrow" w:cs="Calibri"/>
                <w:color w:val="000000"/>
                <w:sz w:val="16"/>
                <w:szCs w:val="16"/>
                <w:lang w:eastAsia="es-PA"/>
              </w:rPr>
              <w:t xml:space="preserve">Desarrollo y fomento de la producción </w:t>
            </w:r>
          </w:p>
        </w:tc>
        <w:tc>
          <w:tcPr>
            <w:tcW w:w="493" w:type="pct"/>
            <w:tcBorders>
              <w:top w:val="nil"/>
              <w:left w:val="nil"/>
              <w:bottom w:val="nil"/>
              <w:right w:val="single" w:sz="4" w:space="0" w:color="auto"/>
            </w:tcBorders>
            <w:noWrap/>
            <w:vAlign w:val="center"/>
          </w:tcPr>
          <w:p w14:paraId="1A41DC9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77.2</w:t>
            </w:r>
          </w:p>
        </w:tc>
        <w:tc>
          <w:tcPr>
            <w:tcW w:w="493" w:type="pct"/>
            <w:tcBorders>
              <w:top w:val="nil"/>
              <w:left w:val="nil"/>
              <w:bottom w:val="nil"/>
              <w:right w:val="single" w:sz="4" w:space="0" w:color="auto"/>
            </w:tcBorders>
            <w:noWrap/>
            <w:vAlign w:val="center"/>
          </w:tcPr>
          <w:p w14:paraId="6BB829A0"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84.4</w:t>
            </w:r>
          </w:p>
        </w:tc>
        <w:tc>
          <w:tcPr>
            <w:tcW w:w="492" w:type="pct"/>
            <w:tcBorders>
              <w:right w:val="single" w:sz="2" w:space="0" w:color="auto"/>
            </w:tcBorders>
            <w:noWrap/>
            <w:vAlign w:val="center"/>
          </w:tcPr>
          <w:p w14:paraId="1321D5BD"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88.0</w:t>
            </w:r>
          </w:p>
        </w:tc>
      </w:tr>
      <w:tr w:rsidR="000C171B" w:rsidRPr="0010306A" w14:paraId="018506A1" w14:textId="77777777" w:rsidTr="0049743F">
        <w:trPr>
          <w:trHeight w:val="60"/>
        </w:trPr>
        <w:tc>
          <w:tcPr>
            <w:tcW w:w="391" w:type="pct"/>
            <w:vMerge/>
            <w:tcBorders>
              <w:left w:val="single" w:sz="4" w:space="0" w:color="auto"/>
              <w:right w:val="single" w:sz="4" w:space="0" w:color="auto"/>
            </w:tcBorders>
            <w:vAlign w:val="center"/>
          </w:tcPr>
          <w:p w14:paraId="7DC7D7B0"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76AA882D"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vAlign w:val="center"/>
          </w:tcPr>
          <w:p w14:paraId="07370F53" w14:textId="77777777" w:rsidR="000C171B" w:rsidRPr="00D336D1" w:rsidRDefault="000C171B" w:rsidP="002C49EF">
            <w:pPr>
              <w:spacing w:after="0" w:line="240" w:lineRule="auto"/>
              <w:rPr>
                <w:rFonts w:ascii="Arial Narrow" w:hAnsi="Arial Narrow" w:cs="Arial Narrow"/>
                <w:color w:val="000000"/>
                <w:w w:val="90"/>
                <w:sz w:val="16"/>
                <w:szCs w:val="16"/>
              </w:rPr>
            </w:pPr>
            <w:r w:rsidRPr="00D336D1">
              <w:rPr>
                <w:rFonts w:ascii="Arial Narrow" w:eastAsia="Times New Roman" w:hAnsi="Arial Narrow" w:cs="Calibri"/>
                <w:color w:val="000000"/>
                <w:sz w:val="16"/>
                <w:szCs w:val="16"/>
                <w:lang w:eastAsia="es-PA"/>
              </w:rPr>
              <w:t xml:space="preserve">Servicios generales </w:t>
            </w:r>
          </w:p>
        </w:tc>
        <w:tc>
          <w:tcPr>
            <w:tcW w:w="493" w:type="pct"/>
            <w:tcBorders>
              <w:top w:val="nil"/>
              <w:left w:val="nil"/>
              <w:bottom w:val="nil"/>
              <w:right w:val="single" w:sz="4" w:space="0" w:color="auto"/>
            </w:tcBorders>
            <w:noWrap/>
            <w:vAlign w:val="center"/>
          </w:tcPr>
          <w:p w14:paraId="6653A90F"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90.3</w:t>
            </w:r>
          </w:p>
        </w:tc>
        <w:tc>
          <w:tcPr>
            <w:tcW w:w="493" w:type="pct"/>
            <w:tcBorders>
              <w:top w:val="nil"/>
              <w:left w:val="nil"/>
              <w:bottom w:val="nil"/>
              <w:right w:val="single" w:sz="4" w:space="0" w:color="auto"/>
            </w:tcBorders>
            <w:noWrap/>
            <w:vAlign w:val="center"/>
          </w:tcPr>
          <w:p w14:paraId="32899059"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86.8</w:t>
            </w:r>
          </w:p>
        </w:tc>
        <w:tc>
          <w:tcPr>
            <w:tcW w:w="492" w:type="pct"/>
            <w:tcBorders>
              <w:right w:val="single" w:sz="2" w:space="0" w:color="auto"/>
            </w:tcBorders>
            <w:noWrap/>
            <w:vAlign w:val="center"/>
          </w:tcPr>
          <w:p w14:paraId="62736F63"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88.1</w:t>
            </w:r>
          </w:p>
        </w:tc>
      </w:tr>
      <w:tr w:rsidR="000C171B" w:rsidRPr="0010306A" w14:paraId="54F724EA" w14:textId="77777777" w:rsidTr="0049743F">
        <w:trPr>
          <w:trHeight w:val="60"/>
        </w:trPr>
        <w:tc>
          <w:tcPr>
            <w:tcW w:w="391" w:type="pct"/>
            <w:vMerge/>
            <w:tcBorders>
              <w:left w:val="single" w:sz="4" w:space="0" w:color="auto"/>
              <w:bottom w:val="single" w:sz="4" w:space="0" w:color="auto"/>
              <w:right w:val="single" w:sz="4" w:space="0" w:color="auto"/>
            </w:tcBorders>
            <w:vAlign w:val="center"/>
          </w:tcPr>
          <w:p w14:paraId="675C03E9"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500EEF0A"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67F53F6D" w14:textId="77777777" w:rsidR="000C171B" w:rsidRPr="00D336D1" w:rsidRDefault="000C171B" w:rsidP="002C49EF">
            <w:pPr>
              <w:spacing w:after="0" w:line="240" w:lineRule="auto"/>
              <w:rPr>
                <w:rFonts w:ascii="Arial Narrow" w:hAnsi="Arial Narrow" w:cs="Arial Narrow"/>
                <w:color w:val="000000"/>
                <w:w w:val="90"/>
                <w:sz w:val="16"/>
                <w:szCs w:val="16"/>
              </w:rPr>
            </w:pPr>
            <w:r w:rsidRPr="00D336D1">
              <w:rPr>
                <w:rFonts w:ascii="Arial Narrow" w:eastAsia="Times New Roman" w:hAnsi="Arial Narrow" w:cs="Calibri"/>
                <w:color w:val="000000"/>
                <w:sz w:val="16"/>
                <w:szCs w:val="16"/>
                <w:lang w:eastAsia="es-PA"/>
              </w:rPr>
              <w:t>Servicios de la deuda pública</w:t>
            </w:r>
          </w:p>
        </w:tc>
        <w:tc>
          <w:tcPr>
            <w:tcW w:w="493" w:type="pct"/>
            <w:tcBorders>
              <w:top w:val="nil"/>
              <w:left w:val="nil"/>
              <w:bottom w:val="single" w:sz="4" w:space="0" w:color="auto"/>
              <w:right w:val="single" w:sz="4" w:space="0" w:color="auto"/>
            </w:tcBorders>
            <w:noWrap/>
            <w:vAlign w:val="center"/>
          </w:tcPr>
          <w:p w14:paraId="468F2EE9"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92.6</w:t>
            </w:r>
          </w:p>
        </w:tc>
        <w:tc>
          <w:tcPr>
            <w:tcW w:w="493" w:type="pct"/>
            <w:tcBorders>
              <w:top w:val="nil"/>
              <w:left w:val="nil"/>
              <w:bottom w:val="single" w:sz="4" w:space="0" w:color="auto"/>
              <w:right w:val="single" w:sz="4" w:space="0" w:color="auto"/>
            </w:tcBorders>
            <w:noWrap/>
            <w:vAlign w:val="center"/>
          </w:tcPr>
          <w:p w14:paraId="7E07733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97.9</w:t>
            </w:r>
          </w:p>
        </w:tc>
        <w:tc>
          <w:tcPr>
            <w:tcW w:w="492" w:type="pct"/>
            <w:tcBorders>
              <w:bottom w:val="single" w:sz="4" w:space="0" w:color="auto"/>
              <w:right w:val="single" w:sz="2" w:space="0" w:color="auto"/>
            </w:tcBorders>
            <w:noWrap/>
            <w:vAlign w:val="center"/>
          </w:tcPr>
          <w:p w14:paraId="7EDBE543"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94.7</w:t>
            </w:r>
          </w:p>
        </w:tc>
      </w:tr>
      <w:tr w:rsidR="000C171B" w:rsidRPr="0010306A" w14:paraId="14AEB630" w14:textId="77777777" w:rsidTr="0049743F">
        <w:trPr>
          <w:trHeight w:val="60"/>
        </w:trPr>
        <w:tc>
          <w:tcPr>
            <w:tcW w:w="391" w:type="pct"/>
            <w:vMerge w:val="restart"/>
            <w:tcBorders>
              <w:top w:val="single" w:sz="4" w:space="0" w:color="auto"/>
              <w:left w:val="single" w:sz="4" w:space="0" w:color="auto"/>
              <w:right w:val="single" w:sz="4" w:space="0" w:color="auto"/>
            </w:tcBorders>
          </w:tcPr>
          <w:p w14:paraId="284FFC4D"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16</w:t>
            </w:r>
          </w:p>
        </w:tc>
        <w:tc>
          <w:tcPr>
            <w:tcW w:w="1565" w:type="pct"/>
            <w:vMerge w:val="restart"/>
            <w:tcBorders>
              <w:top w:val="single" w:sz="4" w:space="0" w:color="auto"/>
              <w:left w:val="nil"/>
              <w:right w:val="single" w:sz="4" w:space="0" w:color="auto"/>
            </w:tcBorders>
          </w:tcPr>
          <w:p w14:paraId="1F8EE0E7"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 xml:space="preserve">Proporción de niños menores de 5 años cuyo nacimiento se ha registrado ante una autoridad civil, según sexo, área y población </w:t>
            </w:r>
          </w:p>
        </w:tc>
        <w:tc>
          <w:tcPr>
            <w:tcW w:w="1566" w:type="pct"/>
            <w:tcBorders>
              <w:top w:val="single" w:sz="4" w:space="0" w:color="auto"/>
              <w:left w:val="nil"/>
              <w:bottom w:val="nil"/>
              <w:right w:val="single" w:sz="4" w:space="0" w:color="auto"/>
            </w:tcBorders>
          </w:tcPr>
          <w:p w14:paraId="4756C9F8" w14:textId="77777777" w:rsidR="000C171B" w:rsidRPr="00D336D1" w:rsidRDefault="000C171B" w:rsidP="002C49EF">
            <w:pPr>
              <w:spacing w:after="0" w:line="240" w:lineRule="auto"/>
              <w:rPr>
                <w:rFonts w:ascii="Arial Narrow" w:hAnsi="Arial Narrow" w:cs="Arial Narrow"/>
                <w:color w:val="000000"/>
                <w:w w:val="90"/>
                <w:sz w:val="16"/>
                <w:szCs w:val="16"/>
              </w:rPr>
            </w:pPr>
            <w:r w:rsidRPr="00D336D1">
              <w:rPr>
                <w:rFonts w:ascii="Arial Narrow" w:eastAsia="Times New Roman" w:hAnsi="Arial Narrow" w:cs="Calibri"/>
                <w:color w:val="000000"/>
                <w:sz w:val="16"/>
                <w:szCs w:val="16"/>
                <w:lang w:eastAsia="es-PA"/>
              </w:rPr>
              <w:t>Total</w:t>
            </w:r>
          </w:p>
        </w:tc>
        <w:tc>
          <w:tcPr>
            <w:tcW w:w="493" w:type="pct"/>
            <w:tcBorders>
              <w:top w:val="single" w:sz="4" w:space="0" w:color="auto"/>
              <w:left w:val="nil"/>
              <w:bottom w:val="nil"/>
              <w:right w:val="single" w:sz="4" w:space="0" w:color="auto"/>
            </w:tcBorders>
            <w:noWrap/>
            <w:vAlign w:val="center"/>
          </w:tcPr>
          <w:p w14:paraId="678F16F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96.1</w:t>
            </w:r>
          </w:p>
        </w:tc>
        <w:tc>
          <w:tcPr>
            <w:tcW w:w="493" w:type="pct"/>
            <w:tcBorders>
              <w:top w:val="single" w:sz="4" w:space="0" w:color="auto"/>
              <w:left w:val="nil"/>
              <w:bottom w:val="nil"/>
              <w:right w:val="single" w:sz="4" w:space="0" w:color="auto"/>
            </w:tcBorders>
            <w:noWrap/>
            <w:vAlign w:val="center"/>
          </w:tcPr>
          <w:p w14:paraId="7770124F"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96.5</w:t>
            </w:r>
          </w:p>
        </w:tc>
        <w:tc>
          <w:tcPr>
            <w:tcW w:w="492" w:type="pct"/>
            <w:tcBorders>
              <w:top w:val="single" w:sz="4" w:space="0" w:color="auto"/>
              <w:right w:val="single" w:sz="2" w:space="0" w:color="auto"/>
            </w:tcBorders>
            <w:noWrap/>
            <w:vAlign w:val="center"/>
          </w:tcPr>
          <w:p w14:paraId="217B5D15"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97.3</w:t>
            </w:r>
          </w:p>
        </w:tc>
      </w:tr>
      <w:tr w:rsidR="000C171B" w:rsidRPr="0010306A" w14:paraId="675A0536" w14:textId="77777777" w:rsidTr="0049743F">
        <w:trPr>
          <w:trHeight w:val="60"/>
        </w:trPr>
        <w:tc>
          <w:tcPr>
            <w:tcW w:w="391" w:type="pct"/>
            <w:vMerge/>
            <w:tcBorders>
              <w:left w:val="single" w:sz="4" w:space="0" w:color="auto"/>
              <w:right w:val="single" w:sz="4" w:space="0" w:color="auto"/>
            </w:tcBorders>
          </w:tcPr>
          <w:p w14:paraId="0D9014D3"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6B7B9DC5"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tcPr>
          <w:p w14:paraId="00607479" w14:textId="77777777" w:rsidR="000C171B" w:rsidRPr="00D336D1" w:rsidRDefault="000C171B" w:rsidP="002C49EF">
            <w:pPr>
              <w:spacing w:after="0" w:line="240" w:lineRule="auto"/>
              <w:rPr>
                <w:rFonts w:ascii="Arial Narrow" w:hAnsi="Arial Narrow" w:cs="Arial Narrow"/>
                <w:color w:val="000000"/>
                <w:w w:val="90"/>
                <w:sz w:val="16"/>
                <w:szCs w:val="16"/>
              </w:rPr>
            </w:pPr>
            <w:r w:rsidRPr="00D336D1">
              <w:rPr>
                <w:rFonts w:ascii="Arial Narrow" w:eastAsia="Times New Roman" w:hAnsi="Arial Narrow" w:cs="Calibri"/>
                <w:sz w:val="16"/>
                <w:szCs w:val="16"/>
                <w:lang w:eastAsia="es-PA"/>
              </w:rPr>
              <w:t>Hombre</w:t>
            </w:r>
          </w:p>
        </w:tc>
        <w:tc>
          <w:tcPr>
            <w:tcW w:w="493" w:type="pct"/>
            <w:tcBorders>
              <w:top w:val="nil"/>
              <w:left w:val="nil"/>
              <w:bottom w:val="nil"/>
              <w:right w:val="single" w:sz="4" w:space="0" w:color="auto"/>
            </w:tcBorders>
            <w:noWrap/>
            <w:vAlign w:val="center"/>
          </w:tcPr>
          <w:p w14:paraId="0F60FAA3"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95.7</w:t>
            </w:r>
          </w:p>
        </w:tc>
        <w:tc>
          <w:tcPr>
            <w:tcW w:w="493" w:type="pct"/>
            <w:tcBorders>
              <w:top w:val="nil"/>
              <w:left w:val="nil"/>
              <w:bottom w:val="nil"/>
              <w:right w:val="single" w:sz="4" w:space="0" w:color="auto"/>
            </w:tcBorders>
            <w:noWrap/>
            <w:vAlign w:val="center"/>
          </w:tcPr>
          <w:p w14:paraId="167BE6EE"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96.7</w:t>
            </w:r>
          </w:p>
        </w:tc>
        <w:tc>
          <w:tcPr>
            <w:tcW w:w="492" w:type="pct"/>
            <w:tcBorders>
              <w:right w:val="single" w:sz="2" w:space="0" w:color="auto"/>
            </w:tcBorders>
            <w:noWrap/>
            <w:vAlign w:val="center"/>
          </w:tcPr>
          <w:p w14:paraId="2A5704A5"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97.1</w:t>
            </w:r>
          </w:p>
        </w:tc>
      </w:tr>
      <w:tr w:rsidR="000C171B" w:rsidRPr="0010306A" w14:paraId="3CA5D63C" w14:textId="77777777" w:rsidTr="0049743F">
        <w:trPr>
          <w:trHeight w:val="60"/>
        </w:trPr>
        <w:tc>
          <w:tcPr>
            <w:tcW w:w="391" w:type="pct"/>
            <w:vMerge/>
            <w:tcBorders>
              <w:left w:val="single" w:sz="4" w:space="0" w:color="auto"/>
              <w:right w:val="single" w:sz="4" w:space="0" w:color="auto"/>
            </w:tcBorders>
          </w:tcPr>
          <w:p w14:paraId="0386E1C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68905E1E"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tcPr>
          <w:p w14:paraId="0577820A" w14:textId="77777777" w:rsidR="000C171B" w:rsidRPr="00D336D1" w:rsidRDefault="000C171B" w:rsidP="002C49EF">
            <w:pPr>
              <w:spacing w:after="0" w:line="240" w:lineRule="auto"/>
              <w:rPr>
                <w:rFonts w:ascii="Arial Narrow" w:hAnsi="Arial Narrow" w:cs="Arial Narrow"/>
                <w:color w:val="000000"/>
                <w:w w:val="90"/>
                <w:sz w:val="16"/>
                <w:szCs w:val="16"/>
              </w:rPr>
            </w:pPr>
            <w:r w:rsidRPr="00D336D1">
              <w:rPr>
                <w:rFonts w:ascii="Arial Narrow" w:eastAsia="Times New Roman" w:hAnsi="Arial Narrow" w:cs="Calibri"/>
                <w:sz w:val="16"/>
                <w:szCs w:val="16"/>
                <w:lang w:eastAsia="es-PA"/>
              </w:rPr>
              <w:t>Mujer</w:t>
            </w:r>
          </w:p>
        </w:tc>
        <w:tc>
          <w:tcPr>
            <w:tcW w:w="493" w:type="pct"/>
            <w:tcBorders>
              <w:top w:val="nil"/>
              <w:left w:val="nil"/>
              <w:bottom w:val="nil"/>
              <w:right w:val="single" w:sz="4" w:space="0" w:color="auto"/>
            </w:tcBorders>
            <w:noWrap/>
            <w:vAlign w:val="center"/>
          </w:tcPr>
          <w:p w14:paraId="54C464A4"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96.5</w:t>
            </w:r>
          </w:p>
        </w:tc>
        <w:tc>
          <w:tcPr>
            <w:tcW w:w="493" w:type="pct"/>
            <w:tcBorders>
              <w:top w:val="nil"/>
              <w:left w:val="nil"/>
              <w:bottom w:val="nil"/>
              <w:right w:val="single" w:sz="4" w:space="0" w:color="auto"/>
            </w:tcBorders>
            <w:noWrap/>
            <w:vAlign w:val="center"/>
          </w:tcPr>
          <w:p w14:paraId="0D55CB7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96.3</w:t>
            </w:r>
          </w:p>
        </w:tc>
        <w:tc>
          <w:tcPr>
            <w:tcW w:w="492" w:type="pct"/>
            <w:tcBorders>
              <w:right w:val="single" w:sz="2" w:space="0" w:color="auto"/>
            </w:tcBorders>
            <w:noWrap/>
            <w:vAlign w:val="center"/>
          </w:tcPr>
          <w:p w14:paraId="2F6B2637"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97.5</w:t>
            </w:r>
          </w:p>
        </w:tc>
      </w:tr>
      <w:tr w:rsidR="000C171B" w:rsidRPr="0010306A" w14:paraId="13BB55A1" w14:textId="77777777" w:rsidTr="0049743F">
        <w:trPr>
          <w:trHeight w:val="60"/>
        </w:trPr>
        <w:tc>
          <w:tcPr>
            <w:tcW w:w="391" w:type="pct"/>
            <w:vMerge/>
            <w:tcBorders>
              <w:left w:val="single" w:sz="4" w:space="0" w:color="auto"/>
              <w:right w:val="single" w:sz="4" w:space="0" w:color="auto"/>
            </w:tcBorders>
          </w:tcPr>
          <w:p w14:paraId="411895D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6739FF7F"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tcPr>
          <w:p w14:paraId="370B9E87" w14:textId="77777777" w:rsidR="000C171B" w:rsidRPr="00D336D1" w:rsidRDefault="000C171B" w:rsidP="002C49EF">
            <w:pPr>
              <w:spacing w:after="0" w:line="240" w:lineRule="auto"/>
              <w:rPr>
                <w:rFonts w:ascii="Arial Narrow" w:hAnsi="Arial Narrow" w:cs="Arial Narrow"/>
                <w:color w:val="000000"/>
                <w:w w:val="90"/>
                <w:sz w:val="16"/>
                <w:szCs w:val="16"/>
              </w:rPr>
            </w:pPr>
            <w:r w:rsidRPr="00D336D1">
              <w:rPr>
                <w:rFonts w:ascii="Arial Narrow" w:eastAsia="Times New Roman" w:hAnsi="Arial Narrow" w:cs="Calibri"/>
                <w:color w:val="000000"/>
                <w:sz w:val="16"/>
                <w:szCs w:val="16"/>
                <w:lang w:eastAsia="es-PA"/>
              </w:rPr>
              <w:t>Área Urbana</w:t>
            </w:r>
          </w:p>
        </w:tc>
        <w:tc>
          <w:tcPr>
            <w:tcW w:w="493" w:type="pct"/>
            <w:tcBorders>
              <w:top w:val="nil"/>
              <w:left w:val="nil"/>
              <w:bottom w:val="nil"/>
              <w:right w:val="single" w:sz="4" w:space="0" w:color="auto"/>
            </w:tcBorders>
            <w:noWrap/>
            <w:vAlign w:val="center"/>
          </w:tcPr>
          <w:p w14:paraId="53CD7064"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97.9</w:t>
            </w:r>
          </w:p>
        </w:tc>
        <w:tc>
          <w:tcPr>
            <w:tcW w:w="493" w:type="pct"/>
            <w:tcBorders>
              <w:top w:val="nil"/>
              <w:left w:val="nil"/>
              <w:bottom w:val="nil"/>
              <w:right w:val="single" w:sz="4" w:space="0" w:color="auto"/>
            </w:tcBorders>
            <w:noWrap/>
            <w:vAlign w:val="center"/>
          </w:tcPr>
          <w:p w14:paraId="0B5D93E2"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97.4</w:t>
            </w:r>
          </w:p>
        </w:tc>
        <w:tc>
          <w:tcPr>
            <w:tcW w:w="492" w:type="pct"/>
            <w:tcBorders>
              <w:right w:val="single" w:sz="2" w:space="0" w:color="auto"/>
            </w:tcBorders>
            <w:noWrap/>
            <w:vAlign w:val="center"/>
          </w:tcPr>
          <w:p w14:paraId="1FFEF9A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98.1</w:t>
            </w:r>
          </w:p>
        </w:tc>
      </w:tr>
      <w:tr w:rsidR="000C171B" w:rsidRPr="0010306A" w14:paraId="5BAA8AAC" w14:textId="77777777" w:rsidTr="0049743F">
        <w:trPr>
          <w:trHeight w:val="60"/>
        </w:trPr>
        <w:tc>
          <w:tcPr>
            <w:tcW w:w="391" w:type="pct"/>
            <w:vMerge/>
            <w:tcBorders>
              <w:left w:val="single" w:sz="4" w:space="0" w:color="auto"/>
              <w:right w:val="single" w:sz="4" w:space="0" w:color="auto"/>
            </w:tcBorders>
          </w:tcPr>
          <w:p w14:paraId="14D0C78D"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28841955"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tcPr>
          <w:p w14:paraId="6ECC92B0" w14:textId="77777777" w:rsidR="000C171B" w:rsidRPr="00D336D1" w:rsidRDefault="000C171B" w:rsidP="002C49EF">
            <w:pPr>
              <w:spacing w:after="0" w:line="240" w:lineRule="auto"/>
              <w:rPr>
                <w:rFonts w:ascii="Arial Narrow" w:hAnsi="Arial Narrow" w:cs="Arial Narrow"/>
                <w:color w:val="000000"/>
                <w:w w:val="90"/>
                <w:sz w:val="16"/>
                <w:szCs w:val="16"/>
              </w:rPr>
            </w:pPr>
            <w:r w:rsidRPr="00D336D1">
              <w:rPr>
                <w:rFonts w:ascii="Arial Narrow" w:eastAsia="Times New Roman" w:hAnsi="Arial Narrow" w:cs="Calibri"/>
                <w:color w:val="000000"/>
                <w:sz w:val="16"/>
                <w:szCs w:val="16"/>
                <w:lang w:eastAsia="es-PA"/>
              </w:rPr>
              <w:t>Área Rural total</w:t>
            </w:r>
          </w:p>
        </w:tc>
        <w:tc>
          <w:tcPr>
            <w:tcW w:w="493" w:type="pct"/>
            <w:tcBorders>
              <w:top w:val="nil"/>
              <w:left w:val="nil"/>
              <w:bottom w:val="nil"/>
              <w:right w:val="single" w:sz="4" w:space="0" w:color="auto"/>
            </w:tcBorders>
            <w:noWrap/>
            <w:vAlign w:val="center"/>
          </w:tcPr>
          <w:p w14:paraId="39246EB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93.4</w:t>
            </w:r>
          </w:p>
        </w:tc>
        <w:tc>
          <w:tcPr>
            <w:tcW w:w="493" w:type="pct"/>
            <w:tcBorders>
              <w:top w:val="nil"/>
              <w:left w:val="nil"/>
              <w:bottom w:val="nil"/>
              <w:right w:val="single" w:sz="4" w:space="0" w:color="auto"/>
            </w:tcBorders>
            <w:noWrap/>
            <w:vAlign w:val="center"/>
          </w:tcPr>
          <w:p w14:paraId="45B810D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95.1</w:t>
            </w:r>
          </w:p>
        </w:tc>
        <w:tc>
          <w:tcPr>
            <w:tcW w:w="492" w:type="pct"/>
            <w:tcBorders>
              <w:right w:val="single" w:sz="2" w:space="0" w:color="auto"/>
            </w:tcBorders>
            <w:noWrap/>
            <w:vAlign w:val="center"/>
          </w:tcPr>
          <w:p w14:paraId="416BB27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95.9</w:t>
            </w:r>
          </w:p>
        </w:tc>
      </w:tr>
      <w:tr w:rsidR="000C171B" w:rsidRPr="0010306A" w14:paraId="64387EBC" w14:textId="77777777" w:rsidTr="0049743F">
        <w:trPr>
          <w:trHeight w:val="60"/>
        </w:trPr>
        <w:tc>
          <w:tcPr>
            <w:tcW w:w="391" w:type="pct"/>
            <w:vMerge/>
            <w:tcBorders>
              <w:left w:val="single" w:sz="4" w:space="0" w:color="auto"/>
              <w:right w:val="single" w:sz="4" w:space="0" w:color="auto"/>
            </w:tcBorders>
          </w:tcPr>
          <w:p w14:paraId="3896C399"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0ADA99A1"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tcPr>
          <w:p w14:paraId="7F446F2E" w14:textId="77777777" w:rsidR="000C171B" w:rsidRPr="00D336D1" w:rsidRDefault="000C171B" w:rsidP="002C49EF">
            <w:pPr>
              <w:spacing w:after="0" w:line="240" w:lineRule="auto"/>
              <w:rPr>
                <w:rFonts w:ascii="Arial Narrow" w:hAnsi="Arial Narrow" w:cs="Arial Narrow"/>
                <w:color w:val="000000"/>
                <w:w w:val="90"/>
                <w:sz w:val="16"/>
                <w:szCs w:val="16"/>
              </w:rPr>
            </w:pPr>
            <w:r w:rsidRPr="00D336D1">
              <w:rPr>
                <w:rFonts w:ascii="Arial Narrow" w:eastAsia="Times New Roman" w:hAnsi="Arial Narrow" w:cs="Calibri"/>
                <w:color w:val="000000"/>
                <w:sz w:val="16"/>
                <w:szCs w:val="16"/>
                <w:lang w:eastAsia="es-PA"/>
              </w:rPr>
              <w:t>Población indígena</w:t>
            </w:r>
          </w:p>
        </w:tc>
        <w:tc>
          <w:tcPr>
            <w:tcW w:w="493" w:type="pct"/>
            <w:tcBorders>
              <w:top w:val="nil"/>
              <w:left w:val="nil"/>
              <w:bottom w:val="nil"/>
              <w:right w:val="single" w:sz="4" w:space="0" w:color="auto"/>
            </w:tcBorders>
            <w:noWrap/>
            <w:vAlign w:val="center"/>
          </w:tcPr>
          <w:p w14:paraId="7F6A32AA"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91.7</w:t>
            </w:r>
          </w:p>
        </w:tc>
        <w:tc>
          <w:tcPr>
            <w:tcW w:w="493" w:type="pct"/>
            <w:tcBorders>
              <w:top w:val="nil"/>
              <w:left w:val="nil"/>
              <w:bottom w:val="nil"/>
              <w:right w:val="single" w:sz="4" w:space="0" w:color="auto"/>
            </w:tcBorders>
            <w:noWrap/>
            <w:vAlign w:val="center"/>
          </w:tcPr>
          <w:p w14:paraId="2826A6CF"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93.1</w:t>
            </w:r>
          </w:p>
        </w:tc>
        <w:tc>
          <w:tcPr>
            <w:tcW w:w="492" w:type="pct"/>
            <w:tcBorders>
              <w:right w:val="single" w:sz="2" w:space="0" w:color="auto"/>
            </w:tcBorders>
            <w:noWrap/>
            <w:vAlign w:val="center"/>
          </w:tcPr>
          <w:p w14:paraId="6DDA2132"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94.3</w:t>
            </w:r>
          </w:p>
        </w:tc>
      </w:tr>
      <w:tr w:rsidR="000C171B" w:rsidRPr="0010306A" w14:paraId="72B203DB" w14:textId="77777777" w:rsidTr="0049743F">
        <w:trPr>
          <w:trHeight w:val="60"/>
        </w:trPr>
        <w:tc>
          <w:tcPr>
            <w:tcW w:w="391" w:type="pct"/>
            <w:vMerge/>
            <w:tcBorders>
              <w:left w:val="single" w:sz="4" w:space="0" w:color="auto"/>
              <w:bottom w:val="single" w:sz="4" w:space="0" w:color="auto"/>
              <w:right w:val="single" w:sz="4" w:space="0" w:color="auto"/>
            </w:tcBorders>
          </w:tcPr>
          <w:p w14:paraId="6662F100"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7CC46CC1"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tcPr>
          <w:p w14:paraId="168D2D90" w14:textId="77777777" w:rsidR="000C171B" w:rsidRPr="00D336D1" w:rsidRDefault="000C171B" w:rsidP="002C49EF">
            <w:pPr>
              <w:spacing w:after="0" w:line="240" w:lineRule="auto"/>
              <w:rPr>
                <w:rFonts w:ascii="Arial Narrow" w:hAnsi="Arial Narrow" w:cs="Arial Narrow"/>
                <w:color w:val="000000"/>
                <w:w w:val="90"/>
                <w:sz w:val="16"/>
                <w:szCs w:val="16"/>
              </w:rPr>
            </w:pPr>
            <w:r w:rsidRPr="00D336D1">
              <w:rPr>
                <w:rFonts w:ascii="Arial Narrow" w:eastAsia="Times New Roman" w:hAnsi="Arial Narrow" w:cs="Calibri"/>
                <w:color w:val="000000"/>
                <w:sz w:val="16"/>
                <w:szCs w:val="16"/>
                <w:lang w:eastAsia="es-PA"/>
              </w:rPr>
              <w:t>Población afrodescendiente</w:t>
            </w:r>
          </w:p>
        </w:tc>
        <w:tc>
          <w:tcPr>
            <w:tcW w:w="493" w:type="pct"/>
            <w:tcBorders>
              <w:top w:val="nil"/>
              <w:left w:val="nil"/>
              <w:bottom w:val="single" w:sz="4" w:space="0" w:color="auto"/>
              <w:right w:val="single" w:sz="4" w:space="0" w:color="auto"/>
            </w:tcBorders>
            <w:noWrap/>
            <w:vAlign w:val="center"/>
          </w:tcPr>
          <w:p w14:paraId="4119B41F"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98.7</w:t>
            </w:r>
          </w:p>
        </w:tc>
        <w:tc>
          <w:tcPr>
            <w:tcW w:w="493" w:type="pct"/>
            <w:tcBorders>
              <w:top w:val="nil"/>
              <w:left w:val="nil"/>
              <w:bottom w:val="single" w:sz="4" w:space="0" w:color="auto"/>
              <w:right w:val="single" w:sz="4" w:space="0" w:color="auto"/>
            </w:tcBorders>
            <w:noWrap/>
            <w:vAlign w:val="center"/>
          </w:tcPr>
          <w:p w14:paraId="121FD5B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98.0</w:t>
            </w:r>
          </w:p>
        </w:tc>
        <w:tc>
          <w:tcPr>
            <w:tcW w:w="492" w:type="pct"/>
            <w:tcBorders>
              <w:bottom w:val="single" w:sz="4" w:space="0" w:color="auto"/>
              <w:right w:val="single" w:sz="2" w:space="0" w:color="auto"/>
            </w:tcBorders>
            <w:noWrap/>
            <w:vAlign w:val="center"/>
          </w:tcPr>
          <w:p w14:paraId="6A55A544"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97.7</w:t>
            </w:r>
          </w:p>
        </w:tc>
      </w:tr>
      <w:tr w:rsidR="000C171B" w:rsidRPr="0010306A" w14:paraId="0BE1B200" w14:textId="77777777" w:rsidTr="0049743F">
        <w:trPr>
          <w:trHeight w:val="60"/>
        </w:trPr>
        <w:tc>
          <w:tcPr>
            <w:tcW w:w="391" w:type="pct"/>
            <w:vMerge w:val="restart"/>
            <w:tcBorders>
              <w:top w:val="single" w:sz="4" w:space="0" w:color="auto"/>
              <w:left w:val="single" w:sz="4" w:space="0" w:color="auto"/>
              <w:right w:val="single" w:sz="4" w:space="0" w:color="auto"/>
            </w:tcBorders>
          </w:tcPr>
          <w:p w14:paraId="324AE6D0"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17</w:t>
            </w:r>
          </w:p>
        </w:tc>
        <w:tc>
          <w:tcPr>
            <w:tcW w:w="1565" w:type="pct"/>
            <w:vMerge w:val="restart"/>
            <w:tcBorders>
              <w:top w:val="single" w:sz="4" w:space="0" w:color="auto"/>
              <w:left w:val="nil"/>
              <w:right w:val="single" w:sz="4" w:space="0" w:color="auto"/>
            </w:tcBorders>
          </w:tcPr>
          <w:p w14:paraId="7E8595F2"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Total de los ingresos del gobierno como proporción del PIB, desglosado por fuente</w:t>
            </w:r>
          </w:p>
        </w:tc>
        <w:tc>
          <w:tcPr>
            <w:tcW w:w="1566" w:type="pct"/>
            <w:tcBorders>
              <w:top w:val="single" w:sz="4" w:space="0" w:color="auto"/>
              <w:left w:val="nil"/>
              <w:bottom w:val="nil"/>
              <w:right w:val="single" w:sz="4" w:space="0" w:color="auto"/>
            </w:tcBorders>
          </w:tcPr>
          <w:p w14:paraId="65D663B1" w14:textId="77777777" w:rsidR="000C171B" w:rsidRPr="00D336D1" w:rsidRDefault="000C171B" w:rsidP="002C49EF">
            <w:pPr>
              <w:spacing w:after="0" w:line="240" w:lineRule="auto"/>
              <w:rPr>
                <w:rFonts w:ascii="Arial Narrow" w:hAnsi="Arial Narrow" w:cs="Arial Narrow"/>
                <w:color w:val="000000"/>
                <w:w w:val="90"/>
                <w:sz w:val="16"/>
                <w:szCs w:val="16"/>
              </w:rPr>
            </w:pPr>
            <w:r w:rsidRPr="00D336D1">
              <w:rPr>
                <w:rFonts w:ascii="Arial Narrow" w:eastAsia="Times New Roman" w:hAnsi="Arial Narrow" w:cs="Calibri"/>
                <w:color w:val="000000"/>
                <w:sz w:val="16"/>
                <w:szCs w:val="16"/>
                <w:lang w:eastAsia="es-PA"/>
              </w:rPr>
              <w:t>Sector público, neto</w:t>
            </w:r>
          </w:p>
        </w:tc>
        <w:tc>
          <w:tcPr>
            <w:tcW w:w="493" w:type="pct"/>
            <w:tcBorders>
              <w:top w:val="single" w:sz="4" w:space="0" w:color="auto"/>
              <w:left w:val="nil"/>
              <w:bottom w:val="nil"/>
              <w:right w:val="single" w:sz="4" w:space="0" w:color="auto"/>
            </w:tcBorders>
            <w:noWrap/>
            <w:vAlign w:val="center"/>
          </w:tcPr>
          <w:p w14:paraId="6CBB640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34.3</w:t>
            </w:r>
          </w:p>
        </w:tc>
        <w:tc>
          <w:tcPr>
            <w:tcW w:w="493" w:type="pct"/>
            <w:tcBorders>
              <w:top w:val="single" w:sz="4" w:space="0" w:color="auto"/>
              <w:left w:val="nil"/>
              <w:bottom w:val="nil"/>
              <w:right w:val="single" w:sz="4" w:space="0" w:color="auto"/>
            </w:tcBorders>
            <w:noWrap/>
            <w:vAlign w:val="center"/>
          </w:tcPr>
          <w:p w14:paraId="6BF93B8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35.1</w:t>
            </w:r>
          </w:p>
        </w:tc>
        <w:tc>
          <w:tcPr>
            <w:tcW w:w="492" w:type="pct"/>
            <w:tcBorders>
              <w:top w:val="single" w:sz="4" w:space="0" w:color="auto"/>
              <w:right w:val="single" w:sz="2" w:space="0" w:color="auto"/>
            </w:tcBorders>
            <w:noWrap/>
            <w:vAlign w:val="center"/>
          </w:tcPr>
          <w:p w14:paraId="536CB17C"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34.9</w:t>
            </w:r>
          </w:p>
        </w:tc>
      </w:tr>
      <w:tr w:rsidR="000C171B" w:rsidRPr="0010306A" w14:paraId="1B7E316B" w14:textId="77777777" w:rsidTr="0049743F">
        <w:trPr>
          <w:trHeight w:val="60"/>
        </w:trPr>
        <w:tc>
          <w:tcPr>
            <w:tcW w:w="391" w:type="pct"/>
            <w:vMerge/>
            <w:tcBorders>
              <w:left w:val="single" w:sz="4" w:space="0" w:color="auto"/>
              <w:right w:val="single" w:sz="4" w:space="0" w:color="auto"/>
            </w:tcBorders>
          </w:tcPr>
          <w:p w14:paraId="6C765635"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12D60F8A"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tcPr>
          <w:p w14:paraId="391EE458" w14:textId="77777777" w:rsidR="000C171B" w:rsidRPr="00D336D1" w:rsidRDefault="000C171B" w:rsidP="002C49EF">
            <w:pPr>
              <w:spacing w:after="0" w:line="240" w:lineRule="auto"/>
              <w:rPr>
                <w:rFonts w:ascii="Arial Narrow" w:hAnsi="Arial Narrow" w:cs="Arial Narrow"/>
                <w:color w:val="000000"/>
                <w:w w:val="90"/>
                <w:sz w:val="16"/>
                <w:szCs w:val="16"/>
              </w:rPr>
            </w:pPr>
            <w:r w:rsidRPr="00D336D1">
              <w:rPr>
                <w:rFonts w:ascii="Arial Narrow" w:eastAsia="Times New Roman" w:hAnsi="Arial Narrow" w:cs="Calibri"/>
                <w:color w:val="000000"/>
                <w:sz w:val="16"/>
                <w:szCs w:val="16"/>
                <w:lang w:eastAsia="es-PA"/>
              </w:rPr>
              <w:t>Más: transferencias interinstitucionales</w:t>
            </w:r>
          </w:p>
        </w:tc>
        <w:tc>
          <w:tcPr>
            <w:tcW w:w="493" w:type="pct"/>
            <w:tcBorders>
              <w:top w:val="nil"/>
              <w:left w:val="nil"/>
              <w:bottom w:val="nil"/>
              <w:right w:val="single" w:sz="4" w:space="0" w:color="auto"/>
            </w:tcBorders>
            <w:noWrap/>
            <w:vAlign w:val="center"/>
          </w:tcPr>
          <w:p w14:paraId="712ADB2F"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4.7</w:t>
            </w:r>
          </w:p>
        </w:tc>
        <w:tc>
          <w:tcPr>
            <w:tcW w:w="493" w:type="pct"/>
            <w:tcBorders>
              <w:top w:val="nil"/>
              <w:left w:val="nil"/>
              <w:bottom w:val="nil"/>
              <w:right w:val="single" w:sz="4" w:space="0" w:color="auto"/>
            </w:tcBorders>
            <w:noWrap/>
            <w:vAlign w:val="center"/>
          </w:tcPr>
          <w:p w14:paraId="14278467"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4.4</w:t>
            </w:r>
          </w:p>
        </w:tc>
        <w:tc>
          <w:tcPr>
            <w:tcW w:w="492" w:type="pct"/>
            <w:tcBorders>
              <w:right w:val="single" w:sz="2" w:space="0" w:color="auto"/>
            </w:tcBorders>
            <w:noWrap/>
            <w:vAlign w:val="center"/>
          </w:tcPr>
          <w:p w14:paraId="4B0F0D4D"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4.6</w:t>
            </w:r>
          </w:p>
        </w:tc>
      </w:tr>
      <w:tr w:rsidR="000C171B" w:rsidRPr="0010306A" w14:paraId="3C932FF9" w14:textId="77777777" w:rsidTr="0049743F">
        <w:trPr>
          <w:trHeight w:val="60"/>
        </w:trPr>
        <w:tc>
          <w:tcPr>
            <w:tcW w:w="391" w:type="pct"/>
            <w:vMerge/>
            <w:tcBorders>
              <w:left w:val="single" w:sz="4" w:space="0" w:color="auto"/>
              <w:right w:val="single" w:sz="4" w:space="0" w:color="auto"/>
            </w:tcBorders>
          </w:tcPr>
          <w:p w14:paraId="533AA5AB"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0BF27C1F"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tcPr>
          <w:p w14:paraId="7090736C" w14:textId="77777777" w:rsidR="000C171B" w:rsidRPr="00D336D1" w:rsidRDefault="000C171B" w:rsidP="002C49EF">
            <w:pPr>
              <w:spacing w:after="0" w:line="240" w:lineRule="auto"/>
              <w:rPr>
                <w:rFonts w:ascii="Arial Narrow" w:hAnsi="Arial Narrow" w:cs="Arial Narrow"/>
                <w:color w:val="000000"/>
                <w:w w:val="90"/>
                <w:sz w:val="16"/>
                <w:szCs w:val="16"/>
              </w:rPr>
            </w:pPr>
            <w:r w:rsidRPr="00D336D1">
              <w:rPr>
                <w:rFonts w:ascii="Arial Narrow" w:eastAsia="Times New Roman" w:hAnsi="Arial Narrow" w:cs="Calibri"/>
                <w:color w:val="000000"/>
                <w:sz w:val="16"/>
                <w:szCs w:val="16"/>
                <w:lang w:eastAsia="es-PA"/>
              </w:rPr>
              <w:t>Sector público, total</w:t>
            </w:r>
          </w:p>
        </w:tc>
        <w:tc>
          <w:tcPr>
            <w:tcW w:w="493" w:type="pct"/>
            <w:tcBorders>
              <w:top w:val="nil"/>
              <w:left w:val="nil"/>
              <w:bottom w:val="nil"/>
              <w:right w:val="single" w:sz="4" w:space="0" w:color="auto"/>
            </w:tcBorders>
            <w:noWrap/>
            <w:vAlign w:val="center"/>
          </w:tcPr>
          <w:p w14:paraId="70A8DEFB"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39.0</w:t>
            </w:r>
          </w:p>
        </w:tc>
        <w:tc>
          <w:tcPr>
            <w:tcW w:w="493" w:type="pct"/>
            <w:tcBorders>
              <w:top w:val="nil"/>
              <w:left w:val="nil"/>
              <w:bottom w:val="nil"/>
              <w:right w:val="single" w:sz="4" w:space="0" w:color="auto"/>
            </w:tcBorders>
            <w:noWrap/>
            <w:vAlign w:val="center"/>
          </w:tcPr>
          <w:p w14:paraId="197F40FE"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39.4</w:t>
            </w:r>
          </w:p>
        </w:tc>
        <w:tc>
          <w:tcPr>
            <w:tcW w:w="492" w:type="pct"/>
            <w:tcBorders>
              <w:right w:val="single" w:sz="2" w:space="0" w:color="auto"/>
            </w:tcBorders>
            <w:noWrap/>
            <w:vAlign w:val="center"/>
          </w:tcPr>
          <w:p w14:paraId="41ED02DA"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39.5</w:t>
            </w:r>
          </w:p>
        </w:tc>
      </w:tr>
      <w:tr w:rsidR="000C171B" w:rsidRPr="0010306A" w14:paraId="48A95A9A" w14:textId="77777777" w:rsidTr="0049743F">
        <w:trPr>
          <w:trHeight w:val="60"/>
        </w:trPr>
        <w:tc>
          <w:tcPr>
            <w:tcW w:w="391" w:type="pct"/>
            <w:vMerge/>
            <w:tcBorders>
              <w:left w:val="single" w:sz="4" w:space="0" w:color="auto"/>
              <w:right w:val="single" w:sz="4" w:space="0" w:color="auto"/>
            </w:tcBorders>
          </w:tcPr>
          <w:p w14:paraId="75A447E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tcPr>
          <w:p w14:paraId="3A688BEB"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nil"/>
              <w:right w:val="single" w:sz="4" w:space="0" w:color="auto"/>
            </w:tcBorders>
          </w:tcPr>
          <w:p w14:paraId="57CC8605" w14:textId="77777777" w:rsidR="000C171B" w:rsidRPr="00D336D1" w:rsidRDefault="000C171B" w:rsidP="002C49EF">
            <w:pPr>
              <w:spacing w:after="0" w:line="240" w:lineRule="auto"/>
              <w:rPr>
                <w:rFonts w:ascii="Arial Narrow" w:hAnsi="Arial Narrow" w:cs="Arial Narrow"/>
                <w:color w:val="000000"/>
                <w:w w:val="90"/>
                <w:sz w:val="16"/>
                <w:szCs w:val="16"/>
              </w:rPr>
            </w:pPr>
            <w:r w:rsidRPr="00D336D1">
              <w:rPr>
                <w:rFonts w:ascii="Arial Narrow" w:eastAsia="Times New Roman" w:hAnsi="Arial Narrow" w:cs="Calibri"/>
                <w:color w:val="000000"/>
                <w:sz w:val="16"/>
                <w:szCs w:val="16"/>
                <w:lang w:eastAsia="es-PA"/>
              </w:rPr>
              <w:t>Gobierno central</w:t>
            </w:r>
          </w:p>
        </w:tc>
        <w:tc>
          <w:tcPr>
            <w:tcW w:w="493" w:type="pct"/>
            <w:tcBorders>
              <w:top w:val="nil"/>
              <w:left w:val="nil"/>
              <w:bottom w:val="nil"/>
              <w:right w:val="single" w:sz="4" w:space="0" w:color="auto"/>
            </w:tcBorders>
            <w:noWrap/>
            <w:vAlign w:val="center"/>
          </w:tcPr>
          <w:p w14:paraId="5C3E4AE0"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19.6</w:t>
            </w:r>
          </w:p>
        </w:tc>
        <w:tc>
          <w:tcPr>
            <w:tcW w:w="493" w:type="pct"/>
            <w:tcBorders>
              <w:top w:val="nil"/>
              <w:left w:val="nil"/>
              <w:bottom w:val="nil"/>
              <w:right w:val="single" w:sz="4" w:space="0" w:color="auto"/>
            </w:tcBorders>
            <w:noWrap/>
            <w:vAlign w:val="center"/>
          </w:tcPr>
          <w:p w14:paraId="5CCB6424"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19.6</w:t>
            </w:r>
          </w:p>
        </w:tc>
        <w:tc>
          <w:tcPr>
            <w:tcW w:w="492" w:type="pct"/>
            <w:tcBorders>
              <w:right w:val="single" w:sz="2" w:space="0" w:color="auto"/>
            </w:tcBorders>
            <w:noWrap/>
            <w:vAlign w:val="center"/>
          </w:tcPr>
          <w:p w14:paraId="01CDA115"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19.1</w:t>
            </w:r>
          </w:p>
        </w:tc>
      </w:tr>
      <w:tr w:rsidR="000C171B" w:rsidRPr="0010306A" w14:paraId="5C355648" w14:textId="77777777" w:rsidTr="0049743F">
        <w:trPr>
          <w:trHeight w:val="60"/>
        </w:trPr>
        <w:tc>
          <w:tcPr>
            <w:tcW w:w="391" w:type="pct"/>
            <w:vMerge/>
            <w:tcBorders>
              <w:left w:val="single" w:sz="4" w:space="0" w:color="auto"/>
              <w:bottom w:val="single" w:sz="4" w:space="0" w:color="auto"/>
              <w:right w:val="single" w:sz="4" w:space="0" w:color="auto"/>
            </w:tcBorders>
          </w:tcPr>
          <w:p w14:paraId="240593BA"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tcPr>
          <w:p w14:paraId="0500FF85"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p>
        </w:tc>
        <w:tc>
          <w:tcPr>
            <w:tcW w:w="1566" w:type="pct"/>
            <w:tcBorders>
              <w:top w:val="nil"/>
              <w:left w:val="nil"/>
              <w:bottom w:val="single" w:sz="4" w:space="0" w:color="auto"/>
              <w:right w:val="single" w:sz="4" w:space="0" w:color="auto"/>
            </w:tcBorders>
          </w:tcPr>
          <w:p w14:paraId="12574698" w14:textId="77777777" w:rsidR="000C171B" w:rsidRPr="00D336D1" w:rsidRDefault="000C171B" w:rsidP="002C49EF">
            <w:pPr>
              <w:spacing w:after="0" w:line="240" w:lineRule="auto"/>
              <w:rPr>
                <w:rFonts w:ascii="Arial Narrow" w:hAnsi="Arial Narrow" w:cs="Arial Narrow"/>
                <w:color w:val="000000"/>
                <w:w w:val="90"/>
                <w:sz w:val="16"/>
                <w:szCs w:val="16"/>
              </w:rPr>
            </w:pPr>
            <w:r w:rsidRPr="00D336D1">
              <w:rPr>
                <w:rFonts w:ascii="Arial Narrow" w:eastAsia="Times New Roman" w:hAnsi="Arial Narrow" w:cs="Calibri"/>
                <w:color w:val="000000"/>
                <w:sz w:val="16"/>
                <w:szCs w:val="16"/>
                <w:lang w:eastAsia="es-PA"/>
              </w:rPr>
              <w:t>Instituciones descentralizadas</w:t>
            </w:r>
          </w:p>
        </w:tc>
        <w:tc>
          <w:tcPr>
            <w:tcW w:w="493" w:type="pct"/>
            <w:tcBorders>
              <w:top w:val="nil"/>
              <w:left w:val="nil"/>
              <w:bottom w:val="single" w:sz="4" w:space="0" w:color="auto"/>
              <w:right w:val="single" w:sz="4" w:space="0" w:color="auto"/>
            </w:tcBorders>
            <w:noWrap/>
            <w:vAlign w:val="center"/>
          </w:tcPr>
          <w:p w14:paraId="393BEE5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11.0</w:t>
            </w:r>
          </w:p>
        </w:tc>
        <w:tc>
          <w:tcPr>
            <w:tcW w:w="493" w:type="pct"/>
            <w:tcBorders>
              <w:top w:val="nil"/>
              <w:left w:val="nil"/>
              <w:bottom w:val="single" w:sz="4" w:space="0" w:color="auto"/>
              <w:right w:val="single" w:sz="4" w:space="0" w:color="auto"/>
            </w:tcBorders>
            <w:noWrap/>
            <w:vAlign w:val="center"/>
          </w:tcPr>
          <w:p w14:paraId="4B325CA3"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10.2</w:t>
            </w:r>
          </w:p>
        </w:tc>
        <w:tc>
          <w:tcPr>
            <w:tcW w:w="492" w:type="pct"/>
            <w:tcBorders>
              <w:bottom w:val="single" w:sz="4" w:space="0" w:color="auto"/>
              <w:right w:val="single" w:sz="2" w:space="0" w:color="auto"/>
            </w:tcBorders>
            <w:noWrap/>
            <w:vAlign w:val="center"/>
          </w:tcPr>
          <w:p w14:paraId="6618B06E"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Calibri"/>
                <w:sz w:val="16"/>
                <w:szCs w:val="16"/>
                <w:lang w:eastAsia="es-PA"/>
              </w:rPr>
              <w:t>10.3</w:t>
            </w:r>
          </w:p>
        </w:tc>
      </w:tr>
      <w:tr w:rsidR="000C171B" w:rsidRPr="0010306A" w14:paraId="17D1C54F" w14:textId="77777777" w:rsidTr="0049743F">
        <w:trPr>
          <w:trHeight w:val="60"/>
        </w:trPr>
        <w:tc>
          <w:tcPr>
            <w:tcW w:w="391" w:type="pct"/>
            <w:tcBorders>
              <w:top w:val="single" w:sz="4" w:space="0" w:color="auto"/>
              <w:left w:val="single" w:sz="4" w:space="0" w:color="auto"/>
              <w:bottom w:val="single" w:sz="2" w:space="0" w:color="auto"/>
              <w:right w:val="single" w:sz="4" w:space="0" w:color="auto"/>
            </w:tcBorders>
          </w:tcPr>
          <w:p w14:paraId="053BFEB2"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17</w:t>
            </w:r>
          </w:p>
        </w:tc>
        <w:tc>
          <w:tcPr>
            <w:tcW w:w="1565" w:type="pct"/>
            <w:tcBorders>
              <w:top w:val="single" w:sz="4" w:space="0" w:color="auto"/>
              <w:left w:val="nil"/>
              <w:bottom w:val="single" w:sz="2" w:space="0" w:color="auto"/>
              <w:right w:val="single" w:sz="4" w:space="0" w:color="auto"/>
            </w:tcBorders>
          </w:tcPr>
          <w:p w14:paraId="69A6B3C6"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Proporción del presupuesto nacional ejecutado financiado por impuestos internos</w:t>
            </w:r>
          </w:p>
        </w:tc>
        <w:tc>
          <w:tcPr>
            <w:tcW w:w="1566" w:type="pct"/>
            <w:tcBorders>
              <w:top w:val="single" w:sz="4" w:space="0" w:color="auto"/>
              <w:left w:val="nil"/>
              <w:bottom w:val="single" w:sz="2" w:space="0" w:color="auto"/>
              <w:right w:val="single" w:sz="4" w:space="0" w:color="auto"/>
            </w:tcBorders>
          </w:tcPr>
          <w:p w14:paraId="3B4BAD37"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 xml:space="preserve">Total </w:t>
            </w:r>
          </w:p>
        </w:tc>
        <w:tc>
          <w:tcPr>
            <w:tcW w:w="493" w:type="pct"/>
            <w:tcBorders>
              <w:top w:val="single" w:sz="4" w:space="0" w:color="auto"/>
              <w:left w:val="nil"/>
              <w:bottom w:val="single" w:sz="2" w:space="0" w:color="auto"/>
              <w:right w:val="single" w:sz="4" w:space="0" w:color="auto"/>
            </w:tcBorders>
            <w:noWrap/>
            <w:vAlign w:val="center"/>
          </w:tcPr>
          <w:p w14:paraId="6140DB3D"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Arial"/>
                <w:sz w:val="16"/>
                <w:szCs w:val="16"/>
                <w:lang w:eastAsia="es-PA"/>
              </w:rPr>
              <w:t>29.1</w:t>
            </w:r>
          </w:p>
        </w:tc>
        <w:tc>
          <w:tcPr>
            <w:tcW w:w="493" w:type="pct"/>
            <w:tcBorders>
              <w:top w:val="single" w:sz="4" w:space="0" w:color="auto"/>
              <w:left w:val="nil"/>
              <w:bottom w:val="single" w:sz="2" w:space="0" w:color="auto"/>
              <w:right w:val="single" w:sz="4" w:space="0" w:color="auto"/>
            </w:tcBorders>
            <w:noWrap/>
            <w:vAlign w:val="center"/>
          </w:tcPr>
          <w:p w14:paraId="10279F36"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Arial"/>
                <w:sz w:val="16"/>
                <w:szCs w:val="16"/>
                <w:lang w:eastAsia="es-PA"/>
              </w:rPr>
              <w:t>28.6</w:t>
            </w:r>
          </w:p>
        </w:tc>
        <w:tc>
          <w:tcPr>
            <w:tcW w:w="492" w:type="pct"/>
            <w:tcBorders>
              <w:top w:val="single" w:sz="4" w:space="0" w:color="auto"/>
              <w:bottom w:val="single" w:sz="2" w:space="0" w:color="auto"/>
              <w:right w:val="single" w:sz="2" w:space="0" w:color="auto"/>
            </w:tcBorders>
            <w:noWrap/>
            <w:vAlign w:val="center"/>
          </w:tcPr>
          <w:p w14:paraId="5B138B3F"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eastAsia="Times New Roman" w:hAnsi="Arial Narrow" w:cs="Arial"/>
                <w:sz w:val="16"/>
                <w:szCs w:val="16"/>
                <w:lang w:eastAsia="es-PA"/>
              </w:rPr>
              <w:t>27.7</w:t>
            </w:r>
          </w:p>
        </w:tc>
      </w:tr>
      <w:tr w:rsidR="000C171B" w:rsidRPr="0010306A" w14:paraId="65CC2512" w14:textId="77777777" w:rsidTr="0049743F">
        <w:trPr>
          <w:trHeight w:val="60"/>
        </w:trPr>
        <w:tc>
          <w:tcPr>
            <w:tcW w:w="391" w:type="pct"/>
            <w:tcBorders>
              <w:top w:val="single" w:sz="2" w:space="0" w:color="auto"/>
              <w:left w:val="single" w:sz="4" w:space="0" w:color="auto"/>
              <w:bottom w:val="single" w:sz="4" w:space="0" w:color="auto"/>
              <w:right w:val="single" w:sz="4" w:space="0" w:color="auto"/>
            </w:tcBorders>
          </w:tcPr>
          <w:p w14:paraId="658B1DD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17</w:t>
            </w:r>
          </w:p>
        </w:tc>
        <w:tc>
          <w:tcPr>
            <w:tcW w:w="1565" w:type="pct"/>
            <w:tcBorders>
              <w:top w:val="single" w:sz="2" w:space="0" w:color="auto"/>
              <w:left w:val="nil"/>
              <w:bottom w:val="single" w:sz="4" w:space="0" w:color="auto"/>
              <w:right w:val="single" w:sz="4" w:space="0" w:color="auto"/>
            </w:tcBorders>
          </w:tcPr>
          <w:p w14:paraId="2505DA5E"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Movilizar recursos financieros adicionales de múltiples fuentes para los países en desarrollo</w:t>
            </w:r>
          </w:p>
        </w:tc>
        <w:tc>
          <w:tcPr>
            <w:tcW w:w="1566" w:type="pct"/>
            <w:tcBorders>
              <w:top w:val="single" w:sz="2" w:space="0" w:color="auto"/>
              <w:left w:val="nil"/>
              <w:bottom w:val="single" w:sz="4" w:space="0" w:color="auto"/>
              <w:right w:val="single" w:sz="4" w:space="0" w:color="auto"/>
            </w:tcBorders>
          </w:tcPr>
          <w:p w14:paraId="6C970044"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 xml:space="preserve">Total </w:t>
            </w:r>
          </w:p>
        </w:tc>
        <w:tc>
          <w:tcPr>
            <w:tcW w:w="493" w:type="pct"/>
            <w:tcBorders>
              <w:top w:val="single" w:sz="2" w:space="0" w:color="auto"/>
              <w:left w:val="nil"/>
              <w:bottom w:val="single" w:sz="4" w:space="0" w:color="auto"/>
              <w:right w:val="single" w:sz="4" w:space="0" w:color="auto"/>
            </w:tcBorders>
            <w:noWrap/>
            <w:vAlign w:val="center"/>
          </w:tcPr>
          <w:p w14:paraId="77F232C7"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25.7</w:t>
            </w:r>
          </w:p>
        </w:tc>
        <w:tc>
          <w:tcPr>
            <w:tcW w:w="493" w:type="pct"/>
            <w:tcBorders>
              <w:top w:val="single" w:sz="2" w:space="0" w:color="auto"/>
              <w:left w:val="nil"/>
              <w:bottom w:val="single" w:sz="4" w:space="0" w:color="auto"/>
              <w:right w:val="single" w:sz="4" w:space="0" w:color="auto"/>
            </w:tcBorders>
            <w:noWrap/>
            <w:vAlign w:val="center"/>
          </w:tcPr>
          <w:p w14:paraId="2192E2B9"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26.9</w:t>
            </w:r>
          </w:p>
        </w:tc>
        <w:tc>
          <w:tcPr>
            <w:tcW w:w="492" w:type="pct"/>
            <w:tcBorders>
              <w:top w:val="single" w:sz="2" w:space="0" w:color="auto"/>
              <w:bottom w:val="single" w:sz="4" w:space="0" w:color="auto"/>
              <w:right w:val="single" w:sz="2" w:space="0" w:color="auto"/>
            </w:tcBorders>
            <w:noWrap/>
            <w:vAlign w:val="center"/>
          </w:tcPr>
          <w:p w14:paraId="1B109260"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25.8</w:t>
            </w:r>
          </w:p>
        </w:tc>
      </w:tr>
      <w:tr w:rsidR="000C171B" w:rsidRPr="0010306A" w14:paraId="3318E30A" w14:textId="77777777" w:rsidTr="0049743F">
        <w:trPr>
          <w:trHeight w:val="60"/>
        </w:trPr>
        <w:tc>
          <w:tcPr>
            <w:tcW w:w="391" w:type="pct"/>
            <w:tcBorders>
              <w:top w:val="single" w:sz="4" w:space="0" w:color="auto"/>
              <w:left w:val="single" w:sz="4" w:space="0" w:color="auto"/>
              <w:bottom w:val="single" w:sz="4" w:space="0" w:color="auto"/>
              <w:right w:val="single" w:sz="4" w:space="0" w:color="auto"/>
            </w:tcBorders>
            <w:vAlign w:val="center"/>
          </w:tcPr>
          <w:p w14:paraId="63B70638"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17</w:t>
            </w:r>
          </w:p>
        </w:tc>
        <w:tc>
          <w:tcPr>
            <w:tcW w:w="1565" w:type="pct"/>
            <w:tcBorders>
              <w:top w:val="single" w:sz="4" w:space="0" w:color="auto"/>
              <w:left w:val="nil"/>
              <w:bottom w:val="single" w:sz="4" w:space="0" w:color="auto"/>
              <w:right w:val="single" w:sz="4" w:space="0" w:color="auto"/>
            </w:tcBorders>
          </w:tcPr>
          <w:p w14:paraId="7F7674A5"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Servicio de la deuda como proporción de las exportaciones de bienes y servicios (en porcentaje)</w:t>
            </w:r>
          </w:p>
        </w:tc>
        <w:tc>
          <w:tcPr>
            <w:tcW w:w="1566" w:type="pct"/>
            <w:tcBorders>
              <w:top w:val="single" w:sz="4" w:space="0" w:color="auto"/>
              <w:left w:val="nil"/>
              <w:bottom w:val="single" w:sz="4" w:space="0" w:color="auto"/>
              <w:right w:val="single" w:sz="4" w:space="0" w:color="auto"/>
            </w:tcBorders>
            <w:vAlign w:val="center"/>
          </w:tcPr>
          <w:p w14:paraId="7E65EA21"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 xml:space="preserve">Total </w:t>
            </w:r>
          </w:p>
        </w:tc>
        <w:tc>
          <w:tcPr>
            <w:tcW w:w="493" w:type="pct"/>
            <w:tcBorders>
              <w:top w:val="single" w:sz="4" w:space="0" w:color="auto"/>
              <w:left w:val="nil"/>
              <w:bottom w:val="single" w:sz="4" w:space="0" w:color="auto"/>
              <w:right w:val="single" w:sz="4" w:space="0" w:color="auto"/>
            </w:tcBorders>
            <w:noWrap/>
            <w:vAlign w:val="center"/>
          </w:tcPr>
          <w:p w14:paraId="26D3EE7F"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w:sz w:val="16"/>
                <w:szCs w:val="16"/>
              </w:rPr>
              <w:t>7.5</w:t>
            </w:r>
          </w:p>
        </w:tc>
        <w:tc>
          <w:tcPr>
            <w:tcW w:w="493" w:type="pct"/>
            <w:tcBorders>
              <w:top w:val="single" w:sz="4" w:space="0" w:color="auto"/>
              <w:left w:val="nil"/>
              <w:bottom w:val="single" w:sz="4" w:space="0" w:color="auto"/>
              <w:right w:val="single" w:sz="4" w:space="0" w:color="auto"/>
            </w:tcBorders>
            <w:noWrap/>
            <w:vAlign w:val="center"/>
          </w:tcPr>
          <w:p w14:paraId="2B715761"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w:sz w:val="16"/>
                <w:szCs w:val="16"/>
              </w:rPr>
              <w:t>9.4</w:t>
            </w:r>
          </w:p>
        </w:tc>
        <w:tc>
          <w:tcPr>
            <w:tcW w:w="492" w:type="pct"/>
            <w:tcBorders>
              <w:top w:val="single" w:sz="4" w:space="0" w:color="auto"/>
              <w:bottom w:val="single" w:sz="4" w:space="0" w:color="auto"/>
              <w:right w:val="single" w:sz="2" w:space="0" w:color="auto"/>
            </w:tcBorders>
            <w:noWrap/>
            <w:vAlign w:val="center"/>
          </w:tcPr>
          <w:p w14:paraId="3631E487"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Arial"/>
                <w:sz w:val="16"/>
                <w:szCs w:val="16"/>
              </w:rPr>
              <w:t>7.9</w:t>
            </w:r>
          </w:p>
        </w:tc>
      </w:tr>
      <w:tr w:rsidR="000C171B" w:rsidRPr="0010306A" w14:paraId="7F1255F0" w14:textId="77777777" w:rsidTr="0049743F">
        <w:trPr>
          <w:trHeight w:val="60"/>
        </w:trPr>
        <w:tc>
          <w:tcPr>
            <w:tcW w:w="391" w:type="pct"/>
            <w:tcBorders>
              <w:top w:val="single" w:sz="4" w:space="0" w:color="auto"/>
              <w:left w:val="single" w:sz="4" w:space="0" w:color="auto"/>
              <w:bottom w:val="single" w:sz="4" w:space="0" w:color="auto"/>
              <w:right w:val="single" w:sz="4" w:space="0" w:color="auto"/>
            </w:tcBorders>
            <w:vAlign w:val="center"/>
          </w:tcPr>
          <w:p w14:paraId="5CCAC1DC"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17</w:t>
            </w:r>
          </w:p>
        </w:tc>
        <w:tc>
          <w:tcPr>
            <w:tcW w:w="1565" w:type="pct"/>
            <w:tcBorders>
              <w:top w:val="single" w:sz="4" w:space="0" w:color="auto"/>
              <w:left w:val="nil"/>
              <w:bottom w:val="single" w:sz="4" w:space="0" w:color="auto"/>
              <w:right w:val="single" w:sz="4" w:space="0" w:color="auto"/>
            </w:tcBorders>
          </w:tcPr>
          <w:p w14:paraId="697BFCD8" w14:textId="77777777" w:rsidR="000C171B" w:rsidRPr="00D336D1" w:rsidRDefault="000C171B" w:rsidP="0049743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Arial"/>
                <w:color w:val="000000"/>
                <w:sz w:val="16"/>
                <w:szCs w:val="16"/>
                <w:lang w:eastAsia="es-PA"/>
              </w:rPr>
              <w:t>Volumen de las remesas enviadas (porcentaje)</w:t>
            </w:r>
          </w:p>
        </w:tc>
        <w:tc>
          <w:tcPr>
            <w:tcW w:w="1566" w:type="pct"/>
            <w:tcBorders>
              <w:top w:val="single" w:sz="4" w:space="0" w:color="auto"/>
              <w:left w:val="nil"/>
              <w:bottom w:val="single" w:sz="4" w:space="0" w:color="auto"/>
              <w:right w:val="single" w:sz="4" w:space="0" w:color="auto"/>
            </w:tcBorders>
            <w:vAlign w:val="center"/>
          </w:tcPr>
          <w:p w14:paraId="549FE833"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 xml:space="preserve">Total </w:t>
            </w:r>
          </w:p>
        </w:tc>
        <w:tc>
          <w:tcPr>
            <w:tcW w:w="493" w:type="pct"/>
            <w:tcBorders>
              <w:top w:val="single" w:sz="4" w:space="0" w:color="auto"/>
              <w:left w:val="nil"/>
              <w:bottom w:val="single" w:sz="4" w:space="0" w:color="auto"/>
              <w:right w:val="single" w:sz="4" w:space="0" w:color="auto"/>
            </w:tcBorders>
            <w:noWrap/>
            <w:vAlign w:val="center"/>
          </w:tcPr>
          <w:p w14:paraId="159BBE6D"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1.5</w:t>
            </w:r>
          </w:p>
        </w:tc>
        <w:tc>
          <w:tcPr>
            <w:tcW w:w="493" w:type="pct"/>
            <w:tcBorders>
              <w:top w:val="single" w:sz="4" w:space="0" w:color="auto"/>
              <w:left w:val="nil"/>
              <w:bottom w:val="single" w:sz="4" w:space="0" w:color="auto"/>
              <w:right w:val="single" w:sz="4" w:space="0" w:color="auto"/>
            </w:tcBorders>
            <w:noWrap/>
            <w:vAlign w:val="center"/>
          </w:tcPr>
          <w:p w14:paraId="12E52388"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1.4</w:t>
            </w:r>
          </w:p>
        </w:tc>
        <w:tc>
          <w:tcPr>
            <w:tcW w:w="492" w:type="pct"/>
            <w:tcBorders>
              <w:top w:val="single" w:sz="4" w:space="0" w:color="auto"/>
              <w:bottom w:val="single" w:sz="4" w:space="0" w:color="auto"/>
              <w:right w:val="single" w:sz="2" w:space="0" w:color="auto"/>
            </w:tcBorders>
            <w:noWrap/>
            <w:vAlign w:val="center"/>
          </w:tcPr>
          <w:p w14:paraId="7B90DA44" w14:textId="77777777" w:rsidR="000C171B" w:rsidRPr="00D336D1" w:rsidRDefault="000C171B" w:rsidP="002C49EF">
            <w:pPr>
              <w:spacing w:after="0" w:line="240" w:lineRule="auto"/>
              <w:jc w:val="center"/>
              <w:rPr>
                <w:rFonts w:ascii="Arial Narrow" w:hAnsi="Arial Narrow" w:cs="Arial Narrow"/>
                <w:sz w:val="16"/>
                <w:szCs w:val="16"/>
              </w:rPr>
            </w:pPr>
            <w:r w:rsidRPr="00D336D1">
              <w:rPr>
                <w:rFonts w:ascii="Arial Narrow" w:hAnsi="Arial Narrow" w:cs="Calibri"/>
                <w:sz w:val="16"/>
                <w:szCs w:val="16"/>
              </w:rPr>
              <w:t>1.3</w:t>
            </w:r>
          </w:p>
        </w:tc>
      </w:tr>
      <w:tr w:rsidR="000C171B" w:rsidRPr="0010306A" w14:paraId="1DDCF188" w14:textId="77777777" w:rsidTr="0049743F">
        <w:trPr>
          <w:trHeight w:val="60"/>
        </w:trPr>
        <w:tc>
          <w:tcPr>
            <w:tcW w:w="391" w:type="pct"/>
            <w:tcBorders>
              <w:top w:val="single" w:sz="4" w:space="0" w:color="auto"/>
              <w:left w:val="single" w:sz="4" w:space="0" w:color="auto"/>
              <w:bottom w:val="single" w:sz="4" w:space="0" w:color="auto"/>
              <w:right w:val="single" w:sz="4" w:space="0" w:color="auto"/>
            </w:tcBorders>
            <w:vAlign w:val="center"/>
          </w:tcPr>
          <w:p w14:paraId="7D77E679"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17</w:t>
            </w:r>
          </w:p>
        </w:tc>
        <w:tc>
          <w:tcPr>
            <w:tcW w:w="1565" w:type="pct"/>
            <w:tcBorders>
              <w:top w:val="single" w:sz="4" w:space="0" w:color="auto"/>
              <w:left w:val="nil"/>
              <w:bottom w:val="single" w:sz="4" w:space="0" w:color="auto"/>
              <w:right w:val="single" w:sz="4" w:space="0" w:color="auto"/>
            </w:tcBorders>
          </w:tcPr>
          <w:p w14:paraId="7BD1ADC2" w14:textId="77777777" w:rsidR="000C171B" w:rsidRPr="00D336D1" w:rsidRDefault="000C171B" w:rsidP="0049743F">
            <w:pPr>
              <w:spacing w:after="0" w:line="240" w:lineRule="auto"/>
              <w:rPr>
                <w:rFonts w:ascii="Arial Narrow" w:eastAsia="Times New Roman" w:hAnsi="Arial Narrow" w:cs="Arial"/>
                <w:color w:val="000000"/>
                <w:sz w:val="16"/>
                <w:szCs w:val="16"/>
                <w:lang w:eastAsia="es-PA"/>
              </w:rPr>
            </w:pPr>
            <w:r w:rsidRPr="00D336D1">
              <w:rPr>
                <w:rFonts w:ascii="Arial Narrow" w:eastAsia="Times New Roman" w:hAnsi="Arial Narrow" w:cs="Arial"/>
                <w:color w:val="000000"/>
                <w:sz w:val="16"/>
                <w:szCs w:val="16"/>
                <w:lang w:eastAsia="es-PA"/>
              </w:rPr>
              <w:t>Proporción de personas que usan internet</w:t>
            </w:r>
          </w:p>
        </w:tc>
        <w:tc>
          <w:tcPr>
            <w:tcW w:w="1566" w:type="pct"/>
            <w:tcBorders>
              <w:top w:val="single" w:sz="4" w:space="0" w:color="auto"/>
              <w:left w:val="nil"/>
              <w:bottom w:val="single" w:sz="4" w:space="0" w:color="auto"/>
              <w:right w:val="single" w:sz="4" w:space="0" w:color="auto"/>
            </w:tcBorders>
            <w:vAlign w:val="center"/>
          </w:tcPr>
          <w:p w14:paraId="3603EAC8"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hAnsi="Arial Narrow" w:cs="Arial Narrow"/>
                <w:color w:val="000000"/>
                <w:sz w:val="16"/>
                <w:szCs w:val="16"/>
              </w:rPr>
              <w:t>Total</w:t>
            </w:r>
          </w:p>
        </w:tc>
        <w:tc>
          <w:tcPr>
            <w:tcW w:w="493" w:type="pct"/>
            <w:tcBorders>
              <w:top w:val="single" w:sz="4" w:space="0" w:color="auto"/>
              <w:left w:val="nil"/>
              <w:bottom w:val="single" w:sz="4" w:space="0" w:color="auto"/>
              <w:right w:val="single" w:sz="4" w:space="0" w:color="auto"/>
            </w:tcBorders>
            <w:noWrap/>
            <w:vAlign w:val="center"/>
          </w:tcPr>
          <w:p w14:paraId="4F52C582"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Arial"/>
                <w:sz w:val="16"/>
                <w:szCs w:val="16"/>
                <w:lang w:eastAsia="es-PA"/>
              </w:rPr>
              <w:t>47.3</w:t>
            </w:r>
          </w:p>
        </w:tc>
        <w:tc>
          <w:tcPr>
            <w:tcW w:w="493" w:type="pct"/>
            <w:tcBorders>
              <w:top w:val="single" w:sz="4" w:space="0" w:color="auto"/>
              <w:left w:val="nil"/>
              <w:bottom w:val="single" w:sz="4" w:space="0" w:color="auto"/>
              <w:right w:val="single" w:sz="4" w:space="0" w:color="auto"/>
            </w:tcBorders>
            <w:noWrap/>
            <w:vAlign w:val="center"/>
          </w:tcPr>
          <w:p w14:paraId="356FF7AD"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Arial"/>
                <w:sz w:val="16"/>
                <w:szCs w:val="16"/>
                <w:lang w:eastAsia="es-PA"/>
              </w:rPr>
              <w:t>50.8</w:t>
            </w:r>
          </w:p>
        </w:tc>
        <w:tc>
          <w:tcPr>
            <w:tcW w:w="492" w:type="pct"/>
            <w:tcBorders>
              <w:top w:val="single" w:sz="4" w:space="0" w:color="auto"/>
              <w:bottom w:val="single" w:sz="4" w:space="0" w:color="auto"/>
              <w:right w:val="single" w:sz="2" w:space="0" w:color="auto"/>
            </w:tcBorders>
            <w:noWrap/>
            <w:vAlign w:val="center"/>
          </w:tcPr>
          <w:p w14:paraId="237D6D75" w14:textId="77777777" w:rsidR="000C171B" w:rsidRPr="00D336D1" w:rsidRDefault="000C171B" w:rsidP="002C49EF">
            <w:pPr>
              <w:spacing w:after="0" w:line="240" w:lineRule="auto"/>
              <w:jc w:val="center"/>
              <w:rPr>
                <w:rFonts w:ascii="Arial Narrow" w:hAnsi="Arial Narrow" w:cs="Calibri"/>
                <w:sz w:val="16"/>
                <w:szCs w:val="16"/>
              </w:rPr>
            </w:pPr>
            <w:r w:rsidRPr="00D336D1">
              <w:rPr>
                <w:rFonts w:ascii="Arial Narrow" w:eastAsia="Times New Roman" w:hAnsi="Arial Narrow" w:cs="Arial"/>
                <w:sz w:val="16"/>
                <w:szCs w:val="16"/>
                <w:lang w:eastAsia="es-PA"/>
              </w:rPr>
              <w:t>51.6</w:t>
            </w:r>
          </w:p>
        </w:tc>
      </w:tr>
      <w:tr w:rsidR="000C171B" w:rsidRPr="0010306A" w14:paraId="599B76D9" w14:textId="77777777" w:rsidTr="0049743F">
        <w:trPr>
          <w:trHeight w:val="60"/>
        </w:trPr>
        <w:tc>
          <w:tcPr>
            <w:tcW w:w="391" w:type="pct"/>
            <w:vMerge w:val="restart"/>
            <w:tcBorders>
              <w:top w:val="single" w:sz="4" w:space="0" w:color="auto"/>
              <w:left w:val="single" w:sz="4" w:space="0" w:color="auto"/>
              <w:right w:val="single" w:sz="4" w:space="0" w:color="auto"/>
            </w:tcBorders>
            <w:vAlign w:val="center"/>
          </w:tcPr>
          <w:p w14:paraId="402AA195"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r w:rsidRPr="00D336D1">
              <w:rPr>
                <w:rFonts w:ascii="Arial Narrow" w:eastAsia="Times New Roman" w:hAnsi="Arial Narrow" w:cs="Calibri"/>
                <w:color w:val="000000"/>
                <w:sz w:val="16"/>
                <w:szCs w:val="16"/>
                <w:lang w:eastAsia="es-PA"/>
              </w:rPr>
              <w:t>ODS 17</w:t>
            </w:r>
          </w:p>
        </w:tc>
        <w:tc>
          <w:tcPr>
            <w:tcW w:w="1565" w:type="pct"/>
            <w:vMerge w:val="restart"/>
            <w:tcBorders>
              <w:top w:val="single" w:sz="4" w:space="0" w:color="auto"/>
              <w:left w:val="nil"/>
              <w:right w:val="single" w:sz="4" w:space="0" w:color="auto"/>
            </w:tcBorders>
          </w:tcPr>
          <w:p w14:paraId="3E85AD4B" w14:textId="77777777" w:rsidR="000C171B" w:rsidRPr="00D336D1" w:rsidRDefault="000C171B" w:rsidP="0049743F">
            <w:pPr>
              <w:spacing w:after="0" w:line="240" w:lineRule="auto"/>
              <w:rPr>
                <w:rFonts w:ascii="Arial Narrow" w:eastAsia="Times New Roman" w:hAnsi="Arial Narrow" w:cs="Arial"/>
                <w:color w:val="000000"/>
                <w:sz w:val="16"/>
                <w:szCs w:val="16"/>
                <w:lang w:eastAsia="es-PA"/>
              </w:rPr>
            </w:pPr>
            <w:r w:rsidRPr="00D336D1">
              <w:rPr>
                <w:rFonts w:ascii="Arial Narrow" w:eastAsia="Times New Roman" w:hAnsi="Arial Narrow" w:cs="Arial"/>
                <w:color w:val="000000"/>
                <w:sz w:val="16"/>
                <w:szCs w:val="16"/>
                <w:lang w:eastAsia="es-PA"/>
              </w:rPr>
              <w:t>Proporción de personas de 10 años y más que usan internet</w:t>
            </w:r>
          </w:p>
        </w:tc>
        <w:tc>
          <w:tcPr>
            <w:tcW w:w="1566" w:type="pct"/>
            <w:tcBorders>
              <w:top w:val="single" w:sz="4" w:space="0" w:color="auto"/>
              <w:left w:val="nil"/>
              <w:bottom w:val="nil"/>
              <w:right w:val="single" w:sz="4" w:space="0" w:color="auto"/>
            </w:tcBorders>
            <w:vAlign w:val="center"/>
          </w:tcPr>
          <w:p w14:paraId="2955D9C2"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eastAsia="Times New Roman" w:hAnsi="Arial Narrow" w:cs="Arial"/>
                <w:color w:val="000000"/>
                <w:sz w:val="16"/>
                <w:szCs w:val="16"/>
                <w:lang w:eastAsia="es-PA"/>
              </w:rPr>
              <w:t>Total</w:t>
            </w:r>
          </w:p>
        </w:tc>
        <w:tc>
          <w:tcPr>
            <w:tcW w:w="493" w:type="pct"/>
            <w:tcBorders>
              <w:top w:val="single" w:sz="4" w:space="0" w:color="auto"/>
              <w:left w:val="nil"/>
              <w:bottom w:val="nil"/>
              <w:right w:val="single" w:sz="4" w:space="0" w:color="auto"/>
            </w:tcBorders>
            <w:noWrap/>
            <w:vAlign w:val="center"/>
          </w:tcPr>
          <w:p w14:paraId="5D8FB434" w14:textId="77777777" w:rsidR="000C171B" w:rsidRPr="00D336D1" w:rsidRDefault="000C171B" w:rsidP="002C49EF">
            <w:pPr>
              <w:spacing w:after="0" w:line="240" w:lineRule="auto"/>
              <w:jc w:val="center"/>
              <w:rPr>
                <w:rFonts w:ascii="Arial Narrow" w:eastAsia="Times New Roman" w:hAnsi="Arial Narrow" w:cs="Arial"/>
                <w:sz w:val="16"/>
                <w:szCs w:val="16"/>
                <w:lang w:eastAsia="es-PA"/>
              </w:rPr>
            </w:pPr>
            <w:r w:rsidRPr="00D336D1">
              <w:rPr>
                <w:rFonts w:ascii="Arial Narrow" w:eastAsia="Times New Roman" w:hAnsi="Arial Narrow" w:cs="Arial"/>
                <w:sz w:val="16"/>
                <w:szCs w:val="16"/>
                <w:lang w:eastAsia="es-PA"/>
              </w:rPr>
              <w:t>51.3</w:t>
            </w:r>
          </w:p>
        </w:tc>
        <w:tc>
          <w:tcPr>
            <w:tcW w:w="493" w:type="pct"/>
            <w:tcBorders>
              <w:top w:val="single" w:sz="4" w:space="0" w:color="auto"/>
              <w:left w:val="nil"/>
              <w:bottom w:val="nil"/>
              <w:right w:val="single" w:sz="4" w:space="0" w:color="auto"/>
            </w:tcBorders>
            <w:noWrap/>
            <w:vAlign w:val="center"/>
          </w:tcPr>
          <w:p w14:paraId="6D0108BA" w14:textId="77777777" w:rsidR="000C171B" w:rsidRPr="00D336D1" w:rsidRDefault="000C171B" w:rsidP="002C49EF">
            <w:pPr>
              <w:spacing w:after="0" w:line="240" w:lineRule="auto"/>
              <w:jc w:val="center"/>
              <w:rPr>
                <w:rFonts w:ascii="Arial Narrow" w:eastAsia="Times New Roman" w:hAnsi="Arial Narrow" w:cs="Arial"/>
                <w:sz w:val="16"/>
                <w:szCs w:val="16"/>
                <w:lang w:eastAsia="es-PA"/>
              </w:rPr>
            </w:pPr>
            <w:r w:rsidRPr="00D336D1">
              <w:rPr>
                <w:rFonts w:ascii="Arial Narrow" w:eastAsia="Times New Roman" w:hAnsi="Arial Narrow" w:cs="Arial"/>
                <w:sz w:val="16"/>
                <w:szCs w:val="16"/>
                <w:lang w:eastAsia="es-PA"/>
              </w:rPr>
              <w:t>54.3</w:t>
            </w:r>
          </w:p>
        </w:tc>
        <w:tc>
          <w:tcPr>
            <w:tcW w:w="492" w:type="pct"/>
            <w:tcBorders>
              <w:top w:val="single" w:sz="4" w:space="0" w:color="auto"/>
              <w:right w:val="single" w:sz="2" w:space="0" w:color="auto"/>
            </w:tcBorders>
            <w:noWrap/>
            <w:vAlign w:val="center"/>
          </w:tcPr>
          <w:p w14:paraId="5BB8BF9B" w14:textId="77777777" w:rsidR="000C171B" w:rsidRPr="00D336D1" w:rsidRDefault="000C171B" w:rsidP="002C49EF">
            <w:pPr>
              <w:spacing w:after="0" w:line="240" w:lineRule="auto"/>
              <w:jc w:val="center"/>
              <w:rPr>
                <w:rFonts w:ascii="Arial Narrow" w:eastAsia="Times New Roman" w:hAnsi="Arial Narrow" w:cs="Arial"/>
                <w:sz w:val="16"/>
                <w:szCs w:val="16"/>
                <w:lang w:eastAsia="es-PA"/>
              </w:rPr>
            </w:pPr>
            <w:r w:rsidRPr="00D336D1">
              <w:rPr>
                <w:rFonts w:ascii="Arial Narrow" w:eastAsia="Times New Roman" w:hAnsi="Arial Narrow" w:cs="Arial"/>
                <w:sz w:val="16"/>
                <w:szCs w:val="16"/>
                <w:lang w:eastAsia="es-PA"/>
              </w:rPr>
              <w:t>60.0</w:t>
            </w:r>
          </w:p>
        </w:tc>
      </w:tr>
      <w:tr w:rsidR="000C171B" w:rsidRPr="0010306A" w14:paraId="187D63E0" w14:textId="77777777" w:rsidTr="002C49EF">
        <w:trPr>
          <w:trHeight w:val="60"/>
        </w:trPr>
        <w:tc>
          <w:tcPr>
            <w:tcW w:w="391" w:type="pct"/>
            <w:vMerge/>
            <w:tcBorders>
              <w:left w:val="single" w:sz="4" w:space="0" w:color="auto"/>
              <w:right w:val="single" w:sz="4" w:space="0" w:color="auto"/>
            </w:tcBorders>
            <w:vAlign w:val="center"/>
          </w:tcPr>
          <w:p w14:paraId="3C2B3EFF" w14:textId="77777777" w:rsidR="000C171B" w:rsidRPr="00D336D1"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right w:val="single" w:sz="4" w:space="0" w:color="auto"/>
            </w:tcBorders>
            <w:vAlign w:val="center"/>
          </w:tcPr>
          <w:p w14:paraId="621C8025" w14:textId="77777777" w:rsidR="000C171B" w:rsidRPr="00D336D1" w:rsidRDefault="000C171B" w:rsidP="002C49EF">
            <w:pPr>
              <w:spacing w:after="0" w:line="240" w:lineRule="auto"/>
              <w:rPr>
                <w:rFonts w:ascii="Arial Narrow" w:eastAsia="Times New Roman" w:hAnsi="Arial Narrow" w:cs="Arial"/>
                <w:color w:val="000000"/>
                <w:sz w:val="16"/>
                <w:szCs w:val="16"/>
                <w:lang w:eastAsia="es-PA"/>
              </w:rPr>
            </w:pPr>
          </w:p>
        </w:tc>
        <w:tc>
          <w:tcPr>
            <w:tcW w:w="1566" w:type="pct"/>
            <w:tcBorders>
              <w:top w:val="nil"/>
              <w:left w:val="nil"/>
              <w:bottom w:val="nil"/>
              <w:right w:val="single" w:sz="4" w:space="0" w:color="auto"/>
            </w:tcBorders>
            <w:vAlign w:val="center"/>
          </w:tcPr>
          <w:p w14:paraId="7A6CFE87" w14:textId="77777777" w:rsidR="000C171B" w:rsidRPr="00D336D1" w:rsidRDefault="000C171B" w:rsidP="002C49EF">
            <w:pPr>
              <w:spacing w:after="0" w:line="240" w:lineRule="auto"/>
              <w:rPr>
                <w:rFonts w:ascii="Arial Narrow" w:hAnsi="Arial Narrow" w:cs="Arial Narrow"/>
                <w:color w:val="000000"/>
                <w:sz w:val="16"/>
                <w:szCs w:val="16"/>
              </w:rPr>
            </w:pPr>
            <w:r w:rsidRPr="00D336D1">
              <w:rPr>
                <w:rFonts w:ascii="Arial Narrow" w:eastAsia="Times New Roman" w:hAnsi="Arial Narrow" w:cs="Calibri"/>
                <w:color w:val="000000"/>
                <w:sz w:val="16"/>
                <w:szCs w:val="16"/>
                <w:lang w:eastAsia="es-PA"/>
              </w:rPr>
              <w:t>Área Urbana</w:t>
            </w:r>
          </w:p>
        </w:tc>
        <w:tc>
          <w:tcPr>
            <w:tcW w:w="493" w:type="pct"/>
            <w:tcBorders>
              <w:top w:val="nil"/>
              <w:left w:val="nil"/>
              <w:bottom w:val="nil"/>
              <w:right w:val="single" w:sz="4" w:space="0" w:color="auto"/>
            </w:tcBorders>
            <w:noWrap/>
            <w:vAlign w:val="center"/>
          </w:tcPr>
          <w:p w14:paraId="426D813F" w14:textId="77777777" w:rsidR="000C171B" w:rsidRPr="00D336D1" w:rsidRDefault="000C171B" w:rsidP="002C49EF">
            <w:pPr>
              <w:spacing w:after="0" w:line="240" w:lineRule="auto"/>
              <w:jc w:val="center"/>
              <w:rPr>
                <w:rFonts w:ascii="Arial Narrow" w:eastAsia="Times New Roman" w:hAnsi="Arial Narrow" w:cs="Arial"/>
                <w:sz w:val="16"/>
                <w:szCs w:val="16"/>
                <w:lang w:eastAsia="es-PA"/>
              </w:rPr>
            </w:pPr>
            <w:r w:rsidRPr="00D336D1">
              <w:rPr>
                <w:rFonts w:ascii="Arial Narrow" w:eastAsia="Times New Roman" w:hAnsi="Arial Narrow" w:cs="Arial"/>
                <w:sz w:val="16"/>
                <w:szCs w:val="16"/>
                <w:lang w:eastAsia="es-PA"/>
              </w:rPr>
              <w:t>61.3</w:t>
            </w:r>
          </w:p>
        </w:tc>
        <w:tc>
          <w:tcPr>
            <w:tcW w:w="493" w:type="pct"/>
            <w:tcBorders>
              <w:top w:val="nil"/>
              <w:left w:val="nil"/>
              <w:bottom w:val="nil"/>
              <w:right w:val="single" w:sz="4" w:space="0" w:color="auto"/>
            </w:tcBorders>
            <w:noWrap/>
            <w:vAlign w:val="center"/>
          </w:tcPr>
          <w:p w14:paraId="7E041FA1" w14:textId="77777777" w:rsidR="000C171B" w:rsidRPr="00D336D1" w:rsidRDefault="000C171B" w:rsidP="002C49EF">
            <w:pPr>
              <w:spacing w:after="0" w:line="240" w:lineRule="auto"/>
              <w:jc w:val="center"/>
              <w:rPr>
                <w:rFonts w:ascii="Arial Narrow" w:eastAsia="Times New Roman" w:hAnsi="Arial Narrow" w:cs="Arial"/>
                <w:sz w:val="16"/>
                <w:szCs w:val="16"/>
                <w:lang w:eastAsia="es-PA"/>
              </w:rPr>
            </w:pPr>
            <w:r w:rsidRPr="00D336D1">
              <w:rPr>
                <w:rFonts w:ascii="Arial Narrow" w:eastAsia="Times New Roman" w:hAnsi="Arial Narrow" w:cs="Arial"/>
                <w:sz w:val="16"/>
                <w:szCs w:val="16"/>
                <w:lang w:eastAsia="es-PA"/>
              </w:rPr>
              <w:t>64.4</w:t>
            </w:r>
          </w:p>
        </w:tc>
        <w:tc>
          <w:tcPr>
            <w:tcW w:w="492" w:type="pct"/>
            <w:tcBorders>
              <w:right w:val="single" w:sz="2" w:space="0" w:color="auto"/>
            </w:tcBorders>
            <w:noWrap/>
            <w:vAlign w:val="center"/>
          </w:tcPr>
          <w:p w14:paraId="7F3E6A35" w14:textId="77777777" w:rsidR="000C171B" w:rsidRPr="00D336D1" w:rsidRDefault="000C171B" w:rsidP="002C49EF">
            <w:pPr>
              <w:spacing w:after="0" w:line="240" w:lineRule="auto"/>
              <w:jc w:val="center"/>
              <w:rPr>
                <w:rFonts w:ascii="Arial Narrow" w:eastAsia="Times New Roman" w:hAnsi="Arial Narrow" w:cs="Arial"/>
                <w:sz w:val="16"/>
                <w:szCs w:val="16"/>
                <w:lang w:eastAsia="es-PA"/>
              </w:rPr>
            </w:pPr>
            <w:r w:rsidRPr="00D336D1">
              <w:rPr>
                <w:rFonts w:ascii="Arial Narrow" w:eastAsia="Times New Roman" w:hAnsi="Arial Narrow" w:cs="Arial"/>
                <w:sz w:val="16"/>
                <w:szCs w:val="16"/>
                <w:lang w:eastAsia="es-PA"/>
              </w:rPr>
              <w:t>70.6</w:t>
            </w:r>
          </w:p>
        </w:tc>
      </w:tr>
      <w:tr w:rsidR="000C171B" w:rsidRPr="0010306A" w14:paraId="4724FD96" w14:textId="77777777" w:rsidTr="002C49EF">
        <w:trPr>
          <w:trHeight w:val="60"/>
        </w:trPr>
        <w:tc>
          <w:tcPr>
            <w:tcW w:w="391" w:type="pct"/>
            <w:vMerge/>
            <w:tcBorders>
              <w:left w:val="single" w:sz="4" w:space="0" w:color="auto"/>
              <w:bottom w:val="single" w:sz="4" w:space="0" w:color="auto"/>
              <w:right w:val="single" w:sz="4" w:space="0" w:color="auto"/>
            </w:tcBorders>
            <w:vAlign w:val="center"/>
          </w:tcPr>
          <w:p w14:paraId="1D6D3C27" w14:textId="77777777" w:rsidR="000C171B" w:rsidRPr="000A11A6" w:rsidRDefault="000C171B" w:rsidP="002C49EF">
            <w:pPr>
              <w:spacing w:after="0" w:line="240" w:lineRule="auto"/>
              <w:rPr>
                <w:rFonts w:ascii="Arial Narrow" w:eastAsia="Times New Roman" w:hAnsi="Arial Narrow" w:cs="Calibri"/>
                <w:color w:val="000000"/>
                <w:sz w:val="16"/>
                <w:szCs w:val="16"/>
                <w:lang w:eastAsia="es-PA"/>
              </w:rPr>
            </w:pPr>
          </w:p>
        </w:tc>
        <w:tc>
          <w:tcPr>
            <w:tcW w:w="1565" w:type="pct"/>
            <w:vMerge/>
            <w:tcBorders>
              <w:left w:val="nil"/>
              <w:bottom w:val="single" w:sz="4" w:space="0" w:color="auto"/>
              <w:right w:val="single" w:sz="4" w:space="0" w:color="auto"/>
            </w:tcBorders>
            <w:vAlign w:val="center"/>
          </w:tcPr>
          <w:p w14:paraId="02A96B5B" w14:textId="77777777" w:rsidR="000C171B" w:rsidRPr="000A11A6" w:rsidRDefault="000C171B" w:rsidP="002C49EF">
            <w:pPr>
              <w:spacing w:after="0" w:line="240" w:lineRule="auto"/>
              <w:rPr>
                <w:rFonts w:ascii="Arial Narrow" w:eastAsia="Times New Roman" w:hAnsi="Arial Narrow" w:cs="Arial"/>
                <w:b/>
                <w:color w:val="000000"/>
                <w:sz w:val="16"/>
                <w:szCs w:val="16"/>
                <w:lang w:eastAsia="es-PA"/>
              </w:rPr>
            </w:pPr>
          </w:p>
        </w:tc>
        <w:tc>
          <w:tcPr>
            <w:tcW w:w="1566" w:type="pct"/>
            <w:tcBorders>
              <w:top w:val="nil"/>
              <w:left w:val="nil"/>
              <w:bottom w:val="single" w:sz="4" w:space="0" w:color="auto"/>
              <w:right w:val="single" w:sz="4" w:space="0" w:color="auto"/>
            </w:tcBorders>
            <w:vAlign w:val="center"/>
          </w:tcPr>
          <w:p w14:paraId="3888249A" w14:textId="77777777" w:rsidR="000C171B" w:rsidRPr="000A11A6" w:rsidRDefault="000C171B" w:rsidP="002C49EF">
            <w:pPr>
              <w:spacing w:after="0" w:line="240" w:lineRule="auto"/>
              <w:rPr>
                <w:rFonts w:ascii="Arial Narrow" w:hAnsi="Arial Narrow" w:cs="Arial Narrow"/>
                <w:bCs/>
                <w:color w:val="000000"/>
                <w:sz w:val="16"/>
                <w:szCs w:val="16"/>
              </w:rPr>
            </w:pPr>
            <w:r w:rsidRPr="000A11A6">
              <w:rPr>
                <w:rFonts w:ascii="Arial Narrow" w:eastAsia="Times New Roman" w:hAnsi="Arial Narrow" w:cs="Calibri"/>
                <w:color w:val="000000"/>
                <w:sz w:val="16"/>
                <w:szCs w:val="16"/>
                <w:lang w:eastAsia="es-PA"/>
              </w:rPr>
              <w:t>Área Rural total</w:t>
            </w:r>
          </w:p>
        </w:tc>
        <w:tc>
          <w:tcPr>
            <w:tcW w:w="493" w:type="pct"/>
            <w:tcBorders>
              <w:top w:val="nil"/>
              <w:left w:val="nil"/>
              <w:bottom w:val="single" w:sz="4" w:space="0" w:color="auto"/>
              <w:right w:val="single" w:sz="4" w:space="0" w:color="auto"/>
            </w:tcBorders>
            <w:noWrap/>
            <w:vAlign w:val="center"/>
          </w:tcPr>
          <w:p w14:paraId="59F0F7AC" w14:textId="77777777" w:rsidR="000C171B" w:rsidRPr="000A11A6" w:rsidRDefault="000C171B" w:rsidP="002C49EF">
            <w:pPr>
              <w:spacing w:after="0" w:line="240" w:lineRule="auto"/>
              <w:jc w:val="center"/>
              <w:rPr>
                <w:rFonts w:ascii="Arial Narrow" w:eastAsia="Times New Roman" w:hAnsi="Arial Narrow" w:cs="Arial"/>
                <w:bCs/>
                <w:sz w:val="16"/>
                <w:szCs w:val="16"/>
                <w:lang w:eastAsia="es-PA"/>
              </w:rPr>
            </w:pPr>
            <w:r w:rsidRPr="000A11A6">
              <w:rPr>
                <w:rFonts w:ascii="Arial Narrow" w:eastAsia="Times New Roman" w:hAnsi="Arial Narrow" w:cs="Arial"/>
                <w:sz w:val="16"/>
                <w:szCs w:val="16"/>
                <w:lang w:eastAsia="es-PA"/>
              </w:rPr>
              <w:t>29.3</w:t>
            </w:r>
          </w:p>
        </w:tc>
        <w:tc>
          <w:tcPr>
            <w:tcW w:w="493" w:type="pct"/>
            <w:tcBorders>
              <w:top w:val="nil"/>
              <w:left w:val="nil"/>
              <w:bottom w:val="single" w:sz="4" w:space="0" w:color="auto"/>
              <w:right w:val="single" w:sz="4" w:space="0" w:color="auto"/>
            </w:tcBorders>
            <w:noWrap/>
            <w:vAlign w:val="center"/>
          </w:tcPr>
          <w:p w14:paraId="0C5A5628" w14:textId="77777777" w:rsidR="000C171B" w:rsidRPr="000A11A6" w:rsidRDefault="000C171B" w:rsidP="002C49EF">
            <w:pPr>
              <w:spacing w:after="0" w:line="240" w:lineRule="auto"/>
              <w:jc w:val="center"/>
              <w:rPr>
                <w:rFonts w:ascii="Arial Narrow" w:eastAsia="Times New Roman" w:hAnsi="Arial Narrow" w:cs="Arial"/>
                <w:bCs/>
                <w:sz w:val="16"/>
                <w:szCs w:val="16"/>
                <w:lang w:eastAsia="es-PA"/>
              </w:rPr>
            </w:pPr>
            <w:r w:rsidRPr="000A11A6">
              <w:rPr>
                <w:rFonts w:ascii="Arial Narrow" w:eastAsia="Times New Roman" w:hAnsi="Arial Narrow" w:cs="Arial"/>
                <w:sz w:val="16"/>
                <w:szCs w:val="16"/>
                <w:lang w:eastAsia="es-PA"/>
              </w:rPr>
              <w:t>31.3</w:t>
            </w:r>
          </w:p>
        </w:tc>
        <w:tc>
          <w:tcPr>
            <w:tcW w:w="492" w:type="pct"/>
            <w:tcBorders>
              <w:bottom w:val="single" w:sz="4" w:space="0" w:color="auto"/>
              <w:right w:val="single" w:sz="2" w:space="0" w:color="auto"/>
            </w:tcBorders>
            <w:noWrap/>
            <w:vAlign w:val="center"/>
          </w:tcPr>
          <w:p w14:paraId="00A7F9C0" w14:textId="77777777" w:rsidR="000C171B" w:rsidRPr="000A11A6" w:rsidRDefault="000C171B" w:rsidP="002C49EF">
            <w:pPr>
              <w:spacing w:after="0" w:line="240" w:lineRule="auto"/>
              <w:jc w:val="center"/>
              <w:rPr>
                <w:rFonts w:ascii="Arial Narrow" w:eastAsia="Times New Roman" w:hAnsi="Arial Narrow" w:cs="Arial"/>
                <w:bCs/>
                <w:sz w:val="16"/>
                <w:szCs w:val="16"/>
                <w:lang w:eastAsia="es-PA"/>
              </w:rPr>
            </w:pPr>
            <w:r w:rsidRPr="000A11A6">
              <w:rPr>
                <w:rFonts w:ascii="Arial Narrow" w:eastAsia="Times New Roman" w:hAnsi="Arial Narrow" w:cs="Arial"/>
                <w:sz w:val="16"/>
                <w:szCs w:val="16"/>
                <w:lang w:eastAsia="es-PA"/>
              </w:rPr>
              <w:t>35.5</w:t>
            </w:r>
          </w:p>
        </w:tc>
      </w:tr>
    </w:tbl>
    <w:p w14:paraId="71213E3B" w14:textId="77777777" w:rsidR="000C171B" w:rsidRDefault="000C171B" w:rsidP="000C171B">
      <w:pPr>
        <w:spacing w:after="0" w:line="240" w:lineRule="auto"/>
        <w:jc w:val="both"/>
        <w:rPr>
          <w:rFonts w:eastAsiaTheme="minorEastAsia"/>
          <w:sz w:val="24"/>
          <w:szCs w:val="24"/>
        </w:rPr>
      </w:pPr>
    </w:p>
    <w:p w14:paraId="235D4177" w14:textId="77777777" w:rsidR="000C171B" w:rsidRDefault="000C171B" w:rsidP="000C171B">
      <w:pPr>
        <w:spacing w:after="0" w:line="240" w:lineRule="auto"/>
        <w:jc w:val="both"/>
        <w:rPr>
          <w:rFonts w:eastAsiaTheme="minorEastAsia"/>
          <w:sz w:val="24"/>
          <w:szCs w:val="24"/>
        </w:rPr>
      </w:pPr>
    </w:p>
    <w:p w14:paraId="4BA53896" w14:textId="77777777" w:rsidR="000C171B" w:rsidRDefault="000C171B" w:rsidP="000C171B">
      <w:pPr>
        <w:spacing w:after="0" w:line="240" w:lineRule="auto"/>
        <w:jc w:val="both"/>
        <w:rPr>
          <w:rFonts w:eastAsiaTheme="minorEastAsia"/>
          <w:sz w:val="24"/>
          <w:szCs w:val="24"/>
        </w:rPr>
      </w:pPr>
    </w:p>
    <w:p w14:paraId="1C78C1D7" w14:textId="77777777" w:rsidR="000C171B" w:rsidRDefault="000C171B" w:rsidP="000C171B">
      <w:pPr>
        <w:spacing w:after="0" w:line="240" w:lineRule="auto"/>
        <w:jc w:val="both"/>
        <w:rPr>
          <w:rFonts w:eastAsiaTheme="minorEastAsia"/>
          <w:sz w:val="24"/>
          <w:szCs w:val="24"/>
        </w:rPr>
      </w:pPr>
    </w:p>
    <w:p w14:paraId="5FB1056F" w14:textId="77777777" w:rsidR="000C171B" w:rsidRDefault="000C171B" w:rsidP="000C171B">
      <w:pPr>
        <w:spacing w:after="0" w:line="240" w:lineRule="auto"/>
        <w:jc w:val="both"/>
        <w:rPr>
          <w:rFonts w:eastAsiaTheme="minorEastAsia"/>
          <w:sz w:val="24"/>
          <w:szCs w:val="24"/>
        </w:rPr>
      </w:pPr>
    </w:p>
    <w:p w14:paraId="252A533C" w14:textId="77777777" w:rsidR="000C171B" w:rsidRDefault="000C171B" w:rsidP="000C171B">
      <w:pPr>
        <w:spacing w:after="0" w:line="240" w:lineRule="auto"/>
        <w:jc w:val="both"/>
        <w:rPr>
          <w:rFonts w:eastAsiaTheme="minorEastAsia"/>
          <w:sz w:val="24"/>
          <w:szCs w:val="24"/>
        </w:rPr>
      </w:pPr>
    </w:p>
    <w:p w14:paraId="63C7EB74" w14:textId="77777777" w:rsidR="000C171B" w:rsidRDefault="000C171B" w:rsidP="000C171B">
      <w:pPr>
        <w:spacing w:after="0" w:line="240" w:lineRule="auto"/>
        <w:jc w:val="both"/>
        <w:rPr>
          <w:rFonts w:eastAsiaTheme="minorEastAsia"/>
          <w:sz w:val="24"/>
          <w:szCs w:val="24"/>
        </w:rPr>
      </w:pPr>
    </w:p>
    <w:sectPr w:rsidR="000C171B" w:rsidSect="002C49EF">
      <w:headerReference w:type="default" r:id="rId11"/>
      <w:pgSz w:w="12240" w:h="15840" w:code="1"/>
      <w:pgMar w:top="1296" w:right="1440" w:bottom="1296" w:left="1584" w:header="1152" w:footer="1152"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24FC6" w14:textId="77777777" w:rsidR="000264D3" w:rsidRDefault="000264D3" w:rsidP="000C171B">
      <w:pPr>
        <w:spacing w:after="0" w:line="240" w:lineRule="auto"/>
      </w:pPr>
      <w:r>
        <w:separator/>
      </w:r>
    </w:p>
  </w:endnote>
  <w:endnote w:type="continuationSeparator" w:id="0">
    <w:p w14:paraId="13BEC91B" w14:textId="77777777" w:rsidR="000264D3" w:rsidRDefault="000264D3" w:rsidP="000C1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2F6A7" w14:textId="77777777" w:rsidR="000264D3" w:rsidRDefault="000264D3" w:rsidP="000C171B">
      <w:pPr>
        <w:spacing w:after="0" w:line="240" w:lineRule="auto"/>
      </w:pPr>
      <w:r>
        <w:separator/>
      </w:r>
    </w:p>
  </w:footnote>
  <w:footnote w:type="continuationSeparator" w:id="0">
    <w:p w14:paraId="67E22E00" w14:textId="77777777" w:rsidR="000264D3" w:rsidRDefault="000264D3" w:rsidP="000C171B">
      <w:pPr>
        <w:spacing w:after="0" w:line="240" w:lineRule="auto"/>
      </w:pPr>
      <w:r>
        <w:continuationSeparator/>
      </w:r>
    </w:p>
  </w:footnote>
  <w:footnote w:id="1">
    <w:p w14:paraId="6136DBCB" w14:textId="391C1145" w:rsidR="000264D3" w:rsidRPr="004A3FF4" w:rsidRDefault="000264D3">
      <w:pPr>
        <w:pStyle w:val="FootnoteText"/>
        <w:rPr>
          <w:sz w:val="16"/>
          <w:szCs w:val="16"/>
        </w:rPr>
      </w:pPr>
      <w:r w:rsidRPr="004A3FF4">
        <w:rPr>
          <w:rStyle w:val="FootnoteReference"/>
          <w:sz w:val="16"/>
          <w:szCs w:val="16"/>
        </w:rPr>
        <w:footnoteRef/>
      </w:r>
      <w:r w:rsidRPr="004A3FF4">
        <w:rPr>
          <w:sz w:val="16"/>
          <w:szCs w:val="16"/>
        </w:rPr>
        <w:t xml:space="preserve"> El Análisis Conjunto de País se desarrolló a través de un proceso participativo, tanto desde las agencias, fondos y programas, como desde las instituciones gubernamentales y no gubernamentales. El proceso permitió contar con una mirada 360 de los retos y perspectivas de Panamá en la senda del cumplimiento de la Agenda 2030. </w:t>
      </w:r>
    </w:p>
  </w:footnote>
  <w:footnote w:id="2">
    <w:p w14:paraId="788D909A" w14:textId="77777777" w:rsidR="000264D3" w:rsidRPr="0049743F" w:rsidRDefault="000264D3" w:rsidP="000C171B">
      <w:pPr>
        <w:spacing w:after="0" w:line="240" w:lineRule="auto"/>
        <w:jc w:val="both"/>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Ver: http://www3.weforum.org/</w:t>
      </w:r>
      <w:proofErr w:type="spellStart"/>
      <w:r w:rsidRPr="0049743F">
        <w:rPr>
          <w:rFonts w:cstheme="minorHAnsi"/>
          <w:color w:val="000000" w:themeColor="text1"/>
          <w:sz w:val="16"/>
          <w:szCs w:val="16"/>
        </w:rPr>
        <w:t>docs</w:t>
      </w:r>
      <w:proofErr w:type="spellEnd"/>
      <w:r w:rsidRPr="0049743F">
        <w:rPr>
          <w:rFonts w:cstheme="minorHAnsi"/>
          <w:color w:val="000000" w:themeColor="text1"/>
          <w:sz w:val="16"/>
          <w:szCs w:val="16"/>
        </w:rPr>
        <w:t xml:space="preserve">/WEF_Global_Risks_Report_2019.pdf </w:t>
      </w:r>
    </w:p>
  </w:footnote>
  <w:footnote w:id="3">
    <w:p w14:paraId="69F14C51" w14:textId="77777777" w:rsidR="000264D3" w:rsidRPr="0049743F" w:rsidRDefault="000264D3" w:rsidP="000C171B">
      <w:pPr>
        <w:spacing w:after="0" w:line="240" w:lineRule="auto"/>
        <w:jc w:val="both"/>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Ver: http://hdr.undp.org/sites/default/files/hdr_2019_overview_-_spanish.pdf</w:t>
      </w:r>
    </w:p>
    <w:p w14:paraId="6909C0AD" w14:textId="77777777" w:rsidR="000264D3" w:rsidRPr="0049743F" w:rsidRDefault="000264D3" w:rsidP="000C171B">
      <w:pPr>
        <w:pStyle w:val="FootnoteText"/>
        <w:rPr>
          <w:rFonts w:cstheme="minorHAnsi"/>
          <w:sz w:val="16"/>
          <w:szCs w:val="16"/>
        </w:rPr>
      </w:pPr>
    </w:p>
  </w:footnote>
  <w:footnote w:id="4">
    <w:p w14:paraId="3631935A" w14:textId="77777777" w:rsidR="000264D3" w:rsidRPr="0049743F" w:rsidRDefault="000264D3" w:rsidP="000C171B">
      <w:pPr>
        <w:pStyle w:val="FootnoteText"/>
        <w:rPr>
          <w:rFonts w:cstheme="minorHAnsi"/>
          <w:color w:val="000000" w:themeColor="text1"/>
          <w:w w:val="90"/>
          <w:sz w:val="16"/>
          <w:szCs w:val="16"/>
        </w:rPr>
      </w:pPr>
      <w:r w:rsidRPr="0049743F">
        <w:rPr>
          <w:rStyle w:val="FootnoteReference"/>
          <w:rFonts w:cstheme="minorHAnsi"/>
          <w:color w:val="000000" w:themeColor="text1"/>
          <w:w w:val="90"/>
          <w:sz w:val="16"/>
          <w:szCs w:val="16"/>
        </w:rPr>
        <w:footnoteRef/>
      </w:r>
      <w:r w:rsidRPr="0049743F">
        <w:rPr>
          <w:rFonts w:cstheme="minorHAnsi"/>
          <w:sz w:val="16"/>
          <w:szCs w:val="16"/>
        </w:rPr>
        <w:t xml:space="preserve"> Ver: </w:t>
      </w:r>
      <w:hyperlink r:id="rId1" w:history="1">
        <w:r w:rsidRPr="0049743F">
          <w:rPr>
            <w:rStyle w:val="Hyperlink"/>
            <w:rFonts w:cstheme="minorHAnsi"/>
            <w:color w:val="000000" w:themeColor="text1"/>
            <w:w w:val="90"/>
            <w:sz w:val="16"/>
            <w:szCs w:val="16"/>
            <w:u w:val="none"/>
          </w:rPr>
          <w:t>https://datahelpdesk.worldbank.org/knowledgebase/articles/906519-world-bank-country-and-lending-groups</w:t>
        </w:r>
      </w:hyperlink>
      <w:r w:rsidRPr="0049743F">
        <w:rPr>
          <w:rFonts w:cstheme="minorHAnsi"/>
          <w:color w:val="000000" w:themeColor="text1"/>
          <w:w w:val="90"/>
          <w:sz w:val="16"/>
          <w:szCs w:val="16"/>
        </w:rPr>
        <w:t>. El criterio para la clasificación es un Ingreso Nacional Bruto (INB) per cápita igual o mayor a US$12,376.</w:t>
      </w:r>
    </w:p>
  </w:footnote>
  <w:footnote w:id="5">
    <w:p w14:paraId="26EEA9C1" w14:textId="77777777" w:rsidR="000264D3" w:rsidRPr="0049743F" w:rsidRDefault="000264D3" w:rsidP="000C171B">
      <w:pPr>
        <w:pStyle w:val="CommentText"/>
        <w:spacing w:after="0"/>
        <w:rPr>
          <w:rFonts w:cstheme="minorHAnsi"/>
          <w:w w:val="90"/>
          <w:sz w:val="16"/>
          <w:szCs w:val="16"/>
        </w:rPr>
      </w:pPr>
      <w:r w:rsidRPr="0049743F">
        <w:rPr>
          <w:rStyle w:val="FootnoteReference"/>
          <w:rFonts w:cstheme="minorHAnsi"/>
          <w:w w:val="90"/>
          <w:sz w:val="16"/>
          <w:szCs w:val="16"/>
        </w:rPr>
        <w:footnoteRef/>
      </w:r>
      <w:r w:rsidRPr="0049743F">
        <w:rPr>
          <w:rFonts w:cstheme="minorHAnsi"/>
          <w:w w:val="90"/>
          <w:sz w:val="16"/>
          <w:szCs w:val="16"/>
        </w:rPr>
        <w:t xml:space="preserve">  Ver: https://epi.envirocenter.yale.edu/epi-country-report/PAN</w:t>
      </w:r>
    </w:p>
    <w:p w14:paraId="2CF32496" w14:textId="77777777" w:rsidR="000264D3" w:rsidRPr="0049743F" w:rsidRDefault="000264D3" w:rsidP="000C171B">
      <w:pPr>
        <w:pStyle w:val="FootnoteText"/>
        <w:rPr>
          <w:rFonts w:cstheme="minorHAnsi"/>
          <w:w w:val="90"/>
          <w:sz w:val="16"/>
          <w:szCs w:val="16"/>
        </w:rPr>
      </w:pPr>
    </w:p>
  </w:footnote>
  <w:footnote w:id="6">
    <w:p w14:paraId="06CF4F4F" w14:textId="77777777" w:rsidR="000264D3" w:rsidRPr="0049743F" w:rsidRDefault="000264D3" w:rsidP="000C171B">
      <w:pPr>
        <w:pStyle w:val="FootnoteText"/>
        <w:rPr>
          <w:rFonts w:cstheme="minorHAnsi"/>
          <w:color w:val="000000" w:themeColor="text1"/>
          <w:w w:val="90"/>
          <w:sz w:val="16"/>
          <w:szCs w:val="16"/>
        </w:rPr>
      </w:pPr>
      <w:r w:rsidRPr="0049743F">
        <w:rPr>
          <w:rStyle w:val="FootnoteReference"/>
          <w:rFonts w:cstheme="minorHAnsi"/>
          <w:color w:val="000000" w:themeColor="text1"/>
          <w:w w:val="90"/>
          <w:sz w:val="16"/>
          <w:szCs w:val="16"/>
        </w:rPr>
        <w:footnoteRef/>
      </w:r>
      <w:r w:rsidRPr="0049743F">
        <w:rPr>
          <w:rFonts w:cstheme="minorHAnsi"/>
          <w:color w:val="000000" w:themeColor="text1"/>
          <w:w w:val="90"/>
          <w:sz w:val="16"/>
          <w:szCs w:val="16"/>
        </w:rPr>
        <w:t xml:space="preserve"> Ver: </w:t>
      </w:r>
      <w:hyperlink r:id="rId2" w:history="1">
        <w:r w:rsidRPr="0049743F">
          <w:rPr>
            <w:rStyle w:val="Hyperlink"/>
            <w:rFonts w:cstheme="minorHAnsi"/>
            <w:color w:val="000000" w:themeColor="text1"/>
            <w:w w:val="90"/>
            <w:sz w:val="16"/>
            <w:szCs w:val="16"/>
            <w:u w:val="none"/>
          </w:rPr>
          <w:t>https://www.superseguros.gob.pa/images/files/Gestion-riesgo/Marco_es.pdf</w:t>
        </w:r>
      </w:hyperlink>
    </w:p>
  </w:footnote>
  <w:footnote w:id="7">
    <w:p w14:paraId="5A2241BF" w14:textId="77777777" w:rsidR="000264D3" w:rsidRPr="0049743F" w:rsidRDefault="000264D3" w:rsidP="000C171B">
      <w:pPr>
        <w:pStyle w:val="FootnoteText"/>
        <w:rPr>
          <w:rFonts w:cstheme="minorHAnsi"/>
          <w:color w:val="000000" w:themeColor="text1"/>
          <w:w w:val="90"/>
          <w:sz w:val="16"/>
          <w:szCs w:val="16"/>
        </w:rPr>
      </w:pPr>
      <w:r w:rsidRPr="0049743F">
        <w:rPr>
          <w:rStyle w:val="FootnoteReference"/>
          <w:rFonts w:cstheme="minorHAnsi"/>
          <w:color w:val="000000" w:themeColor="text1"/>
          <w:w w:val="90"/>
          <w:sz w:val="16"/>
          <w:szCs w:val="16"/>
        </w:rPr>
        <w:footnoteRef/>
      </w:r>
      <w:r w:rsidRPr="0049743F">
        <w:rPr>
          <w:rFonts w:cstheme="minorHAnsi"/>
          <w:color w:val="000000" w:themeColor="text1"/>
          <w:w w:val="90"/>
          <w:sz w:val="16"/>
          <w:szCs w:val="16"/>
        </w:rPr>
        <w:t xml:space="preserve">  Ver:  </w:t>
      </w:r>
      <w:hyperlink r:id="rId3" w:history="1">
        <w:r w:rsidRPr="0049743F">
          <w:rPr>
            <w:rStyle w:val="Hyperlink"/>
            <w:rFonts w:cstheme="minorHAnsi"/>
            <w:color w:val="000000" w:themeColor="text1"/>
            <w:w w:val="90"/>
            <w:sz w:val="16"/>
            <w:szCs w:val="16"/>
            <w:u w:val="none"/>
          </w:rPr>
          <w:t>https://www.google.com/search?client=firefox-b-d&amp;biw=1152&amp;bih=633&amp;ei=0StdXdnsKYLt5gKLsrqABQ&amp;q=reporte+autoridad+canal+panama+calado+sequ%C3%ADa&amp;oq=reporte+autoridad+canal+panama+calado+sequ%C3%ADa&amp;gs_l=psy-ab.3..33i160.10162.13020..13184...0.2..1.282.2426.0j14j1......0....1..gws-wiz.......0i71j33i22i29i30j33i21.DldAAOjVOIQ&amp;ved=0ahUKEwiZmYHv7pPkAhWCtlkKHQuZDlA4ChDh1QMICg&amp;uact=5</w:t>
        </w:r>
      </w:hyperlink>
    </w:p>
  </w:footnote>
  <w:footnote w:id="8">
    <w:p w14:paraId="6F411121" w14:textId="77777777" w:rsidR="000264D3" w:rsidRPr="0049743F" w:rsidRDefault="000264D3" w:rsidP="000C171B">
      <w:pPr>
        <w:pStyle w:val="FootnoteText"/>
        <w:rPr>
          <w:rFonts w:cstheme="minorHAnsi"/>
          <w:w w:val="90"/>
          <w:sz w:val="16"/>
          <w:szCs w:val="16"/>
        </w:rPr>
      </w:pPr>
      <w:r w:rsidRPr="0049743F">
        <w:rPr>
          <w:rStyle w:val="FootnoteReference"/>
          <w:rFonts w:cstheme="minorHAnsi"/>
          <w:color w:val="000000" w:themeColor="text1"/>
          <w:w w:val="90"/>
          <w:sz w:val="16"/>
          <w:szCs w:val="16"/>
        </w:rPr>
        <w:footnoteRef/>
      </w:r>
      <w:r w:rsidRPr="0049743F">
        <w:rPr>
          <w:rFonts w:cstheme="minorHAnsi"/>
          <w:color w:val="000000" w:themeColor="text1"/>
          <w:w w:val="90"/>
          <w:sz w:val="16"/>
          <w:szCs w:val="16"/>
        </w:rPr>
        <w:t xml:space="preserve"> Ver: </w:t>
      </w:r>
      <w:hyperlink r:id="rId4" w:history="1">
        <w:r w:rsidRPr="0049743F">
          <w:rPr>
            <w:rStyle w:val="Hyperlink"/>
            <w:rFonts w:cstheme="minorHAnsi"/>
            <w:color w:val="000000" w:themeColor="text1"/>
            <w:w w:val="90"/>
            <w:sz w:val="16"/>
            <w:szCs w:val="16"/>
            <w:u w:val="none"/>
          </w:rPr>
          <w:t>https://www.pa.undp.org/content/panama/es/home/presscenter/articles/2019/guna-yala-ante-las-amenazas-de-la-crisis-climatica.html</w:t>
        </w:r>
      </w:hyperlink>
      <w:r w:rsidRPr="0049743F">
        <w:rPr>
          <w:rFonts w:cstheme="minorHAnsi"/>
          <w:color w:val="000000" w:themeColor="text1"/>
          <w:w w:val="90"/>
          <w:sz w:val="16"/>
          <w:szCs w:val="16"/>
        </w:rPr>
        <w:t xml:space="preserve"> </w:t>
      </w:r>
    </w:p>
  </w:footnote>
  <w:footnote w:id="9">
    <w:p w14:paraId="2E3B098A" w14:textId="77777777" w:rsidR="000264D3" w:rsidRPr="0049743F" w:rsidRDefault="000264D3" w:rsidP="000C171B">
      <w:pPr>
        <w:pStyle w:val="FootnoteText"/>
        <w:rPr>
          <w:rFonts w:cstheme="minorHAnsi"/>
          <w:w w:val="90"/>
          <w:sz w:val="16"/>
          <w:szCs w:val="16"/>
        </w:rPr>
      </w:pPr>
      <w:r w:rsidRPr="0049743F">
        <w:rPr>
          <w:rStyle w:val="FootnoteReference"/>
          <w:rFonts w:cstheme="minorHAnsi"/>
          <w:w w:val="90"/>
          <w:sz w:val="16"/>
          <w:szCs w:val="16"/>
        </w:rPr>
        <w:footnoteRef/>
      </w:r>
      <w:r w:rsidRPr="0049743F">
        <w:rPr>
          <w:rFonts w:cstheme="minorHAnsi"/>
          <w:w w:val="90"/>
          <w:sz w:val="16"/>
          <w:szCs w:val="16"/>
        </w:rPr>
        <w:t xml:space="preserve"> Ver: https://www.laestrella.com.pa/cafe-estrella/planeta/191008/18-000-han-tala-rasa</w:t>
      </w:r>
    </w:p>
  </w:footnote>
  <w:footnote w:id="10">
    <w:p w14:paraId="29E9B200" w14:textId="77777777" w:rsidR="000264D3" w:rsidRPr="0049743F" w:rsidRDefault="000264D3" w:rsidP="000C171B">
      <w:pPr>
        <w:pStyle w:val="FootnoteText"/>
        <w:jc w:val="both"/>
        <w:rPr>
          <w:rFonts w:cstheme="minorHAnsi"/>
          <w:w w:val="90"/>
          <w:sz w:val="16"/>
          <w:szCs w:val="16"/>
        </w:rPr>
      </w:pPr>
      <w:r w:rsidRPr="0049743F">
        <w:rPr>
          <w:rStyle w:val="FootnoteReference"/>
          <w:rFonts w:cstheme="minorHAnsi"/>
          <w:w w:val="90"/>
          <w:sz w:val="16"/>
          <w:szCs w:val="16"/>
        </w:rPr>
        <w:footnoteRef/>
      </w:r>
      <w:r w:rsidRPr="0049743F">
        <w:rPr>
          <w:rFonts w:cstheme="minorHAnsi"/>
          <w:w w:val="90"/>
          <w:sz w:val="16"/>
          <w:szCs w:val="16"/>
        </w:rPr>
        <w:t xml:space="preserve"> Contraloría General de la República, 2016, Situación de la Población. El proceso de transición demográfica en Panamá. Panamá, Panamá.</w:t>
      </w:r>
    </w:p>
  </w:footnote>
  <w:footnote w:id="11">
    <w:p w14:paraId="055E6CB1" w14:textId="77777777" w:rsidR="000264D3" w:rsidRPr="0049743F" w:rsidRDefault="000264D3" w:rsidP="000C171B">
      <w:pPr>
        <w:pStyle w:val="FootnoteText"/>
        <w:jc w:val="both"/>
        <w:rPr>
          <w:rFonts w:cstheme="minorHAnsi"/>
          <w:color w:val="000000" w:themeColor="text1"/>
          <w:w w:val="90"/>
          <w:sz w:val="16"/>
          <w:szCs w:val="16"/>
        </w:rPr>
      </w:pPr>
      <w:r w:rsidRPr="0049743F">
        <w:rPr>
          <w:rStyle w:val="FootnoteReference"/>
          <w:rFonts w:cstheme="minorHAnsi"/>
          <w:color w:val="000000" w:themeColor="text1"/>
          <w:w w:val="90"/>
          <w:sz w:val="16"/>
          <w:szCs w:val="16"/>
        </w:rPr>
        <w:footnoteRef/>
      </w:r>
      <w:r w:rsidRPr="0049743F">
        <w:rPr>
          <w:rFonts w:cstheme="minorHAnsi"/>
          <w:color w:val="000000" w:themeColor="text1"/>
          <w:w w:val="90"/>
          <w:sz w:val="16"/>
          <w:szCs w:val="16"/>
        </w:rPr>
        <w:t xml:space="preserve"> MINSA – Departamento de Registros y Estadísticas de la Salud, 2019, Proyección de población en base a Censo de Población y Vivienda 2010. Panamá, Panamá.</w:t>
      </w:r>
    </w:p>
  </w:footnote>
  <w:footnote w:id="12">
    <w:p w14:paraId="127C68BE" w14:textId="77777777" w:rsidR="000264D3" w:rsidRPr="0049743F" w:rsidRDefault="000264D3" w:rsidP="000C171B">
      <w:pPr>
        <w:pStyle w:val="CommentText"/>
        <w:spacing w:after="0"/>
        <w:rPr>
          <w:rFonts w:cstheme="minorHAnsi"/>
          <w:color w:val="000000" w:themeColor="text1"/>
          <w:sz w:val="16"/>
          <w:szCs w:val="16"/>
        </w:rPr>
      </w:pPr>
      <w:r w:rsidRPr="0049743F">
        <w:rPr>
          <w:rStyle w:val="FootnoteReference"/>
          <w:rFonts w:cstheme="minorHAnsi"/>
          <w:color w:val="000000" w:themeColor="text1"/>
          <w:w w:val="90"/>
          <w:sz w:val="16"/>
          <w:szCs w:val="16"/>
        </w:rPr>
        <w:footnoteRef/>
      </w:r>
      <w:r w:rsidRPr="0049743F">
        <w:rPr>
          <w:rFonts w:cstheme="minorHAnsi"/>
          <w:color w:val="000000" w:themeColor="text1"/>
          <w:w w:val="90"/>
          <w:sz w:val="16"/>
          <w:szCs w:val="16"/>
        </w:rPr>
        <w:t xml:space="preserve"> Ver: </w:t>
      </w:r>
      <w:r w:rsidRPr="0049743F">
        <w:rPr>
          <w:rStyle w:val="Hyperlink"/>
          <w:rFonts w:cstheme="minorHAnsi"/>
          <w:color w:val="000000" w:themeColor="text1"/>
          <w:w w:val="90"/>
          <w:sz w:val="16"/>
          <w:szCs w:val="16"/>
          <w:u w:val="none"/>
        </w:rPr>
        <w:t>https://wedocs.unep.org/bitstream/handle/20.500.11822/27539/GEO6_2019.pdf?sequence=1&amp;isAllowed=y</w:t>
      </w:r>
    </w:p>
  </w:footnote>
  <w:footnote w:id="13">
    <w:p w14:paraId="0308D7D1" w14:textId="4B0641E3" w:rsidR="000264D3" w:rsidRDefault="000264D3">
      <w:pPr>
        <w:pStyle w:val="FootnoteText"/>
      </w:pPr>
      <w:r>
        <w:rPr>
          <w:rStyle w:val="FootnoteReference"/>
        </w:rPr>
        <w:footnoteRef/>
      </w:r>
      <w:r>
        <w:t xml:space="preserve"> La siguiente Sección describe el comportamiento de los indicadores, en la mayoría de los casos, a partir de las fuentes nacionales. En materia de indicadores, Panamá debe realizar un esfuerzo importante para consolidar las estadísticas nacionales y con ello registrar los avances del cumplimiento de la Agenda 2030. </w:t>
      </w:r>
    </w:p>
  </w:footnote>
  <w:footnote w:id="14">
    <w:p w14:paraId="0B1DF826" w14:textId="77777777" w:rsidR="000264D3" w:rsidRPr="0049743F" w:rsidRDefault="000264D3" w:rsidP="000C171B">
      <w:pPr>
        <w:pStyle w:val="FootnoteText"/>
        <w:rPr>
          <w:rFonts w:cstheme="minorHAnsi"/>
          <w:sz w:val="16"/>
          <w:szCs w:val="16"/>
          <w:lang w:val="es-ES"/>
        </w:rPr>
      </w:pPr>
      <w:r w:rsidRPr="0049743F">
        <w:rPr>
          <w:rStyle w:val="FootnoteReference"/>
          <w:rFonts w:cstheme="minorHAnsi"/>
          <w:sz w:val="16"/>
          <w:szCs w:val="16"/>
        </w:rPr>
        <w:footnoteRef/>
      </w:r>
      <w:r w:rsidRPr="0049743F">
        <w:rPr>
          <w:rFonts w:cstheme="minorHAnsi"/>
          <w:sz w:val="16"/>
          <w:szCs w:val="16"/>
        </w:rPr>
        <w:t xml:space="preserve"> </w:t>
      </w:r>
      <w:r w:rsidRPr="0049743F">
        <w:rPr>
          <w:rFonts w:cstheme="minorHAnsi"/>
          <w:sz w:val="16"/>
          <w:szCs w:val="16"/>
          <w:lang w:val="es-ES"/>
        </w:rPr>
        <w:t>Fuente: Boletines del Tribunal Electoral 4529-4581, elaboración AMUPA.</w:t>
      </w:r>
    </w:p>
  </w:footnote>
  <w:footnote w:id="15">
    <w:p w14:paraId="17C57D35" w14:textId="77777777" w:rsidR="000264D3" w:rsidRPr="0049743F" w:rsidRDefault="000264D3" w:rsidP="000C171B">
      <w:pPr>
        <w:pStyle w:val="FootnoteText"/>
        <w:rPr>
          <w:rFonts w:cstheme="minorHAnsi"/>
          <w:sz w:val="16"/>
          <w:szCs w:val="16"/>
        </w:rPr>
      </w:pPr>
      <w:r w:rsidRPr="0049743F">
        <w:rPr>
          <w:rStyle w:val="FootnoteReference"/>
          <w:rFonts w:cstheme="minorHAnsi"/>
          <w:sz w:val="16"/>
          <w:szCs w:val="16"/>
        </w:rPr>
        <w:footnoteRef/>
      </w:r>
      <w:r w:rsidRPr="0049743F">
        <w:rPr>
          <w:rFonts w:cstheme="minorHAnsi"/>
          <w:sz w:val="16"/>
          <w:szCs w:val="16"/>
        </w:rPr>
        <w:t xml:space="preserve"> </w:t>
      </w:r>
      <w:r w:rsidRPr="0049743F">
        <w:rPr>
          <w:rFonts w:cstheme="minorHAnsi"/>
          <w:color w:val="000000" w:themeColor="text1"/>
          <w:sz w:val="16"/>
          <w:szCs w:val="16"/>
        </w:rPr>
        <w:t xml:space="preserve">Ver:  </w:t>
      </w:r>
      <w:hyperlink r:id="rId5" w:history="1">
        <w:r w:rsidRPr="0049743F">
          <w:rPr>
            <w:rStyle w:val="Hyperlink"/>
            <w:rFonts w:cstheme="minorHAnsi"/>
            <w:color w:val="000000" w:themeColor="text1"/>
            <w:sz w:val="16"/>
            <w:szCs w:val="16"/>
            <w:u w:val="none"/>
          </w:rPr>
          <w:t>https://www.unaids.org/sites/default/files/media_asset/JC2118_terminology-guidelines_es_0.pdf</w:t>
        </w:r>
      </w:hyperlink>
    </w:p>
  </w:footnote>
  <w:footnote w:id="16">
    <w:p w14:paraId="0E6124F6" w14:textId="77777777" w:rsidR="000264D3" w:rsidRPr="0049743F" w:rsidRDefault="000264D3" w:rsidP="000C171B">
      <w:pPr>
        <w:pStyle w:val="FootnoteText"/>
        <w:rPr>
          <w:rFonts w:cstheme="minorHAnsi"/>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Ver: </w:t>
      </w:r>
      <w:hyperlink r:id="rId6" w:history="1">
        <w:r w:rsidRPr="0049743F">
          <w:rPr>
            <w:rStyle w:val="Hyperlink"/>
            <w:rFonts w:cstheme="minorHAnsi"/>
            <w:color w:val="000000" w:themeColor="text1"/>
            <w:sz w:val="16"/>
            <w:szCs w:val="16"/>
            <w:u w:val="none"/>
          </w:rPr>
          <w:t>https://www.paho.org/clap/index.php?option=com_docman&amp;view=download&amp;category_slug=publicaciones-sifilis&amp;alias=93-monitoreo-iniciativa-para-eliminacion-de-la-transmision-maternoinfantil-del-vih-y-sifilis-congenita&amp;Itemid=219&amp;lang=es</w:t>
        </w:r>
      </w:hyperlink>
    </w:p>
  </w:footnote>
  <w:footnote w:id="17">
    <w:p w14:paraId="3FD3A884" w14:textId="77777777" w:rsidR="000264D3" w:rsidRPr="0049743F" w:rsidRDefault="000264D3" w:rsidP="000C171B">
      <w:pPr>
        <w:pStyle w:val="FootnoteText"/>
        <w:rPr>
          <w:rFonts w:cstheme="minorHAnsi"/>
          <w:color w:val="000000" w:themeColor="text1"/>
          <w:sz w:val="16"/>
          <w:szCs w:val="16"/>
        </w:rPr>
      </w:pPr>
      <w:r w:rsidRPr="0049743F">
        <w:rPr>
          <w:rStyle w:val="FootnoteReference"/>
          <w:rFonts w:cstheme="minorHAnsi"/>
          <w:sz w:val="16"/>
          <w:szCs w:val="16"/>
        </w:rPr>
        <w:footnoteRef/>
      </w:r>
      <w:r w:rsidRPr="0049743F">
        <w:rPr>
          <w:rFonts w:cstheme="minorHAnsi"/>
          <w:sz w:val="16"/>
          <w:szCs w:val="16"/>
        </w:rPr>
        <w:t xml:space="preserve"> Ver: https://treaties.un.org/doc/Publication/CN/2018/CN.442.2018-Eng.pdf</w:t>
      </w:r>
    </w:p>
  </w:footnote>
  <w:footnote w:id="18">
    <w:p w14:paraId="35F49DCE" w14:textId="77777777" w:rsidR="000264D3" w:rsidRPr="0049743F" w:rsidRDefault="000264D3" w:rsidP="000C171B">
      <w:pPr>
        <w:pStyle w:val="FootnoteText"/>
        <w:rPr>
          <w:rFonts w:cstheme="minorHAnsi"/>
          <w:sz w:val="16"/>
          <w:szCs w:val="16"/>
        </w:rPr>
      </w:pPr>
      <w:r w:rsidRPr="0049743F">
        <w:rPr>
          <w:rStyle w:val="FootnoteReference"/>
          <w:rFonts w:cstheme="minorHAnsi"/>
          <w:sz w:val="16"/>
          <w:szCs w:val="16"/>
        </w:rPr>
        <w:footnoteRef/>
      </w:r>
      <w:r w:rsidRPr="0049743F">
        <w:rPr>
          <w:rFonts w:cstheme="minorHAnsi"/>
          <w:sz w:val="16"/>
          <w:szCs w:val="16"/>
        </w:rPr>
        <w:t xml:space="preserve"> Ver: https://www.mire.gob.pa/index.php/es/noticias-mire/13811-panama-presenta-herramienta-para-el-cumplimiento-de-las-recomendaciones-de-los-organos-de-derechos-humanos</w:t>
      </w:r>
    </w:p>
  </w:footnote>
  <w:footnote w:id="19">
    <w:p w14:paraId="0456B71D" w14:textId="77777777" w:rsidR="000264D3" w:rsidRPr="0049743F" w:rsidRDefault="000264D3" w:rsidP="000C171B">
      <w:pPr>
        <w:pStyle w:val="FootnoteText"/>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Ver: </w:t>
      </w:r>
      <w:hyperlink r:id="rId7" w:history="1">
        <w:r w:rsidRPr="0049743F">
          <w:rPr>
            <w:rStyle w:val="Hyperlink"/>
            <w:rFonts w:cstheme="minorHAnsi"/>
            <w:color w:val="000000" w:themeColor="text1"/>
            <w:sz w:val="16"/>
            <w:szCs w:val="16"/>
            <w:u w:val="none"/>
          </w:rPr>
          <w:t>http://www.pa.undp.org/content/panama/es/home/library/democratic_governance/estrategia-nacional-de-seguridad-ciudadana.html</w:t>
        </w:r>
      </w:hyperlink>
      <w:r w:rsidRPr="0049743F">
        <w:rPr>
          <w:rFonts w:cstheme="minorHAnsi"/>
          <w:color w:val="000000" w:themeColor="text1"/>
          <w:sz w:val="16"/>
          <w:szCs w:val="16"/>
        </w:rPr>
        <w:t xml:space="preserve"> </w:t>
      </w:r>
    </w:p>
  </w:footnote>
  <w:footnote w:id="20">
    <w:p w14:paraId="0DBB8DC2" w14:textId="77777777" w:rsidR="000264D3" w:rsidRPr="0049743F" w:rsidRDefault="000264D3" w:rsidP="000C171B">
      <w:pPr>
        <w:pStyle w:val="FootnoteText"/>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Ver: </w:t>
      </w:r>
      <w:hyperlink r:id="rId8" w:history="1">
        <w:r w:rsidRPr="0049743F">
          <w:rPr>
            <w:rStyle w:val="Hyperlink"/>
            <w:rFonts w:cstheme="minorHAnsi"/>
            <w:color w:val="000000" w:themeColor="text1"/>
            <w:sz w:val="16"/>
            <w:szCs w:val="16"/>
            <w:u w:val="none"/>
          </w:rPr>
          <w:t>http://www.pa.undp.org/content/panama/es/home/presscenter/articles/pnud-entrega-obras-en-pro-de-la-calidad-de-vida-de-adolescentes-.html</w:t>
        </w:r>
      </w:hyperlink>
      <w:r w:rsidRPr="0049743F">
        <w:rPr>
          <w:rFonts w:cstheme="minorHAnsi"/>
          <w:color w:val="000000" w:themeColor="text1"/>
          <w:sz w:val="16"/>
          <w:szCs w:val="16"/>
        </w:rPr>
        <w:t xml:space="preserve"> </w:t>
      </w:r>
    </w:p>
  </w:footnote>
  <w:footnote w:id="21">
    <w:p w14:paraId="6F3A041F" w14:textId="77777777" w:rsidR="000264D3" w:rsidRPr="0049743F" w:rsidRDefault="000264D3" w:rsidP="000C171B">
      <w:pPr>
        <w:pStyle w:val="FootnoteText"/>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Ver: </w:t>
      </w:r>
      <w:hyperlink r:id="rId9" w:history="1">
        <w:r w:rsidRPr="0049743F">
          <w:rPr>
            <w:rStyle w:val="Hyperlink"/>
            <w:rFonts w:cstheme="minorHAnsi"/>
            <w:color w:val="000000" w:themeColor="text1"/>
            <w:sz w:val="16"/>
            <w:szCs w:val="16"/>
            <w:u w:val="none"/>
          </w:rPr>
          <w:t>http://ministeriopublico.gob.pa/estadisticas-judiciales/privados-de-libertad/</w:t>
        </w:r>
      </w:hyperlink>
      <w:r w:rsidRPr="0049743F">
        <w:rPr>
          <w:rFonts w:cstheme="minorHAnsi"/>
          <w:color w:val="000000" w:themeColor="text1"/>
          <w:sz w:val="16"/>
          <w:szCs w:val="16"/>
        </w:rPr>
        <w:t xml:space="preserve"> </w:t>
      </w:r>
    </w:p>
  </w:footnote>
  <w:footnote w:id="22">
    <w:p w14:paraId="1FBCFF64" w14:textId="77777777" w:rsidR="000264D3" w:rsidRPr="0049743F" w:rsidRDefault="000264D3" w:rsidP="000C171B">
      <w:pPr>
        <w:spacing w:after="0" w:line="240" w:lineRule="auto"/>
        <w:rPr>
          <w:rFonts w:cstheme="minorHAnsi"/>
          <w:color w:val="000000"/>
          <w:sz w:val="16"/>
          <w:szCs w:val="16"/>
          <w:lang w:eastAsia="en-GB"/>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Ver: </w:t>
      </w:r>
      <w:hyperlink r:id="rId10" w:history="1">
        <w:r w:rsidRPr="0049743F">
          <w:rPr>
            <w:rStyle w:val="Hyperlink"/>
            <w:rFonts w:cstheme="minorHAnsi"/>
            <w:color w:val="000000" w:themeColor="text1"/>
            <w:sz w:val="16"/>
            <w:szCs w:val="16"/>
            <w:u w:val="none"/>
            <w:lang w:eastAsia="en-GB"/>
          </w:rPr>
          <w:t>http://www.conagua.gob.pa/pnsh/introduccion-al-pnsh-2015-2050.html</w:t>
        </w:r>
      </w:hyperlink>
      <w:r w:rsidRPr="0049743F">
        <w:rPr>
          <w:rFonts w:cstheme="minorHAnsi"/>
          <w:color w:val="000000" w:themeColor="text1"/>
          <w:sz w:val="16"/>
          <w:szCs w:val="16"/>
          <w:lang w:eastAsia="en-GB"/>
        </w:rPr>
        <w:t xml:space="preserve"> </w:t>
      </w:r>
    </w:p>
  </w:footnote>
  <w:footnote w:id="23">
    <w:p w14:paraId="309E68FC" w14:textId="77777777" w:rsidR="000264D3" w:rsidRPr="0049743F" w:rsidRDefault="000264D3" w:rsidP="000C171B">
      <w:pPr>
        <w:pStyle w:val="FootnoteText"/>
        <w:rPr>
          <w:rFonts w:cstheme="minorHAnsi"/>
          <w:color w:val="000000" w:themeColor="text1"/>
          <w:sz w:val="16"/>
          <w:szCs w:val="16"/>
        </w:rPr>
      </w:pPr>
      <w:r w:rsidRPr="0049743F">
        <w:rPr>
          <w:rStyle w:val="FootnoteReference"/>
          <w:rFonts w:cstheme="minorHAnsi"/>
          <w:sz w:val="16"/>
          <w:szCs w:val="16"/>
        </w:rPr>
        <w:footnoteRef/>
      </w:r>
      <w:r w:rsidRPr="0049743F">
        <w:rPr>
          <w:rFonts w:cstheme="minorHAnsi"/>
          <w:sz w:val="16"/>
          <w:szCs w:val="16"/>
        </w:rPr>
        <w:t xml:space="preserve"> Ver: </w:t>
      </w:r>
      <w:hyperlink r:id="rId11" w:history="1">
        <w:r w:rsidRPr="0049743F">
          <w:rPr>
            <w:rStyle w:val="Hyperlink"/>
            <w:rFonts w:cstheme="minorHAnsi"/>
            <w:color w:val="000000" w:themeColor="text1"/>
            <w:sz w:val="16"/>
            <w:szCs w:val="16"/>
            <w:u w:val="none"/>
          </w:rPr>
          <w:t>https://www.iidh.ed.cr/capel/media/1438/ley-29-2017-reforma-c%C3%B3digo-electoral.pdf</w:t>
        </w:r>
      </w:hyperlink>
    </w:p>
  </w:footnote>
  <w:footnote w:id="24">
    <w:p w14:paraId="482E543A" w14:textId="77777777" w:rsidR="000264D3" w:rsidRPr="0049743F" w:rsidRDefault="000264D3" w:rsidP="000C171B">
      <w:pPr>
        <w:pStyle w:val="FootnoteText"/>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Ver: https://www.asamblea.gob.pa/APPS/LEGISPAN/PDF_NORMAS/2010/2016/2016_626_0052.pdf</w:t>
      </w:r>
    </w:p>
  </w:footnote>
  <w:footnote w:id="25">
    <w:p w14:paraId="34621641" w14:textId="77777777" w:rsidR="000264D3" w:rsidRPr="0049743F" w:rsidRDefault="000264D3" w:rsidP="000C171B">
      <w:pPr>
        <w:pStyle w:val="FootnoteText"/>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Esta normativa también podría aprovecharse para ampliar la definición de refugiado, proporcionar seguridad jurídica con un procedimiento detallado para la presentación de la solicitud y las fases posteriores, y mejorar el debido proceso para garantizar equidad en el procesamiento acelerado de solicitudes manifiestamente infundadas.</w:t>
      </w:r>
    </w:p>
  </w:footnote>
  <w:footnote w:id="26">
    <w:p w14:paraId="31FC85A5" w14:textId="77777777" w:rsidR="000264D3" w:rsidRPr="0049743F" w:rsidRDefault="000264D3" w:rsidP="000C171B">
      <w:pPr>
        <w:pStyle w:val="FootnoteText"/>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Ver: </w:t>
      </w:r>
      <w:hyperlink r:id="rId12" w:history="1">
        <w:r w:rsidRPr="0049743F">
          <w:rPr>
            <w:rStyle w:val="Hyperlink"/>
            <w:rFonts w:cstheme="minorHAnsi"/>
            <w:color w:val="000000" w:themeColor="text1"/>
            <w:sz w:val="16"/>
            <w:szCs w:val="16"/>
            <w:u w:val="none"/>
          </w:rPr>
          <w:t>https://www.gacetaoficial.gob.pa/pdfTemp/28590_B/GacetaNo_28590b_20180814.pdf</w:t>
        </w:r>
      </w:hyperlink>
    </w:p>
  </w:footnote>
  <w:footnote w:id="27">
    <w:p w14:paraId="3F9FD01A" w14:textId="77777777" w:rsidR="000264D3" w:rsidRPr="0049743F" w:rsidRDefault="000264D3" w:rsidP="000C171B">
      <w:pPr>
        <w:pStyle w:val="FootnoteText"/>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w:t>
      </w:r>
      <w:r w:rsidRPr="0049743F">
        <w:rPr>
          <w:rFonts w:cstheme="minorHAnsi"/>
          <w:color w:val="000000" w:themeColor="text1"/>
          <w:sz w:val="16"/>
          <w:szCs w:val="16"/>
          <w:lang w:eastAsia="en-GB"/>
        </w:rPr>
        <w:t xml:space="preserve">Ver:  </w:t>
      </w:r>
      <w:hyperlink r:id="rId13" w:history="1">
        <w:r w:rsidRPr="0049743F">
          <w:rPr>
            <w:rStyle w:val="Hyperlink"/>
            <w:rFonts w:cstheme="minorHAnsi"/>
            <w:color w:val="000000" w:themeColor="text1"/>
            <w:sz w:val="16"/>
            <w:szCs w:val="16"/>
            <w:u w:val="none"/>
          </w:rPr>
          <w:t>http://www.minsa.gob.pa/sites/default/files/publicaciones/asis_final_2018c.pdf</w:t>
        </w:r>
      </w:hyperlink>
      <w:r w:rsidRPr="0049743F">
        <w:rPr>
          <w:rFonts w:cstheme="minorHAnsi"/>
          <w:color w:val="000000" w:themeColor="text1"/>
          <w:sz w:val="16"/>
          <w:szCs w:val="16"/>
        </w:rPr>
        <w:t xml:space="preserve"> </w:t>
      </w:r>
    </w:p>
  </w:footnote>
  <w:footnote w:id="28">
    <w:p w14:paraId="70FF4205" w14:textId="77777777" w:rsidR="000264D3" w:rsidRPr="0049743F" w:rsidRDefault="000264D3" w:rsidP="000C171B">
      <w:pPr>
        <w:pStyle w:val="FootnoteText"/>
        <w:tabs>
          <w:tab w:val="left" w:pos="2805"/>
        </w:tabs>
        <w:rPr>
          <w:rFonts w:cstheme="minorHAnsi"/>
          <w:color w:val="000000" w:themeColor="text1"/>
          <w:sz w:val="16"/>
          <w:szCs w:val="16"/>
          <w:lang w:val="fr-CH"/>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lang w:val="fr-CH"/>
        </w:rPr>
        <w:t xml:space="preserve"> </w:t>
      </w:r>
      <w:r w:rsidRPr="0049743F">
        <w:rPr>
          <w:rFonts w:cstheme="minorHAnsi"/>
          <w:color w:val="000000" w:themeColor="text1"/>
          <w:w w:val="95"/>
          <w:sz w:val="16"/>
          <w:szCs w:val="16"/>
          <w:lang w:val="fr-CH"/>
        </w:rPr>
        <w:t xml:space="preserve">Ver: </w:t>
      </w:r>
      <w:hyperlink r:id="rId14" w:history="1">
        <w:r w:rsidRPr="0049743F">
          <w:rPr>
            <w:rFonts w:cstheme="minorHAnsi"/>
            <w:color w:val="000000" w:themeColor="text1"/>
            <w:w w:val="95"/>
            <w:sz w:val="16"/>
            <w:szCs w:val="16"/>
            <w:lang w:val="fr-CH"/>
          </w:rPr>
          <w:t>https://apps.who.int/iris/bitstream/handle/10665/136632/ccsbrief_pan_es.pdf;jsessionid=10B61C6F6EA670EAF395670C5E620661?sequence=1</w:t>
        </w:r>
      </w:hyperlink>
    </w:p>
  </w:footnote>
  <w:footnote w:id="29">
    <w:p w14:paraId="0B94AC16" w14:textId="77777777" w:rsidR="000264D3" w:rsidRPr="0049743F" w:rsidRDefault="000264D3" w:rsidP="000C171B">
      <w:pPr>
        <w:pStyle w:val="FootnoteText"/>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Ver: </w:t>
      </w:r>
      <w:hyperlink r:id="rId15" w:history="1">
        <w:r w:rsidRPr="0049743F">
          <w:rPr>
            <w:rStyle w:val="Hyperlink"/>
            <w:rFonts w:cstheme="minorHAnsi"/>
            <w:color w:val="000000" w:themeColor="text1"/>
            <w:sz w:val="16"/>
            <w:szCs w:val="16"/>
            <w:u w:val="none"/>
          </w:rPr>
          <w:t>https://www.gacetaoficial.gob.pa/pdfTemp/28667_B/GacetaNo_28667b_20181204.pdf</w:t>
        </w:r>
      </w:hyperlink>
    </w:p>
  </w:footnote>
  <w:footnote w:id="30">
    <w:p w14:paraId="619A7B9E" w14:textId="77777777" w:rsidR="000264D3" w:rsidRPr="0049743F" w:rsidRDefault="000264D3" w:rsidP="000C171B">
      <w:pPr>
        <w:pStyle w:val="FootnoteText"/>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Ver: </w:t>
      </w:r>
      <w:hyperlink r:id="rId16" w:history="1">
        <w:r w:rsidRPr="0049743F">
          <w:rPr>
            <w:rStyle w:val="Hyperlink"/>
            <w:rFonts w:cstheme="minorHAnsi"/>
            <w:color w:val="000000" w:themeColor="text1"/>
            <w:sz w:val="16"/>
            <w:szCs w:val="16"/>
            <w:u w:val="none"/>
          </w:rPr>
          <w:t>https://www.gacetaoficial.gob.pa/pdfTemp/28631/GacetaNo_28631_20181011.pdf</w:t>
        </w:r>
      </w:hyperlink>
    </w:p>
  </w:footnote>
  <w:footnote w:id="31">
    <w:p w14:paraId="7E853C01" w14:textId="77777777" w:rsidR="000264D3" w:rsidRPr="0049743F" w:rsidRDefault="000264D3" w:rsidP="000C171B">
      <w:pPr>
        <w:pStyle w:val="FootnoteText"/>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Ver: </w:t>
      </w:r>
      <w:hyperlink r:id="rId17" w:history="1">
        <w:r w:rsidRPr="0049743F">
          <w:rPr>
            <w:rStyle w:val="Hyperlink"/>
            <w:rFonts w:cstheme="minorHAnsi"/>
            <w:color w:val="000000" w:themeColor="text1"/>
            <w:sz w:val="16"/>
            <w:szCs w:val="16"/>
            <w:u w:val="none"/>
          </w:rPr>
          <w:t>https://www.gacetaoficial.gob.pa/pdfTemp/28320/GacetaNo_28320_20170712.pdf</w:t>
        </w:r>
      </w:hyperlink>
    </w:p>
  </w:footnote>
  <w:footnote w:id="32">
    <w:p w14:paraId="585BE9DF" w14:textId="77777777" w:rsidR="000264D3" w:rsidRPr="0049743F" w:rsidRDefault="000264D3" w:rsidP="000C171B">
      <w:pPr>
        <w:pStyle w:val="FootnoteText"/>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La estrategia se denomina “Aumentar el empleo, la productividad y la inclusión social con más y mejor formación técnica y profesional”</w:t>
      </w:r>
    </w:p>
  </w:footnote>
  <w:footnote w:id="33">
    <w:p w14:paraId="5928056C" w14:textId="77777777" w:rsidR="000264D3" w:rsidRPr="0049743F" w:rsidRDefault="000264D3" w:rsidP="000C171B">
      <w:pPr>
        <w:pStyle w:val="FootnoteText"/>
        <w:rPr>
          <w:rFonts w:cstheme="minorHAnsi"/>
          <w:sz w:val="16"/>
          <w:szCs w:val="16"/>
        </w:rPr>
      </w:pPr>
      <w:r w:rsidRPr="0049743F">
        <w:rPr>
          <w:rStyle w:val="FootnoteReference"/>
          <w:rFonts w:cstheme="minorHAnsi"/>
          <w:sz w:val="16"/>
          <w:szCs w:val="16"/>
        </w:rPr>
        <w:footnoteRef/>
      </w:r>
      <w:r w:rsidRPr="0049743F">
        <w:rPr>
          <w:rFonts w:cstheme="minorHAnsi"/>
          <w:sz w:val="16"/>
          <w:szCs w:val="16"/>
        </w:rPr>
        <w:t xml:space="preserve"> Ver:  </w:t>
      </w:r>
      <w:hyperlink r:id="rId18" w:history="1">
        <w:r w:rsidRPr="0049743F">
          <w:rPr>
            <w:rFonts w:cstheme="minorHAnsi"/>
            <w:sz w:val="16"/>
            <w:szCs w:val="16"/>
          </w:rPr>
          <w:t>https://www.gacetaoficial.gob.pa/pdfTemp/28465_A/66081.pdf</w:t>
        </w:r>
      </w:hyperlink>
    </w:p>
  </w:footnote>
  <w:footnote w:id="34">
    <w:p w14:paraId="6F64F246" w14:textId="77777777" w:rsidR="000264D3" w:rsidRPr="0049743F" w:rsidRDefault="000264D3" w:rsidP="000C171B">
      <w:pPr>
        <w:pStyle w:val="FootnoteText"/>
        <w:rPr>
          <w:rFonts w:cstheme="minorHAnsi"/>
          <w:sz w:val="16"/>
          <w:szCs w:val="16"/>
        </w:rPr>
      </w:pPr>
      <w:r w:rsidRPr="0049743F">
        <w:rPr>
          <w:rStyle w:val="FootnoteReference"/>
          <w:rFonts w:cstheme="minorHAnsi"/>
          <w:sz w:val="16"/>
          <w:szCs w:val="16"/>
        </w:rPr>
        <w:footnoteRef/>
      </w:r>
      <w:r w:rsidRPr="0049743F">
        <w:rPr>
          <w:rFonts w:cstheme="minorHAnsi"/>
          <w:sz w:val="16"/>
          <w:szCs w:val="16"/>
        </w:rPr>
        <w:t xml:space="preserve"> </w:t>
      </w:r>
      <w:r w:rsidRPr="0049743F">
        <w:rPr>
          <w:rFonts w:cstheme="minorHAnsi"/>
          <w:sz w:val="16"/>
          <w:szCs w:val="16"/>
          <w:lang w:val="es-419"/>
        </w:rPr>
        <w:t>Desde 2015, existe un anteproyecto de Ley impulsado por la Asociación Hombres y Mujeres Nuevos de Panamá que fue declarado como viable y remitido para la consideración de la Comisión de Gobierno y Justicia y Asuntos Constitucionales, sin embargo, este Anteproyecto de Ley aún no ha sido sometido para la consideración del plenario de la Asamblea Nacional de Diputados para su discusión.</w:t>
      </w:r>
    </w:p>
  </w:footnote>
  <w:footnote w:id="35">
    <w:p w14:paraId="0EAF52CE" w14:textId="77777777" w:rsidR="000264D3" w:rsidRPr="0049743F" w:rsidRDefault="000264D3" w:rsidP="000C171B">
      <w:pPr>
        <w:pStyle w:val="FootnoteText"/>
        <w:rPr>
          <w:rFonts w:cstheme="minorHAnsi"/>
          <w:sz w:val="16"/>
          <w:szCs w:val="16"/>
        </w:rPr>
      </w:pPr>
      <w:r w:rsidRPr="0049743F">
        <w:rPr>
          <w:rStyle w:val="FootnoteReference"/>
          <w:rFonts w:cstheme="minorHAnsi"/>
          <w:sz w:val="16"/>
          <w:szCs w:val="16"/>
        </w:rPr>
        <w:footnoteRef/>
      </w:r>
      <w:r w:rsidRPr="0049743F">
        <w:rPr>
          <w:rFonts w:cstheme="minorHAnsi"/>
          <w:sz w:val="16"/>
          <w:szCs w:val="16"/>
        </w:rPr>
        <w:t xml:space="preserve"> Ver: https://www.mides.gob.pa/presidente-varela-sanciona-ley-afropanamenos-senadap/</w:t>
      </w:r>
    </w:p>
  </w:footnote>
  <w:footnote w:id="36">
    <w:p w14:paraId="7708678C" w14:textId="77777777" w:rsidR="000264D3" w:rsidRPr="0049743F" w:rsidRDefault="000264D3" w:rsidP="000C171B">
      <w:pPr>
        <w:pStyle w:val="FootnoteText"/>
        <w:rPr>
          <w:rFonts w:cstheme="minorHAnsi"/>
          <w:sz w:val="16"/>
          <w:szCs w:val="16"/>
        </w:rPr>
      </w:pPr>
      <w:r w:rsidRPr="0049743F">
        <w:rPr>
          <w:rStyle w:val="FootnoteReference"/>
          <w:rFonts w:cstheme="minorHAnsi"/>
          <w:sz w:val="16"/>
          <w:szCs w:val="16"/>
        </w:rPr>
        <w:footnoteRef/>
      </w:r>
      <w:r w:rsidRPr="0049743F">
        <w:rPr>
          <w:rFonts w:cstheme="minorHAnsi"/>
          <w:sz w:val="16"/>
          <w:szCs w:val="16"/>
        </w:rPr>
        <w:t xml:space="preserve"> Ver: https://diadelaetnia.homestead.com/Inclusion.html</w:t>
      </w:r>
    </w:p>
  </w:footnote>
  <w:footnote w:id="37">
    <w:p w14:paraId="18796757" w14:textId="77777777" w:rsidR="000264D3" w:rsidRPr="0049743F" w:rsidRDefault="000264D3" w:rsidP="000C171B">
      <w:pPr>
        <w:pStyle w:val="FootnoteText"/>
        <w:rPr>
          <w:rFonts w:cstheme="minorHAnsi"/>
          <w:sz w:val="16"/>
          <w:szCs w:val="16"/>
        </w:rPr>
      </w:pPr>
      <w:r w:rsidRPr="0049743F">
        <w:rPr>
          <w:rStyle w:val="FootnoteReference"/>
          <w:rFonts w:cstheme="minorHAnsi"/>
          <w:sz w:val="16"/>
          <w:szCs w:val="16"/>
        </w:rPr>
        <w:footnoteRef/>
      </w:r>
      <w:r w:rsidRPr="0049743F">
        <w:rPr>
          <w:rFonts w:cstheme="minorHAnsi"/>
          <w:sz w:val="16"/>
          <w:szCs w:val="16"/>
        </w:rPr>
        <w:t xml:space="preserve"> Ver: http://www.pa.undp.org/content/panama/es/home/presscenter/articles/2017/11/30/firman-pacto-para-eliminar-barreras-en-el-desarrollo-de-poblaci-n-afropaname-a.html </w:t>
      </w:r>
    </w:p>
  </w:footnote>
  <w:footnote w:id="38">
    <w:p w14:paraId="047E234A" w14:textId="77777777" w:rsidR="000264D3" w:rsidRPr="0049743F" w:rsidRDefault="000264D3" w:rsidP="000C171B">
      <w:pPr>
        <w:pStyle w:val="FootnoteText"/>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Ver: </w:t>
      </w:r>
      <w:hyperlink r:id="rId19" w:history="1">
        <w:r w:rsidRPr="0049743F">
          <w:rPr>
            <w:rStyle w:val="Hyperlink"/>
            <w:rFonts w:cstheme="minorHAnsi"/>
            <w:color w:val="000000" w:themeColor="text1"/>
            <w:sz w:val="16"/>
            <w:szCs w:val="16"/>
            <w:u w:val="none"/>
          </w:rPr>
          <w:t>https://www.gacetaoficial.gob.pa/pdfTemp/28225_B/GacetaNo_28225b_20170223.pdf</w:t>
        </w:r>
      </w:hyperlink>
      <w:r w:rsidRPr="0049743F">
        <w:rPr>
          <w:rFonts w:cstheme="minorHAnsi"/>
          <w:color w:val="000000" w:themeColor="text1"/>
          <w:sz w:val="16"/>
          <w:szCs w:val="16"/>
        </w:rPr>
        <w:t xml:space="preserve"> </w:t>
      </w:r>
    </w:p>
  </w:footnote>
  <w:footnote w:id="39">
    <w:p w14:paraId="761C8793" w14:textId="77777777" w:rsidR="000264D3" w:rsidRPr="0049743F" w:rsidRDefault="000264D3" w:rsidP="000C171B">
      <w:pPr>
        <w:pStyle w:val="FootnoteText"/>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Ver: </w:t>
      </w:r>
      <w:hyperlink r:id="rId20" w:history="1">
        <w:r w:rsidRPr="0049743F">
          <w:rPr>
            <w:rStyle w:val="Hyperlink"/>
            <w:rFonts w:cstheme="minorHAnsi"/>
            <w:color w:val="000000" w:themeColor="text1"/>
            <w:sz w:val="16"/>
            <w:szCs w:val="16"/>
            <w:u w:val="none"/>
          </w:rPr>
          <w:t>https://www.acnur.org/fileadmin/Documentos/BDL/2018/11494.pdf?file=fileadmin/Documentos/BDL/2018/11494</w:t>
        </w:r>
      </w:hyperlink>
      <w:r w:rsidRPr="0049743F">
        <w:rPr>
          <w:rFonts w:cstheme="minorHAnsi"/>
          <w:color w:val="000000" w:themeColor="text1"/>
          <w:sz w:val="16"/>
          <w:szCs w:val="16"/>
        </w:rPr>
        <w:t xml:space="preserve">  </w:t>
      </w:r>
    </w:p>
  </w:footnote>
  <w:footnote w:id="40">
    <w:p w14:paraId="3F8A0D5C" w14:textId="77777777" w:rsidR="000264D3" w:rsidRPr="0049743F" w:rsidRDefault="000264D3" w:rsidP="000C171B">
      <w:pPr>
        <w:pStyle w:val="FootnoteText"/>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eastAsia="Calibri" w:cstheme="minorHAnsi"/>
          <w:bCs/>
          <w:color w:val="000000" w:themeColor="text1"/>
          <w:sz w:val="16"/>
          <w:szCs w:val="16"/>
        </w:rPr>
        <w:t xml:space="preserve"> Ver: </w:t>
      </w:r>
      <w:r w:rsidRPr="0049743F">
        <w:rPr>
          <w:rFonts w:cstheme="minorHAnsi"/>
          <w:color w:val="000000" w:themeColor="text1"/>
          <w:sz w:val="16"/>
          <w:szCs w:val="16"/>
        </w:rPr>
        <w:t>https://www.organojudicial.gob.pa/uploads/wp_repo/blogs.dir/cendoj/tratadepersonas67364.pdf</w:t>
      </w:r>
    </w:p>
  </w:footnote>
  <w:footnote w:id="41">
    <w:p w14:paraId="2E2F5F1C" w14:textId="77777777" w:rsidR="000264D3" w:rsidRPr="0049743F" w:rsidRDefault="000264D3" w:rsidP="000C171B">
      <w:pPr>
        <w:pStyle w:val="FootnoteText"/>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Ver:  https://www.minseg.gob.pa/wp-content/uploads/2019/12/informe_trata_personas_noviembre_2019.pdf</w:t>
      </w:r>
    </w:p>
  </w:footnote>
  <w:footnote w:id="42">
    <w:p w14:paraId="6A608318" w14:textId="575463FA" w:rsidR="000264D3" w:rsidRPr="0049743F" w:rsidRDefault="000264D3" w:rsidP="000C171B">
      <w:pPr>
        <w:pStyle w:val="FootnoteText"/>
        <w:rPr>
          <w:rFonts w:cstheme="minorHAnsi"/>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Ver: </w:t>
      </w:r>
      <w:r w:rsidRPr="0049743F">
        <w:rPr>
          <w:rFonts w:cstheme="minorHAnsi"/>
          <w:sz w:val="16"/>
          <w:szCs w:val="16"/>
        </w:rPr>
        <w:t>https://www.organojudicial.gob.pa/uploads/wp_repo/blogs.dir/cendoj/ley-36-de-2013.pdf</w:t>
      </w:r>
    </w:p>
  </w:footnote>
  <w:footnote w:id="43">
    <w:p w14:paraId="13922C54" w14:textId="61C31C3A" w:rsidR="000264D3" w:rsidRPr="0049743F" w:rsidRDefault="000264D3" w:rsidP="000C171B">
      <w:pPr>
        <w:pStyle w:val="FootnoteText"/>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Ver:  </w:t>
      </w:r>
      <w:r w:rsidRPr="0049743F">
        <w:rPr>
          <w:rFonts w:cstheme="minorHAnsi"/>
          <w:sz w:val="16"/>
          <w:szCs w:val="16"/>
        </w:rPr>
        <w:t>http://www.iacseaturtle.org/docs/marco/panama/Panama%20-%20Law%2041%20of%20July%201st,%201998.pdf</w:t>
      </w:r>
    </w:p>
  </w:footnote>
  <w:footnote w:id="44">
    <w:p w14:paraId="69BB489D" w14:textId="68A1E0F9" w:rsidR="000264D3" w:rsidRPr="0049743F" w:rsidRDefault="000264D3" w:rsidP="000C171B">
      <w:pPr>
        <w:pStyle w:val="FootnoteText"/>
        <w:rPr>
          <w:rFonts w:cstheme="minorHAnsi"/>
          <w:color w:val="000000" w:themeColor="text1"/>
          <w:sz w:val="16"/>
          <w:szCs w:val="16"/>
        </w:rPr>
      </w:pPr>
      <w:r w:rsidRPr="0049743F">
        <w:rPr>
          <w:rStyle w:val="FootnoteReference"/>
          <w:rFonts w:cstheme="minorHAnsi"/>
          <w:sz w:val="16"/>
          <w:szCs w:val="16"/>
        </w:rPr>
        <w:footnoteRef/>
      </w:r>
      <w:r w:rsidRPr="0049743F">
        <w:rPr>
          <w:rFonts w:cstheme="minorHAnsi"/>
          <w:sz w:val="16"/>
          <w:szCs w:val="16"/>
        </w:rPr>
        <w:t xml:space="preserve"> Ver: https://www.migracion.gob.pa/transparencia/datos-abiertos</w:t>
      </w:r>
    </w:p>
  </w:footnote>
  <w:footnote w:id="45">
    <w:p w14:paraId="50DD8E6B" w14:textId="2225B3DA" w:rsidR="000264D3" w:rsidRPr="0049743F" w:rsidRDefault="000264D3" w:rsidP="000C171B">
      <w:pPr>
        <w:pStyle w:val="FootnoteText"/>
        <w:rPr>
          <w:rFonts w:cstheme="minorHAnsi"/>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Ver: </w:t>
      </w:r>
      <w:r w:rsidRPr="0049743F">
        <w:rPr>
          <w:rFonts w:cstheme="minorHAnsi"/>
          <w:sz w:val="16"/>
          <w:szCs w:val="16"/>
        </w:rPr>
        <w:t>http://www.defensoriadelpueblo.gob.pa/portal/defensoria-del-pueblo-abre-queja-por-posible-vulneracion-al-derecho-de-la-salud-en-darien/</w:t>
      </w:r>
      <w:r w:rsidRPr="0049743F">
        <w:rPr>
          <w:rFonts w:cstheme="minorHAnsi"/>
          <w:color w:val="000000" w:themeColor="text1"/>
          <w:sz w:val="16"/>
          <w:szCs w:val="16"/>
        </w:rPr>
        <w:t xml:space="preserve"> También en: </w:t>
      </w:r>
      <w:r w:rsidRPr="0049743F">
        <w:rPr>
          <w:rFonts w:cstheme="minorHAnsi"/>
          <w:sz w:val="16"/>
          <w:szCs w:val="16"/>
        </w:rPr>
        <w:t>http://www.defensoriadelpueblo.gob.pa/portal/situacion-migratoria-en-darien-ha-empeorado-defensor-del-pueblo/</w:t>
      </w:r>
    </w:p>
  </w:footnote>
  <w:footnote w:id="46">
    <w:p w14:paraId="5EAD817A" w14:textId="77777777" w:rsidR="000264D3" w:rsidRPr="0049743F" w:rsidRDefault="000264D3" w:rsidP="000C171B">
      <w:pPr>
        <w:pStyle w:val="FootnoteText"/>
        <w:rPr>
          <w:rFonts w:cstheme="minorHAnsi"/>
          <w:sz w:val="16"/>
          <w:szCs w:val="16"/>
        </w:rPr>
      </w:pPr>
      <w:r w:rsidRPr="0049743F">
        <w:rPr>
          <w:rStyle w:val="FootnoteReference"/>
          <w:rFonts w:cstheme="minorHAnsi"/>
          <w:sz w:val="16"/>
          <w:szCs w:val="16"/>
        </w:rPr>
        <w:footnoteRef/>
      </w:r>
      <w:r w:rsidRPr="0049743F">
        <w:rPr>
          <w:rFonts w:cstheme="minorHAnsi"/>
          <w:sz w:val="16"/>
          <w:szCs w:val="16"/>
        </w:rPr>
        <w:t xml:space="preserve"> Ver: https://es.insightcrime.org/panama-crimen-organizado/panama/</w:t>
      </w:r>
    </w:p>
  </w:footnote>
  <w:footnote w:id="47">
    <w:p w14:paraId="414D00A8" w14:textId="77777777" w:rsidR="000264D3" w:rsidRPr="0049743F" w:rsidRDefault="000264D3" w:rsidP="000C171B">
      <w:pPr>
        <w:pStyle w:val="FootnoteText"/>
        <w:rPr>
          <w:rFonts w:cstheme="minorHAnsi"/>
          <w:sz w:val="16"/>
          <w:szCs w:val="16"/>
          <w:lang w:val="en-US"/>
        </w:rPr>
      </w:pPr>
      <w:r w:rsidRPr="0049743F">
        <w:rPr>
          <w:rStyle w:val="FootnoteReference"/>
          <w:rFonts w:cstheme="minorHAnsi"/>
          <w:sz w:val="16"/>
          <w:szCs w:val="16"/>
        </w:rPr>
        <w:footnoteRef/>
      </w:r>
      <w:r w:rsidRPr="0049743F">
        <w:rPr>
          <w:rFonts w:cstheme="minorHAnsi"/>
          <w:sz w:val="16"/>
          <w:szCs w:val="16"/>
          <w:lang w:val="en-US"/>
        </w:rPr>
        <w:t xml:space="preserve">  Ver: http://www.siec.gob.pa/index. </w:t>
      </w:r>
      <w:proofErr w:type="spellStart"/>
      <w:r w:rsidRPr="0049743F">
        <w:rPr>
          <w:rFonts w:cstheme="minorHAnsi"/>
          <w:sz w:val="16"/>
          <w:szCs w:val="16"/>
          <w:lang w:val="en-US"/>
        </w:rPr>
        <w:t>php?option</w:t>
      </w:r>
      <w:proofErr w:type="spellEnd"/>
      <w:r w:rsidRPr="0049743F">
        <w:rPr>
          <w:rFonts w:cstheme="minorHAnsi"/>
          <w:sz w:val="16"/>
          <w:szCs w:val="16"/>
          <w:lang w:val="en-US"/>
        </w:rPr>
        <w:t>=</w:t>
      </w:r>
      <w:proofErr w:type="spellStart"/>
      <w:r w:rsidRPr="0049743F">
        <w:rPr>
          <w:rFonts w:cstheme="minorHAnsi"/>
          <w:sz w:val="16"/>
          <w:szCs w:val="16"/>
          <w:lang w:val="en-US"/>
        </w:rPr>
        <w:t>com_phocadownload&amp;view</w:t>
      </w:r>
      <w:proofErr w:type="spellEnd"/>
      <w:r w:rsidRPr="0049743F">
        <w:rPr>
          <w:rFonts w:cstheme="minorHAnsi"/>
          <w:sz w:val="16"/>
          <w:szCs w:val="16"/>
          <w:lang w:val="en-US"/>
        </w:rPr>
        <w:t>=</w:t>
      </w:r>
      <w:proofErr w:type="spellStart"/>
      <w:r w:rsidRPr="0049743F">
        <w:rPr>
          <w:rFonts w:cstheme="minorHAnsi"/>
          <w:sz w:val="16"/>
          <w:szCs w:val="16"/>
          <w:lang w:val="en-US"/>
        </w:rPr>
        <w:t>category&amp;id</w:t>
      </w:r>
      <w:proofErr w:type="spellEnd"/>
      <w:r w:rsidRPr="0049743F">
        <w:rPr>
          <w:rFonts w:cstheme="minorHAnsi"/>
          <w:sz w:val="16"/>
          <w:szCs w:val="16"/>
          <w:lang w:val="en-US"/>
        </w:rPr>
        <w:t>=16&amp;Itemid=239.</w:t>
      </w:r>
    </w:p>
  </w:footnote>
  <w:footnote w:id="48">
    <w:p w14:paraId="421F16FB" w14:textId="77777777" w:rsidR="000264D3" w:rsidRPr="0049743F" w:rsidRDefault="000264D3" w:rsidP="000C171B">
      <w:pPr>
        <w:pStyle w:val="FootnoteText"/>
        <w:rPr>
          <w:rFonts w:cstheme="minorHAnsi"/>
          <w:sz w:val="16"/>
          <w:szCs w:val="16"/>
        </w:rPr>
      </w:pPr>
      <w:r w:rsidRPr="0049743F">
        <w:rPr>
          <w:rStyle w:val="FootnoteReference"/>
          <w:rFonts w:cstheme="minorHAnsi"/>
          <w:sz w:val="16"/>
          <w:szCs w:val="16"/>
        </w:rPr>
        <w:footnoteRef/>
      </w:r>
      <w:r w:rsidRPr="0049743F">
        <w:rPr>
          <w:rFonts w:cstheme="minorHAnsi"/>
          <w:sz w:val="16"/>
          <w:szCs w:val="16"/>
        </w:rPr>
        <w:t xml:space="preserve"> Ver: http://</w:t>
      </w:r>
      <w:proofErr w:type="spellStart"/>
      <w:r w:rsidRPr="0049743F">
        <w:rPr>
          <w:rFonts w:cstheme="minorHAnsi"/>
          <w:sz w:val="16"/>
          <w:szCs w:val="16"/>
        </w:rPr>
        <w:t>laestrella.com.pa</w:t>
      </w:r>
      <w:proofErr w:type="spellEnd"/>
      <w:r w:rsidRPr="0049743F">
        <w:rPr>
          <w:rFonts w:cstheme="minorHAnsi"/>
          <w:sz w:val="16"/>
          <w:szCs w:val="16"/>
        </w:rPr>
        <w:t>/</w:t>
      </w:r>
      <w:proofErr w:type="spellStart"/>
      <w:r w:rsidRPr="0049743F">
        <w:rPr>
          <w:rFonts w:cstheme="minorHAnsi"/>
          <w:sz w:val="16"/>
          <w:szCs w:val="16"/>
        </w:rPr>
        <w:t>panama</w:t>
      </w:r>
      <w:proofErr w:type="spellEnd"/>
      <w:r w:rsidRPr="0049743F">
        <w:rPr>
          <w:rFonts w:cstheme="minorHAnsi"/>
          <w:sz w:val="16"/>
          <w:szCs w:val="16"/>
        </w:rPr>
        <w:t>/ nacional/pandillas-carteles-</w:t>
      </w:r>
      <w:proofErr w:type="spellStart"/>
      <w:r w:rsidRPr="0049743F">
        <w:rPr>
          <w:rFonts w:cstheme="minorHAnsi"/>
          <w:sz w:val="16"/>
          <w:szCs w:val="16"/>
        </w:rPr>
        <w:t>relacion</w:t>
      </w:r>
      <w:proofErr w:type="spellEnd"/>
      <w:r w:rsidRPr="0049743F">
        <w:rPr>
          <w:rFonts w:cstheme="minorHAnsi"/>
          <w:sz w:val="16"/>
          <w:szCs w:val="16"/>
        </w:rPr>
        <w:t>-otros-grupos/2397902</w:t>
      </w:r>
    </w:p>
  </w:footnote>
  <w:footnote w:id="49">
    <w:p w14:paraId="3DC16EE1" w14:textId="77777777" w:rsidR="000264D3" w:rsidRPr="0049743F" w:rsidRDefault="000264D3" w:rsidP="000C171B">
      <w:pPr>
        <w:pStyle w:val="FootnoteText"/>
        <w:rPr>
          <w:rFonts w:cstheme="minorHAnsi"/>
          <w:sz w:val="16"/>
          <w:szCs w:val="16"/>
        </w:rPr>
      </w:pPr>
      <w:r w:rsidRPr="0049743F">
        <w:rPr>
          <w:rStyle w:val="FootnoteReference"/>
          <w:rFonts w:cstheme="minorHAnsi"/>
          <w:sz w:val="16"/>
          <w:szCs w:val="16"/>
        </w:rPr>
        <w:footnoteRef/>
      </w:r>
      <w:r w:rsidRPr="0049743F">
        <w:rPr>
          <w:rFonts w:cstheme="minorHAnsi"/>
          <w:sz w:val="16"/>
          <w:szCs w:val="16"/>
        </w:rPr>
        <w:t xml:space="preserve"> Ver: https://www.minseg.gob.pa/wp-content/uploads/2019/12/informe_trata_personas_noviembre_2019.pdf</w:t>
      </w:r>
    </w:p>
  </w:footnote>
  <w:footnote w:id="50">
    <w:p w14:paraId="40C78375" w14:textId="77777777" w:rsidR="000264D3" w:rsidRPr="0049743F" w:rsidRDefault="000264D3" w:rsidP="000C171B">
      <w:pPr>
        <w:pStyle w:val="FootnoteText"/>
        <w:jc w:val="both"/>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Ver: https://es.insightcrime.org/noticias/noticias-del-dia/red-trata-personas-desarticulada-panama/</w:t>
      </w:r>
    </w:p>
  </w:footnote>
  <w:footnote w:id="51">
    <w:p w14:paraId="410AF18D" w14:textId="77777777" w:rsidR="000264D3" w:rsidRPr="0049743F" w:rsidRDefault="000264D3" w:rsidP="000C171B">
      <w:pPr>
        <w:pStyle w:val="FootnoteText"/>
        <w:jc w:val="both"/>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cstheme="minorHAnsi"/>
          <w:sz w:val="16"/>
          <w:szCs w:val="16"/>
        </w:rPr>
        <w:t xml:space="preserve"> Ver: https://pa.usembassy.gov/es/our-relationship-es/official-reports-es/informe-sobre-la-trata-de-personas-2018/</w:t>
      </w:r>
    </w:p>
  </w:footnote>
  <w:footnote w:id="52">
    <w:p w14:paraId="5BE18417" w14:textId="77777777" w:rsidR="000264D3" w:rsidRPr="0049743F" w:rsidRDefault="000264D3" w:rsidP="000C171B">
      <w:pPr>
        <w:pStyle w:val="FootnoteText"/>
        <w:rPr>
          <w:rFonts w:cstheme="minorHAnsi"/>
          <w:sz w:val="16"/>
          <w:szCs w:val="16"/>
        </w:rPr>
      </w:pPr>
      <w:r w:rsidRPr="0049743F">
        <w:rPr>
          <w:rStyle w:val="FootnoteReference"/>
          <w:rFonts w:cstheme="minorHAnsi"/>
          <w:sz w:val="16"/>
          <w:szCs w:val="16"/>
        </w:rPr>
        <w:footnoteRef/>
      </w:r>
      <w:r w:rsidRPr="0049743F">
        <w:rPr>
          <w:rFonts w:cstheme="minorHAnsi"/>
          <w:sz w:val="16"/>
          <w:szCs w:val="16"/>
        </w:rPr>
        <w:t xml:space="preserve">  Ver: https://pa.usembassy.gov/wp-content/uploads/sites/262/Panama-2019-TIP-Report-Country-Narrative-FINAL-ESP-1.pdf</w:t>
      </w:r>
    </w:p>
  </w:footnote>
  <w:footnote w:id="53">
    <w:p w14:paraId="75954656" w14:textId="2EC102AA" w:rsidR="000264D3" w:rsidRPr="0049743F" w:rsidRDefault="000264D3" w:rsidP="000C171B">
      <w:pPr>
        <w:pStyle w:val="FootnoteText"/>
        <w:jc w:val="both"/>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Ver:</w:t>
      </w:r>
      <w:r w:rsidRPr="0049743F">
        <w:rPr>
          <w:rFonts w:cstheme="minorHAnsi"/>
          <w:sz w:val="16"/>
          <w:szCs w:val="16"/>
        </w:rPr>
        <w:t xml:space="preserve"> https://pa.usembassy.gov/es/our-relationship-es/official-reports-es/</w:t>
      </w:r>
    </w:p>
  </w:footnote>
  <w:footnote w:id="54">
    <w:p w14:paraId="7AB8453A" w14:textId="77777777" w:rsidR="000264D3" w:rsidRPr="0049743F" w:rsidRDefault="000264D3" w:rsidP="000C171B">
      <w:pPr>
        <w:pStyle w:val="FootnoteText"/>
        <w:jc w:val="both"/>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 Comisión Nacional Contra la Trata de Personas está integrada por instituciones públicas  (MIRE, MINSEG, MP, OJ, INAMU, SENNIAF, MITRADEL, MINGOB, MIDES, MEDUCA, MINSA, ATP, Asamblea Nacional y Defensoría del Pueblo) y organismos del sector privado (CONEP y Cámara de Comercio, Industrias y Agricultura).</w:t>
      </w:r>
    </w:p>
  </w:footnote>
  <w:footnote w:id="55">
    <w:p w14:paraId="0A44C92B" w14:textId="0A3465BB" w:rsidR="000264D3" w:rsidRPr="0049743F" w:rsidRDefault="000264D3" w:rsidP="000C171B">
      <w:pPr>
        <w:pStyle w:val="FootnoteText"/>
        <w:jc w:val="both"/>
        <w:rPr>
          <w:rFonts w:cstheme="minorHAnsi"/>
          <w:color w:val="000000" w:themeColor="text1"/>
          <w:sz w:val="16"/>
          <w:szCs w:val="16"/>
        </w:rPr>
      </w:pPr>
      <w:r w:rsidRPr="0049743F">
        <w:rPr>
          <w:rStyle w:val="FootnoteReference"/>
          <w:rFonts w:cstheme="minorHAnsi"/>
          <w:color w:val="000000" w:themeColor="text1"/>
          <w:sz w:val="16"/>
          <w:szCs w:val="16"/>
        </w:rPr>
        <w:footnoteRef/>
      </w:r>
      <w:r w:rsidRPr="0049743F">
        <w:rPr>
          <w:rFonts w:cstheme="minorHAnsi"/>
          <w:color w:val="000000" w:themeColor="text1"/>
          <w:sz w:val="16"/>
          <w:szCs w:val="16"/>
        </w:rPr>
        <w:t xml:space="preserve">Ver: </w:t>
      </w:r>
      <w:r w:rsidRPr="0049743F">
        <w:rPr>
          <w:rFonts w:cstheme="minorHAnsi"/>
          <w:sz w:val="16"/>
          <w:szCs w:val="16"/>
        </w:rPr>
        <w:t>https://www.organojudicial.gob.pa/uploads/blogs.dir/2/2019/06/462/oficina-institucional-contra-la-trata-de-personas.pdf</w:t>
      </w:r>
    </w:p>
  </w:footnote>
  <w:footnote w:id="56">
    <w:p w14:paraId="0BE63D48" w14:textId="77777777" w:rsidR="000264D3" w:rsidRPr="0049743F" w:rsidRDefault="000264D3" w:rsidP="000C171B">
      <w:pPr>
        <w:pStyle w:val="FootnoteText"/>
        <w:rPr>
          <w:rFonts w:cstheme="minorHAnsi"/>
          <w:sz w:val="16"/>
          <w:szCs w:val="16"/>
        </w:rPr>
      </w:pPr>
      <w:r w:rsidRPr="0049743F">
        <w:rPr>
          <w:rStyle w:val="FootnoteReference"/>
          <w:rFonts w:cstheme="minorHAnsi"/>
          <w:sz w:val="16"/>
          <w:szCs w:val="16"/>
        </w:rPr>
        <w:footnoteRef/>
      </w:r>
      <w:r w:rsidRPr="0049743F">
        <w:rPr>
          <w:rFonts w:cstheme="minorHAnsi"/>
          <w:sz w:val="16"/>
          <w:szCs w:val="16"/>
        </w:rPr>
        <w:t xml:space="preserve"> Informe de Gestión 2019, Comisión Nacional contra la Trata de Personas.</w:t>
      </w:r>
    </w:p>
  </w:footnote>
  <w:footnote w:id="57">
    <w:p w14:paraId="1AC9B1A6" w14:textId="77777777" w:rsidR="000264D3" w:rsidRPr="0049743F" w:rsidRDefault="000264D3" w:rsidP="000C171B">
      <w:pPr>
        <w:pStyle w:val="FootnoteText"/>
        <w:rPr>
          <w:rFonts w:cstheme="minorHAnsi"/>
          <w:sz w:val="16"/>
          <w:szCs w:val="16"/>
        </w:rPr>
      </w:pPr>
      <w:r w:rsidRPr="0049743F">
        <w:rPr>
          <w:rStyle w:val="FootnoteReference"/>
          <w:rFonts w:cstheme="minorHAnsi"/>
          <w:sz w:val="16"/>
          <w:szCs w:val="16"/>
        </w:rPr>
        <w:footnoteRef/>
      </w:r>
      <w:r w:rsidRPr="0049743F">
        <w:rPr>
          <w:rFonts w:cstheme="minorHAnsi"/>
          <w:sz w:val="16"/>
          <w:szCs w:val="16"/>
        </w:rPr>
        <w:t xml:space="preserve"> Ver: http://panamacoopera.gob.pa/cooperante/</w:t>
      </w:r>
    </w:p>
  </w:footnote>
  <w:footnote w:id="58">
    <w:p w14:paraId="46B0F383" w14:textId="77777777" w:rsidR="000264D3" w:rsidRPr="0049743F" w:rsidRDefault="000264D3" w:rsidP="000C171B">
      <w:pPr>
        <w:pStyle w:val="FootnoteText"/>
        <w:rPr>
          <w:rFonts w:cstheme="minorHAnsi"/>
          <w:sz w:val="16"/>
          <w:szCs w:val="16"/>
        </w:rPr>
      </w:pPr>
      <w:r w:rsidRPr="0049743F">
        <w:rPr>
          <w:rStyle w:val="FootnoteReference"/>
          <w:rFonts w:cstheme="minorHAnsi"/>
          <w:sz w:val="16"/>
          <w:szCs w:val="16"/>
        </w:rPr>
        <w:footnoteRef/>
      </w:r>
      <w:r w:rsidRPr="0049743F">
        <w:rPr>
          <w:rFonts w:cstheme="minorHAnsi"/>
          <w:sz w:val="16"/>
          <w:szCs w:val="16"/>
        </w:rPr>
        <w:t xml:space="preserve"> Ver: https://www.thegef.org/country/panama</w:t>
      </w:r>
    </w:p>
  </w:footnote>
  <w:footnote w:id="59">
    <w:p w14:paraId="0D7ACA00" w14:textId="77777777" w:rsidR="000264D3" w:rsidRPr="0049743F" w:rsidRDefault="000264D3" w:rsidP="000C171B">
      <w:pPr>
        <w:pStyle w:val="FootnoteText"/>
        <w:rPr>
          <w:rFonts w:cstheme="minorHAnsi"/>
          <w:sz w:val="16"/>
          <w:szCs w:val="16"/>
        </w:rPr>
      </w:pPr>
      <w:r w:rsidRPr="0049743F">
        <w:rPr>
          <w:rStyle w:val="FootnoteReference"/>
          <w:rFonts w:cstheme="minorHAnsi"/>
          <w:sz w:val="16"/>
          <w:szCs w:val="16"/>
        </w:rPr>
        <w:footnoteRef/>
      </w:r>
      <w:r w:rsidRPr="0049743F">
        <w:rPr>
          <w:rFonts w:cstheme="minorHAnsi"/>
          <w:sz w:val="16"/>
          <w:szCs w:val="16"/>
        </w:rPr>
        <w:t xml:space="preserve"> Ver: https://www.greenclimate.fund/countries/panama</w:t>
      </w:r>
    </w:p>
  </w:footnote>
  <w:footnote w:id="60">
    <w:p w14:paraId="3AA41A92" w14:textId="77777777" w:rsidR="000264D3" w:rsidRDefault="000264D3" w:rsidP="000C171B">
      <w:pPr>
        <w:pStyle w:val="FootnoteText"/>
      </w:pPr>
      <w:r w:rsidRPr="0049743F">
        <w:rPr>
          <w:rStyle w:val="FootnoteReference"/>
          <w:rFonts w:cstheme="minorHAnsi"/>
          <w:sz w:val="16"/>
          <w:szCs w:val="16"/>
        </w:rPr>
        <w:footnoteRef/>
      </w:r>
      <w:r w:rsidRPr="0049743F">
        <w:rPr>
          <w:rFonts w:cstheme="minorHAnsi"/>
          <w:sz w:val="16"/>
          <w:szCs w:val="16"/>
        </w:rPr>
        <w:t xml:space="preserve"> Ver: https://www.adaptation-fund.org/project/adapting-climate-change-integrated-water-management-panama/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4BE80" w14:textId="77777777" w:rsidR="000264D3" w:rsidRPr="007454F7" w:rsidRDefault="000264D3" w:rsidP="002C49EF">
    <w:pPr>
      <w:pStyle w:val="Header"/>
      <w:pBdr>
        <w:top w:val="single" w:sz="2" w:space="1" w:color="B4C6E7" w:themeColor="accent1" w:themeTint="66"/>
        <w:left w:val="single" w:sz="2" w:space="4" w:color="B4C6E7" w:themeColor="accent1" w:themeTint="66"/>
        <w:bottom w:val="single" w:sz="2" w:space="1" w:color="B4C6E7" w:themeColor="accent1" w:themeTint="66"/>
        <w:right w:val="single" w:sz="2" w:space="4" w:color="B4C6E7" w:themeColor="accent1" w:themeTint="66"/>
      </w:pBdr>
      <w:jc w:val="center"/>
      <w:rPr>
        <w:rFonts w:ascii="Mistral" w:hAnsi="Mistral"/>
        <w:b/>
        <w:bCs/>
        <w:color w:val="8EAADB" w:themeColor="accent1" w:themeTint="99"/>
        <w:spacing w:val="100"/>
        <w:w w:val="200"/>
        <w:sz w:val="16"/>
        <w:szCs w:val="16"/>
      </w:rPr>
    </w:pPr>
    <w:sdt>
      <w:sdtPr>
        <w:id w:val="752705157"/>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14:anchorId="2F7E151B" wp14:editId="12FC6A7A">
                  <wp:simplePos x="0" y="0"/>
                  <wp:positionH relativeFrom="rightMargin">
                    <wp:align>center</wp:align>
                  </wp:positionH>
                  <wp:positionV relativeFrom="margin">
                    <wp:align>bottom</wp:align>
                  </wp:positionV>
                  <wp:extent cx="510540" cy="2183130"/>
                  <wp:effectExtent l="0" t="0" r="381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872E6" w14:textId="77777777" w:rsidR="000264D3" w:rsidRDefault="000264D3">
                              <w:pPr>
                                <w:pStyle w:val="Footer"/>
                                <w:rPr>
                                  <w:rFonts w:asciiTheme="majorHAnsi" w:eastAsiaTheme="majorEastAsia" w:hAnsiTheme="majorHAnsi" w:cstheme="majorBidi"/>
                                  <w:sz w:val="44"/>
                                  <w:szCs w:val="44"/>
                                </w:rPr>
                              </w:pPr>
                              <w:r w:rsidRPr="008C0BF9">
                                <w:rPr>
                                  <w:rFonts w:asciiTheme="majorHAnsi" w:eastAsiaTheme="majorEastAsia" w:hAnsiTheme="majorHAnsi" w:cstheme="majorBidi"/>
                                  <w:color w:val="4472C4" w:themeColor="accent1"/>
                                  <w:lang w:val="es-ES"/>
                                </w:rPr>
                                <w:t>Página</w:t>
                              </w:r>
                              <w:r w:rsidRPr="008C0BF9">
                                <w:rPr>
                                  <w:rFonts w:eastAsiaTheme="minorEastAsia" w:cs="Times New Roman"/>
                                  <w:color w:val="4472C4" w:themeColor="accent1"/>
                                </w:rPr>
                                <w:fldChar w:fldCharType="begin"/>
                              </w:r>
                              <w:r w:rsidRPr="008C0BF9">
                                <w:rPr>
                                  <w:color w:val="4472C4" w:themeColor="accent1"/>
                                </w:rPr>
                                <w:instrText>PAGE    \* MERGEFORMAT</w:instrText>
                              </w:r>
                              <w:r w:rsidRPr="008C0BF9">
                                <w:rPr>
                                  <w:rFonts w:eastAsiaTheme="minorEastAsia" w:cs="Times New Roman"/>
                                  <w:color w:val="4472C4" w:themeColor="accent1"/>
                                </w:rPr>
                                <w:fldChar w:fldCharType="separate"/>
                              </w:r>
                              <w:r w:rsidRPr="008C0BF9">
                                <w:rPr>
                                  <w:rFonts w:asciiTheme="majorHAnsi" w:eastAsiaTheme="majorEastAsia" w:hAnsiTheme="majorHAnsi" w:cstheme="majorBidi"/>
                                  <w:color w:val="4472C4" w:themeColor="accent1"/>
                                  <w:sz w:val="44"/>
                                  <w:szCs w:val="44"/>
                                  <w:lang w:val="es-ES"/>
                                </w:rPr>
                                <w:t>2</w:t>
                              </w:r>
                              <w:r w:rsidRPr="008C0BF9">
                                <w:rPr>
                                  <w:rFonts w:asciiTheme="majorHAnsi" w:eastAsiaTheme="majorEastAsia" w:hAnsiTheme="majorHAnsi" w:cstheme="majorBidi"/>
                                  <w:color w:val="4472C4" w:themeColor="accent1"/>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7E151B" id="Rectángulo 3" o:spid="_x0000_s1027"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" o:allowincell="f" filled="f" stroked="f">
                  <v:textbox style="layout-flow:vertical;mso-layout-flow-alt:bottom-to-top;mso-fit-shape-to-text:t">
                    <w:txbxContent>
                      <w:p w14:paraId="0A2872E6" w14:textId="77777777" w:rsidR="000264D3" w:rsidRDefault="000264D3">
                        <w:pPr>
                          <w:pStyle w:val="Footer"/>
                          <w:rPr>
                            <w:rFonts w:asciiTheme="majorHAnsi" w:eastAsiaTheme="majorEastAsia" w:hAnsiTheme="majorHAnsi" w:cstheme="majorBidi"/>
                            <w:sz w:val="44"/>
                            <w:szCs w:val="44"/>
                          </w:rPr>
                        </w:pPr>
                        <w:r w:rsidRPr="008C0BF9">
                          <w:rPr>
                            <w:rFonts w:asciiTheme="majorHAnsi" w:eastAsiaTheme="majorEastAsia" w:hAnsiTheme="majorHAnsi" w:cstheme="majorBidi"/>
                            <w:color w:val="4472C4" w:themeColor="accent1"/>
                            <w:lang w:val="es-ES"/>
                          </w:rPr>
                          <w:t>Página</w:t>
                        </w:r>
                        <w:r w:rsidRPr="008C0BF9">
                          <w:rPr>
                            <w:rFonts w:eastAsiaTheme="minorEastAsia" w:cs="Times New Roman"/>
                            <w:color w:val="4472C4" w:themeColor="accent1"/>
                          </w:rPr>
                          <w:fldChar w:fldCharType="begin"/>
                        </w:r>
                        <w:r w:rsidRPr="008C0BF9">
                          <w:rPr>
                            <w:color w:val="4472C4" w:themeColor="accent1"/>
                          </w:rPr>
                          <w:instrText>PAGE    \* MERGEFORMAT</w:instrText>
                        </w:r>
                        <w:r w:rsidRPr="008C0BF9">
                          <w:rPr>
                            <w:rFonts w:eastAsiaTheme="minorEastAsia" w:cs="Times New Roman"/>
                            <w:color w:val="4472C4" w:themeColor="accent1"/>
                          </w:rPr>
                          <w:fldChar w:fldCharType="separate"/>
                        </w:r>
                        <w:r w:rsidRPr="008C0BF9">
                          <w:rPr>
                            <w:rFonts w:asciiTheme="majorHAnsi" w:eastAsiaTheme="majorEastAsia" w:hAnsiTheme="majorHAnsi" w:cstheme="majorBidi"/>
                            <w:color w:val="4472C4" w:themeColor="accent1"/>
                            <w:sz w:val="44"/>
                            <w:szCs w:val="44"/>
                            <w:lang w:val="es-ES"/>
                          </w:rPr>
                          <w:t>2</w:t>
                        </w:r>
                        <w:r w:rsidRPr="008C0BF9">
                          <w:rPr>
                            <w:rFonts w:asciiTheme="majorHAnsi" w:eastAsiaTheme="majorEastAsia" w:hAnsiTheme="majorHAnsi" w:cstheme="majorBidi"/>
                            <w:color w:val="4472C4" w:themeColor="accent1"/>
                            <w:sz w:val="44"/>
                            <w:szCs w:val="44"/>
                          </w:rPr>
                          <w:fldChar w:fldCharType="end"/>
                        </w:r>
                      </w:p>
                    </w:txbxContent>
                  </v:textbox>
                  <w10:wrap anchorx="margin" anchory="margin"/>
                </v:rect>
              </w:pict>
            </mc:Fallback>
          </mc:AlternateContent>
        </w:r>
      </w:sdtContent>
    </w:sdt>
    <w:r w:rsidRPr="008C0BF9">
      <w:rPr>
        <w:rFonts w:ascii="Mistral" w:hAnsi="Mistral"/>
        <w:b/>
        <w:bCs/>
        <w:color w:val="ED7D31" w:themeColor="accent2"/>
        <w:sz w:val="90"/>
        <w:szCs w:val="90"/>
      </w:rPr>
      <w:t xml:space="preserve"> </w:t>
    </w:r>
    <w:r w:rsidRPr="007454F7">
      <w:rPr>
        <w:rFonts w:ascii="Tw Cen MT Condensed" w:hAnsi="Tw Cen MT Condensed"/>
        <w:color w:val="8EAADB" w:themeColor="accent1" w:themeTint="99"/>
        <w:spacing w:val="100"/>
        <w:w w:val="200"/>
        <w:sz w:val="16"/>
        <w:szCs w:val="16"/>
      </w:rPr>
      <w:t>ANÁLISIS CONJUNTO DE PAÍS | FEBRERO, 2020</w:t>
    </w:r>
  </w:p>
  <w:p w14:paraId="661D251D" w14:textId="77777777" w:rsidR="000264D3" w:rsidRDefault="000264D3" w:rsidP="002C49EF">
    <w:pPr>
      <w:pStyle w:val="Header"/>
      <w:jc w:val="right"/>
    </w:pPr>
  </w:p>
  <w:p w14:paraId="0725CA0A" w14:textId="77777777" w:rsidR="000264D3" w:rsidRDefault="000264D3" w:rsidP="002C49E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800C6"/>
    <w:multiLevelType w:val="hybridMultilevel"/>
    <w:tmpl w:val="3AA09630"/>
    <w:lvl w:ilvl="0" w:tplc="1688C196">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1B"/>
    <w:rsid w:val="00004AE5"/>
    <w:rsid w:val="0001267A"/>
    <w:rsid w:val="0001565F"/>
    <w:rsid w:val="00016DDA"/>
    <w:rsid w:val="000264D3"/>
    <w:rsid w:val="00053833"/>
    <w:rsid w:val="000610E8"/>
    <w:rsid w:val="00076B76"/>
    <w:rsid w:val="000A0629"/>
    <w:rsid w:val="000B73F8"/>
    <w:rsid w:val="000C171B"/>
    <w:rsid w:val="000C3E33"/>
    <w:rsid w:val="001037E5"/>
    <w:rsid w:val="00117E17"/>
    <w:rsid w:val="001501DC"/>
    <w:rsid w:val="0017031B"/>
    <w:rsid w:val="00193C3D"/>
    <w:rsid w:val="001D69E2"/>
    <w:rsid w:val="001F57AA"/>
    <w:rsid w:val="00244409"/>
    <w:rsid w:val="00245F82"/>
    <w:rsid w:val="00271165"/>
    <w:rsid w:val="00282C00"/>
    <w:rsid w:val="002C49EF"/>
    <w:rsid w:val="00310742"/>
    <w:rsid w:val="00323318"/>
    <w:rsid w:val="00341C4C"/>
    <w:rsid w:val="00361C30"/>
    <w:rsid w:val="003702CC"/>
    <w:rsid w:val="003878C7"/>
    <w:rsid w:val="003916D1"/>
    <w:rsid w:val="003925B1"/>
    <w:rsid w:val="003A796D"/>
    <w:rsid w:val="003D48B4"/>
    <w:rsid w:val="00413B2E"/>
    <w:rsid w:val="004443C5"/>
    <w:rsid w:val="004639A5"/>
    <w:rsid w:val="0049743F"/>
    <w:rsid w:val="004A1876"/>
    <w:rsid w:val="004A3FF4"/>
    <w:rsid w:val="004C22AC"/>
    <w:rsid w:val="004D2BF7"/>
    <w:rsid w:val="0053700A"/>
    <w:rsid w:val="00572C1B"/>
    <w:rsid w:val="0059478D"/>
    <w:rsid w:val="005A4643"/>
    <w:rsid w:val="005B4C0B"/>
    <w:rsid w:val="005F7658"/>
    <w:rsid w:val="006044DF"/>
    <w:rsid w:val="0061264A"/>
    <w:rsid w:val="0061566D"/>
    <w:rsid w:val="00624FAB"/>
    <w:rsid w:val="00646041"/>
    <w:rsid w:val="00677E4D"/>
    <w:rsid w:val="00686838"/>
    <w:rsid w:val="006B5122"/>
    <w:rsid w:val="007236EB"/>
    <w:rsid w:val="00744E07"/>
    <w:rsid w:val="00765D9A"/>
    <w:rsid w:val="007F093E"/>
    <w:rsid w:val="007F4C65"/>
    <w:rsid w:val="0081475D"/>
    <w:rsid w:val="008314D4"/>
    <w:rsid w:val="0083684A"/>
    <w:rsid w:val="00844F94"/>
    <w:rsid w:val="0084566D"/>
    <w:rsid w:val="008713AC"/>
    <w:rsid w:val="008809E3"/>
    <w:rsid w:val="00896344"/>
    <w:rsid w:val="008B4E30"/>
    <w:rsid w:val="008C0B16"/>
    <w:rsid w:val="008D746B"/>
    <w:rsid w:val="009110B7"/>
    <w:rsid w:val="0092156C"/>
    <w:rsid w:val="00977D58"/>
    <w:rsid w:val="009A2576"/>
    <w:rsid w:val="009C1B21"/>
    <w:rsid w:val="009E517C"/>
    <w:rsid w:val="00A004F8"/>
    <w:rsid w:val="00A6625C"/>
    <w:rsid w:val="00B02498"/>
    <w:rsid w:val="00B0730C"/>
    <w:rsid w:val="00B30010"/>
    <w:rsid w:val="00B31565"/>
    <w:rsid w:val="00B316BA"/>
    <w:rsid w:val="00B352CA"/>
    <w:rsid w:val="00B97FC6"/>
    <w:rsid w:val="00BB15AB"/>
    <w:rsid w:val="00BE2293"/>
    <w:rsid w:val="00C6077D"/>
    <w:rsid w:val="00C8113B"/>
    <w:rsid w:val="00C8413F"/>
    <w:rsid w:val="00CC712B"/>
    <w:rsid w:val="00D213D7"/>
    <w:rsid w:val="00D27873"/>
    <w:rsid w:val="00D45725"/>
    <w:rsid w:val="00D602FB"/>
    <w:rsid w:val="00D64120"/>
    <w:rsid w:val="00D84637"/>
    <w:rsid w:val="00DA1D66"/>
    <w:rsid w:val="00DA419A"/>
    <w:rsid w:val="00DE2945"/>
    <w:rsid w:val="00E07218"/>
    <w:rsid w:val="00E358D8"/>
    <w:rsid w:val="00E375CD"/>
    <w:rsid w:val="00E837CF"/>
    <w:rsid w:val="00EB3AB3"/>
    <w:rsid w:val="00ED2593"/>
    <w:rsid w:val="00ED7AAF"/>
    <w:rsid w:val="00EE2D77"/>
    <w:rsid w:val="00F118C2"/>
    <w:rsid w:val="00F330BA"/>
    <w:rsid w:val="00F3452A"/>
    <w:rsid w:val="00F402C4"/>
    <w:rsid w:val="00FC7832"/>
    <w:rsid w:val="00FF7A2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769F"/>
  <w15:chartTrackingRefBased/>
  <w15:docId w15:val="{1AA6CD2C-C437-4AC1-8D41-ABED6957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593"/>
  </w:style>
  <w:style w:type="paragraph" w:styleId="Heading2">
    <w:name w:val="heading 2"/>
    <w:basedOn w:val="Normal"/>
    <w:next w:val="Normal"/>
    <w:link w:val="Heading2Char"/>
    <w:uiPriority w:val="9"/>
    <w:unhideWhenUsed/>
    <w:qFormat/>
    <w:rsid w:val="000C171B"/>
    <w:pPr>
      <w:spacing w:after="0" w:line="276" w:lineRule="auto"/>
      <w:jc w:val="right"/>
      <w:outlineLvl w:val="1"/>
    </w:pPr>
    <w:rPr>
      <w:rFonts w:asciiTheme="majorHAnsi" w:hAnsiTheme="majorHAnsi"/>
      <w:color w:val="4472C4" w:themeColor="accent1"/>
      <w:sz w:val="36"/>
      <w:szCs w:val="3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7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71B"/>
    <w:rPr>
      <w:rFonts w:ascii="Segoe UI" w:hAnsi="Segoe UI" w:cs="Segoe UI"/>
      <w:sz w:val="18"/>
      <w:szCs w:val="18"/>
    </w:rPr>
  </w:style>
  <w:style w:type="character" w:customStyle="1" w:styleId="Heading2Char">
    <w:name w:val="Heading 2 Char"/>
    <w:basedOn w:val="DefaultParagraphFont"/>
    <w:link w:val="Heading2"/>
    <w:uiPriority w:val="9"/>
    <w:rsid w:val="000C171B"/>
    <w:rPr>
      <w:rFonts w:asciiTheme="majorHAnsi" w:hAnsiTheme="majorHAnsi"/>
      <w:color w:val="4472C4" w:themeColor="accent1"/>
      <w:sz w:val="36"/>
      <w:szCs w:val="36"/>
      <w:lang w:val="es-ES"/>
    </w:rPr>
  </w:style>
  <w:style w:type="paragraph" w:styleId="NoSpacing">
    <w:name w:val="No Spacing"/>
    <w:link w:val="NoSpacingChar"/>
    <w:uiPriority w:val="99"/>
    <w:qFormat/>
    <w:rsid w:val="000C171B"/>
    <w:pPr>
      <w:spacing w:after="0" w:line="240" w:lineRule="auto"/>
    </w:pPr>
    <w:rPr>
      <w:rFonts w:eastAsiaTheme="minorEastAsia"/>
      <w:lang w:eastAsia="es-PA"/>
    </w:rPr>
  </w:style>
  <w:style w:type="character" w:customStyle="1" w:styleId="NoSpacingChar">
    <w:name w:val="No Spacing Char"/>
    <w:basedOn w:val="DefaultParagraphFont"/>
    <w:link w:val="NoSpacing"/>
    <w:uiPriority w:val="99"/>
    <w:rsid w:val="000C171B"/>
    <w:rPr>
      <w:rFonts w:eastAsiaTheme="minorEastAsia"/>
      <w:lang w:eastAsia="es-PA"/>
    </w:rPr>
  </w:style>
  <w:style w:type="paragraph" w:styleId="FootnoteText">
    <w:name w:val="footnote text"/>
    <w:aliases w:val="5_G,Footnote Text Char Char Char Char Char Char,fn,single space,FOOTNOTES,Footnote Text Char1,Footnote Text Char Char,ft,Footnote,FN, Car,Footnote Text.SES Car,Footnote Text.SES,Footnote Text Char1 Char1,footnote,F,Footnote Text Char2"/>
    <w:basedOn w:val="Normal"/>
    <w:link w:val="FootnoteTextChar"/>
    <w:uiPriority w:val="99"/>
    <w:unhideWhenUsed/>
    <w:qFormat/>
    <w:rsid w:val="000C171B"/>
    <w:pPr>
      <w:spacing w:after="0" w:line="240" w:lineRule="auto"/>
    </w:pPr>
    <w:rPr>
      <w:rFonts w:eastAsiaTheme="minorEastAsia"/>
      <w:sz w:val="20"/>
      <w:szCs w:val="20"/>
      <w:lang w:eastAsia="es-PA"/>
    </w:rPr>
  </w:style>
  <w:style w:type="character" w:customStyle="1" w:styleId="FootnoteTextChar">
    <w:name w:val="Footnote Text Char"/>
    <w:aliases w:val="5_G Char,Footnote Text Char Char Char Char Char Char Char,fn Char,single space Char,FOOTNOTES Char,Footnote Text Char1 Char,Footnote Text Char Char Char,ft Char,Footnote Char,FN Char, Car Char,Footnote Text.SES Car Char,footnote Char"/>
    <w:basedOn w:val="DefaultParagraphFont"/>
    <w:link w:val="FootnoteText"/>
    <w:uiPriority w:val="99"/>
    <w:rsid w:val="000C171B"/>
    <w:rPr>
      <w:rFonts w:eastAsiaTheme="minorEastAsia"/>
      <w:sz w:val="20"/>
      <w:szCs w:val="20"/>
      <w:lang w:eastAsia="es-PA"/>
    </w:rPr>
  </w:style>
  <w:style w:type="character" w:styleId="FootnoteReference">
    <w:name w:val="footnote reference"/>
    <w:aliases w:val="4_G,Ref. de nota al pie.,FC,Footnote Reference.SES,referencia nota al pie,titulo 2,16 Point,Superscript 6 Point,Fußnotenzeichen DISS,ftref,Ref,de nota al pie"/>
    <w:basedOn w:val="DefaultParagraphFont"/>
    <w:uiPriority w:val="99"/>
    <w:unhideWhenUsed/>
    <w:qFormat/>
    <w:rsid w:val="000C171B"/>
    <w:rPr>
      <w:vertAlign w:val="superscript"/>
    </w:rPr>
  </w:style>
  <w:style w:type="paragraph" w:styleId="ListParagraph">
    <w:name w:val="List Paragraph"/>
    <w:aliases w:val="Akapit z listą BS,List Paragraph 1,Fundamentacion,titulo 3,Liste 1,Bullets,References,Lista vistosa - Énfasis 11"/>
    <w:basedOn w:val="Normal"/>
    <w:link w:val="ListParagraphChar"/>
    <w:uiPriority w:val="34"/>
    <w:qFormat/>
    <w:rsid w:val="000C171B"/>
    <w:pPr>
      <w:ind w:left="720"/>
      <w:contextualSpacing/>
    </w:pPr>
  </w:style>
  <w:style w:type="character" w:customStyle="1" w:styleId="ListParagraphChar">
    <w:name w:val="List Paragraph Char"/>
    <w:aliases w:val="Akapit z listą BS Char,List Paragraph 1 Char,Fundamentacion Char,titulo 3 Char,Liste 1 Char,Bullets Char,References Char,Lista vistosa - Énfasis 11 Char"/>
    <w:basedOn w:val="DefaultParagraphFont"/>
    <w:link w:val="ListParagraph"/>
    <w:uiPriority w:val="34"/>
    <w:locked/>
    <w:rsid w:val="000C171B"/>
  </w:style>
  <w:style w:type="character" w:styleId="Hyperlink">
    <w:name w:val="Hyperlink"/>
    <w:basedOn w:val="DefaultParagraphFont"/>
    <w:uiPriority w:val="99"/>
    <w:unhideWhenUsed/>
    <w:rsid w:val="000C171B"/>
    <w:rPr>
      <w:color w:val="0000FF"/>
      <w:u w:val="single"/>
    </w:rPr>
  </w:style>
  <w:style w:type="paragraph" w:styleId="NormalWeb">
    <w:name w:val="Normal (Web)"/>
    <w:basedOn w:val="Normal"/>
    <w:uiPriority w:val="99"/>
    <w:unhideWhenUsed/>
    <w:rsid w:val="000C1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0C171B"/>
    <w:rPr>
      <w:sz w:val="16"/>
      <w:szCs w:val="16"/>
    </w:rPr>
  </w:style>
  <w:style w:type="paragraph" w:styleId="CommentText">
    <w:name w:val="annotation text"/>
    <w:basedOn w:val="Normal"/>
    <w:link w:val="CommentTextChar"/>
    <w:uiPriority w:val="99"/>
    <w:unhideWhenUsed/>
    <w:rsid w:val="000C171B"/>
    <w:pPr>
      <w:spacing w:line="240" w:lineRule="auto"/>
    </w:pPr>
    <w:rPr>
      <w:sz w:val="20"/>
      <w:szCs w:val="20"/>
    </w:rPr>
  </w:style>
  <w:style w:type="character" w:customStyle="1" w:styleId="CommentTextChar">
    <w:name w:val="Comment Text Char"/>
    <w:basedOn w:val="DefaultParagraphFont"/>
    <w:link w:val="CommentText"/>
    <w:uiPriority w:val="99"/>
    <w:rsid w:val="000C171B"/>
    <w:rPr>
      <w:sz w:val="20"/>
      <w:szCs w:val="20"/>
    </w:rPr>
  </w:style>
  <w:style w:type="paragraph" w:styleId="HTMLPreformatted">
    <w:name w:val="HTML Preformatted"/>
    <w:basedOn w:val="Normal"/>
    <w:link w:val="HTMLPreformattedChar"/>
    <w:uiPriority w:val="99"/>
    <w:unhideWhenUsed/>
    <w:rsid w:val="000C1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C171B"/>
    <w:rPr>
      <w:rFonts w:ascii="Courier New" w:eastAsia="Times New Roman" w:hAnsi="Courier New" w:cs="Courier New"/>
      <w:sz w:val="20"/>
      <w:szCs w:val="20"/>
      <w:lang w:val="en-US"/>
    </w:rPr>
  </w:style>
  <w:style w:type="character" w:customStyle="1" w:styleId="st">
    <w:name w:val="st"/>
    <w:basedOn w:val="DefaultParagraphFont"/>
    <w:rsid w:val="000C171B"/>
  </w:style>
  <w:style w:type="character" w:styleId="Emphasis">
    <w:name w:val="Emphasis"/>
    <w:basedOn w:val="DefaultParagraphFont"/>
    <w:uiPriority w:val="20"/>
    <w:qFormat/>
    <w:rsid w:val="000C171B"/>
    <w:rPr>
      <w:i/>
      <w:iCs/>
    </w:rPr>
  </w:style>
  <w:style w:type="character" w:customStyle="1" w:styleId="CommentSubjectChar">
    <w:name w:val="Comment Subject Char"/>
    <w:basedOn w:val="CommentTextChar"/>
    <w:link w:val="CommentSubject"/>
    <w:uiPriority w:val="99"/>
    <w:semiHidden/>
    <w:rsid w:val="000C171B"/>
    <w:rPr>
      <w:b/>
      <w:bCs/>
      <w:sz w:val="20"/>
      <w:szCs w:val="20"/>
    </w:rPr>
  </w:style>
  <w:style w:type="paragraph" w:styleId="CommentSubject">
    <w:name w:val="annotation subject"/>
    <w:basedOn w:val="CommentText"/>
    <w:next w:val="CommentText"/>
    <w:link w:val="CommentSubjectChar"/>
    <w:uiPriority w:val="99"/>
    <w:semiHidden/>
    <w:unhideWhenUsed/>
    <w:rsid w:val="000C171B"/>
    <w:rPr>
      <w:b/>
      <w:bCs/>
    </w:rPr>
  </w:style>
  <w:style w:type="character" w:customStyle="1" w:styleId="AsuntodelcomentarioCar1">
    <w:name w:val="Asunto del comentario Car1"/>
    <w:basedOn w:val="CommentTextChar"/>
    <w:uiPriority w:val="99"/>
    <w:semiHidden/>
    <w:rsid w:val="000C171B"/>
    <w:rPr>
      <w:b/>
      <w:bCs/>
      <w:sz w:val="20"/>
      <w:szCs w:val="20"/>
    </w:rPr>
  </w:style>
  <w:style w:type="character" w:customStyle="1" w:styleId="HeaderChar">
    <w:name w:val="Header Char"/>
    <w:basedOn w:val="DefaultParagraphFont"/>
    <w:link w:val="Header"/>
    <w:uiPriority w:val="99"/>
    <w:rsid w:val="000C171B"/>
  </w:style>
  <w:style w:type="paragraph" w:styleId="Header">
    <w:name w:val="header"/>
    <w:basedOn w:val="Normal"/>
    <w:link w:val="HeaderChar"/>
    <w:uiPriority w:val="99"/>
    <w:unhideWhenUsed/>
    <w:rsid w:val="000C171B"/>
    <w:pPr>
      <w:tabs>
        <w:tab w:val="center" w:pos="4419"/>
        <w:tab w:val="right" w:pos="8838"/>
      </w:tabs>
      <w:spacing w:after="0" w:line="240" w:lineRule="auto"/>
    </w:pPr>
  </w:style>
  <w:style w:type="character" w:customStyle="1" w:styleId="EncabezadoCar1">
    <w:name w:val="Encabezado Car1"/>
    <w:basedOn w:val="DefaultParagraphFont"/>
    <w:uiPriority w:val="99"/>
    <w:semiHidden/>
    <w:rsid w:val="000C171B"/>
  </w:style>
  <w:style w:type="character" w:customStyle="1" w:styleId="FooterChar">
    <w:name w:val="Footer Char"/>
    <w:basedOn w:val="DefaultParagraphFont"/>
    <w:link w:val="Footer"/>
    <w:uiPriority w:val="99"/>
    <w:rsid w:val="000C171B"/>
  </w:style>
  <w:style w:type="paragraph" w:styleId="Footer">
    <w:name w:val="footer"/>
    <w:basedOn w:val="Normal"/>
    <w:link w:val="FooterChar"/>
    <w:uiPriority w:val="99"/>
    <w:unhideWhenUsed/>
    <w:rsid w:val="000C171B"/>
    <w:pPr>
      <w:tabs>
        <w:tab w:val="center" w:pos="4419"/>
        <w:tab w:val="right" w:pos="8838"/>
      </w:tabs>
      <w:spacing w:after="0" w:line="240" w:lineRule="auto"/>
    </w:pPr>
  </w:style>
  <w:style w:type="character" w:customStyle="1" w:styleId="PiedepginaCar1">
    <w:name w:val="Pie de página Car1"/>
    <w:basedOn w:val="DefaultParagraphFont"/>
    <w:uiPriority w:val="99"/>
    <w:semiHidden/>
    <w:rsid w:val="000C1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www.pa.undp.org/content/panama/es/home/presscenter/articles/pnud-entrega-obras-en-pro-de-la-calidad-de-vida-de-adolescentes-.html" TargetMode="External"/><Relationship Id="rId13" Type="http://schemas.openxmlformats.org/officeDocument/2006/relationships/hyperlink" Target="http://www.minsa.gob.pa/sites/default/files/publicaciones/asis_final_2018c.pdf" TargetMode="External"/><Relationship Id="rId18" Type="http://schemas.openxmlformats.org/officeDocument/2006/relationships/hyperlink" Target="https://www.gacetaoficial.gob.pa/pdfTemp/28465_A/66081.pdf" TargetMode="External"/><Relationship Id="rId3" Type="http://schemas.openxmlformats.org/officeDocument/2006/relationships/hyperlink" Target="https://www.google.com/search?client=firefox-b-d&amp;biw=1152&amp;bih=633&amp;ei=0StdXdnsKYLt5gKLsrqABQ&amp;q=reporte+autoridad+canal+panama+calado+sequ%C3%ADa&amp;oq=reporte+autoridad+canal+panama+calado+sequ%C3%ADa&amp;gs_l=psy-ab.3..33i160.10162.13020..13184...0.2..1.282.2426.0j14j1......0....1..gws-wiz.......0i71j33i22i29i30j33i21.DldAAOjVOIQ&amp;ved=0ahUKEwiZmYHv7pPkAhWCtlkKHQuZDlA4ChDh1QMICg&amp;uact=5" TargetMode="External"/><Relationship Id="rId7" Type="http://schemas.openxmlformats.org/officeDocument/2006/relationships/hyperlink" Target="http://www.pa.undp.org/content/panama/es/home/library/democratic_governance/estrategia-nacional-de-seguridad-ciudadana.html" TargetMode="External"/><Relationship Id="rId12" Type="http://schemas.openxmlformats.org/officeDocument/2006/relationships/hyperlink" Target="https://www.gacetaoficial.gob.pa/pdfTemp/28590_B/GacetaNo_28590b_20180814.pdf" TargetMode="External"/><Relationship Id="rId17" Type="http://schemas.openxmlformats.org/officeDocument/2006/relationships/hyperlink" Target="https://www.gacetaoficial.gob.pa/pdfTemp/28320/GacetaNo_28320_20170712.pdf" TargetMode="External"/><Relationship Id="rId2" Type="http://schemas.openxmlformats.org/officeDocument/2006/relationships/hyperlink" Target="https://www.superseguros.gob.pa/images/files/Gestion-riesgo/Marco_es.pdf" TargetMode="External"/><Relationship Id="rId16" Type="http://schemas.openxmlformats.org/officeDocument/2006/relationships/hyperlink" Target="https://www.gacetaoficial.gob.pa/pdfTemp/28631/GacetaNo_28631_20181011.pdf" TargetMode="External"/><Relationship Id="rId20" Type="http://schemas.openxmlformats.org/officeDocument/2006/relationships/hyperlink" Target="https://www.acnur.org/fileadmin/Documentos/BDL/2018/11494.pdf?file=fileadmin/Documentos/BDL/2018/11494" TargetMode="External"/><Relationship Id="rId1" Type="http://schemas.openxmlformats.org/officeDocument/2006/relationships/hyperlink" Target="https://datahelpdesk.worldbank.org/knowledgebase/articles/906519-world-bank-country-and-lending-groups" TargetMode="External"/><Relationship Id="rId6" Type="http://schemas.openxmlformats.org/officeDocument/2006/relationships/hyperlink" Target="https://www.paho.org/clap/index.php?option=com_docman&amp;view=download&amp;category_slug=publicaciones-sifilis&amp;alias=93-monitoreo-iniciativa-para-eliminacion-de-la-transmision-maternoinfantil-del-vih-y-sifilis-congenita&amp;Itemid=219&amp;lang=es" TargetMode="External"/><Relationship Id="rId11" Type="http://schemas.openxmlformats.org/officeDocument/2006/relationships/hyperlink" Target="https://www.iidh.ed.cr/capel/media/1438/ley-29-2017-reforma-c%C3%B3digo-electoral.pdf" TargetMode="External"/><Relationship Id="rId5" Type="http://schemas.openxmlformats.org/officeDocument/2006/relationships/hyperlink" Target="https://www.unaids.org/sites/default/files/media_asset/JC2118_terminology-guidelines_es_0.pdf" TargetMode="External"/><Relationship Id="rId15" Type="http://schemas.openxmlformats.org/officeDocument/2006/relationships/hyperlink" Target="https://www.gacetaoficial.gob.pa/pdfTemp/28667_B/GacetaNo_28667b_20181204.pdf" TargetMode="External"/><Relationship Id="rId10" Type="http://schemas.openxmlformats.org/officeDocument/2006/relationships/hyperlink" Target="http://www.conagua.gob.pa/pnsh/introduccion-al-pnsh-2015-2050.html" TargetMode="External"/><Relationship Id="rId19" Type="http://schemas.openxmlformats.org/officeDocument/2006/relationships/hyperlink" Target="https://www.gacetaoficial.gob.pa/pdfTemp/28225_B/GacetaNo_28225b_20170223.pdf" TargetMode="External"/><Relationship Id="rId4" Type="http://schemas.openxmlformats.org/officeDocument/2006/relationships/hyperlink" Target="https://www.pa.undp.org/content/panama/es/home/presscenter/articles/2019/guna-yala-ante-las-amenazas-de-la-crisis-climatica.html" TargetMode="External"/><Relationship Id="rId9" Type="http://schemas.openxmlformats.org/officeDocument/2006/relationships/hyperlink" Target="http://ministeriopublico.gob.pa/estadisticas-judiciales/privados-de-libertad/" TargetMode="External"/><Relationship Id="rId14" Type="http://schemas.openxmlformats.org/officeDocument/2006/relationships/hyperlink" Target="https://apps.who.int/iris/bitstream/handle/10665/136632/ccsbrief_pan_es.pdf;jsessionid=10B61C6F6EA670EAF395670C5E620661?sequence=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RM\Dropbox\CEPAL_2018\GRAFICOS\SEMAFORO%20ABREVIADO%20(version%202).xlsb.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50" baseline="0">
                <a:solidFill>
                  <a:schemeClr val="tx1">
                    <a:lumMod val="65000"/>
                    <a:lumOff val="35000"/>
                  </a:schemeClr>
                </a:solidFill>
                <a:latin typeface="+mn-lt"/>
                <a:ea typeface="+mn-ea"/>
                <a:cs typeface="+mn-cs"/>
              </a:defRPr>
            </a:pPr>
            <a:r>
              <a:rPr lang="es-PA" sz="1100" cap="none"/>
              <a:t>Gráfico 1: Indicadores de nivel 1 según ODS</a:t>
            </a:r>
          </a:p>
        </c:rich>
      </c:tx>
      <c:layout>
        <c:manualLayout>
          <c:xMode val="edge"/>
          <c:yMode val="edge"/>
          <c:x val="0.31611137790745086"/>
          <c:y val="3.4476301491994703E-2"/>
        </c:manualLayout>
      </c:layout>
      <c:overlay val="0"/>
      <c:spPr>
        <a:noFill/>
        <a:ln>
          <a:noFill/>
        </a:ln>
        <a:effectLst/>
      </c:spPr>
      <c:txPr>
        <a:bodyPr rot="0" spcFirstLastPara="1" vertOverflow="ellipsis" vert="horz" wrap="square" anchor="ctr" anchorCtr="1"/>
        <a:lstStyle/>
        <a:p>
          <a:pPr>
            <a:defRPr sz="1800" b="1" i="0" u="none" strike="noStrike" kern="1200" cap="none" spc="50" baseline="0">
              <a:solidFill>
                <a:schemeClr val="tx1">
                  <a:lumMod val="65000"/>
                  <a:lumOff val="35000"/>
                </a:schemeClr>
              </a:solidFill>
              <a:latin typeface="+mn-lt"/>
              <a:ea typeface="+mn-ea"/>
              <a:cs typeface="+mn-cs"/>
            </a:defRPr>
          </a:pPr>
          <a:endParaRPr lang="es-PA"/>
        </a:p>
      </c:txPr>
    </c:title>
    <c:autoTitleDeleted val="0"/>
    <c:plotArea>
      <c:layout>
        <c:manualLayout>
          <c:layoutTarget val="inner"/>
          <c:xMode val="edge"/>
          <c:yMode val="edge"/>
          <c:x val="1.6190655222025226E-2"/>
          <c:y val="0.13164811892100886"/>
          <c:w val="0.92865398729646709"/>
          <c:h val="0.68176973481099767"/>
        </c:manualLayout>
      </c:layout>
      <c:barChart>
        <c:barDir val="col"/>
        <c:grouping val="percentStacked"/>
        <c:varyColors val="0"/>
        <c:ser>
          <c:idx val="0"/>
          <c:order val="0"/>
          <c:tx>
            <c:strRef>
              <c:f>Hoja4!$C$3</c:f>
              <c:strCache>
                <c:ptCount val="1"/>
                <c:pt idx="0">
                  <c:v>Nivel 1</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95000"/>
                      </a:schemeClr>
                    </a:solidFill>
                    <a:latin typeface="+mn-lt"/>
                    <a:ea typeface="+mn-ea"/>
                    <a:cs typeface="+mn-cs"/>
                  </a:defRPr>
                </a:pPr>
                <a:endParaRPr lang="es-P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Hoja4!$B$4:$B$20</c:f>
              <c:strCache>
                <c:ptCount val="17"/>
                <c:pt idx="0">
                  <c:v>ODS 1</c:v>
                </c:pt>
                <c:pt idx="1">
                  <c:v>ODS 2</c:v>
                </c:pt>
                <c:pt idx="2">
                  <c:v>ODS 3</c:v>
                </c:pt>
                <c:pt idx="3">
                  <c:v>ODS 4</c:v>
                </c:pt>
                <c:pt idx="4">
                  <c:v>ODS 5</c:v>
                </c:pt>
                <c:pt idx="5">
                  <c:v>ODS 6</c:v>
                </c:pt>
                <c:pt idx="6">
                  <c:v>ODS 7</c:v>
                </c:pt>
                <c:pt idx="7">
                  <c:v>ODS 8</c:v>
                </c:pt>
                <c:pt idx="8">
                  <c:v>ODS 9</c:v>
                </c:pt>
                <c:pt idx="9">
                  <c:v>ODS 10</c:v>
                </c:pt>
                <c:pt idx="10">
                  <c:v>ODS 11</c:v>
                </c:pt>
                <c:pt idx="11">
                  <c:v>ODS 12</c:v>
                </c:pt>
                <c:pt idx="12">
                  <c:v>ODS 13</c:v>
                </c:pt>
                <c:pt idx="13">
                  <c:v>ODS 14</c:v>
                </c:pt>
                <c:pt idx="14">
                  <c:v>ODS 15</c:v>
                </c:pt>
                <c:pt idx="15">
                  <c:v>ODS 16</c:v>
                </c:pt>
                <c:pt idx="16">
                  <c:v>ODS 17</c:v>
                </c:pt>
              </c:strCache>
            </c:strRef>
          </c:cat>
          <c:val>
            <c:numRef>
              <c:f>Hoja4!$C$4:$C$20</c:f>
              <c:numCache>
                <c:formatCode>General</c:formatCode>
                <c:ptCount val="17"/>
                <c:pt idx="0">
                  <c:v>8</c:v>
                </c:pt>
                <c:pt idx="1">
                  <c:v>3</c:v>
                </c:pt>
                <c:pt idx="2">
                  <c:v>15</c:v>
                </c:pt>
                <c:pt idx="3">
                  <c:v>7</c:v>
                </c:pt>
                <c:pt idx="4">
                  <c:v>3</c:v>
                </c:pt>
                <c:pt idx="5">
                  <c:v>3</c:v>
                </c:pt>
                <c:pt idx="6">
                  <c:v>2</c:v>
                </c:pt>
                <c:pt idx="7">
                  <c:v>10</c:v>
                </c:pt>
                <c:pt idx="8">
                  <c:v>4</c:v>
                </c:pt>
                <c:pt idx="9">
                  <c:v>3</c:v>
                </c:pt>
                <c:pt idx="10">
                  <c:v>1</c:v>
                </c:pt>
                <c:pt idx="11">
                  <c:v>1</c:v>
                </c:pt>
                <c:pt idx="12">
                  <c:v>0</c:v>
                </c:pt>
                <c:pt idx="13">
                  <c:v>1</c:v>
                </c:pt>
                <c:pt idx="14">
                  <c:v>1</c:v>
                </c:pt>
                <c:pt idx="15">
                  <c:v>2</c:v>
                </c:pt>
                <c:pt idx="16">
                  <c:v>7</c:v>
                </c:pt>
              </c:numCache>
            </c:numRef>
          </c:val>
          <c:extLst>
            <c:ext xmlns:c16="http://schemas.microsoft.com/office/drawing/2014/chart" uri="{C3380CC4-5D6E-409C-BE32-E72D297353CC}">
              <c16:uniqueId val="{00000000-0B1A-407C-B3FC-0EF6287CCDAD}"/>
            </c:ext>
          </c:extLst>
        </c:ser>
        <c:ser>
          <c:idx val="1"/>
          <c:order val="1"/>
          <c:tx>
            <c:strRef>
              <c:f>Hoja4!$D$3</c:f>
              <c:strCache>
                <c:ptCount val="1"/>
                <c:pt idx="0">
                  <c:v>Nivel 2/3</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lumMod val="95000"/>
                      </a:schemeClr>
                    </a:solidFill>
                    <a:latin typeface="+mn-lt"/>
                    <a:ea typeface="+mn-ea"/>
                    <a:cs typeface="+mn-cs"/>
                  </a:defRPr>
                </a:pPr>
                <a:endParaRPr lang="es-P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Hoja4!$B$4:$B$20</c:f>
              <c:strCache>
                <c:ptCount val="17"/>
                <c:pt idx="0">
                  <c:v>ODS 1</c:v>
                </c:pt>
                <c:pt idx="1">
                  <c:v>ODS 2</c:v>
                </c:pt>
                <c:pt idx="2">
                  <c:v>ODS 3</c:v>
                </c:pt>
                <c:pt idx="3">
                  <c:v>ODS 4</c:v>
                </c:pt>
                <c:pt idx="4">
                  <c:v>ODS 5</c:v>
                </c:pt>
                <c:pt idx="5">
                  <c:v>ODS 6</c:v>
                </c:pt>
                <c:pt idx="6">
                  <c:v>ODS 7</c:v>
                </c:pt>
                <c:pt idx="7">
                  <c:v>ODS 8</c:v>
                </c:pt>
                <c:pt idx="8">
                  <c:v>ODS 9</c:v>
                </c:pt>
                <c:pt idx="9">
                  <c:v>ODS 10</c:v>
                </c:pt>
                <c:pt idx="10">
                  <c:v>ODS 11</c:v>
                </c:pt>
                <c:pt idx="11">
                  <c:v>ODS 12</c:v>
                </c:pt>
                <c:pt idx="12">
                  <c:v>ODS 13</c:v>
                </c:pt>
                <c:pt idx="13">
                  <c:v>ODS 14</c:v>
                </c:pt>
                <c:pt idx="14">
                  <c:v>ODS 15</c:v>
                </c:pt>
                <c:pt idx="15">
                  <c:v>ODS 16</c:v>
                </c:pt>
                <c:pt idx="16">
                  <c:v>ODS 17</c:v>
                </c:pt>
              </c:strCache>
            </c:strRef>
          </c:cat>
          <c:val>
            <c:numRef>
              <c:f>Hoja4!$D$4:$D$20</c:f>
              <c:numCache>
                <c:formatCode>General</c:formatCode>
                <c:ptCount val="17"/>
                <c:pt idx="0">
                  <c:v>4</c:v>
                </c:pt>
                <c:pt idx="1">
                  <c:v>11</c:v>
                </c:pt>
                <c:pt idx="2">
                  <c:v>11</c:v>
                </c:pt>
                <c:pt idx="3">
                  <c:v>4</c:v>
                </c:pt>
                <c:pt idx="4">
                  <c:v>11</c:v>
                </c:pt>
                <c:pt idx="5">
                  <c:v>8</c:v>
                </c:pt>
                <c:pt idx="6">
                  <c:v>4</c:v>
                </c:pt>
                <c:pt idx="7">
                  <c:v>7</c:v>
                </c:pt>
                <c:pt idx="8">
                  <c:v>8</c:v>
                </c:pt>
                <c:pt idx="9">
                  <c:v>8</c:v>
                </c:pt>
                <c:pt idx="10">
                  <c:v>14</c:v>
                </c:pt>
                <c:pt idx="11">
                  <c:v>12</c:v>
                </c:pt>
                <c:pt idx="12">
                  <c:v>7</c:v>
                </c:pt>
                <c:pt idx="13">
                  <c:v>9</c:v>
                </c:pt>
                <c:pt idx="14">
                  <c:v>13</c:v>
                </c:pt>
                <c:pt idx="15">
                  <c:v>21</c:v>
                </c:pt>
                <c:pt idx="16">
                  <c:v>18</c:v>
                </c:pt>
              </c:numCache>
            </c:numRef>
          </c:val>
          <c:extLst>
            <c:ext xmlns:c16="http://schemas.microsoft.com/office/drawing/2014/chart" uri="{C3380CC4-5D6E-409C-BE32-E72D297353CC}">
              <c16:uniqueId val="{00000001-0B1A-407C-B3FC-0EF6287CCDAD}"/>
            </c:ext>
          </c:extLst>
        </c:ser>
        <c:ser>
          <c:idx val="2"/>
          <c:order val="2"/>
          <c:tx>
            <c:strRef>
              <c:f>Hoja4!$E$3</c:f>
              <c:strCache>
                <c:ptCount val="1"/>
                <c:pt idx="0">
                  <c:v>Agenda 2030</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lumMod val="95000"/>
                      </a:schemeClr>
                    </a:solidFill>
                    <a:latin typeface="+mn-lt"/>
                    <a:ea typeface="+mn-ea"/>
                    <a:cs typeface="+mn-cs"/>
                  </a:defRPr>
                </a:pPr>
                <a:endParaRPr lang="es-P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Hoja4!$B$4:$B$20</c:f>
              <c:strCache>
                <c:ptCount val="17"/>
                <c:pt idx="0">
                  <c:v>ODS 1</c:v>
                </c:pt>
                <c:pt idx="1">
                  <c:v>ODS 2</c:v>
                </c:pt>
                <c:pt idx="2">
                  <c:v>ODS 3</c:v>
                </c:pt>
                <c:pt idx="3">
                  <c:v>ODS 4</c:v>
                </c:pt>
                <c:pt idx="4">
                  <c:v>ODS 5</c:v>
                </c:pt>
                <c:pt idx="5">
                  <c:v>ODS 6</c:v>
                </c:pt>
                <c:pt idx="6">
                  <c:v>ODS 7</c:v>
                </c:pt>
                <c:pt idx="7">
                  <c:v>ODS 8</c:v>
                </c:pt>
                <c:pt idx="8">
                  <c:v>ODS 9</c:v>
                </c:pt>
                <c:pt idx="9">
                  <c:v>ODS 10</c:v>
                </c:pt>
                <c:pt idx="10">
                  <c:v>ODS 11</c:v>
                </c:pt>
                <c:pt idx="11">
                  <c:v>ODS 12</c:v>
                </c:pt>
                <c:pt idx="12">
                  <c:v>ODS 13</c:v>
                </c:pt>
                <c:pt idx="13">
                  <c:v>ODS 14</c:v>
                </c:pt>
                <c:pt idx="14">
                  <c:v>ODS 15</c:v>
                </c:pt>
                <c:pt idx="15">
                  <c:v>ODS 16</c:v>
                </c:pt>
                <c:pt idx="16">
                  <c:v>ODS 17</c:v>
                </c:pt>
              </c:strCache>
            </c:strRef>
          </c:cat>
          <c:val>
            <c:numRef>
              <c:f>Hoja4!$E$4:$E$20</c:f>
              <c:numCache>
                <c:formatCode>General</c:formatCode>
                <c:ptCount val="17"/>
                <c:pt idx="0">
                  <c:v>12</c:v>
                </c:pt>
                <c:pt idx="1">
                  <c:v>14</c:v>
                </c:pt>
                <c:pt idx="2">
                  <c:v>26</c:v>
                </c:pt>
                <c:pt idx="3">
                  <c:v>11</c:v>
                </c:pt>
                <c:pt idx="4">
                  <c:v>14</c:v>
                </c:pt>
                <c:pt idx="5">
                  <c:v>11</c:v>
                </c:pt>
                <c:pt idx="6">
                  <c:v>6</c:v>
                </c:pt>
                <c:pt idx="7">
                  <c:v>17</c:v>
                </c:pt>
                <c:pt idx="8">
                  <c:v>12</c:v>
                </c:pt>
                <c:pt idx="9">
                  <c:v>11</c:v>
                </c:pt>
                <c:pt idx="10">
                  <c:v>15</c:v>
                </c:pt>
                <c:pt idx="11">
                  <c:v>13</c:v>
                </c:pt>
                <c:pt idx="12">
                  <c:v>7</c:v>
                </c:pt>
                <c:pt idx="13">
                  <c:v>10</c:v>
                </c:pt>
                <c:pt idx="14">
                  <c:v>14</c:v>
                </c:pt>
                <c:pt idx="15">
                  <c:v>23</c:v>
                </c:pt>
                <c:pt idx="16">
                  <c:v>25</c:v>
                </c:pt>
              </c:numCache>
            </c:numRef>
          </c:val>
          <c:extLst>
            <c:ext xmlns:c16="http://schemas.microsoft.com/office/drawing/2014/chart" uri="{C3380CC4-5D6E-409C-BE32-E72D297353CC}">
              <c16:uniqueId val="{00000002-0B1A-407C-B3FC-0EF6287CCDAD}"/>
            </c:ext>
          </c:extLst>
        </c:ser>
        <c:dLbls>
          <c:dLblPos val="ctr"/>
          <c:showLegendKey val="0"/>
          <c:showVal val="1"/>
          <c:showCatName val="0"/>
          <c:showSerName val="0"/>
          <c:showPercent val="0"/>
          <c:showBubbleSize val="0"/>
        </c:dLbls>
        <c:gapWidth val="16"/>
        <c:overlap val="100"/>
        <c:axId val="531608528"/>
        <c:axId val="531606560"/>
      </c:barChart>
      <c:catAx>
        <c:axId val="531608528"/>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es-PA"/>
          </a:p>
        </c:txPr>
        <c:crossAx val="531606560"/>
        <c:crosses val="autoZero"/>
        <c:auto val="1"/>
        <c:lblAlgn val="ctr"/>
        <c:lblOffset val="100"/>
        <c:noMultiLvlLbl val="0"/>
      </c:catAx>
      <c:valAx>
        <c:axId val="531606560"/>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PA"/>
          </a:p>
        </c:txPr>
        <c:crossAx val="531608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PA"/>
        </a:p>
      </c:txPr>
    </c:legend>
    <c:plotVisOnly val="1"/>
    <c:dispBlanksAs val="gap"/>
    <c:showDLblsOverMax val="0"/>
  </c:chart>
  <c:spPr>
    <a:solidFill>
      <a:schemeClr val="bg1"/>
    </a:solidFill>
    <a:ln w="3175" cap="flat" cmpd="sng" algn="ctr">
      <a:solidFill>
        <a:schemeClr val="bg1">
          <a:lumMod val="95000"/>
        </a:schemeClr>
      </a:solidFill>
      <a:round/>
    </a:ln>
    <a:effectLst/>
  </c:spPr>
  <c:txPr>
    <a:bodyPr/>
    <a:lstStyle/>
    <a:p>
      <a:pPr>
        <a:defRPr/>
      </a:pPr>
      <a:endParaRPr lang="es-PA"/>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BB6ED-E4B5-430A-B0BD-ECA0A5C3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106</Pages>
  <Words>50090</Words>
  <Characters>275496</Characters>
  <Application>Microsoft Office Word</Application>
  <DocSecurity>0</DocSecurity>
  <Lines>2295</Lines>
  <Paragraphs>649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Raúl Aparicio Valerín</dc:creator>
  <cp:keywords/>
  <dc:description/>
  <cp:lastModifiedBy>Alexis Rodriguez Mojica</cp:lastModifiedBy>
  <cp:revision>18</cp:revision>
  <cp:lastPrinted>2020-02-12T15:17:00Z</cp:lastPrinted>
  <dcterms:created xsi:type="dcterms:W3CDTF">2020-02-11T18:00:00Z</dcterms:created>
  <dcterms:modified xsi:type="dcterms:W3CDTF">2020-02-12T15:18:00Z</dcterms:modified>
</cp:coreProperties>
</file>